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40"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Form 8-K</w:t>
      </w:r>
    </w:p>
    <w:p>
      <w:pPr>
        <w:spacing w:after="0" w:line="27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CURRENT REPORT</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2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December 10, 2020</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Date of Report (date of earliest event reported)</w:t>
      </w:r>
    </w:p>
    <w:p>
      <w:pPr>
        <w:spacing w:after="0" w:line="12"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DROPBOX, INC.</w:t>
      </w:r>
    </w:p>
    <w:p>
      <w:pPr>
        <w:spacing w:after="0" w:line="13"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40"/>
          </w:cols>
          <w:pgMar w:left="320" w:top="855" w:right="239" w:bottom="1440" w:gutter="0" w:footer="0" w:header="0"/>
        </w:sectPr>
      </w:pPr>
    </w:p>
    <w:p>
      <w:pPr>
        <w:spacing w:after="0" w:line="118" w:lineRule="exact"/>
        <w:rPr>
          <w:sz w:val="24"/>
          <w:szCs w:val="24"/>
          <w:color w:val="auto"/>
        </w:rPr>
      </w:pPr>
    </w:p>
    <w:p>
      <w:pPr>
        <w:jc w:val="center"/>
        <w:ind w:left="80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jc w:val="center"/>
        <w:ind w:left="800"/>
        <w:spacing w:after="0"/>
        <w:rPr>
          <w:sz w:val="20"/>
          <w:szCs w:val="20"/>
          <w:color w:val="auto"/>
        </w:rPr>
      </w:pPr>
      <w:r>
        <w:rPr>
          <w:rFonts w:ascii="Arial" w:cs="Arial" w:eastAsia="Arial" w:hAnsi="Arial"/>
          <w:sz w:val="15"/>
          <w:szCs w:val="15"/>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001-38434</w:t>
      </w:r>
    </w:p>
    <w:p>
      <w:pPr>
        <w:spacing w:after="0" w:line="23" w:lineRule="exact"/>
        <w:rPr>
          <w:sz w:val="24"/>
          <w:szCs w:val="24"/>
          <w:color w:val="auto"/>
        </w:rPr>
      </w:pPr>
    </w:p>
    <w:p>
      <w:pPr>
        <w:jc w:val="center"/>
        <w:ind w:right="140"/>
        <w:spacing w:after="0"/>
        <w:rPr>
          <w:sz w:val="20"/>
          <w:szCs w:val="20"/>
          <w:color w:val="auto"/>
        </w:rPr>
      </w:pPr>
      <w:r>
        <w:rPr>
          <w:rFonts w:ascii="Arial" w:cs="Arial" w:eastAsia="Arial" w:hAnsi="Arial"/>
          <w:sz w:val="15"/>
          <w:szCs w:val="15"/>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26-0138832</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5"/>
          <w:szCs w:val="15"/>
          <w:b w:val="1"/>
          <w:bCs w:val="1"/>
          <w:color w:val="auto"/>
        </w:rPr>
        <w:t>(I. R. S. Employer Identification No.)</w:t>
      </w:r>
    </w:p>
    <w:p>
      <w:pPr>
        <w:spacing w:after="0" w:line="53" w:lineRule="exact"/>
        <w:rPr>
          <w:sz w:val="24"/>
          <w:szCs w:val="24"/>
          <w:color w:val="auto"/>
        </w:rPr>
      </w:pPr>
    </w:p>
    <w:p>
      <w:pPr>
        <w:sectPr>
          <w:pgSz w:w="11900" w:h="16838" w:orient="portrait"/>
          <w:cols w:equalWidth="0" w:num="3">
            <w:col w:w="3860" w:space="720"/>
            <w:col w:w="2200" w:space="720"/>
            <w:col w:w="3840"/>
          </w:cols>
          <w:pgMar w:left="320" w:top="855" w:right="239" w:bottom="1440" w:gutter="0" w:footer="0" w:header="0"/>
          <w:type w:val="continuous"/>
        </w:sectPr>
      </w:pPr>
    </w:p>
    <w:p>
      <w:pPr>
        <w:ind w:left="1780"/>
        <w:spacing w:after="0"/>
        <w:rPr>
          <w:sz w:val="20"/>
          <w:szCs w:val="20"/>
          <w:color w:val="auto"/>
        </w:rPr>
      </w:pPr>
      <w:r>
        <w:rPr>
          <w:rFonts w:ascii="Arial" w:cs="Arial" w:eastAsia="Arial" w:hAnsi="Arial"/>
          <w:sz w:val="15"/>
          <w:szCs w:val="15"/>
          <w:b w:val="1"/>
          <w:bCs w:val="1"/>
          <w:color w:val="auto"/>
        </w:rPr>
        <w:t>incorporation)</w:t>
      </w:r>
    </w:p>
    <w:p>
      <w:pPr>
        <w:sectPr>
          <w:pgSz w:w="11900" w:h="16838" w:orient="portrait"/>
          <w:cols w:equalWidth="0" w:num="1">
            <w:col w:w="11340"/>
          </w:cols>
          <w:pgMar w:left="320" w:top="855" w:right="239" w:bottom="1440" w:gutter="0" w:footer="0" w:header="0"/>
          <w:type w:val="continuous"/>
        </w:sectPr>
      </w:pPr>
    </w:p>
    <w:p>
      <w:pPr>
        <w:spacing w:after="0" w:line="302"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1800 Owens St.</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San Francisco, California 94158</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(415) 857-6800</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N/A</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33" w:lineRule="exact"/>
        <w:rPr>
          <w:sz w:val="24"/>
          <w:szCs w:val="24"/>
          <w:color w:val="auto"/>
        </w:rPr>
      </w:pPr>
    </w:p>
    <w:p>
      <w:pPr>
        <w:ind w:right="220"/>
        <w:spacing w:after="0" w:line="25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0"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w:t>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408940</wp:posOffset>
            </wp:positionH>
            <wp:positionV relativeFrom="paragraph">
              <wp:posOffset>86995</wp:posOffset>
            </wp:positionV>
            <wp:extent cx="6266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156" w:lineRule="exact"/>
        <w:rPr>
          <w:sz w:val="24"/>
          <w:szCs w:val="24"/>
          <w:color w:val="auto"/>
        </w:rPr>
      </w:pPr>
    </w:p>
    <w:tbl>
      <w:tblPr>
        <w:tblLayout w:type="fixed"/>
        <w:tblInd w:w="76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260" w:type="dxa"/>
            <w:vAlign w:val="bottom"/>
            <w:gridSpan w:val="2"/>
          </w:tcPr>
          <w:p>
            <w:pPr>
              <w:jc w:val="center"/>
              <w:ind w:right="2200"/>
              <w:spacing w:after="0"/>
              <w:rPr>
                <w:sz w:val="20"/>
                <w:szCs w:val="20"/>
                <w:color w:val="auto"/>
              </w:rPr>
            </w:pPr>
            <w:r>
              <w:rPr>
                <w:rFonts w:ascii="Arial" w:cs="Arial" w:eastAsia="Arial" w:hAnsi="Arial"/>
                <w:sz w:val="14"/>
                <w:szCs w:val="14"/>
                <w:b w:val="1"/>
                <w:bCs w:val="1"/>
                <w:color w:val="auto"/>
                <w:w w:val="87"/>
              </w:rPr>
              <w:t>Title of each class</w:t>
            </w:r>
          </w:p>
        </w:tc>
        <w:tc>
          <w:tcPr>
            <w:tcW w:w="268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w w:val="91"/>
              </w:rPr>
              <w:t>Trading Symbol(s)</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exchange on which registered</w:t>
            </w: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195"/>
        </w:trPr>
        <w:tc>
          <w:tcPr>
            <w:tcW w:w="4260" w:type="dxa"/>
            <w:vAlign w:val="bottom"/>
            <w:gridSpan w:val="3"/>
          </w:tcPr>
          <w:p>
            <w:pPr>
              <w:jc w:val="center"/>
              <w:ind w:right="1200"/>
              <w:spacing w:after="0"/>
              <w:rPr>
                <w:sz w:val="20"/>
                <w:szCs w:val="20"/>
                <w:color w:val="auto"/>
              </w:rPr>
            </w:pPr>
            <w:r>
              <w:rPr>
                <w:rFonts w:ascii="Arial" w:cs="Arial" w:eastAsia="Arial" w:hAnsi="Arial"/>
                <w:sz w:val="14"/>
                <w:szCs w:val="14"/>
                <w:color w:val="auto"/>
                <w:w w:val="90"/>
              </w:rPr>
              <w:t>Class A Common Stock, par value $0.00001 per share</w:t>
            </w:r>
          </w:p>
        </w:tc>
        <w:tc>
          <w:tcPr>
            <w:tcW w:w="2680" w:type="dxa"/>
            <w:vAlign w:val="bottom"/>
            <w:gridSpan w:val="2"/>
          </w:tcPr>
          <w:p>
            <w:pPr>
              <w:jc w:val="center"/>
              <w:ind w:right="1580"/>
              <w:spacing w:after="0"/>
              <w:rPr>
                <w:sz w:val="20"/>
                <w:szCs w:val="20"/>
                <w:color w:val="auto"/>
              </w:rPr>
            </w:pPr>
            <w:r>
              <w:rPr>
                <w:rFonts w:ascii="Arial" w:cs="Arial" w:eastAsia="Arial" w:hAnsi="Arial"/>
                <w:sz w:val="14"/>
                <w:szCs w:val="14"/>
                <w:color w:val="auto"/>
              </w:rPr>
              <w:t>DBX</w:t>
            </w:r>
          </w:p>
        </w:tc>
        <w:tc>
          <w:tcPr>
            <w:tcW w:w="2320" w:type="dxa"/>
            <w:vAlign w:val="bottom"/>
          </w:tcPr>
          <w:p>
            <w:pPr>
              <w:jc w:val="center"/>
              <w:spacing w:after="0"/>
              <w:rPr>
                <w:sz w:val="20"/>
                <w:szCs w:val="20"/>
                <w:color w:val="auto"/>
              </w:rPr>
            </w:pPr>
            <w:r>
              <w:rPr>
                <w:rFonts w:ascii="Arial" w:cs="Arial" w:eastAsia="Arial" w:hAnsi="Arial"/>
                <w:sz w:val="14"/>
                <w:szCs w:val="14"/>
                <w:color w:val="auto"/>
                <w:w w:val="96"/>
              </w:rPr>
              <w:t>The NASDAQ Stock Market LLC</w:t>
            </w:r>
          </w:p>
        </w:tc>
      </w:tr>
      <w:tr>
        <w:trPr>
          <w:trHeight w:val="186"/>
        </w:trPr>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w w:val="91"/>
              </w:rPr>
              <w:t>(Nasdaq Global Select Market)</w:t>
            </w:r>
          </w:p>
        </w:tc>
      </w:tr>
    </w:tbl>
    <w:p>
      <w:pPr>
        <w:spacing w:after="0" w:line="384" w:lineRule="exact"/>
        <w:rPr>
          <w:sz w:val="24"/>
          <w:szCs w:val="24"/>
          <w:color w:val="auto"/>
        </w:rPr>
      </w:pPr>
    </w:p>
    <w:p>
      <w:pPr>
        <w:spacing w:after="0" w:line="26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1"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153" w:lineRule="exact"/>
        <w:rPr>
          <w:sz w:val="24"/>
          <w:szCs w:val="24"/>
          <w:color w:val="auto"/>
        </w:rPr>
      </w:pPr>
    </w:p>
    <w:p>
      <w:pPr>
        <w:ind w:right="260"/>
        <w:spacing w:after="0" w:line="25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452755</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340"/>
          </w:cols>
          <w:pgMar w:left="320" w:top="855" w:right="239" w:bottom="1440" w:gutter="0" w:footer="0" w:header="0"/>
          <w:type w:val="continuous"/>
        </w:sectPr>
      </w:pPr>
    </w:p>
    <w:bookmarkStart w:id="1" w:name="page2"/>
    <w:bookmarkEnd w:id="1"/>
    <w:p>
      <w:pPr>
        <w:ind w:right="320"/>
        <w:spacing w:after="0" w:line="380"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Departure of Director</w:t>
      </w:r>
    </w:p>
    <w:p>
      <w:pPr>
        <w:spacing w:after="0" w:line="271" w:lineRule="exact"/>
        <w:rPr>
          <w:sz w:val="20"/>
          <w:szCs w:val="20"/>
          <w:color w:val="auto"/>
        </w:rPr>
      </w:pPr>
    </w:p>
    <w:p>
      <w:pPr>
        <w:jc w:val="both"/>
        <w:ind w:right="140"/>
        <w:spacing w:after="0" w:line="366" w:lineRule="auto"/>
        <w:rPr>
          <w:sz w:val="20"/>
          <w:szCs w:val="20"/>
          <w:color w:val="auto"/>
        </w:rPr>
      </w:pPr>
      <w:r>
        <w:rPr>
          <w:rFonts w:ascii="Arial" w:cs="Arial" w:eastAsia="Arial" w:hAnsi="Arial"/>
          <w:sz w:val="15"/>
          <w:szCs w:val="15"/>
          <w:color w:val="auto"/>
        </w:rPr>
        <w:t>On December 10, 2020, R. Bryan Schreier resigned as a member of the Board of Directors (the “Board”) of Dropbox, Inc. (the “Company”). Mr. Schreier’s resignation as a director was not the result of any disagreement with the Company on any matter relating to the Company’s operations, policies or practices.</w:t>
      </w:r>
    </w:p>
    <w:p>
      <w:pPr>
        <w:spacing w:after="0" w:line="13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“Bryan and the Sequoia team have been instrumental to our success,” said Dropbox Co-founder and Chief Executive Officer Drew Houston. “Bryan was an early believer in Dropbox as one of our first investors and board members. Now, more than a decade later, he’s become much more — a partner, trusted advisor, and friend. He's supported us through all of our major milestones, from our first million users to our IPO. I’m grateful to Bryan and Sequoia for their belief in Dropbox over the last 13 years, and for their support on our journey.”</w:t>
      </w:r>
    </w:p>
    <w:p>
      <w:pPr>
        <w:spacing w:after="0" w:line="22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“It’s been an incredible privilege to work with Drew and be a part of the Dropbox story,” said Mr. Schreier. “From the moment I took my seat on the Board nearly 12 years ago, I knew what a special company Dropbox was and I’m proud of how much we’ve accomplished together. Teamwork and partnership are key parts of Sequoia’s ethos, and our relationship with Dropbox for over a decade is a prime example of those values at work. I’ll continue to be a true believer in the company’s mission and its future as it leads the remote work revolution.”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Election of Director</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On December 10, 2020, the Board appointed Michael Seibel to serve as a member of the Board and the Compensation Committee of the Board.</w:t>
      </w:r>
    </w:p>
    <w:p>
      <w:pPr>
        <w:spacing w:after="0" w:line="2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“I’m excited to welcome Michael to our Board,” said Mr. Houston. “I've known him for many years, and have always been impressed by his career as an accomplished entrepreneur, investor, and respected advisor for hundreds of companies. His deep connection to innovation at YC and fresh perspective will be invaluable as we launch new products for millions of Dropbox users.”</w:t>
      </w:r>
    </w:p>
    <w:p>
      <w:pPr>
        <w:spacing w:after="0" w:line="21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“I’m a longtime fan of Dropbox and am thrilled to join the Board,” said Mr. Seibel. “As one of the product’s earliest users back in 2007, it was clear to me that Dropbox would be transformative for the SaaS industry. Today, the company meets an even bigger opportunity. I’ve seen firsthand the impact Dropbox’s success has had on the next generation of YC companies as distributed work becomes the new normal, and I believe there’s so much more technology can do to improve that experience. I’m looking forward to helping Dropbox as it builds products for this new future.”</w:t>
      </w:r>
    </w:p>
    <w:p>
      <w:pPr>
        <w:spacing w:after="0" w:line="20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There are no arrangements or understandings between Mr. Seibel and any other person, in each case, pursuant to which Mr. Seibel was appointed to serve on the Board. There are no family relationships between Mr. Seibel and any other director or executive officer of the Company and there have been no transactions between Mr. Seibel and the Company in the last fiscal year, and none are currently proposed, that would require disclosure under Item 404(a) of Regulation S-K.</w:t>
      </w:r>
    </w:p>
    <w:p>
      <w:pPr>
        <w:spacing w:after="0" w:line="220"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Mr. Seibel will receive the standard compensation available to the Company’s current non-employee directors, which is discussed in the Company’s Proxy Statement filed with the Securities and Exchange Commission (“SEC”) on April 7, 2020. In accordance with the Company’s customary practice, the Company will also enter into its standard form of indemnification agreement with Mr. Seibel, which agreement is filed as Exhibit 10.1 to the Company’s Registration Statement on Form S-1 (File No. 333-223182) filed with the SEC on February 23, 2018.</w:t>
      </w:r>
    </w:p>
    <w:p>
      <w:pPr>
        <w:spacing w:after="0" w:line="203" w:lineRule="exact"/>
        <w:rPr>
          <w:sz w:val="20"/>
          <w:szCs w:val="20"/>
          <w:color w:val="auto"/>
        </w:rPr>
      </w:pPr>
    </w:p>
    <w:p>
      <w:pPr>
        <w:ind w:right="20"/>
        <w:spacing w:after="0" w:line="331" w:lineRule="auto"/>
        <w:rPr>
          <w:sz w:val="20"/>
          <w:szCs w:val="20"/>
          <w:color w:val="auto"/>
        </w:rPr>
      </w:pPr>
      <w:r>
        <w:rPr>
          <w:rFonts w:ascii="Arial" w:cs="Arial" w:eastAsia="Arial" w:hAnsi="Arial"/>
          <w:sz w:val="15"/>
          <w:szCs w:val="15"/>
          <w:color w:val="auto"/>
        </w:rPr>
        <w:t>A copy of the blog post announcing Mr. Seibel’s appointment to the Board is attached hereto as Exhibit 99.1. The information in the blog post will not be deemed “filed” for purposes of Section 18 of the Securities Exchange Act of 1934, as amended (the “Exchange Act”), or otherwise subject to the liabilities of that section, nor will it be deemed incorporated by reference in any filing under the Securities Act of 1933,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1384935</wp:posOffset>
            </wp:positionV>
            <wp:extent cx="71348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5" w:lineRule="exact"/>
        <w:rPr>
          <w:sz w:val="20"/>
          <w:szCs w:val="20"/>
          <w:color w:val="auto"/>
        </w:rPr>
      </w:pPr>
    </w:p>
    <w:tbl>
      <w:tblPr>
        <w:tblLayout w:type="fixed"/>
        <w:tblInd w:w="400" w:type="dxa"/>
        <w:tblCellMar>
          <w:top w:w="0" w:type="dxa"/>
          <w:left w:w="0" w:type="dxa"/>
          <w:bottom w:w="0" w:type="dxa"/>
          <w:right w:w="0" w:type="dxa"/>
        </w:tblCellMar>
      </w:tblPr>
      <w:tr>
        <w:trPr>
          <w:trHeight w:val="212"/>
        </w:trPr>
        <w:tc>
          <w:tcPr>
            <w:tcW w:w="9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3"/>
              </w:rPr>
              <w:t>Exhibit</w:t>
            </w:r>
          </w:p>
        </w:tc>
        <w:tc>
          <w:tcPr>
            <w:tcW w:w="9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0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8"/>
                <w:szCs w:val="18"/>
                <w:b w:val="1"/>
                <w:bCs w:val="1"/>
                <w:color w:val="auto"/>
                <w:w w:val="89"/>
              </w:rPr>
              <w:t>No.</w:t>
            </w:r>
          </w:p>
        </w:tc>
        <w:tc>
          <w:tcPr>
            <w:tcW w:w="520" w:type="dxa"/>
            <w:vAlign w:val="bottom"/>
          </w:tcPr>
          <w:p>
            <w:pPr>
              <w:spacing w:after="0"/>
              <w:rPr>
                <w:sz w:val="16"/>
                <w:szCs w:val="16"/>
                <w:color w:val="auto"/>
              </w:rPr>
            </w:pPr>
          </w:p>
        </w:tc>
        <w:tc>
          <w:tcPr>
            <w:tcW w:w="9880" w:type="dxa"/>
            <w:vAlign w:val="bottom"/>
          </w:tcPr>
          <w:p>
            <w:pPr>
              <w:ind w:left="20"/>
              <w:spacing w:after="0" w:line="184" w:lineRule="exact"/>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46"/>
        </w:trPr>
        <w:tc>
          <w:tcPr>
            <w:tcW w:w="940" w:type="dxa"/>
            <w:vAlign w:val="bottom"/>
            <w:gridSpan w:val="3"/>
            <w:vMerge w:val="restart"/>
          </w:tcPr>
          <w:p>
            <w:pPr>
              <w:jc w:val="center"/>
              <w:ind w:right="380"/>
              <w:spacing w:after="0"/>
              <w:rPr>
                <w:sz w:val="20"/>
                <w:szCs w:val="20"/>
                <w:color w:val="auto"/>
              </w:rPr>
            </w:pPr>
            <w:r>
              <w:rPr>
                <w:rFonts w:ascii="Arial" w:cs="Arial" w:eastAsia="Arial" w:hAnsi="Arial"/>
                <w:sz w:val="18"/>
                <w:szCs w:val="18"/>
                <w:color w:val="auto"/>
                <w:w w:val="91"/>
              </w:rPr>
              <w:t>99.1</w:t>
            </w:r>
          </w:p>
        </w:tc>
        <w:tc>
          <w:tcPr>
            <w:tcW w:w="9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940" w:type="dxa"/>
            <w:vAlign w:val="bottom"/>
            <w:gridSpan w:val="3"/>
            <w:vMerge w:val="continue"/>
          </w:tcPr>
          <w:p>
            <w:pPr>
              <w:spacing w:after="0"/>
              <w:rPr>
                <w:sz w:val="18"/>
                <w:szCs w:val="18"/>
                <w:color w:val="auto"/>
              </w:rPr>
            </w:pPr>
          </w:p>
        </w:tc>
        <w:tc>
          <w:tcPr>
            <w:tcW w:w="9880" w:type="dxa"/>
            <w:vAlign w:val="bottom"/>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Blog post published by Dropbox, Inc. on December 15, 2020</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584835</wp:posOffset>
            </wp:positionV>
            <wp:extent cx="71348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878" w:right="35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304" w:lineRule="exact"/>
        <w:rPr>
          <w:sz w:val="20"/>
          <w:szCs w:val="20"/>
          <w:color w:val="auto"/>
        </w:rPr>
      </w:pPr>
    </w:p>
    <w:p>
      <w:pPr>
        <w:spacing w:after="0" w:line="373"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15, 2020</w:t>
      </w:r>
    </w:p>
    <w:p>
      <w:pPr>
        <w:spacing w:after="0" w:line="27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Dropbox, Inc.</w:t>
      </w:r>
    </w:p>
    <w:p>
      <w:pPr>
        <w:spacing w:after="0" w:line="38"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 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2239010</wp:posOffset>
            </wp:positionH>
            <wp:positionV relativeFrom="paragraph">
              <wp:posOffset>19685</wp:posOffset>
            </wp:positionV>
            <wp:extent cx="2783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3205" cy="8255"/>
                    </a:xfrm>
                    <a:prstGeom prst="rect">
                      <a:avLst/>
                    </a:prstGeom>
                    <a:noFill/>
                  </pic:spPr>
                </pic:pic>
              </a:graphicData>
            </a:graphic>
          </wp:anchor>
        </w:drawing>
      </w:r>
    </w:p>
    <w:p>
      <w:pPr>
        <w:spacing w:after="0" w:line="2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Bart Volkmer</w:t>
      </w:r>
    </w:p>
    <w:p>
      <w:pPr>
        <w:spacing w:after="0" w:line="1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Chief Legal Officer</w:t>
      </w:r>
    </w:p>
    <w:p>
      <w:pPr>
        <w:sectPr>
          <w:pgSz w:w="11900" w:h="16838" w:orient="portrait"/>
          <w:cols w:equalWidth="0" w:num="1">
            <w:col w:w="11100"/>
          </w:cols>
          <w:pgMar w:left="320" w:top="878" w:right="479" w:bottom="1440" w:gutter="0" w:footer="0" w:header="0"/>
        </w:sectPr>
      </w:pPr>
    </w:p>
    <w:bookmarkStart w:id="4" w:name="page5"/>
    <w:bookmarkEnd w:id="4"/>
    <w:p>
      <w:pPr>
        <w:jc w:val="right"/>
        <w:spacing w:after="0"/>
        <w:rPr>
          <w:sz w:val="20"/>
          <w:szCs w:val="20"/>
          <w:color w:val="auto"/>
        </w:rPr>
      </w:pPr>
      <w:r>
        <w:rPr>
          <w:rFonts w:ascii="Arial" w:cs="Arial" w:eastAsia="Arial" w:hAnsi="Arial"/>
          <w:sz w:val="21"/>
          <w:szCs w:val="21"/>
          <w:b w:val="1"/>
          <w:bCs w:val="1"/>
          <w:color w:val="auto"/>
        </w:rPr>
        <w:t>Exhibit 99.1</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Welcome Michael Seibel to our Board of Directors!</w:t>
      </w:r>
    </w:p>
    <w:p>
      <w:pPr>
        <w:spacing w:after="0" w:line="232" w:lineRule="exact"/>
        <w:rPr>
          <w:sz w:val="20"/>
          <w:szCs w:val="20"/>
          <w:color w:val="auto"/>
        </w:rPr>
      </w:pPr>
    </w:p>
    <w:p>
      <w:pPr>
        <w:ind w:right="140"/>
        <w:spacing w:after="0" w:line="284" w:lineRule="auto"/>
        <w:rPr>
          <w:sz w:val="20"/>
          <w:szCs w:val="20"/>
          <w:color w:val="auto"/>
        </w:rPr>
      </w:pPr>
      <w:r>
        <w:rPr>
          <w:rFonts w:ascii="Arial" w:cs="Arial" w:eastAsia="Arial" w:hAnsi="Arial"/>
          <w:sz w:val="20"/>
          <w:szCs w:val="20"/>
          <w:color w:val="auto"/>
        </w:rPr>
        <w:t>We’re thrilled to announce Michael Seibel, Group Partner at Y Combinator, is joining the Dropbox Board of Directors. Michael runs the Early Stage program at YC and is highly regarded as an accomplished entrepreneur and investor in innovation. Michael is also on the Reddit Board and has invested in companies across a variety of industries including Brex and Cruise.</w:t>
      </w:r>
    </w:p>
    <w:p>
      <w:pPr>
        <w:spacing w:after="0" w:line="180" w:lineRule="exact"/>
        <w:rPr>
          <w:sz w:val="20"/>
          <w:szCs w:val="20"/>
          <w:color w:val="auto"/>
        </w:rPr>
      </w:pPr>
    </w:p>
    <w:p>
      <w:pPr>
        <w:ind w:right="160"/>
        <w:spacing w:after="0" w:line="256" w:lineRule="auto"/>
        <w:rPr>
          <w:sz w:val="20"/>
          <w:szCs w:val="20"/>
          <w:color w:val="auto"/>
        </w:rPr>
      </w:pPr>
      <w:r>
        <w:rPr>
          <w:rFonts w:ascii="Arial" w:cs="Arial" w:eastAsia="Arial" w:hAnsi="Arial"/>
          <w:sz w:val="21"/>
          <w:szCs w:val="21"/>
          <w:color w:val="auto"/>
        </w:rPr>
        <w:t>Prior to joining YC, Michael was co-founder and CEO of Justin.tv, which later became Twitch Interactive. He also co-founded the popular social video app Socialcam, which was acquired by Autodesk in 2012. He’s an important voice in promoting diversity within the industry and actively supports these efforts with the companies he advises—since he joined YC, the organization has invested in close to 1,000 founders who are women, Black, or Latinx. He previously served as the finance director for former president of the NAACP Kweisi Mfume’s US Senate campaign and graduated from Yale University with a degree in political science.</w:t>
      </w:r>
    </w:p>
    <w:p>
      <w:pPr>
        <w:spacing w:after="0" w:line="208" w:lineRule="exact"/>
        <w:rPr>
          <w:sz w:val="20"/>
          <w:szCs w:val="20"/>
          <w:color w:val="auto"/>
        </w:rPr>
      </w:pPr>
    </w:p>
    <w:p>
      <w:pPr>
        <w:ind w:right="80"/>
        <w:spacing w:after="0" w:line="265" w:lineRule="auto"/>
        <w:rPr>
          <w:sz w:val="20"/>
          <w:szCs w:val="20"/>
          <w:color w:val="auto"/>
        </w:rPr>
      </w:pPr>
      <w:r>
        <w:rPr>
          <w:rFonts w:ascii="Arial" w:cs="Arial" w:eastAsia="Arial" w:hAnsi="Arial"/>
          <w:sz w:val="21"/>
          <w:szCs w:val="21"/>
          <w:color w:val="auto"/>
        </w:rPr>
        <w:t>Michael brings more than a decade of experience working with and growing companies at the forefront of their industries. His perspective will be invaluable to Dropbox as we explore new product territory and enter our next phase of growth. Please join us in welcoming Michael to the Dropbox Board!</w:t>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2020-12-15T15:09:11Z</dcterms:created>
  <dcterms:modified xsi:type="dcterms:W3CDTF">2020-12-15T15:09:11Z</dcterms:modified>
</cp:coreProperties>
</file>