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30"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39"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March 20, 2020</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12"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218" w:right="239" w:bottom="1440" w:gutter="0" w:footer="0" w:header="0"/>
        </w:sectPr>
      </w:pPr>
    </w:p>
    <w:p>
      <w:pPr>
        <w:spacing w:after="0" w:line="145" w:lineRule="exact"/>
        <w:rPr>
          <w:sz w:val="24"/>
          <w:szCs w:val="24"/>
          <w:color w:val="auto"/>
        </w:rPr>
      </w:pPr>
    </w:p>
    <w:p>
      <w:pPr>
        <w:ind w:left="20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jc w:val="center"/>
        <w:ind w:right="1720"/>
        <w:spacing w:after="0"/>
        <w:rPr>
          <w:sz w:val="20"/>
          <w:szCs w:val="20"/>
          <w:color w:val="auto"/>
        </w:rPr>
      </w:pPr>
      <w:r>
        <w:rPr>
          <w:rFonts w:ascii="Arial" w:cs="Arial" w:eastAsia="Arial" w:hAnsi="Arial"/>
          <w:sz w:val="15"/>
          <w:szCs w:val="15"/>
          <w:b w:val="1"/>
          <w:bCs w:val="1"/>
          <w:color w:val="auto"/>
        </w:rPr>
        <w:t>001-38434</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26-0138832</w:t>
      </w:r>
    </w:p>
    <w:p>
      <w:pPr>
        <w:spacing w:after="0" w:line="93" w:lineRule="exact"/>
        <w:rPr>
          <w:sz w:val="24"/>
          <w:szCs w:val="24"/>
          <w:color w:val="auto"/>
        </w:rPr>
      </w:pPr>
    </w:p>
    <w:p>
      <w:pPr>
        <w:sectPr>
          <w:pgSz w:w="11900" w:h="16838" w:orient="portrait"/>
          <w:cols w:equalWidth="0" w:num="3">
            <w:col w:w="4580" w:space="720"/>
            <w:col w:w="2480" w:space="720"/>
            <w:col w:w="2840"/>
          </w:cols>
          <w:pgMar w:left="320" w:top="218" w:right="239" w:bottom="1440" w:gutter="0" w:footer="0" w:header="0"/>
          <w:type w:val="continuous"/>
        </w:sectPr>
      </w:pPr>
    </w:p>
    <w:p>
      <w:pPr>
        <w:jc w:val="center"/>
        <w:ind w:left="82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(I. R. S. Employer Identification No.)</w:t>
      </w:r>
    </w:p>
    <w:p>
      <w:pPr>
        <w:spacing w:after="0" w:line="57" w:lineRule="exact"/>
        <w:rPr>
          <w:sz w:val="24"/>
          <w:szCs w:val="24"/>
          <w:color w:val="auto"/>
        </w:rPr>
      </w:pPr>
    </w:p>
    <w:p>
      <w:pPr>
        <w:sectPr>
          <w:pgSz w:w="11900" w:h="16838" w:orient="portrait"/>
          <w:cols w:equalWidth="0" w:num="3">
            <w:col w:w="3940" w:space="720"/>
            <w:col w:w="2160" w:space="720"/>
            <w:col w:w="3800"/>
          </w:cols>
          <w:pgMar w:left="320" w:top="218" w:right="239" w:bottom="1440" w:gutter="0" w:footer="0" w:header="0"/>
          <w:type w:val="continuous"/>
        </w:sectPr>
      </w:pPr>
    </w:p>
    <w:p>
      <w:pPr>
        <w:ind w:left="182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218" w:right="239" w:bottom="1440" w:gutter="0" w:footer="0" w:header="0"/>
          <w:type w:val="continuous"/>
        </w:sectPr>
      </w:pPr>
    </w:p>
    <w:p>
      <w:pPr>
        <w:spacing w:after="0" w:line="26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7" w:lineRule="exact"/>
        <w:rPr>
          <w:sz w:val="24"/>
          <w:szCs w:val="24"/>
          <w:color w:val="auto"/>
        </w:rPr>
      </w:pPr>
    </w:p>
    <w:p>
      <w:pPr>
        <w:ind w:right="220"/>
        <w:spacing w:after="0" w:line="25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Written communications pursuant to Rule 425 under the Securities Act (17 CFR 230.425)</w:t>
      </w:r>
    </w:p>
    <w:p>
      <w:pPr>
        <w:spacing w:after="0" w:line="190"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Soliciting material pursuant to Rule 14a-12 under the Exchange Act (17 CFR 240.14a-12)</w:t>
      </w:r>
    </w:p>
    <w:p>
      <w:pPr>
        <w:spacing w:after="0" w:line="237"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Pre-commencement communications pursuant to Rule 14d-2(b) under the Exchange Act (17 CFR 240.14d-2(b))</w:t>
      </w:r>
    </w:p>
    <w:p>
      <w:pPr>
        <w:spacing w:after="0" w:line="237"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Pre-commencement communications pursuant to Rule 13e-4(c) under the Exchange Act (17 CFR 240.13e-4(c))</w:t>
      </w: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459105</wp:posOffset>
            </wp:positionH>
            <wp:positionV relativeFrom="paragraph">
              <wp:posOffset>95885</wp:posOffset>
            </wp:positionV>
            <wp:extent cx="6240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328"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680" w:type="dxa"/>
            <w:vAlign w:val="bottom"/>
            <w:gridSpan w:val="2"/>
          </w:tcPr>
          <w:p>
            <w:pPr>
              <w:jc w:val="center"/>
              <w:ind w:right="1620"/>
              <w:spacing w:after="0"/>
              <w:rPr>
                <w:sz w:val="20"/>
                <w:szCs w:val="20"/>
                <w:color w:val="auto"/>
              </w:rPr>
            </w:pPr>
            <w:r>
              <w:rPr>
                <w:rFonts w:ascii="Arial" w:cs="Arial" w:eastAsia="Arial" w:hAnsi="Arial"/>
                <w:sz w:val="14"/>
                <w:szCs w:val="14"/>
                <w:b w:val="1"/>
                <w:bCs w:val="1"/>
                <w:color w:val="auto"/>
                <w:w w:val="87"/>
              </w:rPr>
              <w:t>Title of each class</w:t>
            </w:r>
          </w:p>
        </w:tc>
        <w:tc>
          <w:tcPr>
            <w:tcW w:w="324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1"/>
              </w:rPr>
              <w:t>Trading Symbol(s)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r>
      <w:tr>
        <w:trPr>
          <w:trHeight w:val="208"/>
        </w:trPr>
        <w:tc>
          <w:tcPr>
            <w:tcW w:w="3680" w:type="dxa"/>
            <w:vAlign w:val="bottom"/>
            <w:gridSpan w:val="3"/>
          </w:tcPr>
          <w:p>
            <w:pPr>
              <w:jc w:val="center"/>
              <w:ind w:right="600"/>
              <w:spacing w:after="0"/>
              <w:rPr>
                <w:sz w:val="20"/>
                <w:szCs w:val="20"/>
                <w:color w:val="auto"/>
              </w:rPr>
            </w:pPr>
            <w:r>
              <w:rPr>
                <w:rFonts w:ascii="Arial" w:cs="Arial" w:eastAsia="Arial" w:hAnsi="Arial"/>
                <w:sz w:val="14"/>
                <w:szCs w:val="14"/>
                <w:color w:val="auto"/>
                <w:w w:val="90"/>
              </w:rPr>
              <w:t>Class A Common Stock, par value $0.00001 per share</w:t>
            </w:r>
          </w:p>
        </w:tc>
        <w:tc>
          <w:tcPr>
            <w:tcW w:w="600" w:type="dxa"/>
            <w:vAlign w:val="bottom"/>
          </w:tcPr>
          <w:p>
            <w:pPr>
              <w:spacing w:after="0"/>
              <w:rPr>
                <w:sz w:val="18"/>
                <w:szCs w:val="18"/>
                <w:color w:val="auto"/>
              </w:rPr>
            </w:pPr>
          </w:p>
        </w:tc>
        <w:tc>
          <w:tcPr>
            <w:tcW w:w="2640" w:type="dxa"/>
            <w:vAlign w:val="bottom"/>
            <w:gridSpan w:val="2"/>
          </w:tcPr>
          <w:p>
            <w:pPr>
              <w:jc w:val="center"/>
              <w:ind w:right="1540"/>
              <w:spacing w:after="0"/>
              <w:rPr>
                <w:sz w:val="20"/>
                <w:szCs w:val="20"/>
                <w:color w:val="auto"/>
              </w:rPr>
            </w:pPr>
            <w:r>
              <w:rPr>
                <w:rFonts w:ascii="Arial" w:cs="Arial" w:eastAsia="Arial" w:hAnsi="Arial"/>
                <w:sz w:val="14"/>
                <w:szCs w:val="14"/>
                <w:color w:val="auto"/>
              </w:rPr>
              <w:t>DBX</w:t>
            </w:r>
          </w:p>
        </w:tc>
        <w:tc>
          <w:tcPr>
            <w:tcW w:w="230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332"/>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r>
    </w:tbl>
    <w:p>
      <w:pPr>
        <w:spacing w:after="0" w:line="371"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93" w:lineRule="exact"/>
        <w:rPr>
          <w:sz w:val="24"/>
          <w:szCs w:val="24"/>
          <w:color w:val="auto"/>
        </w:rPr>
      </w:pPr>
    </w:p>
    <w:p>
      <w:pPr>
        <w:ind w:right="260"/>
        <w:spacing w:after="0" w:line="26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ectPr>
          <w:pgSz w:w="11900" w:h="16838" w:orient="portrait"/>
          <w:cols w:equalWidth="0" w:num="1">
            <w:col w:w="11340"/>
          </w:cols>
          <w:pgMar w:left="320" w:top="21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3.03 - Material Modification to Rights of Security Holders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8.01 below is incorporated herein by reference.</w:t>
      </w:r>
    </w:p>
    <w:p>
      <w:pPr>
        <w:spacing w:after="0" w:line="358" w:lineRule="exact"/>
        <w:rPr>
          <w:sz w:val="20"/>
          <w:szCs w:val="20"/>
          <w:color w:val="auto"/>
        </w:rPr>
      </w:pPr>
    </w:p>
    <w:p>
      <w:pPr>
        <w:ind w:right="380"/>
        <w:spacing w:after="0" w:line="380"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267" w:lineRule="exact"/>
        <w:rPr>
          <w:sz w:val="20"/>
          <w:szCs w:val="20"/>
          <w:color w:val="auto"/>
        </w:rPr>
      </w:pPr>
    </w:p>
    <w:p>
      <w:pPr>
        <w:ind w:right="300"/>
        <w:spacing w:after="0" w:line="409" w:lineRule="auto"/>
        <w:rPr>
          <w:sz w:val="20"/>
          <w:szCs w:val="20"/>
          <w:color w:val="auto"/>
        </w:rPr>
      </w:pPr>
      <w:r>
        <w:rPr>
          <w:rFonts w:ascii="Arial" w:cs="Arial" w:eastAsia="Arial" w:hAnsi="Arial"/>
          <w:sz w:val="17"/>
          <w:szCs w:val="17"/>
          <w:color w:val="auto"/>
        </w:rPr>
        <w:t>On March 18, 2020, Margaret C. Whitman notified the Board of Directors of Dropbox, Inc. (the “Board”) that she will not stand for reelection at our 2020 Annual Meeting of Stockholders (“Annual Meeting”). She will continue to serve as a director until the date of our Annual Meeting.</w:t>
      </w:r>
    </w:p>
    <w:p>
      <w:pPr>
        <w:spacing w:after="0" w:line="250" w:lineRule="exact"/>
        <w:rPr>
          <w:sz w:val="20"/>
          <w:szCs w:val="20"/>
          <w:color w:val="auto"/>
        </w:rPr>
      </w:pPr>
    </w:p>
    <w:p>
      <w:pPr>
        <w:spacing w:after="0" w:line="360" w:lineRule="auto"/>
        <w:rPr>
          <w:sz w:val="20"/>
          <w:szCs w:val="20"/>
          <w:color w:val="auto"/>
        </w:rPr>
      </w:pPr>
      <w:r>
        <w:rPr>
          <w:rFonts w:ascii="Arial" w:cs="Arial" w:eastAsia="Arial" w:hAnsi="Arial"/>
          <w:sz w:val="18"/>
          <w:szCs w:val="18"/>
          <w:color w:val="auto"/>
        </w:rPr>
        <w:t>“It has been a privilege to serve on the Dropbox Board for the last few years. The company has been on an amazing journey, from their public debut to the launch of the smart workspace just last year,” said Ms. Whitman. “While I’m moving on from the Board to focus on other endeavors, including my soon-to-be launched company, Quibi, I wish Drew, the directors, and the entire management team nothing but success as they take the company into its next phase of growth.”</w:t>
      </w:r>
    </w:p>
    <w:p>
      <w:pPr>
        <w:spacing w:after="0" w:line="285" w:lineRule="exact"/>
        <w:rPr>
          <w:sz w:val="20"/>
          <w:szCs w:val="20"/>
          <w:color w:val="auto"/>
        </w:rPr>
      </w:pPr>
    </w:p>
    <w:p>
      <w:pPr>
        <w:jc w:val="both"/>
        <w:ind w:right="160"/>
        <w:spacing w:after="0" w:line="363" w:lineRule="auto"/>
        <w:rPr>
          <w:sz w:val="20"/>
          <w:szCs w:val="20"/>
          <w:color w:val="auto"/>
        </w:rPr>
      </w:pPr>
      <w:r>
        <w:rPr>
          <w:rFonts w:ascii="Arial" w:cs="Arial" w:eastAsia="Arial" w:hAnsi="Arial"/>
          <w:sz w:val="18"/>
          <w:szCs w:val="18"/>
          <w:color w:val="auto"/>
        </w:rPr>
        <w:t>Also on March 18, 2020, Arash Ferdowsi notified the Board that he will resign as both an officer of the company and as a member of the Board, effective as of March 19, 2020. Mr. Ferdowsi will remain at Dropbox to help with the transition until April 10, 2020. Our blog post announcing Mr. Ferdowsi’s plans is attached as Exhibit 99.1</w:t>
      </w:r>
    </w:p>
    <w:p>
      <w:pPr>
        <w:spacing w:after="0" w:line="283" w:lineRule="exact"/>
        <w:rPr>
          <w:sz w:val="20"/>
          <w:szCs w:val="20"/>
          <w:color w:val="auto"/>
        </w:rPr>
      </w:pPr>
    </w:p>
    <w:p>
      <w:pPr>
        <w:spacing w:after="0" w:line="363" w:lineRule="auto"/>
        <w:rPr>
          <w:sz w:val="20"/>
          <w:szCs w:val="20"/>
          <w:color w:val="auto"/>
        </w:rPr>
      </w:pPr>
      <w:r>
        <w:rPr>
          <w:rFonts w:ascii="Arial" w:cs="Arial" w:eastAsia="Arial" w:hAnsi="Arial"/>
          <w:sz w:val="18"/>
          <w:szCs w:val="18"/>
          <w:color w:val="auto"/>
        </w:rPr>
        <w:t>“The last 13 years have been incredible,” said Mr. Ferdowsi. “We’ve come a long way since 2007 - from working out of a tiny apartment in North Beach to running a public company of nearly 3,000 people. I’ve learned so much from Drew and our team. I’m deeply proud of Dropbox, and it will always hold a very special place in my heart.”</w:t>
      </w:r>
    </w:p>
    <w:p>
      <w:pPr>
        <w:spacing w:after="0" w:line="283" w:lineRule="exact"/>
        <w:rPr>
          <w:sz w:val="20"/>
          <w:szCs w:val="20"/>
          <w:color w:val="auto"/>
        </w:rPr>
      </w:pPr>
    </w:p>
    <w:p>
      <w:pPr>
        <w:ind w:right="60"/>
        <w:spacing w:after="0" w:line="373" w:lineRule="auto"/>
        <w:rPr>
          <w:sz w:val="20"/>
          <w:szCs w:val="20"/>
          <w:color w:val="auto"/>
        </w:rPr>
      </w:pPr>
      <w:r>
        <w:rPr>
          <w:rFonts w:ascii="Arial" w:cs="Arial" w:eastAsia="Arial" w:hAnsi="Arial"/>
          <w:sz w:val="18"/>
          <w:szCs w:val="18"/>
          <w:color w:val="auto"/>
        </w:rPr>
        <w:t>“Thank you to Meg for everything she’s contributed to Dropbox over the last few years. Her decades of experience building and scaling companies have been invaluable to us as we've made the transition to a public company,” said CEO and co-founder Drew Houston.</w:t>
      </w:r>
    </w:p>
    <w:p>
      <w:pPr>
        <w:spacing w:after="0" w:line="273" w:lineRule="exact"/>
        <w:rPr>
          <w:sz w:val="20"/>
          <w:szCs w:val="20"/>
          <w:color w:val="auto"/>
        </w:rPr>
      </w:pPr>
    </w:p>
    <w:p>
      <w:pPr>
        <w:ind w:right="160"/>
        <w:spacing w:after="0" w:line="373" w:lineRule="auto"/>
        <w:rPr>
          <w:sz w:val="20"/>
          <w:szCs w:val="20"/>
          <w:color w:val="auto"/>
        </w:rPr>
      </w:pPr>
      <w:r>
        <w:rPr>
          <w:rFonts w:ascii="Arial" w:cs="Arial" w:eastAsia="Arial" w:hAnsi="Arial"/>
          <w:sz w:val="18"/>
          <w:szCs w:val="18"/>
          <w:color w:val="auto"/>
        </w:rPr>
        <w:t>“And to my co-founder Arash: Thank you for taking a leap of faith with me to start Dropbox. Your vision, passion for simplicity, and relentless focus on our users have made Dropbox the company it is today. I’m deeply grateful for our partnership and friendship.”</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Dropbox and the Board thank both Mr. Ferdowsi and Ms. Whitman for their many contributions to the company.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 Other Events</w:t>
      </w:r>
    </w:p>
    <w:p>
      <w:pPr>
        <w:spacing w:after="0" w:line="200" w:lineRule="exact"/>
        <w:rPr>
          <w:sz w:val="20"/>
          <w:szCs w:val="20"/>
          <w:color w:val="auto"/>
        </w:rPr>
      </w:pPr>
    </w:p>
    <w:p>
      <w:pPr>
        <w:spacing w:after="0" w:line="210" w:lineRule="exact"/>
        <w:rPr>
          <w:sz w:val="20"/>
          <w:szCs w:val="20"/>
          <w:color w:val="auto"/>
        </w:rPr>
      </w:pPr>
    </w:p>
    <w:p>
      <w:pPr>
        <w:ind w:right="140"/>
        <w:spacing w:after="0" w:line="460" w:lineRule="auto"/>
        <w:rPr>
          <w:sz w:val="20"/>
          <w:szCs w:val="20"/>
          <w:color w:val="auto"/>
        </w:rPr>
      </w:pPr>
      <w:r>
        <w:rPr>
          <w:rFonts w:ascii="Arial" w:cs="Arial" w:eastAsia="Arial" w:hAnsi="Arial"/>
          <w:sz w:val="15"/>
          <w:szCs w:val="15"/>
          <w:color w:val="auto"/>
        </w:rPr>
        <w:t>Dropbox adopted amended and restated bylaws that became effective on March 27, 2018 (the “Bylaws”). Article XI of the Bylaws provides in part, that, unless Dropbox consents in writing to the selection of an alternative forum, the federal district courts of the United States of America shall be the exclusive forum for the resolution of any complaint asserting a cause of action arising under the Securities Act of 1933 (such provision, a “Federal Forum Provision”).</w:t>
      </w:r>
    </w:p>
    <w:p>
      <w:pPr>
        <w:sectPr>
          <w:pgSz w:w="11900" w:h="16838" w:orient="portrait"/>
          <w:cols w:equalWidth="0" w:num="1">
            <w:col w:w="11240"/>
          </w:cols>
          <w:pgMar w:left="320" w:top="599" w:right="339" w:bottom="1440" w:gutter="0" w:footer="0" w:header="0"/>
        </w:sectPr>
      </w:pPr>
    </w:p>
    <w:bookmarkStart w:id="2" w:name="page3"/>
    <w:bookmarkEnd w:id="2"/>
    <w:p>
      <w:pPr>
        <w:ind w:right="160"/>
        <w:spacing w:after="0" w:line="360" w:lineRule="auto"/>
        <w:rPr>
          <w:sz w:val="20"/>
          <w:szCs w:val="20"/>
          <w:color w:val="auto"/>
        </w:rPr>
      </w:pPr>
      <w:r>
        <w:rPr>
          <w:rFonts w:ascii="Arial" w:cs="Arial" w:eastAsia="Arial" w:hAnsi="Arial"/>
          <w:sz w:val="18"/>
          <w:szCs w:val="18"/>
          <w:color w:val="auto"/>
        </w:rPr>
        <w:t xml:space="preserve">On December 19, 2018, the Delaware Court of Chancery issued a decision in </w:t>
      </w:r>
      <w:r>
        <w:rPr>
          <w:rFonts w:ascii="Arial" w:cs="Arial" w:eastAsia="Arial" w:hAnsi="Arial"/>
          <w:sz w:val="18"/>
          <w:szCs w:val="18"/>
          <w:i w:val="1"/>
          <w:iCs w:val="1"/>
          <w:color w:val="auto"/>
        </w:rPr>
        <w:t>Matthew Sciabacucchi v. Matthew B. Salzberg et al.</w:t>
      </w:r>
      <w:r>
        <w:rPr>
          <w:rFonts w:ascii="Arial" w:cs="Arial" w:eastAsia="Arial" w:hAnsi="Arial"/>
          <w:sz w:val="18"/>
          <w:szCs w:val="18"/>
          <w:color w:val="auto"/>
        </w:rPr>
        <w:t>, C.A. No. 2017-0931-JTL (Del. Ch.), finding that provisions such as the Federal Forum Provision are not valid under Delaware law. Following this decision, Dropbox issued an 8-K stating that it did not intend to enforce the Federal Forum Provision in its Bylaws unless and until such time there was a final determination by the Delaware Supreme Court regarding the validity of such provisions.</w:t>
      </w:r>
    </w:p>
    <w:p>
      <w:pPr>
        <w:spacing w:after="0" w:line="285" w:lineRule="exact"/>
        <w:rPr>
          <w:sz w:val="20"/>
          <w:szCs w:val="20"/>
          <w:color w:val="auto"/>
        </w:rPr>
      </w:pPr>
    </w:p>
    <w:p>
      <w:pPr>
        <w:ind w:right="200"/>
        <w:spacing w:after="0" w:line="360" w:lineRule="auto"/>
        <w:rPr>
          <w:sz w:val="20"/>
          <w:szCs w:val="20"/>
          <w:color w:val="auto"/>
        </w:rPr>
      </w:pPr>
      <w:r>
        <w:rPr>
          <w:rFonts w:ascii="Arial" w:cs="Arial" w:eastAsia="Arial" w:hAnsi="Arial"/>
          <w:sz w:val="18"/>
          <w:szCs w:val="18"/>
          <w:color w:val="auto"/>
        </w:rPr>
        <w:t xml:space="preserve">On March 18, 2020, the Delaware Supreme Court issued its decision in </w:t>
      </w:r>
      <w:r>
        <w:rPr>
          <w:rFonts w:ascii="Arial" w:cs="Arial" w:eastAsia="Arial" w:hAnsi="Arial"/>
          <w:sz w:val="18"/>
          <w:szCs w:val="18"/>
          <w:i w:val="1"/>
          <w:iCs w:val="1"/>
          <w:color w:val="auto"/>
        </w:rPr>
        <w:t>Salzburg et al. v. Matthew Sciabacucchi</w:t>
      </w:r>
      <w:r>
        <w:rPr>
          <w:rFonts w:ascii="Arial" w:cs="Arial" w:eastAsia="Arial" w:hAnsi="Arial"/>
          <w:sz w:val="18"/>
          <w:szCs w:val="18"/>
          <w:color w:val="auto"/>
        </w:rPr>
        <w:t>, No. 346, 2019 (Del.), which reversed the Delaware Court of Chancery’s decision. The Delaware Supreme Court found that provisions such as the Federal Forum Provision are facially valid under Delaware law. In light of this decision finally resolving the facial validity of such provisions, Dropbox intends to enforce the Federal Forum Provision in its Bylaws.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71" w:lineRule="exact"/>
        <w:rPr>
          <w:sz w:val="20"/>
          <w:szCs w:val="20"/>
          <w:color w:val="auto"/>
        </w:rPr>
      </w:pPr>
    </w:p>
    <w:tbl>
      <w:tblPr>
        <w:tblLayout w:type="fixed"/>
        <w:tblInd w:w="400" w:type="dxa"/>
        <w:tblCellMar>
          <w:top w:w="0" w:type="dxa"/>
          <w:left w:w="0" w:type="dxa"/>
          <w:bottom w:w="0" w:type="dxa"/>
          <w:right w:w="0" w:type="dxa"/>
        </w:tblCellMar>
      </w:tblPr>
      <w:tr>
        <w:trPr>
          <w:trHeight w:val="212"/>
        </w:trPr>
        <w:tc>
          <w:tcPr>
            <w:tcW w:w="9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3"/>
              </w:rPr>
              <w:t>Exhibit</w:t>
            </w:r>
          </w:p>
        </w:tc>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800" w:type="dxa"/>
            <w:vAlign w:val="bottom"/>
          </w:tcPr>
          <w:p>
            <w:pPr>
              <w:spacing w:after="0"/>
              <w:rPr>
                <w:sz w:val="18"/>
                <w:szCs w:val="18"/>
                <w:color w:val="auto"/>
              </w:rPr>
            </w:pPr>
          </w:p>
        </w:tc>
      </w:tr>
      <w:tr>
        <w:trPr>
          <w:trHeight w:val="191"/>
        </w:trPr>
        <w:tc>
          <w:tcPr>
            <w:tcW w:w="140" w:type="dxa"/>
            <w:vAlign w:val="bottom"/>
          </w:tcPr>
          <w:p>
            <w:pPr>
              <w:spacing w:after="0"/>
              <w:rPr>
                <w:sz w:val="16"/>
                <w:szCs w:val="16"/>
                <w:color w:val="auto"/>
              </w:rPr>
            </w:pPr>
          </w:p>
        </w:tc>
        <w:tc>
          <w:tcPr>
            <w:tcW w:w="82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89"/>
              </w:rPr>
              <w:t>No.</w:t>
            </w:r>
          </w:p>
        </w:tc>
        <w:tc>
          <w:tcPr>
            <w:tcW w:w="20" w:type="dxa"/>
            <w:vAlign w:val="bottom"/>
          </w:tcPr>
          <w:p>
            <w:pPr>
              <w:spacing w:after="0"/>
              <w:rPr>
                <w:sz w:val="16"/>
                <w:szCs w:val="16"/>
                <w:color w:val="auto"/>
              </w:rPr>
            </w:pPr>
          </w:p>
        </w:tc>
        <w:tc>
          <w:tcPr>
            <w:tcW w:w="986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Exhibit Description</w:t>
            </w:r>
          </w:p>
        </w:tc>
      </w:tr>
      <w:tr>
        <w:trPr>
          <w:trHeight w:val="46"/>
        </w:trPr>
        <w:tc>
          <w:tcPr>
            <w:tcW w:w="14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5800" w:type="dxa"/>
            <w:vAlign w:val="bottom"/>
            <w:tcBorders>
              <w:bottom w:val="single" w:sz="8" w:color="auto"/>
            </w:tcBorders>
          </w:tcPr>
          <w:p>
            <w:pPr>
              <w:spacing w:after="0"/>
              <w:rPr>
                <w:sz w:val="4"/>
                <w:szCs w:val="4"/>
                <w:color w:val="auto"/>
              </w:rPr>
            </w:pPr>
          </w:p>
        </w:tc>
      </w:tr>
      <w:tr>
        <w:trPr>
          <w:trHeight w:val="192"/>
        </w:trPr>
        <w:tc>
          <w:tcPr>
            <w:tcW w:w="960" w:type="dxa"/>
            <w:vAlign w:val="bottom"/>
            <w:gridSpan w:val="3"/>
          </w:tcPr>
          <w:p>
            <w:pPr>
              <w:jc w:val="center"/>
              <w:ind w:right="400"/>
              <w:spacing w:after="0" w:line="193" w:lineRule="exact"/>
              <w:rPr>
                <w:sz w:val="20"/>
                <w:szCs w:val="20"/>
                <w:color w:val="auto"/>
              </w:rPr>
            </w:pPr>
            <w:r>
              <w:rPr>
                <w:rFonts w:ascii="Arial" w:cs="Arial" w:eastAsia="Arial" w:hAnsi="Arial"/>
                <w:sz w:val="18"/>
                <w:szCs w:val="18"/>
                <w:color w:val="auto"/>
                <w:w w:val="91"/>
              </w:rPr>
              <w:t>99.1</w:t>
            </w:r>
          </w:p>
        </w:tc>
        <w:tc>
          <w:tcPr>
            <w:tcW w:w="20" w:type="dxa"/>
            <w:vAlign w:val="bottom"/>
          </w:tcPr>
          <w:p>
            <w:pPr>
              <w:spacing w:after="0"/>
              <w:rPr>
                <w:sz w:val="16"/>
                <w:szCs w:val="16"/>
                <w:color w:val="auto"/>
              </w:rPr>
            </w:pPr>
          </w:p>
        </w:tc>
        <w:tc>
          <w:tcPr>
            <w:tcW w:w="9860" w:type="dxa"/>
            <w:vAlign w:val="bottom"/>
            <w:gridSpan w:val="2"/>
          </w:tcPr>
          <w:p>
            <w:pPr>
              <w:spacing w:after="0" w:line="193" w:lineRule="exact"/>
              <w:rPr>
                <w:rFonts w:ascii="Arial" w:cs="Arial" w:eastAsia="Arial" w:hAnsi="Arial"/>
                <w:sz w:val="18"/>
                <w:szCs w:val="18"/>
                <w:color w:val="0000FF"/>
              </w:rPr>
            </w:pPr>
            <w:hyperlink w:anchor="page5">
              <w:r>
                <w:rPr>
                  <w:rFonts w:ascii="Arial" w:cs="Arial" w:eastAsia="Arial" w:hAnsi="Arial"/>
                  <w:sz w:val="18"/>
                  <w:szCs w:val="18"/>
                  <w:color w:val="0000FF"/>
                </w:rPr>
                <w:t>Blog post published by Dropbox, Inc. on March 20, 2020</w:t>
              </w:r>
            </w:hyperlink>
          </w:p>
        </w:tc>
      </w:tr>
      <w:tr>
        <w:trPr>
          <w:trHeight w:val="20"/>
        </w:trPr>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40"/>
          </w:cols>
          <w:pgMar w:left="320" w:top="605" w:right="3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Dated: March 20, 2020</w:t>
      </w:r>
    </w:p>
    <w:p>
      <w:pPr>
        <w:spacing w:after="0" w:line="200" w:lineRule="exact"/>
        <w:rPr>
          <w:sz w:val="20"/>
          <w:szCs w:val="20"/>
          <w:color w:val="auto"/>
        </w:rPr>
      </w:pPr>
    </w:p>
    <w:p>
      <w:pPr>
        <w:spacing w:after="0" w:line="38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Dropbox, Inc.</w:t>
      </w:r>
    </w:p>
    <w:p>
      <w:pPr>
        <w:spacing w:after="0" w:line="6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27940</wp:posOffset>
            </wp:positionV>
            <wp:extent cx="2783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5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Bart Volkmer</w:t>
      </w:r>
    </w:p>
    <w:p>
      <w:pPr>
        <w:spacing w:after="0" w:line="5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100"/>
          </w:cols>
          <w:pgMar w:left="320" w:top="546" w:right="4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Thank you, Arash</w:t>
      </w:r>
    </w:p>
    <w:p>
      <w:pPr>
        <w:spacing w:after="0" w:line="260" w:lineRule="exact"/>
        <w:rPr>
          <w:sz w:val="20"/>
          <w:szCs w:val="20"/>
          <w:color w:val="auto"/>
        </w:rPr>
      </w:pPr>
    </w:p>
    <w:p>
      <w:pPr>
        <w:ind w:right="160"/>
        <w:spacing w:after="0" w:line="363" w:lineRule="auto"/>
        <w:rPr>
          <w:sz w:val="20"/>
          <w:szCs w:val="20"/>
          <w:color w:val="auto"/>
        </w:rPr>
      </w:pPr>
      <w:r>
        <w:rPr>
          <w:rFonts w:ascii="Arial" w:cs="Arial" w:eastAsia="Arial" w:hAnsi="Arial"/>
          <w:sz w:val="18"/>
          <w:szCs w:val="18"/>
          <w:color w:val="auto"/>
        </w:rPr>
        <w:t>It all started with an unexpected email from Paul Graham, the founder of Y Combinator. Paul wrote to say that he liked Dropbox, but for YC to be willing to invest, I needed a co-founder—I couldn’t apply by myself. The policy made sense—great companies tend to be started by great founding teams, not individuals. So who you partner with is one of the most important decisions you make as an entrepreneur.</w:t>
      </w:r>
    </w:p>
    <w:p>
      <w:pPr>
        <w:spacing w:after="0" w:line="283" w:lineRule="exact"/>
        <w:rPr>
          <w:sz w:val="20"/>
          <w:szCs w:val="20"/>
          <w:color w:val="auto"/>
        </w:rPr>
      </w:pPr>
    </w:p>
    <w:p>
      <w:pPr>
        <w:ind w:right="180"/>
        <w:spacing w:after="0" w:line="373" w:lineRule="auto"/>
        <w:rPr>
          <w:sz w:val="20"/>
          <w:szCs w:val="20"/>
          <w:color w:val="auto"/>
        </w:rPr>
      </w:pPr>
      <w:r>
        <w:rPr>
          <w:rFonts w:ascii="Arial" w:cs="Arial" w:eastAsia="Arial" w:hAnsi="Arial"/>
          <w:sz w:val="18"/>
          <w:szCs w:val="18"/>
          <w:color w:val="auto"/>
        </w:rPr>
        <w:t>There was just one problem: the YC application deadline was only 3 weeks away. So in essence, Paul was saying “you have 3 weeks to get married”—and I wasn't even dating.</w:t>
      </w:r>
    </w:p>
    <w:p>
      <w:pPr>
        <w:spacing w:after="0" w:line="273" w:lineRule="exact"/>
        <w:rPr>
          <w:sz w:val="20"/>
          <w:szCs w:val="20"/>
          <w:color w:val="auto"/>
        </w:rPr>
      </w:pPr>
    </w:p>
    <w:p>
      <w:pPr>
        <w:jc w:val="both"/>
        <w:ind w:right="40"/>
        <w:spacing w:after="0" w:line="363" w:lineRule="auto"/>
        <w:rPr>
          <w:sz w:val="20"/>
          <w:szCs w:val="20"/>
          <w:color w:val="auto"/>
        </w:rPr>
      </w:pPr>
      <w:r>
        <w:rPr>
          <w:rFonts w:ascii="Arial" w:cs="Arial" w:eastAsia="Arial" w:hAnsi="Arial"/>
          <w:sz w:val="18"/>
          <w:szCs w:val="18"/>
          <w:color w:val="auto"/>
        </w:rPr>
        <w:t>I started asking my smartest friends who their smartest friends were and luckily, one of them introduced me to Arash. He was still a student at MIT, so we met in the coffee house at the student center. He was quiet, but we hit it off. And I’m not sure whether it was out of deep conviction or utter recklessness, but after a grand total of 2 hours together we moved out to California and Arash became a college dropout.</w:t>
      </w:r>
    </w:p>
    <w:p>
      <w:pPr>
        <w:spacing w:after="0" w:line="283" w:lineRule="exact"/>
        <w:rPr>
          <w:sz w:val="20"/>
          <w:szCs w:val="20"/>
          <w:color w:val="auto"/>
        </w:rPr>
      </w:pPr>
    </w:p>
    <w:p>
      <w:pPr>
        <w:ind w:right="480"/>
        <w:spacing w:after="0" w:line="386" w:lineRule="auto"/>
        <w:rPr>
          <w:sz w:val="20"/>
          <w:szCs w:val="20"/>
          <w:color w:val="auto"/>
        </w:rPr>
      </w:pPr>
      <w:r>
        <w:rPr>
          <w:rFonts w:ascii="Arial" w:cs="Arial" w:eastAsia="Arial" w:hAnsi="Arial"/>
          <w:sz w:val="17"/>
          <w:szCs w:val="17"/>
          <w:color w:val="auto"/>
        </w:rPr>
        <w:t>I could tell that Arash was smart when we first met, but what I didn’t fully appreciate was his level of care and thoughtfulness. His dad told me a story about building their home in Kansas where one day, Arash noticed a misalignment on a floor plan that had been left on the kitchen table. The contractor admitted his mistake and fixed it. Turns out that Arash was five years old at the time. Arash’s high standards, uncanny instincts, and eye for design have always made us better (as all lucky recipients of the 2am “Arash email” can attest).</w:t>
      </w:r>
    </w:p>
    <w:p>
      <w:pPr>
        <w:spacing w:after="0" w:line="270" w:lineRule="exact"/>
        <w:rPr>
          <w:sz w:val="20"/>
          <w:szCs w:val="20"/>
          <w:color w:val="auto"/>
        </w:rPr>
      </w:pPr>
    </w:p>
    <w:p>
      <w:pPr>
        <w:ind w:right="100"/>
        <w:spacing w:after="0" w:line="360" w:lineRule="auto"/>
        <w:rPr>
          <w:sz w:val="20"/>
          <w:szCs w:val="20"/>
          <w:color w:val="auto"/>
        </w:rPr>
      </w:pPr>
      <w:r>
        <w:rPr>
          <w:rFonts w:ascii="Arial" w:cs="Arial" w:eastAsia="Arial" w:hAnsi="Arial"/>
          <w:sz w:val="18"/>
          <w:szCs w:val="18"/>
          <w:color w:val="auto"/>
        </w:rPr>
        <w:t>More than anything else, Arash has devoted himself to making Dropbox a place where people genuinely care about each other—where success is measured not just by what we achieve but how we achieve it. From the earliest days, he made sure we hired a team of humble, authentic, passionate people. Because of Arash, making work human will always be at the heart of our culture. Of all the things he’s done for Dropbox, I know this is his proudest and most enduring contribution.</w:t>
      </w:r>
    </w:p>
    <w:p>
      <w:pPr>
        <w:spacing w:after="0" w:line="285" w:lineRule="exact"/>
        <w:rPr>
          <w:sz w:val="20"/>
          <w:szCs w:val="20"/>
          <w:color w:val="auto"/>
        </w:rPr>
      </w:pPr>
    </w:p>
    <w:p>
      <w:pPr>
        <w:ind w:right="620"/>
        <w:spacing w:after="0" w:line="373" w:lineRule="auto"/>
        <w:rPr>
          <w:sz w:val="20"/>
          <w:szCs w:val="20"/>
          <w:color w:val="auto"/>
        </w:rPr>
      </w:pPr>
      <w:r>
        <w:rPr>
          <w:rFonts w:ascii="Arial" w:cs="Arial" w:eastAsia="Arial" w:hAnsi="Arial"/>
          <w:sz w:val="18"/>
          <w:szCs w:val="18"/>
          <w:color w:val="auto"/>
        </w:rPr>
        <w:t>I don’t think either of us could have imagined that a 2-hour conversation would lead to 13 incredible years of partnership. But now, it’s time for me to share that my close friend and co-founder is leaving Dropbox.</w:t>
      </w:r>
    </w:p>
    <w:p>
      <w:pPr>
        <w:spacing w:after="0" w:line="273" w:lineRule="exact"/>
        <w:rPr>
          <w:sz w:val="20"/>
          <w:szCs w:val="20"/>
          <w:color w:val="auto"/>
        </w:rPr>
      </w:pPr>
    </w:p>
    <w:p>
      <w:pPr>
        <w:jc w:val="both"/>
        <w:ind w:right="20"/>
        <w:spacing w:after="0" w:line="363" w:lineRule="auto"/>
        <w:rPr>
          <w:sz w:val="20"/>
          <w:szCs w:val="20"/>
          <w:color w:val="auto"/>
        </w:rPr>
      </w:pPr>
      <w:r>
        <w:rPr>
          <w:rFonts w:ascii="Arial" w:cs="Arial" w:eastAsia="Arial" w:hAnsi="Arial"/>
          <w:sz w:val="18"/>
          <w:szCs w:val="18"/>
          <w:color w:val="auto"/>
        </w:rPr>
        <w:t>Arash—it’s hard to imagine life without you here. But I promise that we’ll continue carrying the torch. I’m so excited for you to start your new adventure, and I’ll always be grateful for everything you’ve done for us. We’ll all miss you—and even though you won’t be in the building, we know your face will continue poking into our Paper docs in spirit.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Drew</w:t>
      </w:r>
    </w:p>
    <w:sectPr>
      <w:pgSz w:w="11900" w:h="16838" w:orient="portrait"/>
      <w:cols w:equalWidth="0" w:num="1">
        <w:col w:w="11240"/>
      </w:cols>
      <w:pgMar w:left="320" w:top="7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2020-03-20T15:12:28Z</dcterms:created>
  <dcterms:modified xsi:type="dcterms:W3CDTF">2020-03-20T15:12:28Z</dcterms:modified>
</cp:coreProperties>
</file>