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170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170555"/>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6"/>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vMerge w:val="restart"/>
          </w:tcPr>
          <w:p>
            <w:pPr>
              <w:spacing w:after="0" w:line="187" w:lineRule="exact"/>
              <w:rPr>
                <w:rFonts w:ascii="Times New Roman" w:cs="Times New Roman" w:eastAsia="Times New Roman" w:hAnsi="Times New Roman"/>
                <w:sz w:val="17"/>
                <w:szCs w:val="17"/>
                <w:color w:val="0000EE"/>
                <w:w w:val="95"/>
              </w:rPr>
            </w:pPr>
            <w:hyperlink r:id="rId13">
              <w:r>
                <w:rPr>
                  <w:rFonts w:ascii="Times New Roman" w:cs="Times New Roman" w:eastAsia="Times New Roman" w:hAnsi="Times New Roman"/>
                  <w:sz w:val="17"/>
                  <w:szCs w:val="17"/>
                  <w:color w:val="0000EE"/>
                  <w:w w:val="95"/>
                </w:rPr>
                <w:t>Parasnis Abhay</w:t>
              </w:r>
            </w:hyperlink>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60" w:type="dxa"/>
            <w:vAlign w:val="bottom"/>
            <w:gridSpan w:val="5"/>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DROPBOX,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DBX</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Borders>
              <w:bottom w:val="single" w:sz="8" w:color="0000EE"/>
            </w:tcBorders>
            <w:vMerge w:val="continue"/>
          </w:tcPr>
          <w:p>
            <w:pPr>
              <w:spacing w:after="0"/>
              <w:rPr>
                <w:sz w:val="4"/>
                <w:szCs w:val="4"/>
                <w:color w:val="auto"/>
              </w:rPr>
            </w:pPr>
          </w:p>
        </w:tc>
        <w:tc>
          <w:tcPr>
            <w:tcW w:w="80" w:type="dxa"/>
            <w:vAlign w:val="bottom"/>
            <w:vMerge w:val="restart"/>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restart"/>
          </w:tcPr>
          <w:p>
            <w:pPr>
              <w:ind w:left="40"/>
              <w:spacing w:after="0"/>
              <w:rPr>
                <w:sz w:val="20"/>
                <w:szCs w:val="20"/>
                <w:color w:val="auto"/>
              </w:rPr>
            </w:pPr>
            <w:r>
              <w:rPr>
                <w:rFonts w:ascii="Arial" w:cs="Arial" w:eastAsia="Arial" w:hAnsi="Arial"/>
                <w:sz w:val="10"/>
                <w:szCs w:val="10"/>
                <w:color w:val="auto"/>
              </w:rPr>
              <w:t>Director</w:t>
            </w: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0"/>
                <w:szCs w:val="10"/>
                <w:color w:val="auto"/>
              </w:rPr>
              <w:t>Officer (give title</w:t>
            </w:r>
          </w:p>
        </w:tc>
        <w:tc>
          <w:tcPr>
            <w:tcW w:w="280" w:type="dxa"/>
            <w:vAlign w:val="bottom"/>
          </w:tcPr>
          <w:p>
            <w:pPr>
              <w:spacing w:after="0"/>
              <w:rPr>
                <w:sz w:val="6"/>
                <w:szCs w:val="6"/>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gridSpan w:val="2"/>
            <w:vMerge w:val="restart"/>
          </w:tcPr>
          <w:p>
            <w:pPr>
              <w:spacing w:after="0"/>
              <w:rPr>
                <w:sz w:val="20"/>
                <w:szCs w:val="20"/>
                <w:color w:val="auto"/>
              </w:rPr>
            </w:pPr>
            <w:r>
              <w:rPr>
                <w:rFonts w:ascii="Arial" w:cs="Arial" w:eastAsia="Arial" w:hAnsi="Arial"/>
                <w:sz w:val="10"/>
                <w:szCs w:val="10"/>
                <w:color w:val="auto"/>
              </w:rPr>
              <w:t>(Last)</w:t>
            </w:r>
          </w:p>
        </w:tc>
        <w:tc>
          <w:tcPr>
            <w:tcW w:w="620" w:type="dxa"/>
            <w:vAlign w:val="bottom"/>
            <w:vMerge w:val="restart"/>
          </w:tcPr>
          <w:p>
            <w:pPr>
              <w:ind w:left="100"/>
              <w:spacing w:after="0"/>
              <w:rPr>
                <w:sz w:val="20"/>
                <w:szCs w:val="20"/>
                <w:color w:val="auto"/>
              </w:rPr>
            </w:pPr>
            <w:r>
              <w:rPr>
                <w:rFonts w:ascii="Arial" w:cs="Arial" w:eastAsia="Arial" w:hAnsi="Arial"/>
                <w:sz w:val="10"/>
                <w:szCs w:val="10"/>
                <w:color w:val="auto"/>
              </w:rPr>
              <w:t>(First)</w:t>
            </w:r>
          </w:p>
        </w:tc>
        <w:tc>
          <w:tcPr>
            <w:tcW w:w="700" w:type="dxa"/>
            <w:vAlign w:val="bottom"/>
          </w:tcPr>
          <w:p>
            <w:pPr>
              <w:spacing w:after="0"/>
              <w:rPr>
                <w:sz w:val="2"/>
                <w:szCs w:val="2"/>
                <w:color w:val="auto"/>
              </w:rPr>
            </w:pPr>
          </w:p>
        </w:tc>
        <w:tc>
          <w:tcPr>
            <w:tcW w:w="1040" w:type="dxa"/>
            <w:vAlign w:val="bottom"/>
            <w:vMerge w:val="restart"/>
          </w:tcPr>
          <w:p>
            <w:pPr>
              <w:ind w:left="40"/>
              <w:spacing w:after="0"/>
              <w:rPr>
                <w:sz w:val="20"/>
                <w:szCs w:val="20"/>
                <w:color w:val="auto"/>
              </w:rPr>
            </w:pPr>
            <w:r>
              <w:rPr>
                <w:rFonts w:ascii="Arial" w:cs="Arial" w:eastAsia="Arial" w:hAnsi="Arial"/>
                <w:sz w:val="10"/>
                <w:szCs w:val="10"/>
                <w:color w:val="auto"/>
              </w:rPr>
              <w:t>(Middle)</w:t>
            </w: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vMerge w:val="restart"/>
          </w:tcPr>
          <w:p>
            <w:pPr>
              <w:ind w:left="40"/>
              <w:spacing w:after="0"/>
              <w:rPr>
                <w:sz w:val="20"/>
                <w:szCs w:val="20"/>
                <w:color w:val="auto"/>
              </w:rPr>
            </w:pPr>
            <w:r>
              <w:rPr>
                <w:rFonts w:ascii="Arial" w:cs="Arial" w:eastAsia="Arial" w:hAnsi="Arial"/>
                <w:sz w:val="10"/>
                <w:szCs w:val="10"/>
                <w:color w:val="auto"/>
              </w:rPr>
              <w:t>below)</w:t>
            </w: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700" w:type="dxa"/>
            <w:vAlign w:val="bottom"/>
            <w:gridSpan w:val="7"/>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1800 OWENS STREET</w:t>
            </w: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gridSpan w:val="5"/>
          </w:tcPr>
          <w:p>
            <w:pPr>
              <w:jc w:val="right"/>
              <w:ind w:right="374"/>
              <w:spacing w:after="0"/>
              <w:rPr>
                <w:sz w:val="20"/>
                <w:szCs w:val="20"/>
                <w:color w:val="auto"/>
              </w:rPr>
            </w:pPr>
            <w:r>
              <w:rPr>
                <w:rFonts w:ascii="Times New Roman" w:cs="Times New Roman" w:eastAsia="Times New Roman" w:hAnsi="Times New Roman"/>
                <w:sz w:val="13"/>
                <w:szCs w:val="13"/>
                <w:color w:val="0000FF"/>
              </w:rPr>
              <w:t>05/21/2026</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SUITE 200</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gridSpan w:val="3"/>
          </w:tcPr>
          <w:p>
            <w:pPr>
              <w:spacing w:after="0"/>
              <w:rPr>
                <w:sz w:val="6"/>
                <w:szCs w:val="6"/>
                <w:color w:val="auto"/>
              </w:rPr>
            </w:pPr>
          </w:p>
        </w:tc>
        <w:tc>
          <w:tcPr>
            <w:tcW w:w="1480" w:type="dxa"/>
            <w:vAlign w:val="bottom"/>
            <w:tcBorders>
              <w:bottom w:val="single" w:sz="8" w:color="2C2C2C"/>
            </w:tcBorders>
            <w:gridSpan w:val="4"/>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gridSpan w:val="2"/>
          </w:tcPr>
          <w:p>
            <w:pPr>
              <w:spacing w:after="0"/>
              <w:rPr>
                <w:sz w:val="6"/>
                <w:szCs w:val="6"/>
                <w:color w:val="auto"/>
              </w:rPr>
            </w:pPr>
          </w:p>
        </w:tc>
        <w:tc>
          <w:tcPr>
            <w:tcW w:w="2760" w:type="dxa"/>
            <w:vAlign w:val="bottom"/>
            <w:tcBorders>
              <w:bottom w:val="single" w:sz="8" w:color="2C2C2C"/>
            </w:tcBorders>
            <w:gridSpan w:val="5"/>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700" w:type="dxa"/>
            <w:vAlign w:val="bottom"/>
            <w:tcBorders>
              <w:bottom w:val="single" w:sz="8" w:color="9A9A9A"/>
            </w:tcBorders>
          </w:tcPr>
          <w:p>
            <w:pPr>
              <w:spacing w:after="0" w:line="20" w:lineRule="exact"/>
              <w:rPr>
                <w:sz w:val="1"/>
                <w:szCs w:val="1"/>
                <w:color w:val="auto"/>
              </w:rPr>
            </w:pPr>
          </w:p>
        </w:tc>
        <w:tc>
          <w:tcPr>
            <w:tcW w:w="1040" w:type="dxa"/>
            <w:vAlign w:val="bottom"/>
            <w:tcBorders>
              <w:bottom w:val="single" w:sz="8" w:color="9A9A9A"/>
            </w:tcBorders>
          </w:tcPr>
          <w:p>
            <w:pPr>
              <w:spacing w:after="0" w:line="20" w:lineRule="exact"/>
              <w:rPr>
                <w:sz w:val="1"/>
                <w:szCs w:val="1"/>
                <w:color w:val="auto"/>
              </w:rPr>
            </w:pPr>
          </w:p>
        </w:tc>
        <w:tc>
          <w:tcPr>
            <w:tcW w:w="20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20" w:type="dxa"/>
            <w:vAlign w:val="bottom"/>
            <w:gridSpan w:val="8"/>
            <w:vMerge w:val="restart"/>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0"/>
                <w:szCs w:val="10"/>
                <w:color w:val="auto"/>
              </w:rPr>
              <w:t>(Street)</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700" w:type="dxa"/>
            <w:vAlign w:val="bottom"/>
            <w:gridSpan w:val="7"/>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3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20" w:type="dxa"/>
            <w:vAlign w:val="bottom"/>
            <w:gridSpan w:val="4"/>
            <w:vMerge w:val="restart"/>
          </w:tcPr>
          <w:p>
            <w:pPr>
              <w:ind w:left="4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SAN FRANCISCO</w:t>
            </w: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CA</w:t>
            </w:r>
          </w:p>
        </w:tc>
        <w:tc>
          <w:tcPr>
            <w:tcW w:w="700" w:type="dxa"/>
            <w:vAlign w:val="bottom"/>
          </w:tcPr>
          <w:p>
            <w:pPr>
              <w:spacing w:after="0"/>
              <w:rPr>
                <w:sz w:val="7"/>
                <w:szCs w:val="7"/>
                <w:color w:val="auto"/>
              </w:rPr>
            </w:pPr>
          </w:p>
        </w:tc>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94158</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2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780" w:type="dxa"/>
            <w:vAlign w:val="bottom"/>
            <w:gridSpan w:val="6"/>
            <w:vMerge w:val="restart"/>
          </w:tcPr>
          <w:p>
            <w:pPr>
              <w:ind w:left="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0"/>
                <w:szCs w:val="10"/>
                <w:color w:val="auto"/>
              </w:rPr>
              <w:t>(City)</w:t>
            </w:r>
          </w:p>
        </w:tc>
        <w:tc>
          <w:tcPr>
            <w:tcW w:w="620" w:type="dxa"/>
            <w:vAlign w:val="bottom"/>
          </w:tcPr>
          <w:p>
            <w:pPr>
              <w:ind w:left="100"/>
              <w:spacing w:after="0"/>
              <w:rPr>
                <w:sz w:val="20"/>
                <w:szCs w:val="20"/>
                <w:color w:val="auto"/>
              </w:rPr>
            </w:pPr>
            <w:r>
              <w:rPr>
                <w:rFonts w:ascii="Arial" w:cs="Arial" w:eastAsia="Arial" w:hAnsi="Arial"/>
                <w:sz w:val="10"/>
                <w:szCs w:val="10"/>
                <w:color w:val="auto"/>
              </w:rPr>
              <w:t>(State)</w:t>
            </w:r>
          </w:p>
        </w:tc>
        <w:tc>
          <w:tcPr>
            <w:tcW w:w="700" w:type="dxa"/>
            <w:vAlign w:val="bottom"/>
          </w:tcPr>
          <w:p>
            <w:pPr>
              <w:spacing w:after="0"/>
              <w:rPr>
                <w:sz w:val="20"/>
                <w:szCs w:val="20"/>
                <w:color w:val="auto"/>
              </w:rPr>
            </w:pPr>
          </w:p>
        </w:tc>
        <w:tc>
          <w:tcPr>
            <w:tcW w:w="1040" w:type="dxa"/>
            <w:vAlign w:val="bottom"/>
          </w:tcPr>
          <w:p>
            <w:pPr>
              <w:ind w:left="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3"/>
          </w:tcPr>
          <w:p>
            <w:pPr>
              <w:spacing w:after="0"/>
              <w:rPr>
                <w:sz w:val="8"/>
                <w:szCs w:val="8"/>
                <w:color w:val="auto"/>
              </w:rPr>
            </w:pPr>
          </w:p>
        </w:tc>
        <w:tc>
          <w:tcPr>
            <w:tcW w:w="2580" w:type="dxa"/>
            <w:vAlign w:val="bottom"/>
            <w:tcBorders>
              <w:bottom w:val="single" w:sz="8" w:color="2C2C2C"/>
            </w:tcBorders>
            <w:gridSpan w:val="7"/>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5580" w:type="dxa"/>
            <w:vAlign w:val="bottom"/>
            <w:tcBorders>
              <w:top w:val="single" w:sz="8" w:color="2C2C2C"/>
            </w:tcBorders>
            <w:gridSpan w:val="15"/>
          </w:tcPr>
          <w:p>
            <w:pPr>
              <w:ind w:left="420"/>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2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060" w:type="dxa"/>
            <w:vAlign w:val="bottom"/>
            <w:tcBorders>
              <w:bottom w:val="single" w:sz="8" w:color="2C2C2C"/>
            </w:tcBorders>
            <w:gridSpan w:val="5"/>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2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7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3"/>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5"/>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3"/>
          </w:tcPr>
          <w:p>
            <w:pPr>
              <w:ind w:left="100"/>
              <w:spacing w:after="0"/>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40"/>
              <w:spacing w:after="0"/>
              <w:rPr>
                <w:sz w:val="20"/>
                <w:szCs w:val="20"/>
                <w:color w:val="auto"/>
              </w:rPr>
            </w:pPr>
            <w:r>
              <w:rPr>
                <w:rFonts w:ascii="Arial" w:cs="Arial" w:eastAsia="Arial" w:hAnsi="Arial"/>
                <w:sz w:val="9"/>
                <w:szCs w:val="9"/>
                <w:b w:val="1"/>
                <w:bCs w:val="1"/>
                <w:color w:val="auto"/>
              </w:rPr>
              <w:t>Code (Instr. 8)   (D) (Instr. 3, 4 and 5)</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20" w:type="dxa"/>
            <w:vAlign w:val="bottom"/>
            <w:gridSpan w:val="3"/>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7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4"/>
          </w:tcPr>
          <w:p>
            <w:pPr>
              <w:ind w:left="180"/>
              <w:spacing w:after="0"/>
              <w:rPr>
                <w:sz w:val="20"/>
                <w:szCs w:val="20"/>
                <w:color w:val="auto"/>
              </w:rPr>
            </w:pPr>
            <w:r>
              <w:rPr>
                <w:rFonts w:ascii="Times New Roman" w:cs="Times New Roman" w:eastAsia="Times New Roman" w:hAnsi="Times New Roman"/>
                <w:sz w:val="13"/>
                <w:szCs w:val="13"/>
                <w:color w:val="0000FF"/>
              </w:rPr>
              <w:t>05/21/2026</w:t>
            </w:r>
          </w:p>
        </w:tc>
        <w:tc>
          <w:tcPr>
            <w:tcW w:w="4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3"/>
                <w:szCs w:val="13"/>
                <w:color w:val="0000FF"/>
              </w:rPr>
              <w:t>9,071</w:t>
            </w:r>
            <w:r>
              <w:rPr>
                <w:rFonts w:ascii="Times New Roman" w:cs="Times New Roman" w:eastAsia="Times New Roman" w:hAnsi="Times New Roman"/>
                <w:sz w:val="17"/>
                <w:szCs w:val="17"/>
                <w:color w:val="008000"/>
                <w:vertAlign w:val="superscript"/>
              </w:rPr>
              <w:t>(1)</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Borders>
              <w:bottom w:val="single" w:sz="8" w:color="2C2C2C"/>
            </w:tcBorders>
            <w:gridSpan w:val="2"/>
          </w:tcPr>
          <w:p>
            <w:pPr>
              <w:ind w:left="26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122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3"/>
                <w:szCs w:val="13"/>
                <w:color w:val="0000FF"/>
              </w:rPr>
              <w:t>47,811</w:t>
            </w:r>
            <w:r>
              <w:rPr>
                <w:rFonts w:ascii="Times New Roman" w:cs="Times New Roman" w:eastAsia="Times New Roman" w:hAnsi="Times New Roman"/>
                <w:sz w:val="17"/>
                <w:szCs w:val="17"/>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40" w:type="dxa"/>
            <w:vAlign w:val="bottom"/>
            <w:tcBorders>
              <w:top w:val="single" w:sz="8" w:color="2C2C2C"/>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5580" w:type="dxa"/>
            <w:vAlign w:val="bottom"/>
            <w:tcBorders>
              <w:top w:val="single" w:sz="8" w:color="2C2C2C"/>
            </w:tcBorders>
            <w:gridSpan w:val="15"/>
          </w:tcPr>
          <w:p>
            <w:pPr>
              <w:ind w:left="5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900" w:type="dxa"/>
            <w:vAlign w:val="bottom"/>
            <w:gridSpan w:val="12"/>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2.</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Security (Instr. 3)</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Conversion</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4"/>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or Exercise</w:t>
            </w:r>
          </w:p>
        </w:tc>
        <w:tc>
          <w:tcPr>
            <w:tcW w:w="1740" w:type="dxa"/>
            <w:vAlign w:val="bottom"/>
            <w:gridSpan w:val="2"/>
          </w:tcPr>
          <w:p>
            <w:pPr>
              <w:ind w:left="60"/>
              <w:spacing w:after="0"/>
              <w:rPr>
                <w:sz w:val="20"/>
                <w:szCs w:val="20"/>
                <w:color w:val="auto"/>
              </w:rPr>
            </w:pPr>
            <w:r>
              <w:rPr>
                <w:rFonts w:ascii="Arial" w:cs="Arial" w:eastAsia="Arial" w:hAnsi="Arial"/>
                <w:sz w:val="9"/>
                <w:szCs w:val="9"/>
                <w:b w:val="1"/>
                <w:bCs w:val="1"/>
                <w:color w:val="auto"/>
              </w:rPr>
              <w:t>(Month/Day/Year)  if any</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Price of</w:t>
            </w:r>
          </w:p>
        </w:tc>
        <w:tc>
          <w:tcPr>
            <w:tcW w:w="700" w:type="dxa"/>
            <w:vAlign w:val="bottom"/>
          </w:tcPr>
          <w:p>
            <w:pPr>
              <w:spacing w:after="0"/>
              <w:rPr>
                <w:sz w:val="9"/>
                <w:szCs w:val="9"/>
                <w:color w:val="auto"/>
              </w:rPr>
            </w:pP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(D) (Instr. 3, 4 and</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jc w:val="right"/>
              <w:ind w:right="334"/>
              <w:spacing w:after="0"/>
              <w:rPr>
                <w:sz w:val="20"/>
                <w:szCs w:val="20"/>
                <w:color w:val="auto"/>
              </w:rPr>
            </w:pPr>
            <w:r>
              <w:rPr>
                <w:rFonts w:ascii="Arial" w:cs="Arial" w:eastAsia="Arial" w:hAnsi="Arial"/>
                <w:sz w:val="9"/>
                <w:szCs w:val="9"/>
                <w:b w:val="1"/>
                <w:bCs w:val="1"/>
                <w:color w:val="auto"/>
                <w:w w:val="99"/>
              </w:rPr>
              <w:t>5)</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vMerge w:val="restart"/>
          </w:tcPr>
          <w:p>
            <w:pPr>
              <w:ind w:left="10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gridSpan w:val="2"/>
          </w:tcPr>
          <w:p>
            <w:pPr>
              <w:ind w:left="100"/>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gridSpan w:val="2"/>
          </w:tcPr>
          <w:p>
            <w:pPr>
              <w:ind w:left="100"/>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gridSpan w:val="2"/>
          </w:tcPr>
          <w:p>
            <w:pPr>
              <w:ind w:left="2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40" w:type="dxa"/>
            <w:vAlign w:val="bottom"/>
            <w:gridSpan w:val="2"/>
          </w:tcPr>
          <w:p>
            <w:pPr>
              <w:ind w:left="10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40" w:right="22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securities are restricted stock units. Each restricted stock unit represents the Reporting Person's right to receive one share of Class A Common Stock. The restricted stock units vest in full on the earlier of May 21, 2027 or the day prior to the date of the Issuer's next annual meeting of stockholders.</w:t>
      </w:r>
    </w:p>
    <w:p>
      <w:pPr>
        <w:spacing w:after="0" w:line="3" w:lineRule="exact"/>
        <w:rPr>
          <w:rFonts w:ascii="Times New Roman" w:cs="Times New Roman" w:eastAsia="Times New Roman" w:hAnsi="Times New Roman"/>
          <w:sz w:val="10"/>
          <w:szCs w:val="10"/>
          <w:color w:val="008000"/>
        </w:rPr>
      </w:pPr>
    </w:p>
    <w:p>
      <w:pPr>
        <w:ind w:left="40" w:right="10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Certain of these securities are restricted stock units. Each restricted stock unit represents the Reporting Person's right to receive one share of Class A Common Stock, subject to the applicable vesting schedule through May 21, 2027 or the day prior to the date of the Issuer's next annual meeting of stockholders. In the event the Reporting Person ceases to be a Service Provider, the unvested restricted stock units will be cancelled by the Issuer.</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 Cara Angelmar, Attorney-in-Fact</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05/26/2026</w:t>
            </w:r>
          </w:p>
        </w:tc>
      </w:tr>
      <w:tr>
        <w:trPr>
          <w:trHeight w:val="178"/>
        </w:trPr>
        <w:tc>
          <w:tcPr>
            <w:tcW w:w="6580" w:type="dxa"/>
            <w:vAlign w:val="bottom"/>
          </w:tcPr>
          <w:p>
            <w:pPr>
              <w:spacing w:after="0"/>
              <w:rPr>
                <w:sz w:val="15"/>
                <w:szCs w:val="15"/>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66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47550"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2026-05-26T15:53:44Z</dcterms:created>
  <dcterms:modified xsi:type="dcterms:W3CDTF">2026-05-26T15:53:44Z</dcterms:modified>
</cp:coreProperties>
</file>