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4"/>
          <w:szCs w:val="24"/>
          <w:color w:val="auto"/>
        </w:rPr>
      </w:pPr>
    </w:p>
    <w:p>
      <w:pPr>
        <w:ind w:left="2760"/>
        <w:spacing w:after="0"/>
        <w:rPr>
          <w:sz w:val="20"/>
          <w:szCs w:val="20"/>
          <w:color w:val="auto"/>
        </w:rPr>
      </w:pPr>
      <w:r>
        <w:rPr>
          <w:rFonts w:ascii="Arial" w:cs="Arial" w:eastAsia="Arial" w:hAnsi="Arial"/>
          <w:sz w:val="14"/>
          <w:szCs w:val="14"/>
          <w:b w:val="1"/>
          <w:bCs w:val="1"/>
          <w:color w:val="auto"/>
        </w:rPr>
        <w:t>As confidentially submitted to the Securities and Exchange Commission on December 4, 2017</w:t>
      </w:r>
    </w:p>
    <w:p>
      <w:pPr>
        <w:spacing w:after="0" w:line="28" w:lineRule="exact"/>
        <w:rPr>
          <w:sz w:val="24"/>
          <w:szCs w:val="24"/>
          <w:color w:val="auto"/>
        </w:rPr>
      </w:pPr>
    </w:p>
    <w:p>
      <w:pPr>
        <w:ind w:left="2360"/>
        <w:spacing w:after="0"/>
        <w:rPr>
          <w:sz w:val="20"/>
          <w:szCs w:val="20"/>
          <w:color w:val="auto"/>
        </w:rPr>
      </w:pPr>
      <w:r>
        <w:rPr>
          <w:rFonts w:ascii="Arial" w:cs="Arial" w:eastAsia="Arial" w:hAnsi="Arial"/>
          <w:sz w:val="14"/>
          <w:szCs w:val="14"/>
          <w:b w:val="1"/>
          <w:bCs w:val="1"/>
          <w:color w:val="auto"/>
        </w:rPr>
        <w:t>This draft registration statement has not been publicly filed with the Securities and Exchange Commission</w:t>
      </w:r>
    </w:p>
    <w:p>
      <w:pPr>
        <w:spacing w:after="0" w:line="4"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and all information herein remains strictly confidential.</w:t>
      </w:r>
    </w:p>
    <w:p>
      <w:pPr>
        <w:spacing w:after="0" w:line="26" w:lineRule="exact"/>
        <w:rPr>
          <w:sz w:val="24"/>
          <w:szCs w:val="24"/>
          <w:color w:val="auto"/>
        </w:rPr>
      </w:pPr>
    </w:p>
    <w:p>
      <w:pPr>
        <w:ind w:left="9500"/>
        <w:spacing w:after="0"/>
        <w:rPr>
          <w:sz w:val="20"/>
          <w:szCs w:val="20"/>
          <w:color w:val="auto"/>
        </w:rPr>
      </w:pPr>
      <w:r>
        <w:rPr>
          <w:rFonts w:ascii="Arial" w:cs="Arial" w:eastAsia="Arial" w:hAnsi="Arial"/>
          <w:sz w:val="12"/>
          <w:szCs w:val="12"/>
          <w:b w:val="1"/>
          <w:bCs w:val="1"/>
          <w:color w:val="auto"/>
        </w:rPr>
        <w:t>Registration No. 333-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72390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115570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79"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UNITED STATES</w:t>
      </w:r>
    </w:p>
    <w:p>
      <w:pPr>
        <w:spacing w:after="0" w:line="38"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SECURITIES AND EXCHANGE COMMISSION</w:t>
      </w:r>
    </w:p>
    <w:p>
      <w:pPr>
        <w:spacing w:after="0" w:line="6"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2825115</wp:posOffset>
            </wp:positionH>
            <wp:positionV relativeFrom="paragraph">
              <wp:posOffset>107315</wp:posOffset>
            </wp:positionV>
            <wp:extent cx="149161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91615" cy="8890"/>
                    </a:xfrm>
                    <a:prstGeom prst="rect">
                      <a:avLst/>
                    </a:prstGeom>
                    <a:noFill/>
                  </pic:spPr>
                </pic:pic>
              </a:graphicData>
            </a:graphic>
          </wp:anchor>
        </w:drawing>
      </w:r>
    </w:p>
    <w:p>
      <w:pPr>
        <w:spacing w:after="0" w:line="167"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FORM S-1</w:t>
      </w:r>
    </w:p>
    <w:p>
      <w:pPr>
        <w:spacing w:after="0" w:line="38"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REGISTRATION STATEMENT</w:t>
      </w:r>
    </w:p>
    <w:p>
      <w:pPr>
        <w:spacing w:after="0" w:line="6" w:lineRule="exact"/>
        <w:rPr>
          <w:sz w:val="24"/>
          <w:szCs w:val="24"/>
          <w:color w:val="auto"/>
        </w:rPr>
      </w:pPr>
    </w:p>
    <w:p>
      <w:pPr>
        <w:jc w:val="center"/>
        <w:spacing w:after="0"/>
        <w:rPr>
          <w:sz w:val="20"/>
          <w:szCs w:val="20"/>
          <w:color w:val="auto"/>
        </w:rPr>
      </w:pPr>
      <w:r>
        <w:rPr>
          <w:rFonts w:ascii="Arial" w:cs="Arial" w:eastAsia="Arial" w:hAnsi="Arial"/>
          <w:sz w:val="18"/>
          <w:szCs w:val="18"/>
          <w:b w:val="1"/>
          <w:bCs w:val="1"/>
          <w:i w:val="1"/>
          <w:iCs w:val="1"/>
          <w:color w:val="auto"/>
        </w:rPr>
        <w:t>Under</w:t>
      </w:r>
    </w:p>
    <w:p>
      <w:pPr>
        <w:spacing w:after="0" w:line="7" w:lineRule="exact"/>
        <w:rPr>
          <w:sz w:val="24"/>
          <w:szCs w:val="24"/>
          <w:color w:val="auto"/>
        </w:rPr>
      </w:pPr>
    </w:p>
    <w:p>
      <w:pPr>
        <w:jc w:val="center"/>
        <w:spacing w:after="0"/>
        <w:rPr>
          <w:sz w:val="20"/>
          <w:szCs w:val="20"/>
          <w:color w:val="auto"/>
        </w:rPr>
      </w:pPr>
      <w:r>
        <w:rPr>
          <w:rFonts w:ascii="Arial" w:cs="Arial" w:eastAsia="Arial" w:hAnsi="Arial"/>
          <w:sz w:val="18"/>
          <w:szCs w:val="18"/>
          <w:b w:val="1"/>
          <w:bCs w:val="1"/>
          <w:i w:val="1"/>
          <w:iCs w:val="1"/>
          <w:color w:val="auto"/>
        </w:rPr>
        <w:t>The Securities Act of 1933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2825115</wp:posOffset>
            </wp:positionH>
            <wp:positionV relativeFrom="paragraph">
              <wp:posOffset>91440</wp:posOffset>
            </wp:positionV>
            <wp:extent cx="149161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91615" cy="8255"/>
                    </a:xfrm>
                    <a:prstGeom prst="rect">
                      <a:avLst/>
                    </a:prstGeom>
                    <a:noFill/>
                  </pic:spPr>
                </pic:pic>
              </a:graphicData>
            </a:graphic>
          </wp:anchor>
        </w:drawing>
      </w:r>
    </w:p>
    <w:p>
      <w:pPr>
        <w:spacing w:after="0" w:line="126" w:lineRule="exact"/>
        <w:rPr>
          <w:sz w:val="24"/>
          <w:szCs w:val="24"/>
          <w:color w:val="auto"/>
        </w:rPr>
      </w:pPr>
    </w:p>
    <w:p>
      <w:pPr>
        <w:jc w:val="center"/>
        <w:spacing w:after="0"/>
        <w:rPr>
          <w:sz w:val="20"/>
          <w:szCs w:val="20"/>
          <w:color w:val="auto"/>
        </w:rPr>
      </w:pPr>
      <w:r>
        <w:rPr>
          <w:rFonts w:ascii="Arial" w:cs="Arial" w:eastAsia="Arial" w:hAnsi="Arial"/>
          <w:sz w:val="36"/>
          <w:szCs w:val="36"/>
          <w:b w:val="1"/>
          <w:bCs w:val="1"/>
          <w:color w:val="auto"/>
        </w:rPr>
        <w:t>Dropbox, Inc.</w:t>
      </w:r>
    </w:p>
    <w:p>
      <w:pPr>
        <w:spacing w:after="0" w:line="36"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2825115</wp:posOffset>
            </wp:positionH>
            <wp:positionV relativeFrom="paragraph">
              <wp:posOffset>81915</wp:posOffset>
            </wp:positionV>
            <wp:extent cx="149161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91615" cy="8255"/>
                    </a:xfrm>
                    <a:prstGeom prst="rect">
                      <a:avLst/>
                    </a:prstGeom>
                    <a:noFill/>
                  </pic:spPr>
                </pic:pic>
              </a:graphicData>
            </a:graphic>
          </wp:anchor>
        </w:drawing>
      </w:r>
    </w:p>
    <w:p>
      <w:pPr>
        <w:sectPr>
          <w:pgSz w:w="11900" w:h="16838" w:orient="portrait"/>
          <w:cols w:equalWidth="0" w:num="1">
            <w:col w:w="11240"/>
          </w:cols>
          <w:pgMar w:left="320" w:top="230" w:right="339" w:bottom="1440" w:gutter="0" w:footer="0" w:header="0"/>
        </w:sectPr>
      </w:pPr>
    </w:p>
    <w:p>
      <w:pPr>
        <w:spacing w:after="0" w:line="188" w:lineRule="exact"/>
        <w:rPr>
          <w:sz w:val="24"/>
          <w:szCs w:val="24"/>
          <w:color w:val="auto"/>
        </w:rPr>
      </w:pPr>
    </w:p>
    <w:p>
      <w:pPr>
        <w:ind w:left="1620"/>
        <w:spacing w:after="0"/>
        <w:rPr>
          <w:sz w:val="20"/>
          <w:szCs w:val="20"/>
          <w:color w:val="auto"/>
        </w:rPr>
      </w:pPr>
      <w:r>
        <w:rPr>
          <w:rFonts w:ascii="Arial" w:cs="Arial" w:eastAsia="Arial" w:hAnsi="Arial"/>
          <w:sz w:val="14"/>
          <w:szCs w:val="14"/>
          <w:b w:val="1"/>
          <w:bCs w:val="1"/>
          <w:color w:val="auto"/>
        </w:rPr>
        <w:t>Delaware</w:t>
      </w:r>
    </w:p>
    <w:p>
      <w:pPr>
        <w:spacing w:after="0" w:line="3" w:lineRule="exact"/>
        <w:rPr>
          <w:sz w:val="24"/>
          <w:szCs w:val="24"/>
          <w:color w:val="auto"/>
        </w:rPr>
      </w:pPr>
    </w:p>
    <w:p>
      <w:pPr>
        <w:ind w:left="1020"/>
        <w:spacing w:after="0"/>
        <w:rPr>
          <w:sz w:val="20"/>
          <w:szCs w:val="20"/>
          <w:color w:val="auto"/>
        </w:rPr>
      </w:pPr>
      <w:r>
        <w:rPr>
          <w:rFonts w:ascii="Arial" w:cs="Arial" w:eastAsia="Arial" w:hAnsi="Arial"/>
          <w:sz w:val="13"/>
          <w:szCs w:val="13"/>
          <w:b w:val="1"/>
          <w:bCs w:val="1"/>
          <w:color w:val="auto"/>
        </w:rPr>
        <w:t>(State or other jurisdiction of</w:t>
      </w:r>
    </w:p>
    <w:p>
      <w:pPr>
        <w:ind w:left="980"/>
        <w:spacing w:after="0"/>
        <w:rPr>
          <w:sz w:val="20"/>
          <w:szCs w:val="20"/>
          <w:color w:val="auto"/>
        </w:rPr>
      </w:pPr>
      <w:r>
        <w:rPr>
          <w:rFonts w:ascii="Arial" w:cs="Arial" w:eastAsia="Arial" w:hAnsi="Arial"/>
          <w:sz w:val="13"/>
          <w:szCs w:val="13"/>
          <w:b w:val="1"/>
          <w:bCs w:val="1"/>
          <w:color w:val="auto"/>
        </w:rPr>
        <w:t>incorporation or organization)</w:t>
      </w:r>
    </w:p>
    <w:p>
      <w:pPr>
        <w:spacing w:after="0" w:line="20" w:lineRule="exact"/>
        <w:rPr>
          <w:sz w:val="24"/>
          <w:szCs w:val="24"/>
          <w:color w:val="auto"/>
        </w:rPr>
      </w:pPr>
      <w:r>
        <w:rPr>
          <w:sz w:val="24"/>
          <w:szCs w:val="24"/>
          <w:color w:val="auto"/>
        </w:rPr>
        <w:br w:type="column"/>
      </w:r>
    </w:p>
    <w:p>
      <w:pPr>
        <w:spacing w:after="0" w:line="168" w:lineRule="exact"/>
        <w:rPr>
          <w:sz w:val="24"/>
          <w:szCs w:val="24"/>
          <w:color w:val="auto"/>
        </w:rPr>
      </w:pPr>
    </w:p>
    <w:p>
      <w:pPr>
        <w:jc w:val="center"/>
        <w:ind w:right="1360"/>
        <w:spacing w:after="0"/>
        <w:rPr>
          <w:sz w:val="20"/>
          <w:szCs w:val="20"/>
          <w:color w:val="auto"/>
        </w:rPr>
      </w:pPr>
      <w:r>
        <w:rPr>
          <w:rFonts w:ascii="Arial" w:cs="Arial" w:eastAsia="Arial" w:hAnsi="Arial"/>
          <w:sz w:val="14"/>
          <w:szCs w:val="14"/>
          <w:b w:val="1"/>
          <w:bCs w:val="1"/>
          <w:color w:val="auto"/>
        </w:rPr>
        <w:t>7372</w:t>
      </w:r>
    </w:p>
    <w:p>
      <w:pPr>
        <w:spacing w:after="0" w:line="3" w:lineRule="exact"/>
        <w:rPr>
          <w:sz w:val="24"/>
          <w:szCs w:val="24"/>
          <w:color w:val="auto"/>
        </w:rPr>
      </w:pPr>
    </w:p>
    <w:p>
      <w:pPr>
        <w:jc w:val="center"/>
        <w:ind w:right="1360"/>
        <w:spacing w:after="0"/>
        <w:rPr>
          <w:sz w:val="20"/>
          <w:szCs w:val="20"/>
          <w:color w:val="auto"/>
        </w:rPr>
      </w:pPr>
      <w:r>
        <w:rPr>
          <w:rFonts w:ascii="Arial" w:cs="Arial" w:eastAsia="Arial" w:hAnsi="Arial"/>
          <w:sz w:val="13"/>
          <w:szCs w:val="13"/>
          <w:b w:val="1"/>
          <w:bCs w:val="1"/>
          <w:color w:val="auto"/>
        </w:rPr>
        <w:t>(Primary Standard Industrial</w:t>
      </w:r>
    </w:p>
    <w:p>
      <w:pPr>
        <w:jc w:val="center"/>
        <w:ind w:right="1360"/>
        <w:spacing w:after="0"/>
        <w:rPr>
          <w:sz w:val="20"/>
          <w:szCs w:val="20"/>
          <w:color w:val="auto"/>
        </w:rPr>
      </w:pPr>
      <w:r>
        <w:rPr>
          <w:rFonts w:ascii="Arial" w:cs="Arial" w:eastAsia="Arial" w:hAnsi="Arial"/>
          <w:sz w:val="13"/>
          <w:szCs w:val="13"/>
          <w:b w:val="1"/>
          <w:bCs w:val="1"/>
          <w:color w:val="auto"/>
        </w:rPr>
        <w:t>Classification Code Number)</w:t>
      </w:r>
    </w:p>
    <w:p>
      <w:pPr>
        <w:spacing w:after="0" w:line="20" w:lineRule="exact"/>
        <w:rPr>
          <w:sz w:val="24"/>
          <w:szCs w:val="24"/>
          <w:color w:val="auto"/>
        </w:rPr>
      </w:pPr>
      <w:r>
        <w:rPr>
          <w:sz w:val="24"/>
          <w:szCs w:val="24"/>
          <w:color w:val="auto"/>
        </w:rPr>
        <w:br w:type="column"/>
      </w:r>
    </w:p>
    <w:p>
      <w:pPr>
        <w:spacing w:after="0" w:line="168" w:lineRule="exact"/>
        <w:rPr>
          <w:sz w:val="24"/>
          <w:szCs w:val="24"/>
          <w:color w:val="auto"/>
        </w:rPr>
      </w:pPr>
    </w:p>
    <w:p>
      <w:pPr>
        <w:jc w:val="center"/>
        <w:ind w:right="1080"/>
        <w:spacing w:after="0"/>
        <w:rPr>
          <w:sz w:val="20"/>
          <w:szCs w:val="20"/>
          <w:color w:val="auto"/>
        </w:rPr>
      </w:pPr>
      <w:r>
        <w:rPr>
          <w:rFonts w:ascii="Arial" w:cs="Arial" w:eastAsia="Arial" w:hAnsi="Arial"/>
          <w:sz w:val="14"/>
          <w:szCs w:val="14"/>
          <w:b w:val="1"/>
          <w:bCs w:val="1"/>
          <w:color w:val="auto"/>
        </w:rPr>
        <w:t>26-0138832</w:t>
      </w:r>
    </w:p>
    <w:p>
      <w:pPr>
        <w:jc w:val="center"/>
        <w:ind w:right="1080"/>
        <w:spacing w:after="0" w:line="226" w:lineRule="auto"/>
        <w:rPr>
          <w:sz w:val="20"/>
          <w:szCs w:val="20"/>
          <w:color w:val="auto"/>
        </w:rPr>
      </w:pPr>
      <w:r>
        <w:rPr>
          <w:rFonts w:ascii="Arial" w:cs="Arial" w:eastAsia="Arial" w:hAnsi="Arial"/>
          <w:sz w:val="14"/>
          <w:szCs w:val="14"/>
          <w:b w:val="1"/>
          <w:bCs w:val="1"/>
          <w:color w:val="auto"/>
        </w:rPr>
        <w:t>(I.R.S. Employer</w:t>
      </w:r>
    </w:p>
    <w:p>
      <w:pPr>
        <w:jc w:val="center"/>
        <w:ind w:right="1080"/>
        <w:spacing w:after="0"/>
        <w:rPr>
          <w:sz w:val="20"/>
          <w:szCs w:val="20"/>
          <w:color w:val="auto"/>
        </w:rPr>
      </w:pPr>
      <w:r>
        <w:rPr>
          <w:rFonts w:ascii="Arial" w:cs="Arial" w:eastAsia="Arial" w:hAnsi="Arial"/>
          <w:sz w:val="13"/>
          <w:szCs w:val="13"/>
          <w:b w:val="1"/>
          <w:bCs w:val="1"/>
          <w:color w:val="auto"/>
        </w:rPr>
        <w:t>Identification Number)</w:t>
      </w:r>
    </w:p>
    <w:p>
      <w:pPr>
        <w:spacing w:after="0" w:line="37" w:lineRule="exact"/>
        <w:rPr>
          <w:sz w:val="24"/>
          <w:szCs w:val="24"/>
          <w:color w:val="auto"/>
        </w:rPr>
      </w:pPr>
    </w:p>
    <w:p>
      <w:pPr>
        <w:sectPr>
          <w:pgSz w:w="11900" w:h="16838" w:orient="portrait"/>
          <w:cols w:equalWidth="0" w:num="3">
            <w:col w:w="4120" w:space="720"/>
            <w:col w:w="3180" w:space="720"/>
            <w:col w:w="2500"/>
          </w:cols>
          <w:pgMar w:left="320" w:top="230" w:right="339" w:bottom="1440" w:gutter="0" w:footer="0" w:header="0"/>
          <w:type w:val="continuous"/>
        </w:sectPr>
      </w:pPr>
    </w:p>
    <w:p>
      <w:pPr>
        <w:ind w:left="5200"/>
        <w:spacing w:after="0"/>
        <w:rPr>
          <w:sz w:val="20"/>
          <w:szCs w:val="20"/>
          <w:color w:val="auto"/>
        </w:rPr>
      </w:pPr>
      <w:r>
        <w:rPr>
          <w:rFonts w:ascii="Arial" w:cs="Arial" w:eastAsia="Arial" w:hAnsi="Arial"/>
          <w:sz w:val="14"/>
          <w:szCs w:val="14"/>
          <w:b w:val="1"/>
          <w:bCs w:val="1"/>
          <w:color w:val="auto"/>
        </w:rPr>
        <w:t>Dropbox, Inc.</w:t>
      </w:r>
    </w:p>
    <w:p>
      <w:pPr>
        <w:ind w:left="5020"/>
        <w:spacing w:after="0" w:line="226" w:lineRule="auto"/>
        <w:rPr>
          <w:sz w:val="20"/>
          <w:szCs w:val="20"/>
          <w:color w:val="auto"/>
        </w:rPr>
      </w:pPr>
      <w:r>
        <w:rPr>
          <w:rFonts w:ascii="Arial" w:cs="Arial" w:eastAsia="Arial" w:hAnsi="Arial"/>
          <w:sz w:val="14"/>
          <w:szCs w:val="14"/>
          <w:b w:val="1"/>
          <w:bCs w:val="1"/>
          <w:color w:val="auto"/>
        </w:rPr>
        <w:t>333 Brannan Street</w:t>
      </w:r>
    </w:p>
    <w:p>
      <w:pPr>
        <w:ind w:left="4640"/>
        <w:spacing w:after="0"/>
        <w:rPr>
          <w:sz w:val="20"/>
          <w:szCs w:val="20"/>
          <w:color w:val="auto"/>
        </w:rPr>
      </w:pPr>
      <w:r>
        <w:rPr>
          <w:rFonts w:ascii="Arial" w:cs="Arial" w:eastAsia="Arial" w:hAnsi="Arial"/>
          <w:sz w:val="13"/>
          <w:szCs w:val="13"/>
          <w:b w:val="1"/>
          <w:bCs w:val="1"/>
          <w:color w:val="auto"/>
        </w:rPr>
        <w:t>San Francisco, California 94107</w:t>
      </w:r>
    </w:p>
    <w:p>
      <w:pPr>
        <w:ind w:left="5180"/>
        <w:spacing w:after="0"/>
        <w:rPr>
          <w:sz w:val="20"/>
          <w:szCs w:val="20"/>
          <w:color w:val="auto"/>
        </w:rPr>
      </w:pPr>
      <w:r>
        <w:rPr>
          <w:rFonts w:ascii="Arial" w:cs="Arial" w:eastAsia="Arial" w:hAnsi="Arial"/>
          <w:sz w:val="14"/>
          <w:szCs w:val="14"/>
          <w:b w:val="1"/>
          <w:bCs w:val="1"/>
          <w:color w:val="auto"/>
        </w:rPr>
        <w:t>(415) 857-6800</w:t>
      </w:r>
    </w:p>
    <w:p>
      <w:pPr>
        <w:sectPr>
          <w:pgSz w:w="11900" w:h="16838" w:orient="portrait"/>
          <w:cols w:equalWidth="0" w:num="1">
            <w:col w:w="11240"/>
          </w:cols>
          <w:pgMar w:left="320" w:top="230" w:right="339" w:bottom="1440" w:gutter="0" w:footer="0" w:header="0"/>
          <w:type w:val="continuous"/>
        </w:sectPr>
      </w:pPr>
    </w:p>
    <w:p>
      <w:pPr>
        <w:jc w:val="center"/>
        <w:spacing w:after="0" w:line="235" w:lineRule="auto"/>
        <w:rPr>
          <w:sz w:val="20"/>
          <w:szCs w:val="20"/>
          <w:color w:val="auto"/>
        </w:rPr>
      </w:pPr>
      <w:r>
        <w:rPr>
          <w:rFonts w:ascii="Arial" w:cs="Arial" w:eastAsia="Arial" w:hAnsi="Arial"/>
          <w:sz w:val="14"/>
          <w:szCs w:val="14"/>
          <w:b w:val="1"/>
          <w:bCs w:val="1"/>
          <w:color w:val="auto"/>
        </w:rPr>
        <w:t>(Address, including zip code, and telephone number, including area code, of Registrant’s principal executive offices)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2825115</wp:posOffset>
            </wp:positionH>
            <wp:positionV relativeFrom="paragraph">
              <wp:posOffset>85090</wp:posOffset>
            </wp:positionV>
            <wp:extent cx="149161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91615" cy="8255"/>
                    </a:xfrm>
                    <a:prstGeom prst="rect">
                      <a:avLst/>
                    </a:prstGeom>
                    <a:noFill/>
                  </pic:spPr>
                </pic:pic>
              </a:graphicData>
            </a:graphic>
          </wp:anchor>
        </w:drawing>
      </w:r>
    </w:p>
    <w:p>
      <w:pPr>
        <w:spacing w:after="0" w:line="145"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Andrew W. Houston</w:t>
      </w:r>
    </w:p>
    <w:p>
      <w:pPr>
        <w:jc w:val="center"/>
        <w:spacing w:after="0" w:line="226" w:lineRule="auto"/>
        <w:rPr>
          <w:sz w:val="20"/>
          <w:szCs w:val="20"/>
          <w:color w:val="auto"/>
        </w:rPr>
      </w:pPr>
      <w:r>
        <w:rPr>
          <w:rFonts w:ascii="Arial" w:cs="Arial" w:eastAsia="Arial" w:hAnsi="Arial"/>
          <w:sz w:val="14"/>
          <w:szCs w:val="14"/>
          <w:b w:val="1"/>
          <w:bCs w:val="1"/>
          <w:color w:val="auto"/>
        </w:rPr>
        <w:t>Chief Executive Officer</w:t>
      </w:r>
    </w:p>
    <w:p>
      <w:pPr>
        <w:jc w:val="center"/>
        <w:spacing w:after="0" w:line="221" w:lineRule="auto"/>
        <w:rPr>
          <w:sz w:val="20"/>
          <w:szCs w:val="20"/>
          <w:color w:val="auto"/>
        </w:rPr>
      </w:pPr>
      <w:r>
        <w:rPr>
          <w:rFonts w:ascii="Arial" w:cs="Arial" w:eastAsia="Arial" w:hAnsi="Arial"/>
          <w:sz w:val="14"/>
          <w:szCs w:val="14"/>
          <w:b w:val="1"/>
          <w:bCs w:val="1"/>
          <w:color w:val="auto"/>
        </w:rPr>
        <w:t>Dropbox, Inc.</w:t>
      </w:r>
    </w:p>
    <w:p>
      <w:pPr>
        <w:jc w:val="center"/>
        <w:spacing w:after="0" w:line="222" w:lineRule="auto"/>
        <w:rPr>
          <w:sz w:val="20"/>
          <w:szCs w:val="20"/>
          <w:color w:val="auto"/>
        </w:rPr>
      </w:pPr>
      <w:r>
        <w:rPr>
          <w:rFonts w:ascii="Arial" w:cs="Arial" w:eastAsia="Arial" w:hAnsi="Arial"/>
          <w:sz w:val="14"/>
          <w:szCs w:val="14"/>
          <w:b w:val="1"/>
          <w:bCs w:val="1"/>
          <w:color w:val="auto"/>
        </w:rPr>
        <w:t>333 Brannan Street</w:t>
      </w:r>
    </w:p>
    <w:p>
      <w:pPr>
        <w:jc w:val="center"/>
        <w:spacing w:after="0" w:line="221" w:lineRule="auto"/>
        <w:rPr>
          <w:sz w:val="20"/>
          <w:szCs w:val="20"/>
          <w:color w:val="auto"/>
        </w:rPr>
      </w:pPr>
      <w:r>
        <w:rPr>
          <w:rFonts w:ascii="Arial" w:cs="Arial" w:eastAsia="Arial" w:hAnsi="Arial"/>
          <w:sz w:val="14"/>
          <w:szCs w:val="14"/>
          <w:b w:val="1"/>
          <w:bCs w:val="1"/>
          <w:color w:val="auto"/>
        </w:rPr>
        <w:t>San Francisco, California 94107</w:t>
      </w:r>
    </w:p>
    <w:p>
      <w:pPr>
        <w:jc w:val="center"/>
        <w:spacing w:after="0" w:line="222" w:lineRule="auto"/>
        <w:rPr>
          <w:sz w:val="20"/>
          <w:szCs w:val="20"/>
          <w:color w:val="auto"/>
        </w:rPr>
      </w:pPr>
      <w:r>
        <w:rPr>
          <w:rFonts w:ascii="Arial" w:cs="Arial" w:eastAsia="Arial" w:hAnsi="Arial"/>
          <w:sz w:val="14"/>
          <w:szCs w:val="14"/>
          <w:b w:val="1"/>
          <w:bCs w:val="1"/>
          <w:color w:val="auto"/>
        </w:rPr>
        <w:t>(415) 857-6800</w:t>
      </w:r>
    </w:p>
    <w:p>
      <w:pPr>
        <w:jc w:val="center"/>
        <w:spacing w:after="0"/>
        <w:rPr>
          <w:sz w:val="20"/>
          <w:szCs w:val="20"/>
          <w:color w:val="auto"/>
        </w:rPr>
      </w:pPr>
      <w:r>
        <w:rPr>
          <w:rFonts w:ascii="Arial" w:cs="Arial" w:eastAsia="Arial" w:hAnsi="Arial"/>
          <w:sz w:val="14"/>
          <w:szCs w:val="14"/>
          <w:b w:val="1"/>
          <w:bCs w:val="1"/>
          <w:color w:val="auto"/>
        </w:rPr>
        <w:t>(Name, address, including zip code, and telephone number, including area code, of agent for service)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2825115</wp:posOffset>
            </wp:positionH>
            <wp:positionV relativeFrom="paragraph">
              <wp:posOffset>64770</wp:posOffset>
            </wp:positionV>
            <wp:extent cx="149161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91615" cy="8255"/>
                    </a:xfrm>
                    <a:prstGeom prst="rect">
                      <a:avLst/>
                    </a:prstGeom>
                    <a:noFill/>
                  </pic:spPr>
                </pic:pic>
              </a:graphicData>
            </a:graphic>
          </wp:anchor>
        </w:drawing>
      </w:r>
    </w:p>
    <w:p>
      <w:pPr>
        <w:spacing w:after="0" w:line="118" w:lineRule="exact"/>
        <w:rPr>
          <w:sz w:val="24"/>
          <w:szCs w:val="24"/>
          <w:color w:val="auto"/>
        </w:rPr>
      </w:pPr>
    </w:p>
    <w:tbl>
      <w:tblPr>
        <w:tblLayout w:type="fixed"/>
        <w:tblInd w:w="700" w:type="dxa"/>
        <w:tblCellMar>
          <w:top w:w="0" w:type="dxa"/>
          <w:left w:w="0" w:type="dxa"/>
          <w:bottom w:w="0" w:type="dxa"/>
          <w:right w:w="0" w:type="dxa"/>
        </w:tblCellMar>
      </w:tblPr>
      <w:tr>
        <w:trPr>
          <w:trHeight w:val="182"/>
        </w:trPr>
        <w:tc>
          <w:tcPr>
            <w:tcW w:w="3240" w:type="dxa"/>
            <w:vAlign w:val="bottom"/>
          </w:tcPr>
          <w:p>
            <w:pPr>
              <w:spacing w:after="0"/>
              <w:rPr>
                <w:sz w:val="15"/>
                <w:szCs w:val="15"/>
                <w:color w:val="auto"/>
              </w:rPr>
            </w:pPr>
          </w:p>
        </w:tc>
        <w:tc>
          <w:tcPr>
            <w:tcW w:w="3620" w:type="dxa"/>
            <w:vAlign w:val="bottom"/>
          </w:tcPr>
          <w:p>
            <w:pPr>
              <w:ind w:left="1380"/>
              <w:spacing w:after="0"/>
              <w:rPr>
                <w:sz w:val="20"/>
                <w:szCs w:val="20"/>
                <w:color w:val="auto"/>
              </w:rPr>
            </w:pPr>
            <w:r>
              <w:rPr>
                <w:rFonts w:ascii="Arial" w:cs="Arial" w:eastAsia="Arial" w:hAnsi="Arial"/>
                <w:sz w:val="14"/>
                <w:szCs w:val="14"/>
                <w:b w:val="1"/>
                <w:bCs w:val="1"/>
                <w:i w:val="1"/>
                <w:iCs w:val="1"/>
                <w:color w:val="auto"/>
              </w:rPr>
              <w:t>Copies to:</w:t>
            </w:r>
          </w:p>
        </w:tc>
        <w:tc>
          <w:tcPr>
            <w:tcW w:w="2920" w:type="dxa"/>
            <w:vAlign w:val="bottom"/>
          </w:tcPr>
          <w:p>
            <w:pPr>
              <w:spacing w:after="0"/>
              <w:rPr>
                <w:sz w:val="15"/>
                <w:szCs w:val="15"/>
                <w:color w:val="auto"/>
              </w:rPr>
            </w:pPr>
          </w:p>
        </w:tc>
      </w:tr>
      <w:tr>
        <w:trPr>
          <w:trHeight w:val="151"/>
        </w:trPr>
        <w:tc>
          <w:tcPr>
            <w:tcW w:w="3240" w:type="dxa"/>
            <w:vAlign w:val="bottom"/>
          </w:tcPr>
          <w:p>
            <w:pPr>
              <w:jc w:val="center"/>
              <w:ind w:right="748"/>
              <w:spacing w:after="0" w:line="151" w:lineRule="exact"/>
              <w:rPr>
                <w:sz w:val="20"/>
                <w:szCs w:val="20"/>
                <w:color w:val="auto"/>
              </w:rPr>
            </w:pPr>
            <w:r>
              <w:rPr>
                <w:rFonts w:ascii="Arial" w:cs="Arial" w:eastAsia="Arial" w:hAnsi="Arial"/>
                <w:sz w:val="14"/>
                <w:szCs w:val="14"/>
                <w:b w:val="1"/>
                <w:bCs w:val="1"/>
                <w:color w:val="auto"/>
                <w:w w:val="91"/>
              </w:rPr>
              <w:t>Tony Jeffries, Esq.</w:t>
            </w:r>
          </w:p>
        </w:tc>
        <w:tc>
          <w:tcPr>
            <w:tcW w:w="3620" w:type="dxa"/>
            <w:vAlign w:val="bottom"/>
          </w:tcPr>
          <w:p>
            <w:pPr>
              <w:jc w:val="center"/>
              <w:spacing w:after="0" w:line="151" w:lineRule="exact"/>
              <w:rPr>
                <w:sz w:val="20"/>
                <w:szCs w:val="20"/>
                <w:color w:val="auto"/>
              </w:rPr>
            </w:pPr>
            <w:r>
              <w:rPr>
                <w:rFonts w:ascii="Arial" w:cs="Arial" w:eastAsia="Arial" w:hAnsi="Arial"/>
                <w:sz w:val="14"/>
                <w:szCs w:val="14"/>
                <w:b w:val="1"/>
                <w:bCs w:val="1"/>
                <w:color w:val="auto"/>
                <w:w w:val="94"/>
              </w:rPr>
              <w:t>Bart E. Volkmer, Esq.</w:t>
            </w:r>
          </w:p>
        </w:tc>
        <w:tc>
          <w:tcPr>
            <w:tcW w:w="2920" w:type="dxa"/>
            <w:vAlign w:val="bottom"/>
          </w:tcPr>
          <w:p>
            <w:pPr>
              <w:jc w:val="center"/>
              <w:ind w:left="768"/>
              <w:spacing w:after="0" w:line="151" w:lineRule="exact"/>
              <w:rPr>
                <w:sz w:val="20"/>
                <w:szCs w:val="20"/>
                <w:color w:val="auto"/>
              </w:rPr>
            </w:pPr>
            <w:r>
              <w:rPr>
                <w:rFonts w:ascii="Arial" w:cs="Arial" w:eastAsia="Arial" w:hAnsi="Arial"/>
                <w:sz w:val="14"/>
                <w:szCs w:val="14"/>
                <w:b w:val="1"/>
                <w:bCs w:val="1"/>
                <w:color w:val="auto"/>
                <w:w w:val="92"/>
              </w:rPr>
              <w:t>Kevin P. Kennedy, Esq.</w:t>
            </w:r>
          </w:p>
        </w:tc>
      </w:tr>
      <w:tr>
        <w:trPr>
          <w:trHeight w:val="148"/>
        </w:trPr>
        <w:tc>
          <w:tcPr>
            <w:tcW w:w="3240" w:type="dxa"/>
            <w:vAlign w:val="bottom"/>
          </w:tcPr>
          <w:p>
            <w:pPr>
              <w:jc w:val="center"/>
              <w:ind w:right="748"/>
              <w:spacing w:after="0" w:line="149" w:lineRule="exact"/>
              <w:rPr>
                <w:sz w:val="20"/>
                <w:szCs w:val="20"/>
                <w:color w:val="auto"/>
              </w:rPr>
            </w:pPr>
            <w:r>
              <w:rPr>
                <w:rFonts w:ascii="Arial" w:cs="Arial" w:eastAsia="Arial" w:hAnsi="Arial"/>
                <w:sz w:val="14"/>
                <w:szCs w:val="14"/>
                <w:b w:val="1"/>
                <w:bCs w:val="1"/>
                <w:color w:val="auto"/>
                <w:w w:val="94"/>
              </w:rPr>
              <w:t>Rezwan D. Pavri, Esq.</w:t>
            </w:r>
          </w:p>
        </w:tc>
        <w:tc>
          <w:tcPr>
            <w:tcW w:w="36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4"/>
              </w:rPr>
              <w:t>Mary Anne Becking, Esq.</w:t>
            </w:r>
          </w:p>
        </w:tc>
        <w:tc>
          <w:tcPr>
            <w:tcW w:w="2920" w:type="dxa"/>
            <w:vAlign w:val="bottom"/>
          </w:tcPr>
          <w:p>
            <w:pPr>
              <w:jc w:val="center"/>
              <w:ind w:left="788"/>
              <w:spacing w:after="0" w:line="149" w:lineRule="exact"/>
              <w:rPr>
                <w:sz w:val="20"/>
                <w:szCs w:val="20"/>
                <w:color w:val="auto"/>
              </w:rPr>
            </w:pPr>
            <w:r>
              <w:rPr>
                <w:rFonts w:ascii="Arial" w:cs="Arial" w:eastAsia="Arial" w:hAnsi="Arial"/>
                <w:sz w:val="14"/>
                <w:szCs w:val="14"/>
                <w:b w:val="1"/>
                <w:bCs w:val="1"/>
                <w:color w:val="auto"/>
                <w:w w:val="95"/>
              </w:rPr>
              <w:t>Simpson Thacher &amp; Bartlett LLP</w:t>
            </w:r>
          </w:p>
        </w:tc>
      </w:tr>
      <w:tr>
        <w:trPr>
          <w:trHeight w:val="149"/>
        </w:trPr>
        <w:tc>
          <w:tcPr>
            <w:tcW w:w="3240" w:type="dxa"/>
            <w:vAlign w:val="bottom"/>
          </w:tcPr>
          <w:p>
            <w:pPr>
              <w:jc w:val="center"/>
              <w:ind w:right="728"/>
              <w:spacing w:after="0" w:line="149" w:lineRule="exact"/>
              <w:rPr>
                <w:sz w:val="20"/>
                <w:szCs w:val="20"/>
                <w:color w:val="auto"/>
              </w:rPr>
            </w:pPr>
            <w:r>
              <w:rPr>
                <w:rFonts w:ascii="Arial" w:cs="Arial" w:eastAsia="Arial" w:hAnsi="Arial"/>
                <w:sz w:val="14"/>
                <w:szCs w:val="14"/>
                <w:b w:val="1"/>
                <w:bCs w:val="1"/>
                <w:color w:val="auto"/>
                <w:w w:val="94"/>
              </w:rPr>
              <w:t>Lisa L. Stimmell, Esq.</w:t>
            </w:r>
          </w:p>
        </w:tc>
        <w:tc>
          <w:tcPr>
            <w:tcW w:w="36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5"/>
              </w:rPr>
              <w:t>Cara M. Angelmar, Esq.</w:t>
            </w:r>
          </w:p>
        </w:tc>
        <w:tc>
          <w:tcPr>
            <w:tcW w:w="2920" w:type="dxa"/>
            <w:vAlign w:val="bottom"/>
          </w:tcPr>
          <w:p>
            <w:pPr>
              <w:jc w:val="center"/>
              <w:ind w:left="788"/>
              <w:spacing w:after="0" w:line="149" w:lineRule="exact"/>
              <w:rPr>
                <w:sz w:val="20"/>
                <w:szCs w:val="20"/>
                <w:color w:val="auto"/>
              </w:rPr>
            </w:pPr>
            <w:r>
              <w:rPr>
                <w:rFonts w:ascii="Arial" w:cs="Arial" w:eastAsia="Arial" w:hAnsi="Arial"/>
                <w:sz w:val="14"/>
                <w:szCs w:val="14"/>
                <w:b w:val="1"/>
                <w:bCs w:val="1"/>
                <w:color w:val="auto"/>
                <w:w w:val="93"/>
              </w:rPr>
              <w:t>2475 Hanover St</w:t>
            </w:r>
          </w:p>
        </w:tc>
      </w:tr>
      <w:tr>
        <w:trPr>
          <w:trHeight w:val="148"/>
        </w:trPr>
        <w:tc>
          <w:tcPr>
            <w:tcW w:w="3240" w:type="dxa"/>
            <w:vAlign w:val="bottom"/>
          </w:tcPr>
          <w:p>
            <w:pPr>
              <w:jc w:val="center"/>
              <w:ind w:right="728"/>
              <w:spacing w:after="0" w:line="149" w:lineRule="exact"/>
              <w:rPr>
                <w:sz w:val="20"/>
                <w:szCs w:val="20"/>
                <w:color w:val="auto"/>
              </w:rPr>
            </w:pPr>
            <w:r>
              <w:rPr>
                <w:rFonts w:ascii="Arial" w:cs="Arial" w:eastAsia="Arial" w:hAnsi="Arial"/>
                <w:sz w:val="14"/>
                <w:szCs w:val="14"/>
                <w:b w:val="1"/>
                <w:bCs w:val="1"/>
                <w:color w:val="auto"/>
                <w:w w:val="93"/>
              </w:rPr>
              <w:t>Wilson Sonsini Goodrich &amp; Rosati, P.C.</w:t>
            </w:r>
          </w:p>
        </w:tc>
        <w:tc>
          <w:tcPr>
            <w:tcW w:w="36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3"/>
              </w:rPr>
              <w:t>Dropbox, Inc.</w:t>
            </w:r>
          </w:p>
        </w:tc>
        <w:tc>
          <w:tcPr>
            <w:tcW w:w="2920" w:type="dxa"/>
            <w:vAlign w:val="bottom"/>
          </w:tcPr>
          <w:p>
            <w:pPr>
              <w:jc w:val="center"/>
              <w:ind w:left="768"/>
              <w:spacing w:after="0" w:line="149" w:lineRule="exact"/>
              <w:rPr>
                <w:sz w:val="20"/>
                <w:szCs w:val="20"/>
                <w:color w:val="auto"/>
              </w:rPr>
            </w:pPr>
            <w:r>
              <w:rPr>
                <w:rFonts w:ascii="Arial" w:cs="Arial" w:eastAsia="Arial" w:hAnsi="Arial"/>
                <w:sz w:val="14"/>
                <w:szCs w:val="14"/>
                <w:b w:val="1"/>
                <w:bCs w:val="1"/>
                <w:color w:val="auto"/>
                <w:w w:val="95"/>
              </w:rPr>
              <w:t>Palo Alto, California 94304</w:t>
            </w:r>
          </w:p>
        </w:tc>
      </w:tr>
      <w:tr>
        <w:trPr>
          <w:trHeight w:val="149"/>
        </w:trPr>
        <w:tc>
          <w:tcPr>
            <w:tcW w:w="3240" w:type="dxa"/>
            <w:vAlign w:val="bottom"/>
          </w:tcPr>
          <w:p>
            <w:pPr>
              <w:jc w:val="center"/>
              <w:ind w:right="728"/>
              <w:spacing w:after="0" w:line="149" w:lineRule="exact"/>
              <w:rPr>
                <w:sz w:val="20"/>
                <w:szCs w:val="20"/>
                <w:color w:val="auto"/>
              </w:rPr>
            </w:pPr>
            <w:r>
              <w:rPr>
                <w:rFonts w:ascii="Arial" w:cs="Arial" w:eastAsia="Arial" w:hAnsi="Arial"/>
                <w:sz w:val="14"/>
                <w:szCs w:val="14"/>
                <w:b w:val="1"/>
                <w:bCs w:val="1"/>
                <w:color w:val="auto"/>
                <w:w w:val="94"/>
              </w:rPr>
              <w:t>650 Page Mill Road</w:t>
            </w:r>
          </w:p>
        </w:tc>
        <w:tc>
          <w:tcPr>
            <w:tcW w:w="36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4"/>
              </w:rPr>
              <w:t>333 Brannan Street</w:t>
            </w:r>
          </w:p>
        </w:tc>
        <w:tc>
          <w:tcPr>
            <w:tcW w:w="2920" w:type="dxa"/>
            <w:vAlign w:val="bottom"/>
          </w:tcPr>
          <w:p>
            <w:pPr>
              <w:jc w:val="center"/>
              <w:ind w:left="788"/>
              <w:spacing w:after="0" w:line="149" w:lineRule="exact"/>
              <w:rPr>
                <w:sz w:val="20"/>
                <w:szCs w:val="20"/>
                <w:color w:val="auto"/>
              </w:rPr>
            </w:pPr>
            <w:r>
              <w:rPr>
                <w:rFonts w:ascii="Arial" w:cs="Arial" w:eastAsia="Arial" w:hAnsi="Arial"/>
                <w:sz w:val="14"/>
                <w:szCs w:val="14"/>
                <w:b w:val="1"/>
                <w:bCs w:val="1"/>
                <w:color w:val="auto"/>
                <w:w w:val="93"/>
              </w:rPr>
              <w:t>(650) 251-5000</w:t>
            </w:r>
          </w:p>
        </w:tc>
      </w:tr>
      <w:tr>
        <w:trPr>
          <w:trHeight w:val="148"/>
        </w:trPr>
        <w:tc>
          <w:tcPr>
            <w:tcW w:w="3240" w:type="dxa"/>
            <w:vAlign w:val="bottom"/>
          </w:tcPr>
          <w:p>
            <w:pPr>
              <w:jc w:val="center"/>
              <w:ind w:right="748"/>
              <w:spacing w:after="0" w:line="149" w:lineRule="exact"/>
              <w:rPr>
                <w:sz w:val="20"/>
                <w:szCs w:val="20"/>
                <w:color w:val="auto"/>
              </w:rPr>
            </w:pPr>
            <w:r>
              <w:rPr>
                <w:rFonts w:ascii="Arial" w:cs="Arial" w:eastAsia="Arial" w:hAnsi="Arial"/>
                <w:sz w:val="14"/>
                <w:szCs w:val="14"/>
                <w:b w:val="1"/>
                <w:bCs w:val="1"/>
                <w:color w:val="auto"/>
                <w:w w:val="94"/>
              </w:rPr>
              <w:t>Palo Alto, California 94304</w:t>
            </w:r>
          </w:p>
        </w:tc>
        <w:tc>
          <w:tcPr>
            <w:tcW w:w="36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San Francisco, California 94107</w:t>
            </w:r>
          </w:p>
        </w:tc>
        <w:tc>
          <w:tcPr>
            <w:tcW w:w="2920" w:type="dxa"/>
            <w:vAlign w:val="bottom"/>
          </w:tcPr>
          <w:p>
            <w:pPr>
              <w:spacing w:after="0"/>
              <w:rPr>
                <w:sz w:val="12"/>
                <w:szCs w:val="12"/>
                <w:color w:val="auto"/>
              </w:rPr>
            </w:pPr>
          </w:p>
        </w:tc>
      </w:tr>
      <w:tr>
        <w:trPr>
          <w:trHeight w:val="186"/>
        </w:trPr>
        <w:tc>
          <w:tcPr>
            <w:tcW w:w="3240" w:type="dxa"/>
            <w:vAlign w:val="bottom"/>
          </w:tcPr>
          <w:p>
            <w:pPr>
              <w:jc w:val="center"/>
              <w:ind w:right="748"/>
              <w:spacing w:after="0"/>
              <w:rPr>
                <w:sz w:val="20"/>
                <w:szCs w:val="20"/>
                <w:color w:val="auto"/>
              </w:rPr>
            </w:pPr>
            <w:r>
              <w:rPr>
                <w:rFonts w:ascii="Arial" w:cs="Arial" w:eastAsia="Arial" w:hAnsi="Arial"/>
                <w:sz w:val="14"/>
                <w:szCs w:val="14"/>
                <w:b w:val="1"/>
                <w:bCs w:val="1"/>
                <w:color w:val="auto"/>
                <w:w w:val="93"/>
              </w:rPr>
              <w:t>(650) 493-9300</w:t>
            </w:r>
          </w:p>
        </w:tc>
        <w:tc>
          <w:tcPr>
            <w:tcW w:w="3620" w:type="dxa"/>
            <w:vAlign w:val="bottom"/>
          </w:tcPr>
          <w:p>
            <w:pPr>
              <w:jc w:val="center"/>
              <w:spacing w:after="0"/>
              <w:rPr>
                <w:sz w:val="20"/>
                <w:szCs w:val="20"/>
                <w:color w:val="auto"/>
              </w:rPr>
            </w:pPr>
            <w:r>
              <w:rPr>
                <w:rFonts w:ascii="Arial" w:cs="Arial" w:eastAsia="Arial" w:hAnsi="Arial"/>
                <w:sz w:val="14"/>
                <w:szCs w:val="14"/>
                <w:b w:val="1"/>
                <w:bCs w:val="1"/>
                <w:color w:val="auto"/>
                <w:w w:val="93"/>
              </w:rPr>
              <w:t>(415) 857-6800</w:t>
            </w:r>
          </w:p>
        </w:tc>
        <w:tc>
          <w:tcPr>
            <w:tcW w:w="2920" w:type="dxa"/>
            <w:vAlign w:val="bottom"/>
          </w:tcPr>
          <w:p>
            <w:pPr>
              <w:spacing w:after="0"/>
              <w:rPr>
                <w:sz w:val="16"/>
                <w:szCs w:val="16"/>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2825115</wp:posOffset>
            </wp:positionH>
            <wp:positionV relativeFrom="paragraph">
              <wp:posOffset>59055</wp:posOffset>
            </wp:positionV>
            <wp:extent cx="149161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491615" cy="8255"/>
                    </a:xfrm>
                    <a:prstGeom prst="rect">
                      <a:avLst/>
                    </a:prstGeom>
                    <a:noFill/>
                  </pic:spPr>
                </pic:pic>
              </a:graphicData>
            </a:graphic>
          </wp:anchor>
        </w:drawing>
      </w:r>
    </w:p>
    <w:p>
      <w:pPr>
        <w:spacing w:after="0" w:line="104" w:lineRule="exact"/>
        <w:rPr>
          <w:sz w:val="24"/>
          <w:szCs w:val="24"/>
          <w:color w:val="auto"/>
        </w:rPr>
      </w:pPr>
    </w:p>
    <w:p>
      <w:pPr>
        <w:ind w:left="340"/>
        <w:spacing w:after="0"/>
        <w:rPr>
          <w:sz w:val="20"/>
          <w:szCs w:val="20"/>
          <w:color w:val="auto"/>
        </w:rPr>
      </w:pPr>
      <w:r>
        <w:rPr>
          <w:rFonts w:ascii="Arial" w:cs="Arial" w:eastAsia="Arial" w:hAnsi="Arial"/>
          <w:sz w:val="14"/>
          <w:szCs w:val="14"/>
          <w:b w:val="1"/>
          <w:bCs w:val="1"/>
          <w:color w:val="auto"/>
        </w:rPr>
        <w:t>Approximate date of commencement of proposed sale to the public</w:t>
      </w:r>
      <w:r>
        <w:rPr>
          <w:rFonts w:ascii="Arial" w:cs="Arial" w:eastAsia="Arial" w:hAnsi="Arial"/>
          <w:sz w:val="14"/>
          <w:szCs w:val="14"/>
          <w:color w:val="auto"/>
        </w:rPr>
        <w:t>: As soon as practicable after this registration statement becomes effective.</w:t>
      </w:r>
    </w:p>
    <w:p>
      <w:pPr>
        <w:spacing w:after="0" w:line="25" w:lineRule="exact"/>
        <w:rPr>
          <w:sz w:val="24"/>
          <w:szCs w:val="24"/>
          <w:color w:val="auto"/>
        </w:rPr>
      </w:pPr>
    </w:p>
    <w:p>
      <w:pPr>
        <w:ind w:left="340"/>
        <w:spacing w:after="0" w:line="150" w:lineRule="exact"/>
        <w:rPr>
          <w:sz w:val="20"/>
          <w:szCs w:val="20"/>
          <w:color w:val="auto"/>
        </w:rPr>
      </w:pPr>
      <w:r>
        <w:rPr>
          <w:rFonts w:ascii="Arial" w:cs="Arial" w:eastAsia="Arial" w:hAnsi="Arial"/>
          <w:sz w:val="13"/>
          <w:szCs w:val="13"/>
          <w:color w:val="auto"/>
        </w:rPr>
        <w:t xml:space="preserve">If any of the securities being registered on this Form are to be offered on a delayed or continuous basis pursuant to Rule 415 under the Securities Act of 1933 check the following box. </w:t>
      </w:r>
      <w:r>
        <w:rPr>
          <w:rFonts w:ascii="MS PGothic" w:cs="MS PGothic" w:eastAsia="MS PGothic" w:hAnsi="MS PGothic"/>
          <w:sz w:val="13"/>
          <w:szCs w:val="13"/>
          <w:color w:val="auto"/>
        </w:rPr>
        <w:t>☐</w:t>
      </w:r>
    </w:p>
    <w:p>
      <w:pPr>
        <w:spacing w:after="0" w:line="69" w:lineRule="exact"/>
        <w:rPr>
          <w:sz w:val="24"/>
          <w:szCs w:val="24"/>
          <w:color w:val="auto"/>
        </w:rPr>
      </w:pPr>
    </w:p>
    <w:p>
      <w:pPr>
        <w:ind w:right="200" w:firstLine="337"/>
        <w:spacing w:after="0" w:line="176" w:lineRule="exact"/>
        <w:rPr>
          <w:sz w:val="20"/>
          <w:szCs w:val="20"/>
          <w:color w:val="auto"/>
        </w:rPr>
      </w:pPr>
      <w:r>
        <w:rPr>
          <w:rFonts w:ascii="Arial" w:cs="Arial" w:eastAsia="Arial" w:hAnsi="Arial"/>
          <w:sz w:val="14"/>
          <w:szCs w:val="14"/>
          <w:color w:val="auto"/>
        </w:rPr>
        <w:t xml:space="preserve">If this Form is filed to register additional securities for an offering pursuant to Rule 462(b) under the Securities Act, please check the following box and list the Securities Act registration statement number of the earlier effective registration statement for the same offering. </w:t>
      </w:r>
      <w:r>
        <w:rPr>
          <w:rFonts w:ascii="MS PGothic" w:cs="MS PGothic" w:eastAsia="MS PGothic" w:hAnsi="MS PGothic"/>
          <w:sz w:val="14"/>
          <w:szCs w:val="14"/>
          <w:color w:val="auto"/>
        </w:rPr>
        <w:t>☐</w:t>
      </w:r>
    </w:p>
    <w:p>
      <w:pPr>
        <w:spacing w:after="0" w:line="5" w:lineRule="exact"/>
        <w:rPr>
          <w:sz w:val="24"/>
          <w:szCs w:val="24"/>
          <w:color w:val="auto"/>
        </w:rPr>
      </w:pPr>
    </w:p>
    <w:p>
      <w:pPr>
        <w:ind w:right="220" w:firstLine="337"/>
        <w:spacing w:after="0" w:line="180" w:lineRule="exact"/>
        <w:rPr>
          <w:sz w:val="20"/>
          <w:szCs w:val="20"/>
          <w:color w:val="auto"/>
        </w:rPr>
      </w:pPr>
      <w:r>
        <w:rPr>
          <w:rFonts w:ascii="Arial" w:cs="Arial" w:eastAsia="Arial" w:hAnsi="Arial"/>
          <w:sz w:val="14"/>
          <w:szCs w:val="14"/>
          <w:color w:val="auto"/>
        </w:rPr>
        <w:t xml:space="preserve">If this Form is a post-effective amendment filed pursuant to Rule 462(c) under the Securities Act, check the following box and list the Securities Act registration statement number of the earlier effective registration statement for the same offering. </w:t>
      </w:r>
      <w:r>
        <w:rPr>
          <w:rFonts w:ascii="MS PGothic" w:cs="MS PGothic" w:eastAsia="MS PGothic" w:hAnsi="MS PGothic"/>
          <w:sz w:val="14"/>
          <w:szCs w:val="14"/>
          <w:color w:val="auto"/>
        </w:rPr>
        <w:t>☐</w:t>
      </w:r>
    </w:p>
    <w:p>
      <w:pPr>
        <w:spacing w:after="0" w:line="5" w:lineRule="exact"/>
        <w:rPr>
          <w:sz w:val="24"/>
          <w:szCs w:val="24"/>
          <w:color w:val="auto"/>
        </w:rPr>
      </w:pPr>
    </w:p>
    <w:p>
      <w:pPr>
        <w:ind w:right="220" w:firstLine="337"/>
        <w:spacing w:after="0" w:line="180" w:lineRule="exact"/>
        <w:rPr>
          <w:sz w:val="20"/>
          <w:szCs w:val="20"/>
          <w:color w:val="auto"/>
        </w:rPr>
      </w:pPr>
      <w:r>
        <w:rPr>
          <w:rFonts w:ascii="Arial" w:cs="Arial" w:eastAsia="Arial" w:hAnsi="Arial"/>
          <w:sz w:val="14"/>
          <w:szCs w:val="14"/>
          <w:color w:val="auto"/>
        </w:rPr>
        <w:t xml:space="preserve">If this Form is a post-effective amendment filed pursuant to Rule 462(d) under the Securities Act, check the following box and list the Securities Act registration statement number of the earlier effective registration statement for the same offering. </w:t>
      </w:r>
      <w:r>
        <w:rPr>
          <w:rFonts w:ascii="MS PGothic" w:cs="MS PGothic" w:eastAsia="MS PGothic" w:hAnsi="MS PGothic"/>
          <w:sz w:val="14"/>
          <w:szCs w:val="14"/>
          <w:color w:val="auto"/>
        </w:rPr>
        <w:t>☐</w:t>
      </w:r>
    </w:p>
    <w:p>
      <w:pPr>
        <w:spacing w:after="0" w:line="1" w:lineRule="exact"/>
        <w:rPr>
          <w:sz w:val="24"/>
          <w:szCs w:val="24"/>
          <w:color w:val="auto"/>
        </w:rPr>
      </w:pPr>
    </w:p>
    <w:p>
      <w:pPr>
        <w:ind w:right="100" w:firstLine="337"/>
        <w:spacing w:after="0" w:line="239" w:lineRule="auto"/>
        <w:rPr>
          <w:sz w:val="20"/>
          <w:szCs w:val="20"/>
          <w:color w:val="auto"/>
        </w:rPr>
      </w:pPr>
      <w:r>
        <w:rPr>
          <w:rFonts w:ascii="Arial" w:cs="Arial" w:eastAsia="Arial" w:hAnsi="Arial"/>
          <w:sz w:val="14"/>
          <w:szCs w:val="14"/>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61" w:lineRule="exact"/>
        <w:rPr>
          <w:sz w:val="24"/>
          <w:szCs w:val="24"/>
          <w:color w:val="auto"/>
        </w:rPr>
      </w:pPr>
    </w:p>
    <w:tbl>
      <w:tblPr>
        <w:tblLayout w:type="fixed"/>
        <w:tblInd w:w="0" w:type="dxa"/>
        <w:tblCellMar>
          <w:top w:w="0" w:type="dxa"/>
          <w:left w:w="0" w:type="dxa"/>
          <w:bottom w:w="0" w:type="dxa"/>
          <w:right w:w="0" w:type="dxa"/>
        </w:tblCellMar>
      </w:tblPr>
      <w:tr>
        <w:trPr>
          <w:trHeight w:val="226"/>
        </w:trPr>
        <w:tc>
          <w:tcPr>
            <w:tcW w:w="1800" w:type="dxa"/>
            <w:vAlign w:val="bottom"/>
          </w:tcPr>
          <w:p>
            <w:pPr>
              <w:spacing w:after="0"/>
              <w:rPr>
                <w:sz w:val="20"/>
                <w:szCs w:val="20"/>
                <w:color w:val="auto"/>
              </w:rPr>
            </w:pPr>
            <w:r>
              <w:rPr>
                <w:rFonts w:ascii="Arial" w:cs="Arial" w:eastAsia="Arial" w:hAnsi="Arial"/>
                <w:sz w:val="14"/>
                <w:szCs w:val="14"/>
                <w:color w:val="auto"/>
              </w:rPr>
              <w:t>Large accelerated filer</w:t>
            </w:r>
          </w:p>
        </w:tc>
        <w:tc>
          <w:tcPr>
            <w:tcW w:w="5200" w:type="dxa"/>
            <w:vAlign w:val="bottom"/>
          </w:tcPr>
          <w:p>
            <w:pPr>
              <w:ind w:left="240"/>
              <w:spacing w:after="0" w:line="141" w:lineRule="exact"/>
              <w:rPr>
                <w:sz w:val="20"/>
                <w:szCs w:val="20"/>
                <w:color w:val="auto"/>
              </w:rPr>
            </w:pPr>
            <w:r>
              <w:rPr>
                <w:rFonts w:ascii="MS PGothic" w:cs="MS PGothic" w:eastAsia="MS PGothic" w:hAnsi="MS PGothic"/>
                <w:sz w:val="14"/>
                <w:szCs w:val="14"/>
                <w:color w:val="auto"/>
              </w:rPr>
              <w:t>☐</w:t>
            </w:r>
          </w:p>
        </w:tc>
        <w:tc>
          <w:tcPr>
            <w:tcW w:w="3880" w:type="dxa"/>
            <w:vAlign w:val="bottom"/>
          </w:tcPr>
          <w:p>
            <w:pPr>
              <w:ind w:left="2100"/>
              <w:spacing w:after="0"/>
              <w:rPr>
                <w:sz w:val="20"/>
                <w:szCs w:val="20"/>
                <w:color w:val="auto"/>
              </w:rPr>
            </w:pPr>
            <w:r>
              <w:rPr>
                <w:rFonts w:ascii="Arial" w:cs="Arial" w:eastAsia="Arial" w:hAnsi="Arial"/>
                <w:sz w:val="14"/>
                <w:szCs w:val="14"/>
                <w:color w:val="auto"/>
              </w:rPr>
              <w:t>Accelerated filer</w:t>
            </w:r>
          </w:p>
        </w:tc>
        <w:tc>
          <w:tcPr>
            <w:tcW w:w="360" w:type="dxa"/>
            <w:vAlign w:val="bottom"/>
          </w:tcPr>
          <w:p>
            <w:pPr>
              <w:ind w:left="220"/>
              <w:spacing w:after="0" w:line="141" w:lineRule="exact"/>
              <w:rPr>
                <w:sz w:val="20"/>
                <w:szCs w:val="20"/>
                <w:color w:val="auto"/>
              </w:rPr>
            </w:pPr>
            <w:r>
              <w:rPr>
                <w:rFonts w:ascii="MS PGothic" w:cs="MS PGothic" w:eastAsia="MS PGothic" w:hAnsi="MS PGothic"/>
                <w:sz w:val="14"/>
                <w:szCs w:val="14"/>
                <w:color w:val="auto"/>
                <w:w w:val="85"/>
              </w:rPr>
              <w:t>☐</w:t>
            </w:r>
          </w:p>
        </w:tc>
      </w:tr>
      <w:tr>
        <w:trPr>
          <w:trHeight w:val="243"/>
        </w:trPr>
        <w:tc>
          <w:tcPr>
            <w:tcW w:w="1800" w:type="dxa"/>
            <w:vAlign w:val="bottom"/>
          </w:tcPr>
          <w:p>
            <w:pPr>
              <w:spacing w:after="0"/>
              <w:rPr>
                <w:sz w:val="20"/>
                <w:szCs w:val="20"/>
                <w:color w:val="auto"/>
              </w:rPr>
            </w:pPr>
            <w:r>
              <w:rPr>
                <w:rFonts w:ascii="Arial" w:cs="Arial" w:eastAsia="Arial" w:hAnsi="Arial"/>
                <w:sz w:val="14"/>
                <w:szCs w:val="14"/>
                <w:color w:val="auto"/>
              </w:rPr>
              <w:t>Non-accelerated filer</w:t>
            </w:r>
          </w:p>
        </w:tc>
        <w:tc>
          <w:tcPr>
            <w:tcW w:w="5200" w:type="dxa"/>
            <w:vAlign w:val="bottom"/>
          </w:tcPr>
          <w:p>
            <w:pPr>
              <w:ind w:left="240"/>
              <w:spacing w:after="0" w:line="161" w:lineRule="exact"/>
              <w:rPr>
                <w:sz w:val="20"/>
                <w:szCs w:val="20"/>
                <w:color w:val="auto"/>
              </w:rPr>
            </w:pPr>
            <w:r>
              <w:rPr>
                <w:rFonts w:ascii="MS PGothic" w:cs="MS PGothic" w:eastAsia="MS PGothic" w:hAnsi="MS PGothic"/>
                <w:sz w:val="14"/>
                <w:szCs w:val="14"/>
                <w:color w:val="auto"/>
              </w:rPr>
              <w:t>☒</w:t>
            </w:r>
            <w:r>
              <w:rPr>
                <w:rFonts w:ascii="Arial" w:cs="Arial" w:eastAsia="Arial" w:hAnsi="Arial"/>
                <w:sz w:val="14"/>
                <w:szCs w:val="14"/>
                <w:color w:val="auto"/>
              </w:rPr>
              <w:t xml:space="preserve"> (Do not check if a smaller reporting company)</w:t>
            </w:r>
          </w:p>
        </w:tc>
        <w:tc>
          <w:tcPr>
            <w:tcW w:w="3880" w:type="dxa"/>
            <w:vAlign w:val="bottom"/>
          </w:tcPr>
          <w:p>
            <w:pPr>
              <w:ind w:left="2100"/>
              <w:spacing w:after="0"/>
              <w:rPr>
                <w:sz w:val="20"/>
                <w:szCs w:val="20"/>
                <w:color w:val="auto"/>
              </w:rPr>
            </w:pPr>
            <w:r>
              <w:rPr>
                <w:rFonts w:ascii="Arial" w:cs="Arial" w:eastAsia="Arial" w:hAnsi="Arial"/>
                <w:sz w:val="14"/>
                <w:szCs w:val="14"/>
                <w:color w:val="auto"/>
              </w:rPr>
              <w:t>Smaller reporting company</w:t>
            </w:r>
          </w:p>
        </w:tc>
        <w:tc>
          <w:tcPr>
            <w:tcW w:w="360" w:type="dxa"/>
            <w:vAlign w:val="bottom"/>
          </w:tcPr>
          <w:p>
            <w:pPr>
              <w:ind w:left="220"/>
              <w:spacing w:after="0" w:line="141" w:lineRule="exact"/>
              <w:rPr>
                <w:sz w:val="20"/>
                <w:szCs w:val="20"/>
                <w:color w:val="auto"/>
              </w:rPr>
            </w:pPr>
            <w:r>
              <w:rPr>
                <w:rFonts w:ascii="MS PGothic" w:cs="MS PGothic" w:eastAsia="MS PGothic" w:hAnsi="MS PGothic"/>
                <w:sz w:val="14"/>
                <w:szCs w:val="14"/>
                <w:color w:val="auto"/>
                <w:w w:val="85"/>
              </w:rPr>
              <w:t>☐</w:t>
            </w:r>
          </w:p>
        </w:tc>
      </w:tr>
      <w:tr>
        <w:trPr>
          <w:trHeight w:val="243"/>
        </w:trPr>
        <w:tc>
          <w:tcPr>
            <w:tcW w:w="1800" w:type="dxa"/>
            <w:vAlign w:val="bottom"/>
          </w:tcPr>
          <w:p>
            <w:pPr>
              <w:spacing w:after="0"/>
              <w:rPr>
                <w:sz w:val="20"/>
                <w:szCs w:val="20"/>
                <w:color w:val="auto"/>
              </w:rPr>
            </w:pPr>
            <w:r>
              <w:rPr>
                <w:rFonts w:ascii="Arial" w:cs="Arial" w:eastAsia="Arial" w:hAnsi="Arial"/>
                <w:sz w:val="14"/>
                <w:szCs w:val="14"/>
                <w:color w:val="auto"/>
              </w:rPr>
              <w:t>Emerging growth company</w:t>
            </w:r>
          </w:p>
        </w:tc>
        <w:tc>
          <w:tcPr>
            <w:tcW w:w="5200" w:type="dxa"/>
            <w:vAlign w:val="bottom"/>
          </w:tcPr>
          <w:p>
            <w:pPr>
              <w:ind w:left="240"/>
              <w:spacing w:after="0" w:line="141" w:lineRule="exact"/>
              <w:rPr>
                <w:sz w:val="20"/>
                <w:szCs w:val="20"/>
                <w:color w:val="auto"/>
              </w:rPr>
            </w:pPr>
            <w:r>
              <w:rPr>
                <w:rFonts w:ascii="MS PGothic" w:cs="MS PGothic" w:eastAsia="MS PGothic" w:hAnsi="MS PGothic"/>
                <w:sz w:val="14"/>
                <w:szCs w:val="14"/>
                <w:color w:val="auto"/>
              </w:rPr>
              <w:t>☒</w:t>
            </w:r>
          </w:p>
        </w:tc>
        <w:tc>
          <w:tcPr>
            <w:tcW w:w="3880" w:type="dxa"/>
            <w:vAlign w:val="bottom"/>
          </w:tcPr>
          <w:p>
            <w:pPr>
              <w:spacing w:after="0"/>
              <w:rPr>
                <w:sz w:val="21"/>
                <w:szCs w:val="21"/>
                <w:color w:val="auto"/>
              </w:rPr>
            </w:pPr>
          </w:p>
        </w:tc>
        <w:tc>
          <w:tcPr>
            <w:tcW w:w="360" w:type="dxa"/>
            <w:vAlign w:val="bottom"/>
          </w:tcPr>
          <w:p>
            <w:pPr>
              <w:spacing w:after="0"/>
              <w:rPr>
                <w:sz w:val="21"/>
                <w:szCs w:val="21"/>
                <w:color w:val="auto"/>
              </w:rPr>
            </w:pPr>
          </w:p>
        </w:tc>
      </w:tr>
    </w:tbl>
    <w:p>
      <w:pPr>
        <w:spacing w:after="0" w:line="4" w:lineRule="exact"/>
        <w:rPr>
          <w:sz w:val="24"/>
          <w:szCs w:val="24"/>
          <w:color w:val="auto"/>
        </w:rPr>
      </w:pPr>
    </w:p>
    <w:p>
      <w:pPr>
        <w:ind w:right="560"/>
        <w:spacing w:after="0" w:line="180" w:lineRule="exact"/>
        <w:rPr>
          <w:sz w:val="20"/>
          <w:szCs w:val="20"/>
          <w:color w:val="auto"/>
        </w:rPr>
      </w:pPr>
      <w:r>
        <w:rPr>
          <w:rFonts w:ascii="Arial" w:cs="Arial" w:eastAsia="Arial" w:hAnsi="Arial"/>
          <w:sz w:val="14"/>
          <w:szCs w:val="14"/>
          <w:color w:val="auto"/>
        </w:rPr>
        <w:t xml:space="preserve">If an emerging growth company, indicate by check mark if the registrant has elected not to use the extended transition period for complying with any new or revised financial accounting standards provided pursuant to Section 7(a)(2)(B) of the Securities Act. </w:t>
      </w:r>
      <w:r>
        <w:rPr>
          <w:rFonts w:ascii="MS PGothic" w:cs="MS PGothic" w:eastAsia="MS PGothic" w:hAnsi="MS PGothic"/>
          <w:sz w:val="14"/>
          <w:szCs w:val="14"/>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2825115</wp:posOffset>
            </wp:positionH>
            <wp:positionV relativeFrom="paragraph">
              <wp:posOffset>66675</wp:posOffset>
            </wp:positionV>
            <wp:extent cx="1491615"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491615" cy="8890"/>
                    </a:xfrm>
                    <a:prstGeom prst="rect">
                      <a:avLst/>
                    </a:prstGeom>
                    <a:noFill/>
                  </pic:spPr>
                </pic:pic>
              </a:graphicData>
            </a:graphic>
          </wp:anchor>
        </w:drawing>
      </w:r>
    </w:p>
    <w:p>
      <w:pPr>
        <w:spacing w:after="0" w:line="116"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CALCULATION OF REGISTRATION FEE</w:t>
      </w:r>
    </w:p>
    <w:p>
      <w:pPr>
        <w:spacing w:after="0" w:line="58" w:lineRule="exact"/>
        <w:rPr>
          <w:sz w:val="24"/>
          <w:szCs w:val="24"/>
          <w:color w:val="auto"/>
        </w:rPr>
      </w:pPr>
    </w:p>
    <w:tbl>
      <w:tblPr>
        <w:tblLayout w:type="fixed"/>
        <w:tblInd w:w="0" w:type="dxa"/>
        <w:tblCellMar>
          <w:top w:w="0" w:type="dxa"/>
          <w:left w:w="0" w:type="dxa"/>
          <w:bottom w:w="0" w:type="dxa"/>
          <w:right w:w="0" w:type="dxa"/>
        </w:tblCellMar>
      </w:tblPr>
      <w:tr>
        <w:trPr>
          <w:trHeight w:val="40"/>
        </w:trPr>
        <w:tc>
          <w:tcPr>
            <w:tcW w:w="8120" w:type="dxa"/>
            <w:vAlign w:val="bottom"/>
            <w:tcBorders>
              <w:top w:val="single" w:sz="8" w:color="auto"/>
              <w:bottom w:val="single" w:sz="8" w:color="auto"/>
            </w:tcBorders>
          </w:tcPr>
          <w:p>
            <w:pPr>
              <w:spacing w:after="0"/>
              <w:rPr>
                <w:sz w:val="3"/>
                <w:szCs w:val="3"/>
                <w:color w:val="auto"/>
              </w:rPr>
            </w:pPr>
          </w:p>
        </w:tc>
        <w:tc>
          <w:tcPr>
            <w:tcW w:w="1580" w:type="dxa"/>
            <w:vAlign w:val="bottom"/>
            <w:tcBorders>
              <w:top w:val="single" w:sz="8" w:color="auto"/>
              <w:bottom w:val="single" w:sz="8" w:color="auto"/>
            </w:tcBorders>
          </w:tcPr>
          <w:p>
            <w:pPr>
              <w:spacing w:after="0"/>
              <w:rPr>
                <w:sz w:val="3"/>
                <w:szCs w:val="3"/>
                <w:color w:val="auto"/>
              </w:rPr>
            </w:pPr>
          </w:p>
        </w:tc>
        <w:tc>
          <w:tcPr>
            <w:tcW w:w="1540" w:type="dxa"/>
            <w:vAlign w:val="bottom"/>
            <w:tcBorders>
              <w:top w:val="single" w:sz="8" w:color="auto"/>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06"/>
        </w:trPr>
        <w:tc>
          <w:tcPr>
            <w:tcW w:w="8120" w:type="dxa"/>
            <w:vAlign w:val="bottom"/>
            <w:tcBorders>
              <w:right w:val="single" w:sz="8" w:color="auto"/>
            </w:tcBorders>
          </w:tcPr>
          <w:p>
            <w:pPr>
              <w:spacing w:after="0"/>
              <w:rPr>
                <w:sz w:val="9"/>
                <w:szCs w:val="9"/>
                <w:color w:val="auto"/>
              </w:rPr>
            </w:pPr>
          </w:p>
        </w:tc>
        <w:tc>
          <w:tcPr>
            <w:tcW w:w="1580" w:type="dxa"/>
            <w:vAlign w:val="bottom"/>
            <w:tcBorders>
              <w:right w:val="single" w:sz="8" w:color="auto"/>
            </w:tcBorders>
          </w:tcPr>
          <w:p>
            <w:pPr>
              <w:jc w:val="center"/>
              <w:ind w:left="10"/>
              <w:spacing w:after="0" w:line="106" w:lineRule="exact"/>
              <w:rPr>
                <w:sz w:val="20"/>
                <w:szCs w:val="20"/>
                <w:color w:val="auto"/>
              </w:rPr>
            </w:pPr>
            <w:r>
              <w:rPr>
                <w:rFonts w:ascii="Arial" w:cs="Arial" w:eastAsia="Arial" w:hAnsi="Arial"/>
                <w:sz w:val="12"/>
                <w:szCs w:val="12"/>
                <w:b w:val="1"/>
                <w:bCs w:val="1"/>
                <w:color w:val="auto"/>
              </w:rPr>
              <w:t>Proposed</w:t>
            </w:r>
          </w:p>
        </w:tc>
        <w:tc>
          <w:tcPr>
            <w:tcW w:w="15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9"/>
        </w:trPr>
        <w:tc>
          <w:tcPr>
            <w:tcW w:w="81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4"/>
                <w:szCs w:val="14"/>
                <w:b w:val="1"/>
                <w:bCs w:val="1"/>
                <w:color w:val="auto"/>
                <w:w w:val="91"/>
              </w:rPr>
              <w:t>Title of each Class of</w:t>
            </w:r>
          </w:p>
        </w:tc>
        <w:tc>
          <w:tcPr>
            <w:tcW w:w="158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b w:val="1"/>
                <w:bCs w:val="1"/>
                <w:color w:val="auto"/>
                <w:w w:val="99"/>
              </w:rPr>
              <w:t>Maximum</w:t>
            </w:r>
          </w:p>
        </w:tc>
        <w:tc>
          <w:tcPr>
            <w:tcW w:w="1540" w:type="dxa"/>
            <w:vAlign w:val="bottom"/>
            <w:vMerge w:val="restart"/>
          </w:tcPr>
          <w:p>
            <w:pPr>
              <w:jc w:val="center"/>
              <w:ind w:left="8"/>
              <w:spacing w:after="0"/>
              <w:rPr>
                <w:sz w:val="20"/>
                <w:szCs w:val="20"/>
                <w:color w:val="auto"/>
              </w:rPr>
            </w:pPr>
            <w:r>
              <w:rPr>
                <w:rFonts w:ascii="Arial" w:cs="Arial" w:eastAsia="Arial" w:hAnsi="Arial"/>
                <w:sz w:val="14"/>
                <w:szCs w:val="14"/>
                <w:b w:val="1"/>
                <w:bCs w:val="1"/>
                <w:color w:val="auto"/>
                <w:w w:val="94"/>
              </w:rPr>
              <w:t>Amount of</w:t>
            </w:r>
          </w:p>
        </w:tc>
        <w:tc>
          <w:tcPr>
            <w:tcW w:w="0" w:type="dxa"/>
            <w:vAlign w:val="bottom"/>
          </w:tcPr>
          <w:p>
            <w:pPr>
              <w:spacing w:after="0"/>
              <w:rPr>
                <w:sz w:val="1"/>
                <w:szCs w:val="1"/>
                <w:color w:val="auto"/>
              </w:rPr>
            </w:pPr>
          </w:p>
        </w:tc>
      </w:tr>
      <w:tr>
        <w:trPr>
          <w:trHeight w:val="149"/>
        </w:trPr>
        <w:tc>
          <w:tcPr>
            <w:tcW w:w="8120" w:type="dxa"/>
            <w:vAlign w:val="bottom"/>
            <w:tcBorders>
              <w:right w:val="single" w:sz="8" w:color="auto"/>
            </w:tcBorders>
            <w:vMerge w:val="continue"/>
          </w:tcPr>
          <w:p>
            <w:pPr>
              <w:spacing w:after="0"/>
              <w:rPr>
                <w:sz w:val="12"/>
                <w:szCs w:val="12"/>
                <w:color w:val="auto"/>
              </w:rPr>
            </w:pPr>
          </w:p>
        </w:tc>
        <w:tc>
          <w:tcPr>
            <w:tcW w:w="1580" w:type="dxa"/>
            <w:vAlign w:val="bottom"/>
            <w:tcBorders>
              <w:right w:val="single" w:sz="8" w:color="auto"/>
            </w:tcBorders>
          </w:tcPr>
          <w:p>
            <w:pPr>
              <w:jc w:val="center"/>
              <w:ind w:left="10"/>
              <w:spacing w:after="0" w:line="149" w:lineRule="exact"/>
              <w:rPr>
                <w:sz w:val="20"/>
                <w:szCs w:val="20"/>
                <w:color w:val="auto"/>
              </w:rPr>
            </w:pPr>
            <w:r>
              <w:rPr>
                <w:rFonts w:ascii="Arial" w:cs="Arial" w:eastAsia="Arial" w:hAnsi="Arial"/>
                <w:sz w:val="14"/>
                <w:szCs w:val="14"/>
                <w:b w:val="1"/>
                <w:bCs w:val="1"/>
                <w:color w:val="auto"/>
                <w:w w:val="89"/>
              </w:rPr>
              <w:t>Aggregate</w:t>
            </w:r>
          </w:p>
        </w:tc>
        <w:tc>
          <w:tcPr>
            <w:tcW w:w="15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85"/>
        </w:trPr>
        <w:tc>
          <w:tcPr>
            <w:tcW w:w="81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Securities to be Registered</w:t>
            </w:r>
          </w:p>
        </w:tc>
        <w:tc>
          <w:tcPr>
            <w:tcW w:w="15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w w:val="95"/>
              </w:rPr>
              <w:t>Offering Price</w:t>
            </w:r>
            <w:r>
              <w:rPr>
                <w:rFonts w:ascii="Arial" w:cs="Arial" w:eastAsia="Arial" w:hAnsi="Arial"/>
                <w:sz w:val="12"/>
                <w:szCs w:val="12"/>
                <w:b w:val="1"/>
                <w:bCs w:val="1"/>
                <w:color w:val="auto"/>
                <w:w w:val="95"/>
              </w:rPr>
              <w:t>(1)(2)</w:t>
            </w:r>
          </w:p>
        </w:tc>
        <w:tc>
          <w:tcPr>
            <w:tcW w:w="1540" w:type="dxa"/>
            <w:vAlign w:val="bottom"/>
            <w:tcBorders>
              <w:bottom w:val="single" w:sz="8" w:color="auto"/>
            </w:tcBorders>
          </w:tcPr>
          <w:p>
            <w:pPr>
              <w:jc w:val="center"/>
              <w:ind w:left="8"/>
              <w:spacing w:after="0"/>
              <w:rPr>
                <w:sz w:val="20"/>
                <w:szCs w:val="20"/>
                <w:color w:val="auto"/>
              </w:rPr>
            </w:pPr>
            <w:r>
              <w:rPr>
                <w:rFonts w:ascii="Arial" w:cs="Arial" w:eastAsia="Arial" w:hAnsi="Arial"/>
                <w:sz w:val="14"/>
                <w:szCs w:val="14"/>
                <w:b w:val="1"/>
                <w:bCs w:val="1"/>
                <w:color w:val="auto"/>
                <w:w w:val="92"/>
              </w:rPr>
              <w:t>Registration Fee</w:t>
            </w:r>
          </w:p>
        </w:tc>
        <w:tc>
          <w:tcPr>
            <w:tcW w:w="0" w:type="dxa"/>
            <w:vAlign w:val="bottom"/>
          </w:tcPr>
          <w:p>
            <w:pPr>
              <w:spacing w:after="0"/>
              <w:rPr>
                <w:sz w:val="1"/>
                <w:szCs w:val="1"/>
                <w:color w:val="auto"/>
              </w:rPr>
            </w:pPr>
          </w:p>
        </w:tc>
      </w:tr>
      <w:tr>
        <w:trPr>
          <w:trHeight w:val="142"/>
        </w:trPr>
        <w:tc>
          <w:tcPr>
            <w:tcW w:w="8120" w:type="dxa"/>
            <w:vAlign w:val="bottom"/>
            <w:tcBorders>
              <w:bottom w:val="single" w:sz="8" w:color="auto"/>
              <w:right w:val="single" w:sz="8" w:color="auto"/>
            </w:tcBorders>
          </w:tcPr>
          <w:p>
            <w:pPr>
              <w:spacing w:after="0" w:line="142" w:lineRule="exact"/>
              <w:rPr>
                <w:sz w:val="20"/>
                <w:szCs w:val="20"/>
                <w:color w:val="auto"/>
              </w:rPr>
            </w:pPr>
            <w:r>
              <w:rPr>
                <w:rFonts w:ascii="Arial" w:cs="Arial" w:eastAsia="Arial" w:hAnsi="Arial"/>
                <w:sz w:val="14"/>
                <w:szCs w:val="14"/>
                <w:color w:val="auto"/>
              </w:rPr>
              <w:t>Class A Common stock, par value $0.00001 per share</w:t>
            </w:r>
          </w:p>
        </w:tc>
        <w:tc>
          <w:tcPr>
            <w:tcW w:w="1580" w:type="dxa"/>
            <w:vAlign w:val="bottom"/>
            <w:tcBorders>
              <w:bottom w:val="single" w:sz="8" w:color="auto"/>
              <w:right w:val="single" w:sz="8" w:color="auto"/>
            </w:tcBorders>
          </w:tcPr>
          <w:p>
            <w:pPr>
              <w:jc w:val="right"/>
              <w:ind w:right="870"/>
              <w:spacing w:after="0" w:line="142" w:lineRule="exact"/>
              <w:rPr>
                <w:sz w:val="20"/>
                <w:szCs w:val="20"/>
                <w:color w:val="auto"/>
              </w:rPr>
            </w:pPr>
            <w:r>
              <w:rPr>
                <w:rFonts w:ascii="Arial" w:cs="Arial" w:eastAsia="Arial" w:hAnsi="Arial"/>
                <w:sz w:val="14"/>
                <w:szCs w:val="14"/>
                <w:color w:val="auto"/>
              </w:rPr>
              <w:t>$</w:t>
            </w:r>
          </w:p>
        </w:tc>
        <w:tc>
          <w:tcPr>
            <w:tcW w:w="1540" w:type="dxa"/>
            <w:vAlign w:val="bottom"/>
            <w:tcBorders>
              <w:bottom w:val="single" w:sz="8" w:color="auto"/>
            </w:tcBorders>
          </w:tcPr>
          <w:p>
            <w:pPr>
              <w:jc w:val="right"/>
              <w:ind w:right="828"/>
              <w:spacing w:after="0" w:line="142"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
        </w:trPr>
        <w:tc>
          <w:tcPr>
            <w:tcW w:w="812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ind w:left="340" w:hanging="332"/>
        <w:spacing w:after="0" w:line="231" w:lineRule="auto"/>
        <w:tabs>
          <w:tab w:leader="none" w:pos="340" w:val="left"/>
        </w:tabs>
        <w:numPr>
          <w:ilvl w:val="0"/>
          <w:numId w:val="1"/>
        </w:numPr>
        <w:rPr>
          <w:rFonts w:ascii="Arial" w:cs="Arial" w:eastAsia="Arial" w:hAnsi="Arial"/>
          <w:sz w:val="12"/>
          <w:szCs w:val="12"/>
          <w:color w:val="auto"/>
        </w:rPr>
      </w:pPr>
      <w:r>
        <w:rPr>
          <w:rFonts w:ascii="Arial" w:cs="Arial" w:eastAsia="Arial" w:hAnsi="Arial"/>
          <w:sz w:val="14"/>
          <w:szCs w:val="14"/>
          <w:color w:val="auto"/>
        </w:rPr>
        <w:t>Estimated solely for the purpose of calculating the registration fee in accordance with Rule 457(o) of the Securities Act of 1933, as amended.</w:t>
      </w:r>
    </w:p>
    <w:p>
      <w:pPr>
        <w:ind w:left="340" w:hanging="332"/>
        <w:spacing w:after="0"/>
        <w:tabs>
          <w:tab w:leader="none" w:pos="340" w:val="left"/>
        </w:tabs>
        <w:numPr>
          <w:ilvl w:val="0"/>
          <w:numId w:val="1"/>
        </w:numPr>
        <w:rPr>
          <w:rFonts w:ascii="Arial" w:cs="Arial" w:eastAsia="Arial" w:hAnsi="Arial"/>
          <w:sz w:val="12"/>
          <w:szCs w:val="12"/>
          <w:color w:val="auto"/>
        </w:rPr>
      </w:pPr>
      <w:r>
        <w:rPr>
          <w:rFonts w:ascii="Arial" w:cs="Arial" w:eastAsia="Arial" w:hAnsi="Arial"/>
          <w:sz w:val="14"/>
          <w:szCs w:val="14"/>
          <w:color w:val="auto"/>
        </w:rPr>
        <w:t>Includes the aggregate offering price of additional shares that the underwriters have the option to purchase, if any.</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2825115</wp:posOffset>
            </wp:positionH>
            <wp:positionV relativeFrom="paragraph">
              <wp:posOffset>73660</wp:posOffset>
            </wp:positionV>
            <wp:extent cx="1491615"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491615" cy="8890"/>
                    </a:xfrm>
                    <a:prstGeom prst="rect">
                      <a:avLst/>
                    </a:prstGeom>
                    <a:noFill/>
                  </pic:spPr>
                </pic:pic>
              </a:graphicData>
            </a:graphic>
          </wp:anchor>
        </w:drawing>
      </w:r>
    </w:p>
    <w:p>
      <w:pPr>
        <w:spacing w:after="0" w:line="127" w:lineRule="exact"/>
        <w:rPr>
          <w:sz w:val="24"/>
          <w:szCs w:val="24"/>
          <w:color w:val="auto"/>
        </w:rPr>
      </w:pPr>
    </w:p>
    <w:p>
      <w:pPr>
        <w:ind w:right="140" w:firstLine="337"/>
        <w:spacing w:after="0" w:line="267" w:lineRule="auto"/>
        <w:rPr>
          <w:sz w:val="20"/>
          <w:szCs w:val="20"/>
          <w:color w:val="auto"/>
        </w:rPr>
      </w:pPr>
      <w:r>
        <w:rPr>
          <w:rFonts w:ascii="Arial" w:cs="Arial" w:eastAsia="Arial" w:hAnsi="Arial"/>
          <w:sz w:val="13"/>
          <w:szCs w:val="13"/>
          <w:b w:val="1"/>
          <w:bCs w:val="1"/>
          <w:color w:val="auto"/>
        </w:rPr>
        <w:t>The Registrant hereby amends this registration statement on such date or dates as may be necessary to delay its effective date until the Registrant will file a further amendment which specifically states that this registration statement will thereafter become effective in accordance with Section 8(a) of the Securities Act of 1933, as amended, or until the registration statement will become effective on such date as the Securities and Exchange Commission, acting pursuant to said Section 8(a), may determine.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230" w:right="339" w:bottom="1440" w:gutter="0" w:footer="0" w:header="0"/>
          <w:type w:val="continuous"/>
        </w:sectPr>
      </w:pPr>
    </w:p>
    <w:bookmarkStart w:id="1" w:name="page2"/>
    <w:bookmarkEnd w:id="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right="340"/>
        <w:spacing w:after="0" w:line="266" w:lineRule="auto"/>
        <w:rPr>
          <w:sz w:val="20"/>
          <w:szCs w:val="20"/>
          <w:color w:val="auto"/>
        </w:rPr>
      </w:pPr>
      <w:r>
        <w:rPr>
          <w:rFonts w:ascii="Arial" w:cs="Arial" w:eastAsia="Arial" w:hAnsi="Arial"/>
          <w:sz w:val="18"/>
          <w:szCs w:val="18"/>
          <w:b w:val="1"/>
          <w:bCs w:val="1"/>
          <w:color w:val="EB0029"/>
        </w:rPr>
        <w:t>The information in this preliminary prospectus is not complete and may be changed. These securities may not be sold until the registration statement filed with the Securities and Exchange Commission is effective. This preliminary prospectus is not an offer to sell nor does it seek an offer to buy these securities in any jurisdiction where the offer or sale is not permitted.</w:t>
      </w:r>
    </w:p>
    <w:p>
      <w:pPr>
        <w:spacing w:after="0" w:line="113" w:lineRule="exact"/>
        <w:rPr>
          <w:sz w:val="20"/>
          <w:szCs w:val="20"/>
          <w:color w:val="auto"/>
        </w:rPr>
      </w:pPr>
    </w:p>
    <w:tbl>
      <w:tblPr>
        <w:tblLayout w:type="fixed"/>
        <w:tblInd w:w="3940" w:type="dxa"/>
        <w:tblCellMar>
          <w:top w:w="0" w:type="dxa"/>
          <w:left w:w="0" w:type="dxa"/>
          <w:bottom w:w="0" w:type="dxa"/>
          <w:right w:w="0" w:type="dxa"/>
        </w:tblCellMar>
      </w:tblPr>
      <w:tr>
        <w:trPr>
          <w:trHeight w:val="210"/>
        </w:trPr>
        <w:tc>
          <w:tcPr>
            <w:tcW w:w="2500" w:type="dxa"/>
            <w:vAlign w:val="bottom"/>
          </w:tcPr>
          <w:p>
            <w:pPr>
              <w:spacing w:after="0"/>
              <w:rPr>
                <w:sz w:val="20"/>
                <w:szCs w:val="20"/>
                <w:color w:val="auto"/>
              </w:rPr>
            </w:pPr>
            <w:r>
              <w:rPr>
                <w:rFonts w:ascii="Arial" w:cs="Arial" w:eastAsia="Arial" w:hAnsi="Arial"/>
                <w:sz w:val="16"/>
                <w:szCs w:val="16"/>
                <w:b w:val="1"/>
                <w:bCs w:val="1"/>
                <w:color w:val="EB0029"/>
              </w:rPr>
              <w:t>Subject To Completion. Dated</w:t>
            </w:r>
          </w:p>
        </w:tc>
        <w:tc>
          <w:tcPr>
            <w:tcW w:w="880" w:type="dxa"/>
            <w:vAlign w:val="bottom"/>
          </w:tcPr>
          <w:p>
            <w:pPr>
              <w:jc w:val="right"/>
              <w:spacing w:after="0"/>
              <w:rPr>
                <w:sz w:val="20"/>
                <w:szCs w:val="20"/>
                <w:color w:val="auto"/>
              </w:rPr>
            </w:pPr>
            <w:r>
              <w:rPr>
                <w:rFonts w:ascii="Arial" w:cs="Arial" w:eastAsia="Arial" w:hAnsi="Arial"/>
                <w:sz w:val="16"/>
                <w:szCs w:val="16"/>
                <w:b w:val="1"/>
                <w:bCs w:val="1"/>
                <w:color w:val="EB0029"/>
              </w:rPr>
              <w:t>, 2017.</w:t>
            </w:r>
          </w:p>
        </w:tc>
      </w:tr>
    </w:tbl>
    <w:p>
      <w:pPr>
        <w:spacing w:after="0" w:line="73" w:lineRule="exact"/>
        <w:rPr>
          <w:sz w:val="20"/>
          <w:szCs w:val="20"/>
          <w:color w:val="auto"/>
        </w:rPr>
      </w:pPr>
    </w:p>
    <w:p>
      <w:pPr>
        <w:ind w:left="5680"/>
        <w:spacing w:after="0"/>
        <w:rPr>
          <w:sz w:val="20"/>
          <w:szCs w:val="20"/>
          <w:color w:val="auto"/>
        </w:rPr>
      </w:pPr>
      <w:r>
        <w:rPr>
          <w:rFonts w:ascii="Arial" w:cs="Arial" w:eastAsia="Arial" w:hAnsi="Arial"/>
          <w:sz w:val="32"/>
          <w:szCs w:val="32"/>
          <w:b w:val="1"/>
          <w:bCs w:val="1"/>
          <w:color w:val="auto"/>
        </w:rPr>
        <w:t>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1453515</wp:posOffset>
            </wp:positionH>
            <wp:positionV relativeFrom="paragraph">
              <wp:posOffset>100965</wp:posOffset>
            </wp:positionV>
            <wp:extent cx="4234815" cy="84836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4234815" cy="8483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tbl>
      <w:tblPr>
        <w:tblLayout w:type="fixed"/>
        <w:tblInd w:w="0" w:type="dxa"/>
        <w:tblCellMar>
          <w:top w:w="0" w:type="dxa"/>
          <w:left w:w="0" w:type="dxa"/>
          <w:bottom w:w="0" w:type="dxa"/>
          <w:right w:w="0" w:type="dxa"/>
        </w:tblCellMar>
      </w:tblPr>
      <w:tr>
        <w:trPr>
          <w:trHeight w:val="565"/>
        </w:trPr>
        <w:tc>
          <w:tcPr>
            <w:tcW w:w="130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8280" w:type="dxa"/>
            <w:vAlign w:val="bottom"/>
            <w:gridSpan w:val="3"/>
          </w:tcPr>
          <w:p>
            <w:pPr>
              <w:ind w:left="1500"/>
              <w:spacing w:after="0"/>
              <w:rPr>
                <w:sz w:val="20"/>
                <w:szCs w:val="20"/>
                <w:color w:val="auto"/>
              </w:rPr>
            </w:pPr>
            <w:r>
              <w:rPr>
                <w:rFonts w:ascii="Arial" w:cs="Arial" w:eastAsia="Arial" w:hAnsi="Arial"/>
                <w:sz w:val="43"/>
                <w:szCs w:val="43"/>
                <w:b w:val="1"/>
                <w:bCs w:val="1"/>
                <w:color w:val="auto"/>
              </w:rPr>
              <w:t>Dropbox, Inc.</w:t>
            </w:r>
          </w:p>
        </w:tc>
      </w:tr>
      <w:tr>
        <w:trPr>
          <w:trHeight w:val="432"/>
        </w:trPr>
        <w:tc>
          <w:tcPr>
            <w:tcW w:w="130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8280" w:type="dxa"/>
            <w:vAlign w:val="bottom"/>
            <w:gridSpan w:val="3"/>
          </w:tcPr>
          <w:p>
            <w:pPr>
              <w:ind w:left="1520"/>
              <w:spacing w:after="0"/>
              <w:rPr>
                <w:sz w:val="20"/>
                <w:szCs w:val="20"/>
                <w:color w:val="auto"/>
              </w:rPr>
            </w:pPr>
            <w:r>
              <w:rPr>
                <w:rFonts w:ascii="Arial" w:cs="Arial" w:eastAsia="Arial" w:hAnsi="Arial"/>
                <w:sz w:val="25"/>
                <w:szCs w:val="25"/>
                <w:b w:val="1"/>
                <w:bCs w:val="1"/>
                <w:color w:val="auto"/>
              </w:rPr>
              <w:t>Class A Common Stock</w:t>
            </w:r>
          </w:p>
        </w:tc>
      </w:tr>
      <w:tr>
        <w:trPr>
          <w:trHeight w:val="221"/>
        </w:trPr>
        <w:tc>
          <w:tcPr>
            <w:tcW w:w="4440" w:type="dxa"/>
            <w:vAlign w:val="bottom"/>
            <w:gridSpan w:val="3"/>
          </w:tcPr>
          <w:p>
            <w:pPr>
              <w:spacing w:after="0"/>
              <w:rPr>
                <w:sz w:val="19"/>
                <w:szCs w:val="19"/>
                <w:color w:val="auto"/>
              </w:rPr>
            </w:pPr>
          </w:p>
        </w:tc>
        <w:tc>
          <w:tcPr>
            <w:tcW w:w="2360" w:type="dxa"/>
            <w:vAlign w:val="bottom"/>
            <w:tcBorders>
              <w:bottom w:val="single" w:sz="8" w:color="auto"/>
            </w:tcBorders>
          </w:tcPr>
          <w:p>
            <w:pPr>
              <w:spacing w:after="0"/>
              <w:rPr>
                <w:sz w:val="19"/>
                <w:szCs w:val="19"/>
                <w:color w:val="auto"/>
              </w:rPr>
            </w:pPr>
          </w:p>
        </w:tc>
        <w:tc>
          <w:tcPr>
            <w:tcW w:w="4320" w:type="dxa"/>
            <w:vAlign w:val="bottom"/>
          </w:tcPr>
          <w:p>
            <w:pPr>
              <w:spacing w:after="0"/>
              <w:rPr>
                <w:sz w:val="19"/>
                <w:szCs w:val="19"/>
                <w:color w:val="auto"/>
              </w:rPr>
            </w:pPr>
          </w:p>
        </w:tc>
      </w:tr>
      <w:tr>
        <w:trPr>
          <w:trHeight w:val="298"/>
        </w:trPr>
        <w:tc>
          <w:tcPr>
            <w:tcW w:w="11120" w:type="dxa"/>
            <w:vAlign w:val="bottom"/>
            <w:gridSpan w:val="5"/>
          </w:tcPr>
          <w:p>
            <w:pPr>
              <w:ind w:left="340"/>
              <w:spacing w:after="0"/>
              <w:rPr>
                <w:sz w:val="20"/>
                <w:szCs w:val="20"/>
                <w:color w:val="auto"/>
              </w:rPr>
            </w:pPr>
            <w:r>
              <w:rPr>
                <w:rFonts w:ascii="Arial" w:cs="Arial" w:eastAsia="Arial" w:hAnsi="Arial"/>
                <w:sz w:val="16"/>
                <w:szCs w:val="16"/>
                <w:color w:val="auto"/>
              </w:rPr>
              <w:t>This is an initial public offering of shares of Class A common stock of Dropbox, Inc.</w:t>
            </w:r>
          </w:p>
        </w:tc>
      </w:tr>
      <w:tr>
        <w:trPr>
          <w:trHeight w:val="307"/>
        </w:trPr>
        <w:tc>
          <w:tcPr>
            <w:tcW w:w="2840" w:type="dxa"/>
            <w:vAlign w:val="bottom"/>
            <w:gridSpan w:val="2"/>
          </w:tcPr>
          <w:p>
            <w:pPr>
              <w:ind w:left="340"/>
              <w:spacing w:after="0"/>
              <w:rPr>
                <w:sz w:val="20"/>
                <w:szCs w:val="20"/>
                <w:color w:val="auto"/>
              </w:rPr>
            </w:pPr>
            <w:r>
              <w:rPr>
                <w:rFonts w:ascii="Arial" w:cs="Arial" w:eastAsia="Arial" w:hAnsi="Arial"/>
                <w:sz w:val="16"/>
                <w:szCs w:val="16"/>
                <w:color w:val="auto"/>
              </w:rPr>
              <w:t>Dropbox, Inc. is offering to sell</w:t>
            </w:r>
          </w:p>
        </w:tc>
        <w:tc>
          <w:tcPr>
            <w:tcW w:w="8280" w:type="dxa"/>
            <w:vAlign w:val="bottom"/>
            <w:gridSpan w:val="3"/>
          </w:tcPr>
          <w:p>
            <w:pPr>
              <w:ind w:left="440"/>
              <w:spacing w:after="0"/>
              <w:rPr>
                <w:sz w:val="20"/>
                <w:szCs w:val="20"/>
                <w:color w:val="auto"/>
              </w:rPr>
            </w:pPr>
            <w:r>
              <w:rPr>
                <w:rFonts w:ascii="Arial" w:cs="Arial" w:eastAsia="Arial" w:hAnsi="Arial"/>
                <w:sz w:val="16"/>
                <w:szCs w:val="16"/>
                <w:color w:val="auto"/>
                <w:w w:val="92"/>
              </w:rPr>
              <w:t>shares of Class A common stock in this offering. The selling stockholders identified in this prospectus are offering to sell</w:t>
            </w:r>
          </w:p>
        </w:tc>
      </w:tr>
      <w:tr>
        <w:trPr>
          <w:trHeight w:val="206"/>
        </w:trPr>
        <w:tc>
          <w:tcPr>
            <w:tcW w:w="1300" w:type="dxa"/>
            <w:vAlign w:val="bottom"/>
          </w:tcPr>
          <w:p>
            <w:pPr>
              <w:spacing w:after="0"/>
              <w:rPr>
                <w:sz w:val="20"/>
                <w:szCs w:val="20"/>
                <w:color w:val="auto"/>
              </w:rPr>
            </w:pPr>
            <w:r>
              <w:rPr>
                <w:rFonts w:ascii="Arial" w:cs="Arial" w:eastAsia="Arial" w:hAnsi="Arial"/>
                <w:sz w:val="16"/>
                <w:szCs w:val="16"/>
                <w:color w:val="auto"/>
              </w:rPr>
              <w:t>an additional</w:t>
            </w:r>
          </w:p>
        </w:tc>
        <w:tc>
          <w:tcPr>
            <w:tcW w:w="9820" w:type="dxa"/>
            <w:vAlign w:val="bottom"/>
            <w:gridSpan w:val="4"/>
          </w:tcPr>
          <w:p>
            <w:pPr>
              <w:ind w:left="440"/>
              <w:spacing w:after="0"/>
              <w:rPr>
                <w:sz w:val="20"/>
                <w:szCs w:val="20"/>
                <w:color w:val="auto"/>
              </w:rPr>
            </w:pPr>
            <w:r>
              <w:rPr>
                <w:rFonts w:ascii="Arial" w:cs="Arial" w:eastAsia="Arial" w:hAnsi="Arial"/>
                <w:sz w:val="16"/>
                <w:szCs w:val="16"/>
                <w:color w:val="auto"/>
                <w:w w:val="94"/>
              </w:rPr>
              <w:t>shares of Class A common stock. We will not receive any of the proceeds from the sale of the shares being sold by the selling stockholders.</w:t>
            </w:r>
          </w:p>
        </w:tc>
      </w:tr>
    </w:tbl>
    <w:p>
      <w:pPr>
        <w:spacing w:after="0" w:line="104" w:lineRule="exact"/>
        <w:rPr>
          <w:sz w:val="20"/>
          <w:szCs w:val="20"/>
          <w:color w:val="auto"/>
        </w:rPr>
      </w:pPr>
    </w:p>
    <w:p>
      <w:pPr>
        <w:jc w:val="both"/>
        <w:ind w:right="100" w:firstLine="337"/>
        <w:spacing w:after="0" w:line="304" w:lineRule="auto"/>
        <w:rPr>
          <w:sz w:val="20"/>
          <w:szCs w:val="20"/>
          <w:color w:val="auto"/>
        </w:rPr>
      </w:pPr>
      <w:r>
        <w:rPr>
          <w:rFonts w:ascii="Arial" w:cs="Arial" w:eastAsia="Arial" w:hAnsi="Arial"/>
          <w:sz w:val="14"/>
          <w:szCs w:val="14"/>
          <w:color w:val="auto"/>
        </w:rPr>
        <w:t>We have two classes of authorized common stock, Class A common stock and Class B common stock. The rights of the holders of Class A common stock and Class B common stock are identical, except with respect to voting and conversion. Each share of Class A common stock is entitled to one vote per share. Each share of Class B</w:t>
      </w:r>
    </w:p>
    <w:p>
      <w:pPr>
        <w:spacing w:after="0" w:line="1" w:lineRule="exact"/>
        <w:rPr>
          <w:sz w:val="20"/>
          <w:szCs w:val="20"/>
          <w:color w:val="auto"/>
        </w:rPr>
      </w:pPr>
    </w:p>
    <w:p>
      <w:pPr>
        <w:ind w:right="420"/>
        <w:spacing w:after="0" w:line="288" w:lineRule="auto"/>
        <w:rPr>
          <w:sz w:val="20"/>
          <w:szCs w:val="20"/>
          <w:color w:val="auto"/>
        </w:rPr>
      </w:pPr>
      <w:r>
        <w:rPr>
          <w:rFonts w:ascii="Arial" w:cs="Arial" w:eastAsia="Arial" w:hAnsi="Arial"/>
          <w:sz w:val="16"/>
          <w:szCs w:val="16"/>
          <w:color w:val="auto"/>
        </w:rPr>
        <w:t>common stock is entitled to votes per share and is convertible at any time into one share of Class A common stock. Following this offering, outstanding shares of Class B common stock will represent approximately % of the voting power of our outstanding capital stock.</w:t>
      </w:r>
    </w:p>
    <w:p>
      <w:pPr>
        <w:spacing w:after="0" w:line="68" w:lineRule="exact"/>
        <w:rPr>
          <w:sz w:val="20"/>
          <w:szCs w:val="20"/>
          <w:color w:val="auto"/>
        </w:rPr>
      </w:pPr>
    </w:p>
    <w:p>
      <w:pPr>
        <w:ind w:left="340"/>
        <w:spacing w:after="0"/>
        <w:rPr>
          <w:sz w:val="20"/>
          <w:szCs w:val="20"/>
          <w:color w:val="auto"/>
        </w:rPr>
      </w:pPr>
      <w:r>
        <w:rPr>
          <w:rFonts w:ascii="Arial" w:cs="Arial" w:eastAsia="Arial" w:hAnsi="Arial"/>
          <w:sz w:val="15"/>
          <w:szCs w:val="15"/>
          <w:color w:val="auto"/>
        </w:rPr>
        <w:t>Prior to this offering, there has been no public market for the Class A common stock. It is currently estimated that the initial public offering price per share will be</w:t>
      </w:r>
    </w:p>
    <w:p>
      <w:pPr>
        <w:spacing w:after="0" w:line="34" w:lineRule="exact"/>
        <w:rPr>
          <w:sz w:val="20"/>
          <w:szCs w:val="20"/>
          <w:color w:val="auto"/>
        </w:rPr>
      </w:pPr>
    </w:p>
    <w:p>
      <w:pPr>
        <w:spacing w:after="0"/>
        <w:tabs>
          <w:tab w:leader="none" w:pos="1020" w:val="left"/>
          <w:tab w:leader="none" w:pos="1700" w:val="left"/>
          <w:tab w:leader="none" w:pos="5940" w:val="left"/>
        </w:tabs>
        <w:rPr>
          <w:sz w:val="20"/>
          <w:szCs w:val="20"/>
          <w:color w:val="auto"/>
        </w:rPr>
      </w:pPr>
      <w:r>
        <w:rPr>
          <w:rFonts w:ascii="Arial" w:cs="Arial" w:eastAsia="Arial" w:hAnsi="Arial"/>
          <w:sz w:val="16"/>
          <w:szCs w:val="16"/>
          <w:color w:val="auto"/>
        </w:rPr>
        <w:t>between $</w:t>
      </w:r>
      <w:r>
        <w:rPr>
          <w:sz w:val="20"/>
          <w:szCs w:val="20"/>
          <w:color w:val="auto"/>
        </w:rPr>
        <w:tab/>
      </w:r>
      <w:r>
        <w:rPr>
          <w:rFonts w:ascii="Arial" w:cs="Arial" w:eastAsia="Arial" w:hAnsi="Arial"/>
          <w:sz w:val="16"/>
          <w:szCs w:val="16"/>
          <w:color w:val="auto"/>
        </w:rPr>
        <w:t>and $</w:t>
      </w:r>
      <w:r>
        <w:rPr>
          <w:sz w:val="20"/>
          <w:szCs w:val="20"/>
          <w:color w:val="auto"/>
        </w:rPr>
        <w:tab/>
      </w:r>
      <w:r>
        <w:rPr>
          <w:rFonts w:ascii="Arial" w:cs="Arial" w:eastAsia="Arial" w:hAnsi="Arial"/>
          <w:sz w:val="16"/>
          <w:szCs w:val="16"/>
          <w:color w:val="auto"/>
        </w:rPr>
        <w:t>. We intend to apply to list the Class A common stock on</w:t>
      </w:r>
      <w:r>
        <w:rPr>
          <w:sz w:val="20"/>
          <w:szCs w:val="20"/>
          <w:color w:val="auto"/>
        </w:rPr>
        <w:tab/>
      </w:r>
      <w:r>
        <w:rPr>
          <w:rFonts w:ascii="Arial" w:cs="Arial" w:eastAsia="Arial" w:hAnsi="Arial"/>
          <w:sz w:val="15"/>
          <w:szCs w:val="15"/>
          <w:color w:val="auto"/>
        </w:rPr>
        <w:t>under the symbol “DBX”.</w:t>
      </w:r>
    </w:p>
    <w:p>
      <w:pPr>
        <w:spacing w:after="0" w:line="123" w:lineRule="exact"/>
        <w:rPr>
          <w:sz w:val="20"/>
          <w:szCs w:val="20"/>
          <w:color w:val="auto"/>
        </w:rPr>
      </w:pPr>
    </w:p>
    <w:p>
      <w:pPr>
        <w:ind w:right="80" w:firstLine="337"/>
        <w:spacing w:after="0" w:line="293" w:lineRule="auto"/>
        <w:rPr>
          <w:sz w:val="20"/>
          <w:szCs w:val="20"/>
          <w:color w:val="auto"/>
        </w:rPr>
      </w:pPr>
      <w:r>
        <w:rPr>
          <w:rFonts w:ascii="Arial" w:cs="Arial" w:eastAsia="Arial" w:hAnsi="Arial"/>
          <w:sz w:val="16"/>
          <w:szCs w:val="16"/>
          <w:color w:val="auto"/>
        </w:rPr>
        <w:t>We are an “emerging growth company” as that term is used in the Jumpstart Our Business Startups Act of 2012 and, as such, may elect to comply with certain reduced public company reporting requirements in future reports after the completion of this offering.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2825115</wp:posOffset>
            </wp:positionH>
            <wp:positionV relativeFrom="paragraph">
              <wp:posOffset>123825</wp:posOffset>
            </wp:positionV>
            <wp:extent cx="1491615"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491615" cy="8255"/>
                    </a:xfrm>
                    <a:prstGeom prst="rect">
                      <a:avLst/>
                    </a:prstGeom>
                    <a:noFill/>
                  </pic:spPr>
                </pic:pic>
              </a:graphicData>
            </a:graphic>
          </wp:anchor>
        </w:drawing>
      </w:r>
    </w:p>
    <w:p>
      <w:pPr>
        <w:spacing w:after="0" w:line="274" w:lineRule="exact"/>
        <w:rPr>
          <w:sz w:val="20"/>
          <w:szCs w:val="20"/>
          <w:color w:val="auto"/>
        </w:rPr>
      </w:pPr>
    </w:p>
    <w:p>
      <w:pPr>
        <w:ind w:right="760" w:firstLine="449"/>
        <w:spacing w:after="0" w:line="267" w:lineRule="auto"/>
        <w:rPr>
          <w:rFonts w:ascii="Arial" w:cs="Arial" w:eastAsia="Arial" w:hAnsi="Arial"/>
          <w:sz w:val="20"/>
          <w:szCs w:val="20"/>
          <w:b w:val="1"/>
          <w:bCs w:val="1"/>
          <w:color w:val="auto"/>
        </w:rPr>
      </w:pPr>
      <w:r>
        <w:rPr>
          <w:rFonts w:ascii="Arial" w:cs="Arial" w:eastAsia="Arial" w:hAnsi="Arial"/>
          <w:sz w:val="20"/>
          <w:szCs w:val="20"/>
          <w:b w:val="1"/>
          <w:bCs w:val="1"/>
          <w:color w:val="auto"/>
        </w:rPr>
        <w:t>See “</w:t>
      </w:r>
      <w:hyperlink w:anchor="page18">
        <w:r>
          <w:rPr>
            <w:rFonts w:ascii="Arial" w:cs="Arial" w:eastAsia="Arial" w:hAnsi="Arial"/>
            <w:sz w:val="20"/>
            <w:szCs w:val="20"/>
            <w:b w:val="1"/>
            <w:bCs w:val="1"/>
            <w:u w:val="single" w:color="auto"/>
            <w:color w:val="0000EE"/>
          </w:rPr>
          <w:t>Risk Factors</w:t>
        </w:r>
      </w:hyperlink>
      <w:r>
        <w:rPr>
          <w:rFonts w:ascii="Arial" w:cs="Arial" w:eastAsia="Arial" w:hAnsi="Arial"/>
          <w:sz w:val="20"/>
          <w:szCs w:val="20"/>
          <w:b w:val="1"/>
          <w:bCs w:val="1"/>
          <w:color w:val="auto"/>
        </w:rPr>
        <w:t>” beginning on page 15 to read about factors you should consider before buying shares of our Class A 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2825115</wp:posOffset>
            </wp:positionH>
            <wp:positionV relativeFrom="paragraph">
              <wp:posOffset>135255</wp:posOffset>
            </wp:positionV>
            <wp:extent cx="1491615"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491615" cy="8255"/>
                    </a:xfrm>
                    <a:prstGeom prst="rect">
                      <a:avLst/>
                    </a:prstGeom>
                    <a:noFill/>
                  </pic:spPr>
                </pic:pic>
              </a:graphicData>
            </a:graphic>
          </wp:anchor>
        </w:drawing>
      </w:r>
    </w:p>
    <w:p>
      <w:pPr>
        <w:spacing w:after="0" w:line="301" w:lineRule="exact"/>
        <w:rPr>
          <w:sz w:val="20"/>
          <w:szCs w:val="20"/>
          <w:color w:val="auto"/>
        </w:rPr>
      </w:pPr>
    </w:p>
    <w:p>
      <w:pPr>
        <w:ind w:right="40" w:firstLine="337"/>
        <w:spacing w:after="0" w:line="298" w:lineRule="auto"/>
        <w:rPr>
          <w:sz w:val="20"/>
          <w:szCs w:val="20"/>
          <w:color w:val="auto"/>
        </w:rPr>
      </w:pPr>
      <w:r>
        <w:rPr>
          <w:rFonts w:ascii="Arial" w:cs="Arial" w:eastAsia="Arial" w:hAnsi="Arial"/>
          <w:sz w:val="16"/>
          <w:szCs w:val="16"/>
          <w:b w:val="1"/>
          <w:bCs w:val="1"/>
          <w:color w:val="auto"/>
        </w:rPr>
        <w:t>Neither the Securities and Exchange Commission nor any other regulatory body has approved or disapproved of these securities or passed upon the accuracy or adequacy of this prospectus. Any representation to the contrary is a criminal offense.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2825115</wp:posOffset>
            </wp:positionH>
            <wp:positionV relativeFrom="paragraph">
              <wp:posOffset>121285</wp:posOffset>
            </wp:positionV>
            <wp:extent cx="1491615"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491615" cy="8890"/>
                    </a:xfrm>
                    <a:prstGeom prst="rect">
                      <a:avLst/>
                    </a:prstGeom>
                    <a:noFill/>
                  </pic:spPr>
                </pic:pic>
              </a:graphicData>
            </a:graphic>
          </wp:anchor>
        </w:drawing>
      </w:r>
    </w:p>
    <w:p>
      <w:pPr>
        <w:spacing w:after="0" w:line="31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700" w:type="dxa"/>
            <w:vAlign w:val="bottom"/>
          </w:tcPr>
          <w:p>
            <w:pPr>
              <w:spacing w:after="0"/>
              <w:rPr>
                <w:sz w:val="14"/>
                <w:szCs w:val="14"/>
                <w:color w:val="auto"/>
              </w:rPr>
            </w:pPr>
          </w:p>
        </w:tc>
        <w:tc>
          <w:tcPr>
            <w:tcW w:w="560" w:type="dxa"/>
            <w:vAlign w:val="bottom"/>
          </w:tcPr>
          <w:p>
            <w:pPr>
              <w:jc w:val="right"/>
              <w:ind w:right="85"/>
              <w:spacing w:after="0"/>
              <w:rPr>
                <w:sz w:val="20"/>
                <w:szCs w:val="20"/>
                <w:color w:val="auto"/>
              </w:rPr>
            </w:pPr>
            <w:r>
              <w:rPr>
                <w:rFonts w:ascii="Arial" w:cs="Arial" w:eastAsia="Arial" w:hAnsi="Arial"/>
                <w:sz w:val="14"/>
                <w:szCs w:val="14"/>
                <w:b w:val="1"/>
                <w:bCs w:val="1"/>
                <w:color w:val="auto"/>
              </w:rPr>
              <w:t>Per</w:t>
            </w:r>
          </w:p>
        </w:tc>
        <w:tc>
          <w:tcPr>
            <w:tcW w:w="380" w:type="dxa"/>
            <w:vAlign w:val="bottom"/>
          </w:tcPr>
          <w:p>
            <w:pPr>
              <w:spacing w:after="0"/>
              <w:rPr>
                <w:sz w:val="14"/>
                <w:szCs w:val="14"/>
                <w:color w:val="auto"/>
              </w:rPr>
            </w:pPr>
          </w:p>
        </w:tc>
        <w:tc>
          <w:tcPr>
            <w:tcW w:w="600" w:type="dxa"/>
            <w:vAlign w:val="bottom"/>
            <w:gridSpan w:val="2"/>
            <w:vMerge w:val="restart"/>
          </w:tcPr>
          <w:p>
            <w:pPr>
              <w:ind w:left="12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1"/>
        </w:trPr>
        <w:tc>
          <w:tcPr>
            <w:tcW w:w="9700" w:type="dxa"/>
            <w:vAlign w:val="bottom"/>
          </w:tcPr>
          <w:p>
            <w:pPr>
              <w:spacing w:after="0"/>
              <w:rPr>
                <w:sz w:val="14"/>
                <w:szCs w:val="14"/>
                <w:color w:val="auto"/>
              </w:rPr>
            </w:pPr>
          </w:p>
        </w:tc>
        <w:tc>
          <w:tcPr>
            <w:tcW w:w="560" w:type="dxa"/>
            <w:vAlign w:val="bottom"/>
          </w:tcPr>
          <w:p>
            <w:pPr>
              <w:jc w:val="right"/>
              <w:ind w:right="25"/>
              <w:spacing w:after="0"/>
              <w:rPr>
                <w:sz w:val="20"/>
                <w:szCs w:val="20"/>
                <w:color w:val="auto"/>
              </w:rPr>
            </w:pPr>
            <w:r>
              <w:rPr>
                <w:rFonts w:ascii="Arial" w:cs="Arial" w:eastAsia="Arial" w:hAnsi="Arial"/>
                <w:sz w:val="14"/>
                <w:szCs w:val="14"/>
                <w:b w:val="1"/>
                <w:bCs w:val="1"/>
                <w:color w:val="auto"/>
              </w:rPr>
              <w:t>share</w:t>
            </w:r>
          </w:p>
        </w:tc>
        <w:tc>
          <w:tcPr>
            <w:tcW w:w="380" w:type="dxa"/>
            <w:vAlign w:val="bottom"/>
          </w:tcPr>
          <w:p>
            <w:pPr>
              <w:spacing w:after="0"/>
              <w:rPr>
                <w:sz w:val="14"/>
                <w:szCs w:val="14"/>
                <w:color w:val="auto"/>
              </w:rPr>
            </w:pPr>
          </w:p>
        </w:tc>
        <w:tc>
          <w:tcPr>
            <w:tcW w:w="60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97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6"/>
                <w:szCs w:val="16"/>
                <w:color w:val="auto"/>
              </w:rPr>
              <w:t>Initial public offering price</w:t>
            </w:r>
          </w:p>
        </w:tc>
        <w:tc>
          <w:tcPr>
            <w:tcW w:w="560" w:type="dxa"/>
            <w:vAlign w:val="bottom"/>
            <w:tcBorders>
              <w:top w:val="single" w:sz="8" w:color="auto"/>
            </w:tcBorders>
            <w:shd w:val="clear" w:color="auto" w:fill="CCEEFF"/>
          </w:tcPr>
          <w:p>
            <w:pPr>
              <w:jc w:val="right"/>
              <w:ind w:right="405"/>
              <w:spacing w:after="0"/>
              <w:rPr>
                <w:sz w:val="20"/>
                <w:szCs w:val="20"/>
                <w:color w:val="auto"/>
              </w:rPr>
            </w:pPr>
            <w:r>
              <w:rPr>
                <w:rFonts w:ascii="Arial" w:cs="Arial" w:eastAsia="Arial" w:hAnsi="Arial"/>
                <w:sz w:val="15"/>
                <w:szCs w:val="15"/>
                <w:color w:val="auto"/>
                <w:w w:val="71"/>
              </w:rPr>
              <w:t>$</w:t>
            </w:r>
          </w:p>
        </w:tc>
        <w:tc>
          <w:tcPr>
            <w:tcW w:w="380" w:type="dxa"/>
            <w:vAlign w:val="bottom"/>
            <w:tcBorders>
              <w:top w:val="single" w:sz="8" w:color="CCEEFF"/>
            </w:tcBorders>
            <w:shd w:val="clear" w:color="auto" w:fill="CCEEFF"/>
          </w:tcPr>
          <w:p>
            <w:pPr>
              <w:spacing w:after="0"/>
              <w:rPr>
                <w:sz w:val="17"/>
                <w:szCs w:val="17"/>
                <w:color w:val="auto"/>
              </w:rPr>
            </w:pPr>
          </w:p>
        </w:tc>
        <w:tc>
          <w:tcPr>
            <w:tcW w:w="560" w:type="dxa"/>
            <w:vAlign w:val="bottom"/>
            <w:tcBorders>
              <w:top w:val="single" w:sz="8" w:color="auto"/>
            </w:tcBorders>
            <w:shd w:val="clear" w:color="auto" w:fill="CCEEFF"/>
          </w:tcPr>
          <w:p>
            <w:pPr>
              <w:jc w:val="right"/>
              <w:ind w:right="406"/>
              <w:spacing w:after="0"/>
              <w:rPr>
                <w:sz w:val="20"/>
                <w:szCs w:val="20"/>
                <w:color w:val="auto"/>
              </w:rPr>
            </w:pPr>
            <w:r>
              <w:rPr>
                <w:rFonts w:ascii="Arial" w:cs="Arial" w:eastAsia="Arial" w:hAnsi="Arial"/>
                <w:sz w:val="15"/>
                <w:szCs w:val="15"/>
                <w:color w:val="auto"/>
                <w:w w:val="71"/>
              </w:rPr>
              <w:t>$</w:t>
            </w:r>
          </w:p>
        </w:tc>
        <w:tc>
          <w:tcPr>
            <w:tcW w:w="4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9700" w:type="dxa"/>
            <w:vAlign w:val="bottom"/>
          </w:tcPr>
          <w:p>
            <w:pPr>
              <w:spacing w:after="0" w:line="202" w:lineRule="exact"/>
              <w:rPr>
                <w:sz w:val="20"/>
                <w:szCs w:val="20"/>
                <w:color w:val="auto"/>
              </w:rPr>
            </w:pPr>
            <w:r>
              <w:rPr>
                <w:rFonts w:ascii="Arial" w:cs="Arial" w:eastAsia="Arial" w:hAnsi="Arial"/>
                <w:sz w:val="14"/>
                <w:szCs w:val="14"/>
                <w:color w:val="auto"/>
              </w:rPr>
              <w:t>Underwriting discount</w:t>
            </w:r>
            <w:r>
              <w:rPr>
                <w:rFonts w:ascii="Arial" w:cs="Arial" w:eastAsia="Arial" w:hAnsi="Arial"/>
                <w:sz w:val="23"/>
                <w:szCs w:val="23"/>
                <w:color w:val="auto"/>
                <w:vertAlign w:val="superscript"/>
              </w:rPr>
              <w:t>(1)</w:t>
            </w:r>
          </w:p>
        </w:tc>
        <w:tc>
          <w:tcPr>
            <w:tcW w:w="560" w:type="dxa"/>
            <w:vAlign w:val="bottom"/>
          </w:tcPr>
          <w:p>
            <w:pPr>
              <w:jc w:val="right"/>
              <w:ind w:right="405"/>
              <w:spacing w:after="0"/>
              <w:rPr>
                <w:sz w:val="20"/>
                <w:szCs w:val="20"/>
                <w:color w:val="auto"/>
              </w:rPr>
            </w:pPr>
            <w:r>
              <w:rPr>
                <w:rFonts w:ascii="Arial" w:cs="Arial" w:eastAsia="Arial" w:hAnsi="Arial"/>
                <w:sz w:val="15"/>
                <w:szCs w:val="15"/>
                <w:color w:val="auto"/>
                <w:w w:val="71"/>
              </w:rPr>
              <w:t>$</w:t>
            </w:r>
          </w:p>
        </w:tc>
        <w:tc>
          <w:tcPr>
            <w:tcW w:w="940" w:type="dxa"/>
            <w:vAlign w:val="bottom"/>
            <w:gridSpan w:val="2"/>
          </w:tcPr>
          <w:p>
            <w:pPr>
              <w:jc w:val="right"/>
              <w:ind w:right="406"/>
              <w:spacing w:after="0"/>
              <w:rPr>
                <w:sz w:val="20"/>
                <w:szCs w:val="20"/>
                <w:color w:val="auto"/>
              </w:rPr>
            </w:pPr>
            <w:r>
              <w:rPr>
                <w:rFonts w:ascii="Arial" w:cs="Arial" w:eastAsia="Arial" w:hAnsi="Arial"/>
                <w:sz w:val="16"/>
                <w:szCs w:val="16"/>
                <w:color w:val="auto"/>
              </w:rPr>
              <w:t>$</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9700" w:type="dxa"/>
            <w:vAlign w:val="bottom"/>
            <w:shd w:val="clear" w:color="auto" w:fill="CCEEFF"/>
          </w:tcPr>
          <w:p>
            <w:pPr>
              <w:spacing w:after="0"/>
              <w:rPr>
                <w:sz w:val="20"/>
                <w:szCs w:val="20"/>
                <w:color w:val="auto"/>
              </w:rPr>
            </w:pPr>
            <w:r>
              <w:rPr>
                <w:rFonts w:ascii="Arial" w:cs="Arial" w:eastAsia="Arial" w:hAnsi="Arial"/>
                <w:sz w:val="16"/>
                <w:szCs w:val="16"/>
                <w:color w:val="auto"/>
              </w:rPr>
              <w:t>Proceeds, before expenses, to Dropbox, Inc.</w:t>
            </w:r>
          </w:p>
        </w:tc>
        <w:tc>
          <w:tcPr>
            <w:tcW w:w="560" w:type="dxa"/>
            <w:vAlign w:val="bottom"/>
            <w:shd w:val="clear" w:color="auto" w:fill="CCEEFF"/>
          </w:tcPr>
          <w:p>
            <w:pPr>
              <w:jc w:val="right"/>
              <w:ind w:right="405"/>
              <w:spacing w:after="0"/>
              <w:rPr>
                <w:sz w:val="20"/>
                <w:szCs w:val="20"/>
                <w:color w:val="auto"/>
              </w:rPr>
            </w:pPr>
            <w:r>
              <w:rPr>
                <w:rFonts w:ascii="Arial" w:cs="Arial" w:eastAsia="Arial" w:hAnsi="Arial"/>
                <w:sz w:val="15"/>
                <w:szCs w:val="15"/>
                <w:color w:val="auto"/>
                <w:w w:val="71"/>
              </w:rPr>
              <w:t>$</w:t>
            </w:r>
          </w:p>
        </w:tc>
        <w:tc>
          <w:tcPr>
            <w:tcW w:w="940" w:type="dxa"/>
            <w:vAlign w:val="bottom"/>
            <w:gridSpan w:val="2"/>
            <w:shd w:val="clear" w:color="auto" w:fill="CCEEFF"/>
          </w:tcPr>
          <w:p>
            <w:pPr>
              <w:jc w:val="right"/>
              <w:ind w:right="406"/>
              <w:spacing w:after="0"/>
              <w:rPr>
                <w:sz w:val="20"/>
                <w:szCs w:val="20"/>
                <w:color w:val="auto"/>
              </w:rPr>
            </w:pPr>
            <w:r>
              <w:rPr>
                <w:rFonts w:ascii="Arial" w:cs="Arial" w:eastAsia="Arial" w:hAnsi="Arial"/>
                <w:sz w:val="16"/>
                <w:szCs w:val="16"/>
                <w:color w:val="auto"/>
              </w:rPr>
              <w:t>$</w:t>
            </w: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9700" w:type="dxa"/>
            <w:vAlign w:val="bottom"/>
          </w:tcPr>
          <w:p>
            <w:pPr>
              <w:spacing w:after="0"/>
              <w:rPr>
                <w:sz w:val="20"/>
                <w:szCs w:val="20"/>
                <w:color w:val="auto"/>
              </w:rPr>
            </w:pPr>
            <w:r>
              <w:rPr>
                <w:rFonts w:ascii="Arial" w:cs="Arial" w:eastAsia="Arial" w:hAnsi="Arial"/>
                <w:sz w:val="16"/>
                <w:szCs w:val="16"/>
                <w:color w:val="auto"/>
              </w:rPr>
              <w:t>Proceeds, before expenses, to Selling Stockholders</w:t>
            </w:r>
          </w:p>
        </w:tc>
        <w:tc>
          <w:tcPr>
            <w:tcW w:w="560" w:type="dxa"/>
            <w:vAlign w:val="bottom"/>
          </w:tcPr>
          <w:p>
            <w:pPr>
              <w:jc w:val="right"/>
              <w:ind w:right="405"/>
              <w:spacing w:after="0"/>
              <w:rPr>
                <w:sz w:val="20"/>
                <w:szCs w:val="20"/>
                <w:color w:val="auto"/>
              </w:rPr>
            </w:pPr>
            <w:r>
              <w:rPr>
                <w:rFonts w:ascii="Arial" w:cs="Arial" w:eastAsia="Arial" w:hAnsi="Arial"/>
                <w:sz w:val="15"/>
                <w:szCs w:val="15"/>
                <w:color w:val="auto"/>
                <w:w w:val="71"/>
              </w:rPr>
              <w:t>$</w:t>
            </w:r>
          </w:p>
        </w:tc>
        <w:tc>
          <w:tcPr>
            <w:tcW w:w="940" w:type="dxa"/>
            <w:vAlign w:val="bottom"/>
            <w:gridSpan w:val="2"/>
          </w:tcPr>
          <w:p>
            <w:pPr>
              <w:jc w:val="right"/>
              <w:ind w:right="406"/>
              <w:spacing w:after="0"/>
              <w:rPr>
                <w:sz w:val="20"/>
                <w:szCs w:val="20"/>
                <w:color w:val="auto"/>
              </w:rPr>
            </w:pPr>
            <w:r>
              <w:rPr>
                <w:rFonts w:ascii="Arial" w:cs="Arial" w:eastAsia="Arial" w:hAnsi="Arial"/>
                <w:sz w:val="16"/>
                <w:szCs w:val="16"/>
                <w:color w:val="auto"/>
              </w:rPr>
              <w:t>$</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120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1200" cy="8890"/>
                    </a:xfrm>
                    <a:prstGeom prst="rect">
                      <a:avLst/>
                    </a:prstGeom>
                    <a:noFill/>
                  </pic:spPr>
                </pic:pic>
              </a:graphicData>
            </a:graphic>
          </wp:anchor>
        </w:drawing>
      </w:r>
    </w:p>
    <w:p>
      <w:pPr>
        <w:spacing w:after="0" w:line="133" w:lineRule="exact"/>
        <w:rPr>
          <w:sz w:val="20"/>
          <w:szCs w:val="20"/>
          <w:color w:val="auto"/>
        </w:rPr>
      </w:pPr>
    </w:p>
    <w:p>
      <w:pPr>
        <w:ind w:left="340" w:hanging="332"/>
        <w:spacing w:after="0"/>
        <w:tabs>
          <w:tab w:leader="none" w:pos="340" w:val="left"/>
        </w:tabs>
        <w:numPr>
          <w:ilvl w:val="0"/>
          <w:numId w:val="2"/>
        </w:numPr>
        <w:rPr>
          <w:rFonts w:ascii="Arial" w:cs="Arial" w:eastAsia="Arial" w:hAnsi="Arial"/>
          <w:sz w:val="12"/>
          <w:szCs w:val="12"/>
          <w:color w:val="auto"/>
        </w:rPr>
      </w:pPr>
      <w:r>
        <w:rPr>
          <w:rFonts w:ascii="Arial" w:cs="Arial" w:eastAsia="Arial" w:hAnsi="Arial"/>
          <w:sz w:val="14"/>
          <w:szCs w:val="14"/>
          <w:color w:val="auto"/>
        </w:rPr>
        <w:t>See the section titled “Underwriting (Conflicts of Interest)” for a description of the compensation payable to the underwriters.</w:t>
      </w:r>
    </w:p>
    <w:p>
      <w:pPr>
        <w:spacing w:after="0" w:line="104" w:lineRule="exact"/>
        <w:rPr>
          <w:sz w:val="20"/>
          <w:szCs w:val="20"/>
          <w:color w:val="auto"/>
        </w:rPr>
      </w:pPr>
    </w:p>
    <w:p>
      <w:pPr>
        <w:ind w:left="340"/>
        <w:spacing w:after="0"/>
        <w:tabs>
          <w:tab w:leader="none" w:pos="4080" w:val="left"/>
        </w:tabs>
        <w:rPr>
          <w:sz w:val="20"/>
          <w:szCs w:val="20"/>
          <w:color w:val="auto"/>
        </w:rPr>
      </w:pPr>
      <w:r>
        <w:rPr>
          <w:rFonts w:ascii="Arial" w:cs="Arial" w:eastAsia="Arial" w:hAnsi="Arial"/>
          <w:sz w:val="16"/>
          <w:szCs w:val="16"/>
          <w:color w:val="auto"/>
        </w:rPr>
        <w:t>To the extent that the underwriters sell more than</w:t>
      </w:r>
      <w:r>
        <w:rPr>
          <w:sz w:val="20"/>
          <w:szCs w:val="20"/>
          <w:color w:val="auto"/>
        </w:rPr>
        <w:tab/>
      </w:r>
      <w:r>
        <w:rPr>
          <w:rFonts w:ascii="Arial" w:cs="Arial" w:eastAsia="Arial" w:hAnsi="Arial"/>
          <w:sz w:val="14"/>
          <w:szCs w:val="14"/>
          <w:color w:val="auto"/>
        </w:rPr>
        <w:t>shares of Class A common stock, the underwriters have the option to purchase up to an additional</w:t>
      </w:r>
    </w:p>
    <w:p>
      <w:pPr>
        <w:spacing w:after="0" w:line="22" w:lineRule="exact"/>
        <w:rPr>
          <w:sz w:val="20"/>
          <w:szCs w:val="20"/>
          <w:color w:val="auto"/>
        </w:rPr>
      </w:pPr>
    </w:p>
    <w:p>
      <w:pPr>
        <w:spacing w:after="0"/>
        <w:rPr>
          <w:sz w:val="20"/>
          <w:szCs w:val="20"/>
          <w:color w:val="auto"/>
        </w:rPr>
      </w:pPr>
      <w:r>
        <w:rPr>
          <w:rFonts w:ascii="Arial" w:cs="Arial" w:eastAsia="Arial" w:hAnsi="Arial"/>
          <w:sz w:val="16"/>
          <w:szCs w:val="16"/>
          <w:color w:val="auto"/>
        </w:rPr>
        <w:t>shares from Dropbox, Inc. and the selling stockholders at the initial public offering price less the underwriting discount.</w:t>
      </w:r>
    </w:p>
    <w:p>
      <w:pPr>
        <w:spacing w:after="0" w:line="123" w:lineRule="exact"/>
        <w:rPr>
          <w:sz w:val="20"/>
          <w:szCs w:val="20"/>
          <w:color w:val="auto"/>
        </w:rPr>
      </w:pPr>
    </w:p>
    <w:p>
      <w:pPr>
        <w:ind w:left="340"/>
        <w:spacing w:after="0"/>
        <w:tabs>
          <w:tab w:leader="none" w:pos="7620" w:val="left"/>
        </w:tabs>
        <w:rPr>
          <w:sz w:val="20"/>
          <w:szCs w:val="20"/>
          <w:color w:val="auto"/>
        </w:rPr>
      </w:pPr>
      <w:r>
        <w:rPr>
          <w:rFonts w:ascii="Arial" w:cs="Arial" w:eastAsia="Arial" w:hAnsi="Arial"/>
          <w:sz w:val="16"/>
          <w:szCs w:val="16"/>
          <w:color w:val="auto"/>
        </w:rPr>
        <w:t>The underwriters expect to deliver the shares against payment in New York, New York, on or about</w:t>
      </w:r>
      <w:r>
        <w:rPr>
          <w:sz w:val="20"/>
          <w:szCs w:val="20"/>
          <w:color w:val="auto"/>
        </w:rPr>
        <w:tab/>
      </w:r>
      <w:r>
        <w:rPr>
          <w:rFonts w:ascii="Arial" w:cs="Arial" w:eastAsia="Arial" w:hAnsi="Arial"/>
          <w:sz w:val="14"/>
          <w:szCs w:val="14"/>
          <w:color w:val="auto"/>
        </w:rPr>
        <w:t>, 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2825115</wp:posOffset>
            </wp:positionH>
            <wp:positionV relativeFrom="paragraph">
              <wp:posOffset>172085</wp:posOffset>
            </wp:positionV>
            <wp:extent cx="1491615"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491615" cy="825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tabs>
          <w:tab w:leader="none" w:pos="9720" w:val="left"/>
        </w:tabs>
        <w:rPr>
          <w:sz w:val="20"/>
          <w:szCs w:val="20"/>
          <w:color w:val="auto"/>
        </w:rPr>
      </w:pPr>
      <w:r>
        <w:rPr>
          <w:rFonts w:ascii="Arial" w:cs="Arial" w:eastAsia="Arial" w:hAnsi="Arial"/>
          <w:sz w:val="29"/>
          <w:szCs w:val="29"/>
          <w:b w:val="1"/>
          <w:bCs w:val="1"/>
          <w:color w:val="auto"/>
        </w:rPr>
        <w:t>Goldman Sachs &amp; Co. LLC</w:t>
      </w:r>
      <w:r>
        <w:rPr>
          <w:sz w:val="20"/>
          <w:szCs w:val="20"/>
          <w:color w:val="auto"/>
        </w:rPr>
        <w:tab/>
      </w:r>
      <w:r>
        <w:rPr>
          <w:rFonts w:ascii="Arial" w:cs="Arial" w:eastAsia="Arial" w:hAnsi="Arial"/>
          <w:sz w:val="26"/>
          <w:szCs w:val="26"/>
          <w:b w:val="1"/>
          <w:bCs w:val="1"/>
          <w:color w:val="auto"/>
        </w:rPr>
        <w:t>J.P. Morgan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2825115</wp:posOffset>
            </wp:positionH>
            <wp:positionV relativeFrom="paragraph">
              <wp:posOffset>177165</wp:posOffset>
            </wp:positionV>
            <wp:extent cx="1491615"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491615" cy="8255"/>
                    </a:xfrm>
                    <a:prstGeom prst="rect">
                      <a:avLst/>
                    </a:prstGeom>
                    <a:noFill/>
                  </pic:spPr>
                </pic:pic>
              </a:graphicData>
            </a:graphic>
          </wp:anchor>
        </w:drawing>
      </w:r>
    </w:p>
    <w:p>
      <w:pPr>
        <w:sectPr>
          <w:pgSz w:w="11900" w:h="16838" w:orient="portrait"/>
          <w:cols w:equalWidth="0" w:num="1">
            <w:col w:w="11240"/>
          </w:cols>
          <w:pgMar w:left="320" w:top="459" w:right="339" w:bottom="1440" w:gutter="0" w:footer="0" w:header="0"/>
        </w:sectPr>
      </w:pPr>
    </w:p>
    <w:p>
      <w:pPr>
        <w:spacing w:after="0" w:line="387" w:lineRule="exact"/>
        <w:rPr>
          <w:sz w:val="20"/>
          <w:szCs w:val="20"/>
          <w:color w:val="auto"/>
        </w:rPr>
      </w:pPr>
    </w:p>
    <w:p>
      <w:pPr>
        <w:ind w:left="4560"/>
        <w:spacing w:after="0"/>
        <w:tabs>
          <w:tab w:leader="none" w:pos="6260" w:val="left"/>
        </w:tabs>
        <w:rPr>
          <w:sz w:val="20"/>
          <w:szCs w:val="20"/>
          <w:color w:val="auto"/>
        </w:rPr>
      </w:pPr>
      <w:r>
        <w:rPr>
          <w:rFonts w:ascii="Arial" w:cs="Arial" w:eastAsia="Arial" w:hAnsi="Arial"/>
          <w:sz w:val="16"/>
          <w:szCs w:val="16"/>
          <w:b w:val="1"/>
          <w:bCs w:val="1"/>
          <w:color w:val="auto"/>
        </w:rPr>
        <w:t>Prospectus dated</w:t>
      </w:r>
      <w:r>
        <w:rPr>
          <w:sz w:val="20"/>
          <w:szCs w:val="20"/>
          <w:color w:val="auto"/>
        </w:rPr>
        <w:tab/>
      </w:r>
      <w:r>
        <w:rPr>
          <w:rFonts w:ascii="Arial" w:cs="Arial" w:eastAsia="Arial" w:hAnsi="Arial"/>
          <w:sz w:val="14"/>
          <w:szCs w:val="14"/>
          <w:b w:val="1"/>
          <w:bCs w:val="1"/>
          <w:color w:val="auto"/>
        </w:rPr>
        <w:t>, 2017</w:t>
      </w:r>
    </w:p>
    <w:p>
      <w:pPr>
        <w:sectPr>
          <w:pgSz w:w="11900" w:h="16838" w:orient="portrait"/>
          <w:cols w:equalWidth="0" w:num="1">
            <w:col w:w="11240"/>
          </w:cols>
          <w:pgMar w:left="320" w:top="459" w:right="339" w:bottom="1440" w:gutter="0" w:footer="0" w:header="0"/>
          <w:type w:val="continuous"/>
        </w:sectPr>
      </w:pPr>
    </w:p>
    <w:bookmarkStart w:id="2" w:name="page3"/>
    <w:bookmarkEnd w:id="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16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6420" w:type="dxa"/>
            <w:vAlign w:val="bottom"/>
            <w:gridSpan w:val="2"/>
          </w:tcPr>
          <w:p>
            <w:pPr>
              <w:jc w:val="center"/>
              <w:ind w:right="4060"/>
              <w:spacing w:after="0"/>
              <w:rPr>
                <w:sz w:val="20"/>
                <w:szCs w:val="20"/>
                <w:color w:val="auto"/>
              </w:rPr>
            </w:pPr>
            <w:r>
              <w:rPr>
                <w:rFonts w:ascii="Arial" w:cs="Arial" w:eastAsia="Arial" w:hAnsi="Arial"/>
                <w:sz w:val="18"/>
                <w:szCs w:val="18"/>
                <w:b w:val="1"/>
                <w:bCs w:val="1"/>
                <w:color w:val="auto"/>
                <w:w w:val="98"/>
              </w:rPr>
              <w:t>TABLE OF CONTENTS</w:t>
            </w:r>
          </w:p>
        </w:tc>
        <w:tc>
          <w:tcPr>
            <w:tcW w:w="3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316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6420" w:type="dxa"/>
            <w:vAlign w:val="bottom"/>
            <w:gridSpan w:val="2"/>
          </w:tcPr>
          <w:p>
            <w:pPr>
              <w:jc w:val="center"/>
              <w:ind w:right="4060"/>
              <w:spacing w:after="0"/>
              <w:rPr>
                <w:sz w:val="20"/>
                <w:szCs w:val="20"/>
                <w:color w:val="auto"/>
              </w:rPr>
            </w:pPr>
            <w:r>
              <w:rPr>
                <w:rFonts w:ascii="Arial" w:cs="Arial" w:eastAsia="Arial" w:hAnsi="Arial"/>
                <w:sz w:val="18"/>
                <w:szCs w:val="18"/>
                <w:b w:val="1"/>
                <w:bCs w:val="1"/>
                <w:color w:val="auto"/>
                <w:w w:val="85"/>
              </w:rPr>
              <w:t>Prospectus</w:t>
            </w:r>
          </w:p>
        </w:tc>
        <w:tc>
          <w:tcPr>
            <w:tcW w:w="3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1"/>
        </w:trPr>
        <w:tc>
          <w:tcPr>
            <w:tcW w:w="3160" w:type="dxa"/>
            <w:vAlign w:val="bottom"/>
            <w:vMerge w:val="restart"/>
          </w:tcPr>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Prospectus Summary</w:t>
              </w:r>
            </w:hyperlink>
          </w:p>
        </w:tc>
        <w:tc>
          <w:tcPr>
            <w:tcW w:w="1280" w:type="dxa"/>
            <w:vAlign w:val="bottom"/>
          </w:tcPr>
          <w:p>
            <w:pPr>
              <w:spacing w:after="0"/>
              <w:rPr>
                <w:sz w:val="24"/>
                <w:szCs w:val="24"/>
                <w:color w:val="auto"/>
              </w:rPr>
            </w:pPr>
          </w:p>
        </w:tc>
        <w:tc>
          <w:tcPr>
            <w:tcW w:w="2360" w:type="dxa"/>
            <w:vAlign w:val="bottom"/>
          </w:tcPr>
          <w:p>
            <w:pPr>
              <w:spacing w:after="0"/>
              <w:rPr>
                <w:sz w:val="24"/>
                <w:szCs w:val="24"/>
                <w:color w:val="auto"/>
              </w:rPr>
            </w:pPr>
          </w:p>
        </w:tc>
        <w:tc>
          <w:tcPr>
            <w:tcW w:w="4060" w:type="dxa"/>
            <w:vAlign w:val="bottom"/>
          </w:tcPr>
          <w:p>
            <w:pPr>
              <w:spacing w:after="0"/>
              <w:rPr>
                <w:sz w:val="24"/>
                <w:szCs w:val="24"/>
                <w:color w:val="auto"/>
              </w:rPr>
            </w:pPr>
          </w:p>
        </w:tc>
        <w:tc>
          <w:tcPr>
            <w:tcW w:w="360" w:type="dxa"/>
            <w:vAlign w:val="bottom"/>
            <w:gridSpan w:val="2"/>
          </w:tcPr>
          <w:p>
            <w:pPr>
              <w:jc w:val="right"/>
              <w:ind w:right="40"/>
              <w:spacing w:after="0"/>
              <w:rPr>
                <w:sz w:val="20"/>
                <w:szCs w:val="20"/>
                <w:color w:val="auto"/>
              </w:rPr>
            </w:pPr>
            <w:r>
              <w:rPr>
                <w:rFonts w:ascii="Arial" w:cs="Arial" w:eastAsia="Arial" w:hAnsi="Arial"/>
                <w:sz w:val="14"/>
                <w:szCs w:val="14"/>
                <w:b w:val="1"/>
                <w:bCs w:val="1"/>
                <w:color w:val="auto"/>
                <w:w w:val="89"/>
              </w:rPr>
              <w:t>Page</w:t>
            </w:r>
          </w:p>
        </w:tc>
        <w:tc>
          <w:tcPr>
            <w:tcW w:w="0" w:type="dxa"/>
            <w:vAlign w:val="bottom"/>
          </w:tcPr>
          <w:p>
            <w:pPr>
              <w:spacing w:after="0"/>
              <w:rPr>
                <w:sz w:val="1"/>
                <w:szCs w:val="1"/>
                <w:color w:val="auto"/>
              </w:rPr>
            </w:pPr>
          </w:p>
        </w:tc>
      </w:tr>
      <w:tr>
        <w:trPr>
          <w:trHeight w:val="195"/>
        </w:trPr>
        <w:tc>
          <w:tcPr>
            <w:tcW w:w="3160" w:type="dxa"/>
            <w:vAlign w:val="bottom"/>
            <w:vMerge w:val="continue"/>
          </w:tcPr>
          <w:p>
            <w:pPr>
              <w:spacing w:after="0"/>
              <w:rPr>
                <w:sz w:val="16"/>
                <w:szCs w:val="16"/>
                <w:color w:val="auto"/>
              </w:rPr>
            </w:pPr>
          </w:p>
        </w:tc>
        <w:tc>
          <w:tcPr>
            <w:tcW w:w="1280" w:type="dxa"/>
            <w:vAlign w:val="bottom"/>
          </w:tcPr>
          <w:p>
            <w:pPr>
              <w:spacing w:after="0"/>
              <w:rPr>
                <w:sz w:val="16"/>
                <w:szCs w:val="16"/>
                <w:color w:val="auto"/>
              </w:rPr>
            </w:pPr>
          </w:p>
        </w:tc>
        <w:tc>
          <w:tcPr>
            <w:tcW w:w="2360" w:type="dxa"/>
            <w:vAlign w:val="bottom"/>
          </w:tcPr>
          <w:p>
            <w:pPr>
              <w:spacing w:after="0"/>
              <w:rPr>
                <w:sz w:val="16"/>
                <w:szCs w:val="16"/>
                <w:color w:val="auto"/>
              </w:rPr>
            </w:pPr>
          </w:p>
        </w:tc>
        <w:tc>
          <w:tcPr>
            <w:tcW w:w="4060" w:type="dxa"/>
            <w:vAlign w:val="bottom"/>
          </w:tcPr>
          <w:p>
            <w:pPr>
              <w:spacing w:after="0"/>
              <w:rPr>
                <w:sz w:val="16"/>
                <w:szCs w:val="16"/>
                <w:color w:val="auto"/>
              </w:rPr>
            </w:pPr>
          </w:p>
        </w:tc>
        <w:tc>
          <w:tcPr>
            <w:tcW w:w="320" w:type="dxa"/>
            <w:vAlign w:val="bottom"/>
            <w:tcBorders>
              <w:top w:val="single" w:sz="8" w:color="auto"/>
            </w:tcBorders>
          </w:tcPr>
          <w:p>
            <w:pPr>
              <w:jc w:val="right"/>
              <w:spacing w:after="0" w:line="195" w:lineRule="exact"/>
              <w:rPr>
                <w:sz w:val="20"/>
                <w:szCs w:val="20"/>
                <w:color w:val="auto"/>
              </w:rPr>
            </w:pPr>
            <w:r>
              <w:rPr>
                <w:rFonts w:ascii="Arial" w:cs="Arial" w:eastAsia="Arial" w:hAnsi="Arial"/>
                <w:sz w:val="18"/>
                <w:szCs w:val="18"/>
                <w:color w:val="auto"/>
              </w:rPr>
              <w:t>1</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3160" w:type="dxa"/>
            <w:vAlign w:val="bottom"/>
          </w:tcPr>
          <w:p>
            <w:pPr>
              <w:spacing w:after="0"/>
              <w:rPr>
                <w:rFonts w:ascii="Arial" w:cs="Arial" w:eastAsia="Arial" w:hAnsi="Arial"/>
                <w:sz w:val="18"/>
                <w:szCs w:val="18"/>
                <w:u w:val="single" w:color="auto"/>
                <w:color w:val="0000EE"/>
              </w:rPr>
            </w:pPr>
            <w:hyperlink w:anchor="page18">
              <w:r>
                <w:rPr>
                  <w:rFonts w:ascii="Arial" w:cs="Arial" w:eastAsia="Arial" w:hAnsi="Arial"/>
                  <w:sz w:val="18"/>
                  <w:szCs w:val="18"/>
                  <w:u w:val="single" w:color="auto"/>
                  <w:color w:val="0000EE"/>
                </w:rPr>
                <w:t>Risk Factors</w:t>
              </w:r>
            </w:hyperlink>
          </w:p>
        </w:tc>
        <w:tc>
          <w:tcPr>
            <w:tcW w:w="1280" w:type="dxa"/>
            <w:vAlign w:val="bottom"/>
          </w:tcPr>
          <w:p>
            <w:pPr>
              <w:spacing w:after="0"/>
              <w:rPr>
                <w:sz w:val="18"/>
                <w:szCs w:val="18"/>
                <w:color w:val="auto"/>
              </w:rPr>
            </w:pPr>
          </w:p>
        </w:tc>
        <w:tc>
          <w:tcPr>
            <w:tcW w:w="2360" w:type="dxa"/>
            <w:vAlign w:val="bottom"/>
          </w:tcPr>
          <w:p>
            <w:pPr>
              <w:spacing w:after="0"/>
              <w:rPr>
                <w:sz w:val="18"/>
                <w:szCs w:val="18"/>
                <w:color w:val="auto"/>
              </w:rPr>
            </w:pPr>
          </w:p>
        </w:tc>
        <w:tc>
          <w:tcPr>
            <w:tcW w:w="4060" w:type="dxa"/>
            <w:vAlign w:val="bottom"/>
          </w:tcPr>
          <w:p>
            <w:pPr>
              <w:spacing w:after="0"/>
              <w:rPr>
                <w:sz w:val="18"/>
                <w:szCs w:val="18"/>
                <w:color w:val="auto"/>
              </w:rPr>
            </w:pPr>
          </w:p>
        </w:tc>
        <w:tc>
          <w:tcPr>
            <w:tcW w:w="360" w:type="dxa"/>
            <w:vAlign w:val="bottom"/>
            <w:gridSpan w:val="2"/>
          </w:tcPr>
          <w:p>
            <w:pPr>
              <w:jc w:val="right"/>
              <w:ind w:right="40"/>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16"/>
        </w:trPr>
        <w:tc>
          <w:tcPr>
            <w:tcW w:w="10860" w:type="dxa"/>
            <w:vAlign w:val="bottom"/>
            <w:gridSpan w:val="4"/>
          </w:tcPr>
          <w:p>
            <w:pPr>
              <w:spacing w:after="0"/>
              <w:rPr>
                <w:rFonts w:ascii="Arial" w:cs="Arial" w:eastAsia="Arial" w:hAnsi="Arial"/>
                <w:sz w:val="18"/>
                <w:szCs w:val="18"/>
                <w:u w:val="single" w:color="auto"/>
                <w:color w:val="0000EE"/>
              </w:rPr>
            </w:pPr>
            <w:hyperlink w:anchor="page46">
              <w:r>
                <w:rPr>
                  <w:rFonts w:ascii="Arial" w:cs="Arial" w:eastAsia="Arial" w:hAnsi="Arial"/>
                  <w:sz w:val="18"/>
                  <w:szCs w:val="18"/>
                  <w:u w:val="single" w:color="auto"/>
                  <w:color w:val="0000EE"/>
                </w:rPr>
                <w:t>Special Note Regarding Forward-Looking Statements</w:t>
              </w:r>
            </w:hyperlink>
          </w:p>
        </w:tc>
        <w:tc>
          <w:tcPr>
            <w:tcW w:w="360" w:type="dxa"/>
            <w:vAlign w:val="bottom"/>
            <w:gridSpan w:val="2"/>
          </w:tcPr>
          <w:p>
            <w:pPr>
              <w:jc w:val="right"/>
              <w:ind w:right="40"/>
              <w:spacing w:after="0"/>
              <w:rPr>
                <w:sz w:val="20"/>
                <w:szCs w:val="20"/>
                <w:color w:val="auto"/>
              </w:rPr>
            </w:pPr>
            <w:r>
              <w:rPr>
                <w:rFonts w:ascii="Arial" w:cs="Arial" w:eastAsia="Arial" w:hAnsi="Arial"/>
                <w:sz w:val="18"/>
                <w:szCs w:val="18"/>
                <w:color w:val="auto"/>
              </w:rPr>
              <w:t>43</w:t>
            </w:r>
          </w:p>
        </w:tc>
        <w:tc>
          <w:tcPr>
            <w:tcW w:w="0" w:type="dxa"/>
            <w:vAlign w:val="bottom"/>
          </w:tcPr>
          <w:p>
            <w:pPr>
              <w:spacing w:after="0"/>
              <w:rPr>
                <w:sz w:val="1"/>
                <w:szCs w:val="1"/>
                <w:color w:val="auto"/>
              </w:rPr>
            </w:pPr>
          </w:p>
        </w:tc>
      </w:tr>
      <w:tr>
        <w:trPr>
          <w:trHeight w:val="216"/>
        </w:trPr>
        <w:tc>
          <w:tcPr>
            <w:tcW w:w="3160" w:type="dxa"/>
            <w:vAlign w:val="bottom"/>
          </w:tcPr>
          <w:p>
            <w:pPr>
              <w:spacing w:after="0"/>
              <w:rPr>
                <w:rFonts w:ascii="Arial" w:cs="Arial" w:eastAsia="Arial" w:hAnsi="Arial"/>
                <w:sz w:val="18"/>
                <w:szCs w:val="18"/>
                <w:u w:val="single" w:color="auto"/>
                <w:color w:val="0000EE"/>
              </w:rPr>
            </w:pPr>
            <w:hyperlink w:anchor="page48">
              <w:r>
                <w:rPr>
                  <w:rFonts w:ascii="Arial" w:cs="Arial" w:eastAsia="Arial" w:hAnsi="Arial"/>
                  <w:sz w:val="18"/>
                  <w:szCs w:val="18"/>
                  <w:u w:val="single" w:color="auto"/>
                  <w:color w:val="0000EE"/>
                </w:rPr>
                <w:t>Industry And Market Data</w:t>
              </w:r>
            </w:hyperlink>
          </w:p>
        </w:tc>
        <w:tc>
          <w:tcPr>
            <w:tcW w:w="1280" w:type="dxa"/>
            <w:vAlign w:val="bottom"/>
          </w:tcPr>
          <w:p>
            <w:pPr>
              <w:spacing w:after="0"/>
              <w:rPr>
                <w:sz w:val="18"/>
                <w:szCs w:val="18"/>
                <w:color w:val="auto"/>
              </w:rPr>
            </w:pPr>
          </w:p>
        </w:tc>
        <w:tc>
          <w:tcPr>
            <w:tcW w:w="2360" w:type="dxa"/>
            <w:vAlign w:val="bottom"/>
          </w:tcPr>
          <w:p>
            <w:pPr>
              <w:spacing w:after="0"/>
              <w:rPr>
                <w:sz w:val="18"/>
                <w:szCs w:val="18"/>
                <w:color w:val="auto"/>
              </w:rPr>
            </w:pPr>
          </w:p>
        </w:tc>
        <w:tc>
          <w:tcPr>
            <w:tcW w:w="4060" w:type="dxa"/>
            <w:vAlign w:val="bottom"/>
          </w:tcPr>
          <w:p>
            <w:pPr>
              <w:spacing w:after="0"/>
              <w:rPr>
                <w:sz w:val="18"/>
                <w:szCs w:val="18"/>
                <w:color w:val="auto"/>
              </w:rPr>
            </w:pPr>
          </w:p>
        </w:tc>
        <w:tc>
          <w:tcPr>
            <w:tcW w:w="360" w:type="dxa"/>
            <w:vAlign w:val="bottom"/>
            <w:gridSpan w:val="2"/>
          </w:tcPr>
          <w:p>
            <w:pPr>
              <w:jc w:val="right"/>
              <w:ind w:right="40"/>
              <w:spacing w:after="0"/>
              <w:rPr>
                <w:sz w:val="20"/>
                <w:szCs w:val="20"/>
                <w:color w:val="auto"/>
              </w:rPr>
            </w:pPr>
            <w:r>
              <w:rPr>
                <w:rFonts w:ascii="Arial" w:cs="Arial" w:eastAsia="Arial" w:hAnsi="Arial"/>
                <w:sz w:val="18"/>
                <w:szCs w:val="18"/>
                <w:color w:val="auto"/>
              </w:rPr>
              <w:t>45</w:t>
            </w:r>
          </w:p>
        </w:tc>
        <w:tc>
          <w:tcPr>
            <w:tcW w:w="0" w:type="dxa"/>
            <w:vAlign w:val="bottom"/>
          </w:tcPr>
          <w:p>
            <w:pPr>
              <w:spacing w:after="0"/>
              <w:rPr>
                <w:sz w:val="1"/>
                <w:szCs w:val="1"/>
                <w:color w:val="auto"/>
              </w:rPr>
            </w:pPr>
          </w:p>
        </w:tc>
      </w:tr>
      <w:tr>
        <w:trPr>
          <w:trHeight w:val="216"/>
        </w:trPr>
        <w:tc>
          <w:tcPr>
            <w:tcW w:w="3160" w:type="dxa"/>
            <w:vAlign w:val="bottom"/>
          </w:tcPr>
          <w:p>
            <w:pPr>
              <w:spacing w:after="0"/>
              <w:rPr>
                <w:rFonts w:ascii="Arial" w:cs="Arial" w:eastAsia="Arial" w:hAnsi="Arial"/>
                <w:sz w:val="18"/>
                <w:szCs w:val="18"/>
                <w:u w:val="single" w:color="auto"/>
                <w:color w:val="0000EE"/>
              </w:rPr>
            </w:pPr>
            <w:hyperlink w:anchor="page49">
              <w:r>
                <w:rPr>
                  <w:rFonts w:ascii="Arial" w:cs="Arial" w:eastAsia="Arial" w:hAnsi="Arial"/>
                  <w:sz w:val="18"/>
                  <w:szCs w:val="18"/>
                  <w:u w:val="single" w:color="auto"/>
                  <w:color w:val="0000EE"/>
                </w:rPr>
                <w:t>Use of Proceeds</w:t>
              </w:r>
            </w:hyperlink>
          </w:p>
        </w:tc>
        <w:tc>
          <w:tcPr>
            <w:tcW w:w="1280" w:type="dxa"/>
            <w:vAlign w:val="bottom"/>
          </w:tcPr>
          <w:p>
            <w:pPr>
              <w:spacing w:after="0"/>
              <w:rPr>
                <w:sz w:val="18"/>
                <w:szCs w:val="18"/>
                <w:color w:val="auto"/>
              </w:rPr>
            </w:pPr>
          </w:p>
        </w:tc>
        <w:tc>
          <w:tcPr>
            <w:tcW w:w="2360" w:type="dxa"/>
            <w:vAlign w:val="bottom"/>
          </w:tcPr>
          <w:p>
            <w:pPr>
              <w:spacing w:after="0"/>
              <w:rPr>
                <w:sz w:val="18"/>
                <w:szCs w:val="18"/>
                <w:color w:val="auto"/>
              </w:rPr>
            </w:pPr>
          </w:p>
        </w:tc>
        <w:tc>
          <w:tcPr>
            <w:tcW w:w="4060" w:type="dxa"/>
            <w:vAlign w:val="bottom"/>
          </w:tcPr>
          <w:p>
            <w:pPr>
              <w:spacing w:after="0"/>
              <w:rPr>
                <w:sz w:val="18"/>
                <w:szCs w:val="18"/>
                <w:color w:val="auto"/>
              </w:rPr>
            </w:pPr>
          </w:p>
        </w:tc>
        <w:tc>
          <w:tcPr>
            <w:tcW w:w="360" w:type="dxa"/>
            <w:vAlign w:val="bottom"/>
            <w:gridSpan w:val="2"/>
          </w:tcPr>
          <w:p>
            <w:pPr>
              <w:jc w:val="right"/>
              <w:ind w:right="40"/>
              <w:spacing w:after="0"/>
              <w:rPr>
                <w:sz w:val="20"/>
                <w:szCs w:val="20"/>
                <w:color w:val="auto"/>
              </w:rPr>
            </w:pPr>
            <w:r>
              <w:rPr>
                <w:rFonts w:ascii="Arial" w:cs="Arial" w:eastAsia="Arial" w:hAnsi="Arial"/>
                <w:sz w:val="18"/>
                <w:szCs w:val="18"/>
                <w:color w:val="auto"/>
              </w:rPr>
              <w:t>46</w:t>
            </w:r>
          </w:p>
        </w:tc>
        <w:tc>
          <w:tcPr>
            <w:tcW w:w="0" w:type="dxa"/>
            <w:vAlign w:val="bottom"/>
          </w:tcPr>
          <w:p>
            <w:pPr>
              <w:spacing w:after="0"/>
              <w:rPr>
                <w:sz w:val="1"/>
                <w:szCs w:val="1"/>
                <w:color w:val="auto"/>
              </w:rPr>
            </w:pPr>
          </w:p>
        </w:tc>
      </w:tr>
      <w:tr>
        <w:trPr>
          <w:trHeight w:val="216"/>
        </w:trPr>
        <w:tc>
          <w:tcPr>
            <w:tcW w:w="3160" w:type="dxa"/>
            <w:vAlign w:val="bottom"/>
          </w:tcPr>
          <w:p>
            <w:pPr>
              <w:spacing w:after="0"/>
              <w:rPr>
                <w:rFonts w:ascii="Arial" w:cs="Arial" w:eastAsia="Arial" w:hAnsi="Arial"/>
                <w:sz w:val="18"/>
                <w:szCs w:val="18"/>
                <w:u w:val="single" w:color="auto"/>
                <w:color w:val="0000EE"/>
              </w:rPr>
            </w:pPr>
            <w:hyperlink w:anchor="page50">
              <w:r>
                <w:rPr>
                  <w:rFonts w:ascii="Arial" w:cs="Arial" w:eastAsia="Arial" w:hAnsi="Arial"/>
                  <w:sz w:val="18"/>
                  <w:szCs w:val="18"/>
                  <w:u w:val="single" w:color="auto"/>
                  <w:color w:val="0000EE"/>
                </w:rPr>
                <w:t>Dividend Policy</w:t>
              </w:r>
            </w:hyperlink>
          </w:p>
        </w:tc>
        <w:tc>
          <w:tcPr>
            <w:tcW w:w="1280" w:type="dxa"/>
            <w:vAlign w:val="bottom"/>
          </w:tcPr>
          <w:p>
            <w:pPr>
              <w:spacing w:after="0"/>
              <w:rPr>
                <w:sz w:val="18"/>
                <w:szCs w:val="18"/>
                <w:color w:val="auto"/>
              </w:rPr>
            </w:pPr>
          </w:p>
        </w:tc>
        <w:tc>
          <w:tcPr>
            <w:tcW w:w="2360" w:type="dxa"/>
            <w:vAlign w:val="bottom"/>
          </w:tcPr>
          <w:p>
            <w:pPr>
              <w:spacing w:after="0"/>
              <w:rPr>
                <w:sz w:val="18"/>
                <w:szCs w:val="18"/>
                <w:color w:val="auto"/>
              </w:rPr>
            </w:pPr>
          </w:p>
        </w:tc>
        <w:tc>
          <w:tcPr>
            <w:tcW w:w="4060" w:type="dxa"/>
            <w:vAlign w:val="bottom"/>
          </w:tcPr>
          <w:p>
            <w:pPr>
              <w:spacing w:after="0"/>
              <w:rPr>
                <w:sz w:val="18"/>
                <w:szCs w:val="18"/>
                <w:color w:val="auto"/>
              </w:rPr>
            </w:pPr>
          </w:p>
        </w:tc>
        <w:tc>
          <w:tcPr>
            <w:tcW w:w="360" w:type="dxa"/>
            <w:vAlign w:val="bottom"/>
            <w:gridSpan w:val="2"/>
          </w:tcPr>
          <w:p>
            <w:pPr>
              <w:jc w:val="right"/>
              <w:ind w:right="40"/>
              <w:spacing w:after="0"/>
              <w:rPr>
                <w:sz w:val="20"/>
                <w:szCs w:val="20"/>
                <w:color w:val="auto"/>
              </w:rPr>
            </w:pPr>
            <w:r>
              <w:rPr>
                <w:rFonts w:ascii="Arial" w:cs="Arial" w:eastAsia="Arial" w:hAnsi="Arial"/>
                <w:sz w:val="18"/>
                <w:szCs w:val="18"/>
                <w:color w:val="auto"/>
              </w:rPr>
              <w:t>47</w:t>
            </w:r>
          </w:p>
        </w:tc>
        <w:tc>
          <w:tcPr>
            <w:tcW w:w="0" w:type="dxa"/>
            <w:vAlign w:val="bottom"/>
          </w:tcPr>
          <w:p>
            <w:pPr>
              <w:spacing w:after="0"/>
              <w:rPr>
                <w:sz w:val="1"/>
                <w:szCs w:val="1"/>
                <w:color w:val="auto"/>
              </w:rPr>
            </w:pPr>
          </w:p>
        </w:tc>
      </w:tr>
      <w:tr>
        <w:trPr>
          <w:trHeight w:val="216"/>
        </w:trPr>
        <w:tc>
          <w:tcPr>
            <w:tcW w:w="3160" w:type="dxa"/>
            <w:vAlign w:val="bottom"/>
          </w:tcPr>
          <w:p>
            <w:pPr>
              <w:spacing w:after="0"/>
              <w:rPr>
                <w:rFonts w:ascii="Arial" w:cs="Arial" w:eastAsia="Arial" w:hAnsi="Arial"/>
                <w:sz w:val="18"/>
                <w:szCs w:val="18"/>
                <w:u w:val="single" w:color="auto"/>
                <w:color w:val="0000EE"/>
              </w:rPr>
            </w:pPr>
            <w:hyperlink w:anchor="page51">
              <w:r>
                <w:rPr>
                  <w:rFonts w:ascii="Arial" w:cs="Arial" w:eastAsia="Arial" w:hAnsi="Arial"/>
                  <w:sz w:val="18"/>
                  <w:szCs w:val="18"/>
                  <w:u w:val="single" w:color="auto"/>
                  <w:color w:val="0000EE"/>
                </w:rPr>
                <w:t>Capitalization</w:t>
              </w:r>
            </w:hyperlink>
          </w:p>
        </w:tc>
        <w:tc>
          <w:tcPr>
            <w:tcW w:w="1280" w:type="dxa"/>
            <w:vAlign w:val="bottom"/>
          </w:tcPr>
          <w:p>
            <w:pPr>
              <w:spacing w:after="0"/>
              <w:rPr>
                <w:sz w:val="18"/>
                <w:szCs w:val="18"/>
                <w:color w:val="auto"/>
              </w:rPr>
            </w:pPr>
          </w:p>
        </w:tc>
        <w:tc>
          <w:tcPr>
            <w:tcW w:w="2360" w:type="dxa"/>
            <w:vAlign w:val="bottom"/>
          </w:tcPr>
          <w:p>
            <w:pPr>
              <w:spacing w:after="0"/>
              <w:rPr>
                <w:sz w:val="18"/>
                <w:szCs w:val="18"/>
                <w:color w:val="auto"/>
              </w:rPr>
            </w:pPr>
          </w:p>
        </w:tc>
        <w:tc>
          <w:tcPr>
            <w:tcW w:w="4060" w:type="dxa"/>
            <w:vAlign w:val="bottom"/>
          </w:tcPr>
          <w:p>
            <w:pPr>
              <w:spacing w:after="0"/>
              <w:rPr>
                <w:sz w:val="18"/>
                <w:szCs w:val="18"/>
                <w:color w:val="auto"/>
              </w:rPr>
            </w:pPr>
          </w:p>
        </w:tc>
        <w:tc>
          <w:tcPr>
            <w:tcW w:w="360" w:type="dxa"/>
            <w:vAlign w:val="bottom"/>
            <w:gridSpan w:val="2"/>
          </w:tcPr>
          <w:p>
            <w:pPr>
              <w:jc w:val="right"/>
              <w:ind w:right="40"/>
              <w:spacing w:after="0"/>
              <w:rPr>
                <w:sz w:val="20"/>
                <w:szCs w:val="20"/>
                <w:color w:val="auto"/>
              </w:rPr>
            </w:pPr>
            <w:r>
              <w:rPr>
                <w:rFonts w:ascii="Arial" w:cs="Arial" w:eastAsia="Arial" w:hAnsi="Arial"/>
                <w:sz w:val="18"/>
                <w:szCs w:val="18"/>
                <w:color w:val="auto"/>
              </w:rPr>
              <w:t>48</w:t>
            </w:r>
          </w:p>
        </w:tc>
        <w:tc>
          <w:tcPr>
            <w:tcW w:w="0" w:type="dxa"/>
            <w:vAlign w:val="bottom"/>
          </w:tcPr>
          <w:p>
            <w:pPr>
              <w:spacing w:after="0"/>
              <w:rPr>
                <w:sz w:val="1"/>
                <w:szCs w:val="1"/>
                <w:color w:val="auto"/>
              </w:rPr>
            </w:pPr>
          </w:p>
        </w:tc>
      </w:tr>
      <w:tr>
        <w:trPr>
          <w:trHeight w:val="216"/>
        </w:trPr>
        <w:tc>
          <w:tcPr>
            <w:tcW w:w="3160" w:type="dxa"/>
            <w:vAlign w:val="bottom"/>
          </w:tcPr>
          <w:p>
            <w:pPr>
              <w:spacing w:after="0"/>
              <w:rPr>
                <w:rFonts w:ascii="Arial" w:cs="Arial" w:eastAsia="Arial" w:hAnsi="Arial"/>
                <w:sz w:val="18"/>
                <w:szCs w:val="18"/>
                <w:u w:val="single" w:color="auto"/>
                <w:color w:val="0000EE"/>
              </w:rPr>
            </w:pPr>
            <w:hyperlink w:anchor="page54">
              <w:r>
                <w:rPr>
                  <w:rFonts w:ascii="Arial" w:cs="Arial" w:eastAsia="Arial" w:hAnsi="Arial"/>
                  <w:sz w:val="18"/>
                  <w:szCs w:val="18"/>
                  <w:u w:val="single" w:color="auto"/>
                  <w:color w:val="0000EE"/>
                </w:rPr>
                <w:t>Dilution</w:t>
              </w:r>
            </w:hyperlink>
          </w:p>
        </w:tc>
        <w:tc>
          <w:tcPr>
            <w:tcW w:w="1280" w:type="dxa"/>
            <w:vAlign w:val="bottom"/>
          </w:tcPr>
          <w:p>
            <w:pPr>
              <w:spacing w:after="0"/>
              <w:rPr>
                <w:sz w:val="18"/>
                <w:szCs w:val="18"/>
                <w:color w:val="auto"/>
              </w:rPr>
            </w:pPr>
          </w:p>
        </w:tc>
        <w:tc>
          <w:tcPr>
            <w:tcW w:w="2360" w:type="dxa"/>
            <w:vAlign w:val="bottom"/>
          </w:tcPr>
          <w:p>
            <w:pPr>
              <w:spacing w:after="0"/>
              <w:rPr>
                <w:sz w:val="18"/>
                <w:szCs w:val="18"/>
                <w:color w:val="auto"/>
              </w:rPr>
            </w:pPr>
          </w:p>
        </w:tc>
        <w:tc>
          <w:tcPr>
            <w:tcW w:w="4060" w:type="dxa"/>
            <w:vAlign w:val="bottom"/>
          </w:tcPr>
          <w:p>
            <w:pPr>
              <w:spacing w:after="0"/>
              <w:rPr>
                <w:sz w:val="18"/>
                <w:szCs w:val="18"/>
                <w:color w:val="auto"/>
              </w:rPr>
            </w:pPr>
          </w:p>
        </w:tc>
        <w:tc>
          <w:tcPr>
            <w:tcW w:w="360" w:type="dxa"/>
            <w:vAlign w:val="bottom"/>
            <w:gridSpan w:val="2"/>
          </w:tcPr>
          <w:p>
            <w:pPr>
              <w:jc w:val="right"/>
              <w:ind w:right="40"/>
              <w:spacing w:after="0"/>
              <w:rPr>
                <w:sz w:val="20"/>
                <w:szCs w:val="20"/>
                <w:color w:val="auto"/>
              </w:rPr>
            </w:pPr>
            <w:r>
              <w:rPr>
                <w:rFonts w:ascii="Arial" w:cs="Arial" w:eastAsia="Arial" w:hAnsi="Arial"/>
                <w:sz w:val="18"/>
                <w:szCs w:val="18"/>
                <w:color w:val="auto"/>
              </w:rPr>
              <w:t>51</w:t>
            </w:r>
          </w:p>
        </w:tc>
        <w:tc>
          <w:tcPr>
            <w:tcW w:w="0" w:type="dxa"/>
            <w:vAlign w:val="bottom"/>
          </w:tcPr>
          <w:p>
            <w:pPr>
              <w:spacing w:after="0"/>
              <w:rPr>
                <w:sz w:val="1"/>
                <w:szCs w:val="1"/>
                <w:color w:val="auto"/>
              </w:rPr>
            </w:pPr>
          </w:p>
        </w:tc>
      </w:tr>
      <w:tr>
        <w:trPr>
          <w:trHeight w:val="216"/>
        </w:trPr>
        <w:tc>
          <w:tcPr>
            <w:tcW w:w="10860" w:type="dxa"/>
            <w:vAlign w:val="bottom"/>
            <w:gridSpan w:val="4"/>
          </w:tcPr>
          <w:p>
            <w:pPr>
              <w:spacing w:after="0"/>
              <w:rPr>
                <w:rFonts w:ascii="Arial" w:cs="Arial" w:eastAsia="Arial" w:hAnsi="Arial"/>
                <w:sz w:val="18"/>
                <w:szCs w:val="18"/>
                <w:u w:val="single" w:color="auto"/>
                <w:color w:val="0000EE"/>
              </w:rPr>
            </w:pPr>
            <w:hyperlink w:anchor="page57">
              <w:r>
                <w:rPr>
                  <w:rFonts w:ascii="Arial" w:cs="Arial" w:eastAsia="Arial" w:hAnsi="Arial"/>
                  <w:sz w:val="18"/>
                  <w:szCs w:val="18"/>
                  <w:u w:val="single" w:color="auto"/>
                  <w:color w:val="0000EE"/>
                </w:rPr>
                <w:t>Selected Consolidated Financial and Other Data</w:t>
              </w:r>
            </w:hyperlink>
          </w:p>
        </w:tc>
        <w:tc>
          <w:tcPr>
            <w:tcW w:w="360" w:type="dxa"/>
            <w:vAlign w:val="bottom"/>
            <w:gridSpan w:val="2"/>
          </w:tcPr>
          <w:p>
            <w:pPr>
              <w:jc w:val="right"/>
              <w:ind w:right="40"/>
              <w:spacing w:after="0"/>
              <w:rPr>
                <w:sz w:val="20"/>
                <w:szCs w:val="20"/>
                <w:color w:val="auto"/>
              </w:rPr>
            </w:pPr>
            <w:r>
              <w:rPr>
                <w:rFonts w:ascii="Arial" w:cs="Arial" w:eastAsia="Arial" w:hAnsi="Arial"/>
                <w:sz w:val="18"/>
                <w:szCs w:val="18"/>
                <w:color w:val="auto"/>
              </w:rPr>
              <w:t>54</w:t>
            </w:r>
          </w:p>
        </w:tc>
        <w:tc>
          <w:tcPr>
            <w:tcW w:w="0" w:type="dxa"/>
            <w:vAlign w:val="bottom"/>
          </w:tcPr>
          <w:p>
            <w:pPr>
              <w:spacing w:after="0"/>
              <w:rPr>
                <w:sz w:val="1"/>
                <w:szCs w:val="1"/>
                <w:color w:val="auto"/>
              </w:rPr>
            </w:pPr>
          </w:p>
        </w:tc>
      </w:tr>
      <w:tr>
        <w:trPr>
          <w:trHeight w:val="216"/>
        </w:trPr>
        <w:tc>
          <w:tcPr>
            <w:tcW w:w="10860" w:type="dxa"/>
            <w:vAlign w:val="bottom"/>
            <w:gridSpan w:val="4"/>
          </w:tcPr>
          <w:p>
            <w:pPr>
              <w:spacing w:after="0"/>
              <w:rPr>
                <w:rFonts w:ascii="Arial" w:cs="Arial" w:eastAsia="Arial" w:hAnsi="Arial"/>
                <w:sz w:val="18"/>
                <w:szCs w:val="18"/>
                <w:u w:val="single" w:color="auto"/>
                <w:color w:val="0000EE"/>
              </w:rPr>
            </w:pPr>
            <w:hyperlink w:anchor="page59">
              <w:r>
                <w:rPr>
                  <w:rFonts w:ascii="Arial" w:cs="Arial" w:eastAsia="Arial" w:hAnsi="Arial"/>
                  <w:sz w:val="18"/>
                  <w:szCs w:val="18"/>
                  <w:u w:val="single" w:color="auto"/>
                  <w:color w:val="0000EE"/>
                </w:rPr>
                <w:t>Management’s Discussion and Analysis of Financial Condition and Results of Operations</w:t>
              </w:r>
            </w:hyperlink>
          </w:p>
        </w:tc>
        <w:tc>
          <w:tcPr>
            <w:tcW w:w="360" w:type="dxa"/>
            <w:vAlign w:val="bottom"/>
            <w:gridSpan w:val="2"/>
          </w:tcPr>
          <w:p>
            <w:pPr>
              <w:jc w:val="right"/>
              <w:ind w:right="40"/>
              <w:spacing w:after="0"/>
              <w:rPr>
                <w:sz w:val="20"/>
                <w:szCs w:val="20"/>
                <w:color w:val="auto"/>
              </w:rPr>
            </w:pPr>
            <w:r>
              <w:rPr>
                <w:rFonts w:ascii="Arial" w:cs="Arial" w:eastAsia="Arial" w:hAnsi="Arial"/>
                <w:sz w:val="18"/>
                <w:szCs w:val="18"/>
                <w:color w:val="auto"/>
              </w:rPr>
              <w:t>56</w:t>
            </w:r>
          </w:p>
        </w:tc>
        <w:tc>
          <w:tcPr>
            <w:tcW w:w="0" w:type="dxa"/>
            <w:vAlign w:val="bottom"/>
          </w:tcPr>
          <w:p>
            <w:pPr>
              <w:spacing w:after="0"/>
              <w:rPr>
                <w:sz w:val="1"/>
                <w:szCs w:val="1"/>
                <w:color w:val="auto"/>
              </w:rPr>
            </w:pPr>
          </w:p>
        </w:tc>
      </w:tr>
      <w:tr>
        <w:trPr>
          <w:trHeight w:val="216"/>
        </w:trPr>
        <w:tc>
          <w:tcPr>
            <w:tcW w:w="3160" w:type="dxa"/>
            <w:vAlign w:val="bottom"/>
          </w:tcPr>
          <w:p>
            <w:pPr>
              <w:spacing w:after="0"/>
              <w:rPr>
                <w:rFonts w:ascii="Arial" w:cs="Arial" w:eastAsia="Arial" w:hAnsi="Arial"/>
                <w:sz w:val="18"/>
                <w:szCs w:val="18"/>
                <w:u w:val="single" w:color="auto"/>
                <w:color w:val="0000EE"/>
              </w:rPr>
            </w:pPr>
            <w:hyperlink w:anchor="page87">
              <w:r>
                <w:rPr>
                  <w:rFonts w:ascii="Arial" w:cs="Arial" w:eastAsia="Arial" w:hAnsi="Arial"/>
                  <w:sz w:val="18"/>
                  <w:szCs w:val="18"/>
                  <w:u w:val="single" w:color="auto"/>
                  <w:color w:val="0000EE"/>
                </w:rPr>
                <w:t>Business</w:t>
              </w:r>
            </w:hyperlink>
          </w:p>
        </w:tc>
        <w:tc>
          <w:tcPr>
            <w:tcW w:w="1280" w:type="dxa"/>
            <w:vAlign w:val="bottom"/>
          </w:tcPr>
          <w:p>
            <w:pPr>
              <w:spacing w:after="0"/>
              <w:rPr>
                <w:sz w:val="18"/>
                <w:szCs w:val="18"/>
                <w:color w:val="auto"/>
              </w:rPr>
            </w:pPr>
          </w:p>
        </w:tc>
        <w:tc>
          <w:tcPr>
            <w:tcW w:w="2360" w:type="dxa"/>
            <w:vAlign w:val="bottom"/>
          </w:tcPr>
          <w:p>
            <w:pPr>
              <w:spacing w:after="0"/>
              <w:rPr>
                <w:sz w:val="18"/>
                <w:szCs w:val="18"/>
                <w:color w:val="auto"/>
              </w:rPr>
            </w:pPr>
          </w:p>
        </w:tc>
        <w:tc>
          <w:tcPr>
            <w:tcW w:w="4060" w:type="dxa"/>
            <w:vAlign w:val="bottom"/>
          </w:tcPr>
          <w:p>
            <w:pPr>
              <w:spacing w:after="0"/>
              <w:rPr>
                <w:sz w:val="18"/>
                <w:szCs w:val="18"/>
                <w:color w:val="auto"/>
              </w:rPr>
            </w:pPr>
          </w:p>
        </w:tc>
        <w:tc>
          <w:tcPr>
            <w:tcW w:w="360" w:type="dxa"/>
            <w:vAlign w:val="bottom"/>
            <w:gridSpan w:val="2"/>
          </w:tcPr>
          <w:p>
            <w:pPr>
              <w:jc w:val="right"/>
              <w:ind w:right="40"/>
              <w:spacing w:after="0"/>
              <w:rPr>
                <w:sz w:val="20"/>
                <w:szCs w:val="20"/>
                <w:color w:val="auto"/>
              </w:rPr>
            </w:pPr>
            <w:r>
              <w:rPr>
                <w:rFonts w:ascii="Arial" w:cs="Arial" w:eastAsia="Arial" w:hAnsi="Arial"/>
                <w:sz w:val="18"/>
                <w:szCs w:val="18"/>
                <w:color w:val="auto"/>
              </w:rPr>
              <w:t>84</w:t>
            </w:r>
          </w:p>
        </w:tc>
        <w:tc>
          <w:tcPr>
            <w:tcW w:w="0" w:type="dxa"/>
            <w:vAlign w:val="bottom"/>
          </w:tcPr>
          <w:p>
            <w:pPr>
              <w:spacing w:after="0"/>
              <w:rPr>
                <w:sz w:val="1"/>
                <w:szCs w:val="1"/>
                <w:color w:val="auto"/>
              </w:rPr>
            </w:pPr>
          </w:p>
        </w:tc>
      </w:tr>
      <w:tr>
        <w:trPr>
          <w:trHeight w:val="216"/>
        </w:trPr>
        <w:tc>
          <w:tcPr>
            <w:tcW w:w="3160" w:type="dxa"/>
            <w:vAlign w:val="bottom"/>
          </w:tcPr>
          <w:p>
            <w:pPr>
              <w:spacing w:after="0"/>
              <w:rPr>
                <w:rFonts w:ascii="Arial" w:cs="Arial" w:eastAsia="Arial" w:hAnsi="Arial"/>
                <w:sz w:val="18"/>
                <w:szCs w:val="18"/>
                <w:u w:val="single" w:color="auto"/>
                <w:color w:val="0000EE"/>
              </w:rPr>
            </w:pPr>
            <w:hyperlink w:anchor="page108">
              <w:r>
                <w:rPr>
                  <w:rFonts w:ascii="Arial" w:cs="Arial" w:eastAsia="Arial" w:hAnsi="Arial"/>
                  <w:sz w:val="18"/>
                  <w:szCs w:val="18"/>
                  <w:u w:val="single" w:color="auto"/>
                  <w:color w:val="0000EE"/>
                </w:rPr>
                <w:t>Management</w:t>
              </w:r>
            </w:hyperlink>
          </w:p>
        </w:tc>
        <w:tc>
          <w:tcPr>
            <w:tcW w:w="1280" w:type="dxa"/>
            <w:vAlign w:val="bottom"/>
          </w:tcPr>
          <w:p>
            <w:pPr>
              <w:spacing w:after="0"/>
              <w:rPr>
                <w:sz w:val="18"/>
                <w:szCs w:val="18"/>
                <w:color w:val="auto"/>
              </w:rPr>
            </w:pPr>
          </w:p>
        </w:tc>
        <w:tc>
          <w:tcPr>
            <w:tcW w:w="2360" w:type="dxa"/>
            <w:vAlign w:val="bottom"/>
          </w:tcPr>
          <w:p>
            <w:pPr>
              <w:spacing w:after="0"/>
              <w:rPr>
                <w:sz w:val="18"/>
                <w:szCs w:val="18"/>
                <w:color w:val="auto"/>
              </w:rPr>
            </w:pPr>
          </w:p>
        </w:tc>
        <w:tc>
          <w:tcPr>
            <w:tcW w:w="4060" w:type="dxa"/>
            <w:vAlign w:val="bottom"/>
          </w:tcPr>
          <w:p>
            <w:pPr>
              <w:spacing w:after="0"/>
              <w:rPr>
                <w:sz w:val="18"/>
                <w:szCs w:val="18"/>
                <w:color w:val="auto"/>
              </w:rPr>
            </w:pPr>
          </w:p>
        </w:tc>
        <w:tc>
          <w:tcPr>
            <w:tcW w:w="360" w:type="dxa"/>
            <w:vAlign w:val="bottom"/>
            <w:gridSpan w:val="2"/>
          </w:tcPr>
          <w:p>
            <w:pPr>
              <w:jc w:val="right"/>
              <w:ind w:right="40"/>
              <w:spacing w:after="0"/>
              <w:rPr>
                <w:sz w:val="20"/>
                <w:szCs w:val="20"/>
                <w:color w:val="auto"/>
              </w:rPr>
            </w:pPr>
            <w:r>
              <w:rPr>
                <w:rFonts w:ascii="Arial" w:cs="Arial" w:eastAsia="Arial" w:hAnsi="Arial"/>
                <w:sz w:val="18"/>
                <w:szCs w:val="18"/>
                <w:color w:val="auto"/>
                <w:w w:val="99"/>
              </w:rPr>
              <w:t>105</w:t>
            </w:r>
          </w:p>
        </w:tc>
        <w:tc>
          <w:tcPr>
            <w:tcW w:w="0" w:type="dxa"/>
            <w:vAlign w:val="bottom"/>
          </w:tcPr>
          <w:p>
            <w:pPr>
              <w:spacing w:after="0"/>
              <w:rPr>
                <w:sz w:val="1"/>
                <w:szCs w:val="1"/>
                <w:color w:val="auto"/>
              </w:rPr>
            </w:pPr>
          </w:p>
        </w:tc>
      </w:tr>
      <w:tr>
        <w:trPr>
          <w:trHeight w:val="216"/>
        </w:trPr>
        <w:tc>
          <w:tcPr>
            <w:tcW w:w="3160" w:type="dxa"/>
            <w:vAlign w:val="bottom"/>
          </w:tcPr>
          <w:p>
            <w:pPr>
              <w:spacing w:after="0"/>
              <w:rPr>
                <w:rFonts w:ascii="Arial" w:cs="Arial" w:eastAsia="Arial" w:hAnsi="Arial"/>
                <w:sz w:val="18"/>
                <w:szCs w:val="18"/>
                <w:u w:val="single" w:color="auto"/>
                <w:color w:val="0000EE"/>
              </w:rPr>
            </w:pPr>
            <w:hyperlink w:anchor="page116">
              <w:r>
                <w:rPr>
                  <w:rFonts w:ascii="Arial" w:cs="Arial" w:eastAsia="Arial" w:hAnsi="Arial"/>
                  <w:sz w:val="18"/>
                  <w:szCs w:val="18"/>
                  <w:u w:val="single" w:color="auto"/>
                  <w:color w:val="0000EE"/>
                </w:rPr>
                <w:t>Executive Compensation</w:t>
              </w:r>
            </w:hyperlink>
          </w:p>
        </w:tc>
        <w:tc>
          <w:tcPr>
            <w:tcW w:w="1280" w:type="dxa"/>
            <w:vAlign w:val="bottom"/>
          </w:tcPr>
          <w:p>
            <w:pPr>
              <w:spacing w:after="0"/>
              <w:rPr>
                <w:sz w:val="18"/>
                <w:szCs w:val="18"/>
                <w:color w:val="auto"/>
              </w:rPr>
            </w:pPr>
          </w:p>
        </w:tc>
        <w:tc>
          <w:tcPr>
            <w:tcW w:w="2360" w:type="dxa"/>
            <w:vAlign w:val="bottom"/>
          </w:tcPr>
          <w:p>
            <w:pPr>
              <w:spacing w:after="0"/>
              <w:rPr>
                <w:sz w:val="18"/>
                <w:szCs w:val="18"/>
                <w:color w:val="auto"/>
              </w:rPr>
            </w:pPr>
          </w:p>
        </w:tc>
        <w:tc>
          <w:tcPr>
            <w:tcW w:w="4060" w:type="dxa"/>
            <w:vAlign w:val="bottom"/>
          </w:tcPr>
          <w:p>
            <w:pPr>
              <w:spacing w:after="0"/>
              <w:rPr>
                <w:sz w:val="18"/>
                <w:szCs w:val="18"/>
                <w:color w:val="auto"/>
              </w:rPr>
            </w:pPr>
          </w:p>
        </w:tc>
        <w:tc>
          <w:tcPr>
            <w:tcW w:w="360" w:type="dxa"/>
            <w:vAlign w:val="bottom"/>
            <w:gridSpan w:val="2"/>
          </w:tcPr>
          <w:p>
            <w:pPr>
              <w:jc w:val="right"/>
              <w:ind w:right="40"/>
              <w:spacing w:after="0"/>
              <w:rPr>
                <w:sz w:val="20"/>
                <w:szCs w:val="20"/>
                <w:color w:val="auto"/>
              </w:rPr>
            </w:pPr>
            <w:r>
              <w:rPr>
                <w:rFonts w:ascii="Arial" w:cs="Arial" w:eastAsia="Arial" w:hAnsi="Arial"/>
                <w:sz w:val="18"/>
                <w:szCs w:val="18"/>
                <w:color w:val="auto"/>
                <w:w w:val="99"/>
              </w:rPr>
              <w:t>113</w:t>
            </w:r>
          </w:p>
        </w:tc>
        <w:tc>
          <w:tcPr>
            <w:tcW w:w="0" w:type="dxa"/>
            <w:vAlign w:val="bottom"/>
          </w:tcPr>
          <w:p>
            <w:pPr>
              <w:spacing w:after="0"/>
              <w:rPr>
                <w:sz w:val="1"/>
                <w:szCs w:val="1"/>
                <w:color w:val="auto"/>
              </w:rPr>
            </w:pPr>
          </w:p>
        </w:tc>
      </w:tr>
      <w:tr>
        <w:trPr>
          <w:trHeight w:val="216"/>
        </w:trPr>
        <w:tc>
          <w:tcPr>
            <w:tcW w:w="10860" w:type="dxa"/>
            <w:vAlign w:val="bottom"/>
            <w:gridSpan w:val="4"/>
          </w:tcPr>
          <w:p>
            <w:pPr>
              <w:spacing w:after="0"/>
              <w:rPr>
                <w:rFonts w:ascii="Arial" w:cs="Arial" w:eastAsia="Arial" w:hAnsi="Arial"/>
                <w:sz w:val="18"/>
                <w:szCs w:val="18"/>
                <w:u w:val="single" w:color="auto"/>
                <w:color w:val="0000EE"/>
              </w:rPr>
            </w:pPr>
            <w:hyperlink w:anchor="page128">
              <w:r>
                <w:rPr>
                  <w:rFonts w:ascii="Arial" w:cs="Arial" w:eastAsia="Arial" w:hAnsi="Arial"/>
                  <w:sz w:val="18"/>
                  <w:szCs w:val="18"/>
                  <w:u w:val="single" w:color="auto"/>
                  <w:color w:val="0000EE"/>
                </w:rPr>
                <w:t>Certain Relationships, Related Party Transactions, and Other Transactions</w:t>
              </w:r>
            </w:hyperlink>
          </w:p>
        </w:tc>
        <w:tc>
          <w:tcPr>
            <w:tcW w:w="360" w:type="dxa"/>
            <w:vAlign w:val="bottom"/>
            <w:gridSpan w:val="2"/>
          </w:tcPr>
          <w:p>
            <w:pPr>
              <w:jc w:val="right"/>
              <w:ind w:right="40"/>
              <w:spacing w:after="0"/>
              <w:rPr>
                <w:sz w:val="20"/>
                <w:szCs w:val="20"/>
                <w:color w:val="auto"/>
              </w:rPr>
            </w:pPr>
            <w:r>
              <w:rPr>
                <w:rFonts w:ascii="Arial" w:cs="Arial" w:eastAsia="Arial" w:hAnsi="Arial"/>
                <w:sz w:val="18"/>
                <w:szCs w:val="18"/>
                <w:color w:val="auto"/>
                <w:w w:val="99"/>
              </w:rPr>
              <w:t>125</w:t>
            </w:r>
          </w:p>
        </w:tc>
        <w:tc>
          <w:tcPr>
            <w:tcW w:w="0" w:type="dxa"/>
            <w:vAlign w:val="bottom"/>
          </w:tcPr>
          <w:p>
            <w:pPr>
              <w:spacing w:after="0"/>
              <w:rPr>
                <w:sz w:val="1"/>
                <w:szCs w:val="1"/>
                <w:color w:val="auto"/>
              </w:rPr>
            </w:pPr>
          </w:p>
        </w:tc>
      </w:tr>
      <w:tr>
        <w:trPr>
          <w:trHeight w:val="216"/>
        </w:trPr>
        <w:tc>
          <w:tcPr>
            <w:tcW w:w="3160" w:type="dxa"/>
            <w:vAlign w:val="bottom"/>
          </w:tcPr>
          <w:p>
            <w:pPr>
              <w:spacing w:after="0"/>
              <w:rPr>
                <w:rFonts w:ascii="Arial" w:cs="Arial" w:eastAsia="Arial" w:hAnsi="Arial"/>
                <w:sz w:val="18"/>
                <w:szCs w:val="18"/>
                <w:u w:val="single" w:color="auto"/>
                <w:color w:val="0000EE"/>
              </w:rPr>
            </w:pPr>
            <w:hyperlink w:anchor="page132">
              <w:r>
                <w:rPr>
                  <w:rFonts w:ascii="Arial" w:cs="Arial" w:eastAsia="Arial" w:hAnsi="Arial"/>
                  <w:sz w:val="18"/>
                  <w:szCs w:val="18"/>
                  <w:u w:val="single" w:color="auto"/>
                  <w:color w:val="0000EE"/>
                </w:rPr>
                <w:t>Principal and Selling Stockholders</w:t>
              </w:r>
            </w:hyperlink>
          </w:p>
        </w:tc>
        <w:tc>
          <w:tcPr>
            <w:tcW w:w="1280" w:type="dxa"/>
            <w:vAlign w:val="bottom"/>
          </w:tcPr>
          <w:p>
            <w:pPr>
              <w:spacing w:after="0"/>
              <w:rPr>
                <w:sz w:val="18"/>
                <w:szCs w:val="18"/>
                <w:color w:val="auto"/>
              </w:rPr>
            </w:pPr>
          </w:p>
        </w:tc>
        <w:tc>
          <w:tcPr>
            <w:tcW w:w="2360" w:type="dxa"/>
            <w:vAlign w:val="bottom"/>
          </w:tcPr>
          <w:p>
            <w:pPr>
              <w:spacing w:after="0"/>
              <w:rPr>
                <w:sz w:val="18"/>
                <w:szCs w:val="18"/>
                <w:color w:val="auto"/>
              </w:rPr>
            </w:pPr>
          </w:p>
        </w:tc>
        <w:tc>
          <w:tcPr>
            <w:tcW w:w="4060" w:type="dxa"/>
            <w:vAlign w:val="bottom"/>
          </w:tcPr>
          <w:p>
            <w:pPr>
              <w:spacing w:after="0"/>
              <w:rPr>
                <w:sz w:val="18"/>
                <w:szCs w:val="18"/>
                <w:color w:val="auto"/>
              </w:rPr>
            </w:pPr>
          </w:p>
        </w:tc>
        <w:tc>
          <w:tcPr>
            <w:tcW w:w="360" w:type="dxa"/>
            <w:vAlign w:val="bottom"/>
            <w:gridSpan w:val="2"/>
          </w:tcPr>
          <w:p>
            <w:pPr>
              <w:jc w:val="right"/>
              <w:ind w:right="40"/>
              <w:spacing w:after="0"/>
              <w:rPr>
                <w:sz w:val="20"/>
                <w:szCs w:val="20"/>
                <w:color w:val="auto"/>
              </w:rPr>
            </w:pPr>
            <w:r>
              <w:rPr>
                <w:rFonts w:ascii="Arial" w:cs="Arial" w:eastAsia="Arial" w:hAnsi="Arial"/>
                <w:sz w:val="18"/>
                <w:szCs w:val="18"/>
                <w:color w:val="auto"/>
                <w:w w:val="99"/>
              </w:rPr>
              <w:t>129</w:t>
            </w:r>
          </w:p>
        </w:tc>
        <w:tc>
          <w:tcPr>
            <w:tcW w:w="0" w:type="dxa"/>
            <w:vAlign w:val="bottom"/>
          </w:tcPr>
          <w:p>
            <w:pPr>
              <w:spacing w:after="0"/>
              <w:rPr>
                <w:sz w:val="1"/>
                <w:szCs w:val="1"/>
                <w:color w:val="auto"/>
              </w:rPr>
            </w:pPr>
          </w:p>
        </w:tc>
      </w:tr>
      <w:tr>
        <w:trPr>
          <w:trHeight w:val="216"/>
        </w:trPr>
        <w:tc>
          <w:tcPr>
            <w:tcW w:w="3160" w:type="dxa"/>
            <w:vAlign w:val="bottom"/>
          </w:tcPr>
          <w:p>
            <w:pPr>
              <w:spacing w:after="0"/>
              <w:rPr>
                <w:rFonts w:ascii="Arial" w:cs="Arial" w:eastAsia="Arial" w:hAnsi="Arial"/>
                <w:sz w:val="18"/>
                <w:szCs w:val="18"/>
                <w:u w:val="single" w:color="auto"/>
                <w:color w:val="0000EE"/>
              </w:rPr>
            </w:pPr>
            <w:hyperlink w:anchor="page135">
              <w:r>
                <w:rPr>
                  <w:rFonts w:ascii="Arial" w:cs="Arial" w:eastAsia="Arial" w:hAnsi="Arial"/>
                  <w:sz w:val="18"/>
                  <w:szCs w:val="18"/>
                  <w:u w:val="single" w:color="auto"/>
                  <w:color w:val="0000EE"/>
                </w:rPr>
                <w:t>Description of Capital Stock</w:t>
              </w:r>
            </w:hyperlink>
          </w:p>
        </w:tc>
        <w:tc>
          <w:tcPr>
            <w:tcW w:w="1280" w:type="dxa"/>
            <w:vAlign w:val="bottom"/>
          </w:tcPr>
          <w:p>
            <w:pPr>
              <w:spacing w:after="0"/>
              <w:rPr>
                <w:sz w:val="18"/>
                <w:szCs w:val="18"/>
                <w:color w:val="auto"/>
              </w:rPr>
            </w:pPr>
          </w:p>
        </w:tc>
        <w:tc>
          <w:tcPr>
            <w:tcW w:w="2360" w:type="dxa"/>
            <w:vAlign w:val="bottom"/>
          </w:tcPr>
          <w:p>
            <w:pPr>
              <w:spacing w:after="0"/>
              <w:rPr>
                <w:sz w:val="18"/>
                <w:szCs w:val="18"/>
                <w:color w:val="auto"/>
              </w:rPr>
            </w:pPr>
          </w:p>
        </w:tc>
        <w:tc>
          <w:tcPr>
            <w:tcW w:w="4060" w:type="dxa"/>
            <w:vAlign w:val="bottom"/>
          </w:tcPr>
          <w:p>
            <w:pPr>
              <w:spacing w:after="0"/>
              <w:rPr>
                <w:sz w:val="18"/>
                <w:szCs w:val="18"/>
                <w:color w:val="auto"/>
              </w:rPr>
            </w:pPr>
          </w:p>
        </w:tc>
        <w:tc>
          <w:tcPr>
            <w:tcW w:w="360" w:type="dxa"/>
            <w:vAlign w:val="bottom"/>
            <w:gridSpan w:val="2"/>
          </w:tcPr>
          <w:p>
            <w:pPr>
              <w:jc w:val="right"/>
              <w:ind w:right="40"/>
              <w:spacing w:after="0"/>
              <w:rPr>
                <w:sz w:val="20"/>
                <w:szCs w:val="20"/>
                <w:color w:val="auto"/>
              </w:rPr>
            </w:pPr>
            <w:r>
              <w:rPr>
                <w:rFonts w:ascii="Arial" w:cs="Arial" w:eastAsia="Arial" w:hAnsi="Arial"/>
                <w:sz w:val="18"/>
                <w:szCs w:val="18"/>
                <w:color w:val="auto"/>
                <w:w w:val="99"/>
              </w:rPr>
              <w:t>132</w:t>
            </w:r>
          </w:p>
        </w:tc>
        <w:tc>
          <w:tcPr>
            <w:tcW w:w="0" w:type="dxa"/>
            <w:vAlign w:val="bottom"/>
          </w:tcPr>
          <w:p>
            <w:pPr>
              <w:spacing w:after="0"/>
              <w:rPr>
                <w:sz w:val="1"/>
                <w:szCs w:val="1"/>
                <w:color w:val="auto"/>
              </w:rPr>
            </w:pPr>
          </w:p>
        </w:tc>
      </w:tr>
      <w:tr>
        <w:trPr>
          <w:trHeight w:val="216"/>
        </w:trPr>
        <w:tc>
          <w:tcPr>
            <w:tcW w:w="3160" w:type="dxa"/>
            <w:vAlign w:val="bottom"/>
          </w:tcPr>
          <w:p>
            <w:pPr>
              <w:spacing w:after="0"/>
              <w:rPr>
                <w:rFonts w:ascii="Arial" w:cs="Arial" w:eastAsia="Arial" w:hAnsi="Arial"/>
                <w:sz w:val="18"/>
                <w:szCs w:val="18"/>
                <w:u w:val="single" w:color="auto"/>
                <w:color w:val="0000EE"/>
              </w:rPr>
            </w:pPr>
            <w:hyperlink w:anchor="page142">
              <w:r>
                <w:rPr>
                  <w:rFonts w:ascii="Arial" w:cs="Arial" w:eastAsia="Arial" w:hAnsi="Arial"/>
                  <w:sz w:val="18"/>
                  <w:szCs w:val="18"/>
                  <w:u w:val="single" w:color="auto"/>
                  <w:color w:val="0000EE"/>
                </w:rPr>
                <w:t>Shares Eligible for Future Sale</w:t>
              </w:r>
            </w:hyperlink>
          </w:p>
        </w:tc>
        <w:tc>
          <w:tcPr>
            <w:tcW w:w="1280" w:type="dxa"/>
            <w:vAlign w:val="bottom"/>
          </w:tcPr>
          <w:p>
            <w:pPr>
              <w:spacing w:after="0"/>
              <w:rPr>
                <w:sz w:val="18"/>
                <w:szCs w:val="18"/>
                <w:color w:val="auto"/>
              </w:rPr>
            </w:pPr>
          </w:p>
        </w:tc>
        <w:tc>
          <w:tcPr>
            <w:tcW w:w="2360" w:type="dxa"/>
            <w:vAlign w:val="bottom"/>
          </w:tcPr>
          <w:p>
            <w:pPr>
              <w:spacing w:after="0"/>
              <w:rPr>
                <w:sz w:val="18"/>
                <w:szCs w:val="18"/>
                <w:color w:val="auto"/>
              </w:rPr>
            </w:pPr>
          </w:p>
        </w:tc>
        <w:tc>
          <w:tcPr>
            <w:tcW w:w="4060" w:type="dxa"/>
            <w:vAlign w:val="bottom"/>
          </w:tcPr>
          <w:p>
            <w:pPr>
              <w:spacing w:after="0"/>
              <w:rPr>
                <w:sz w:val="18"/>
                <w:szCs w:val="18"/>
                <w:color w:val="auto"/>
              </w:rPr>
            </w:pPr>
          </w:p>
        </w:tc>
        <w:tc>
          <w:tcPr>
            <w:tcW w:w="360" w:type="dxa"/>
            <w:vAlign w:val="bottom"/>
            <w:gridSpan w:val="2"/>
          </w:tcPr>
          <w:p>
            <w:pPr>
              <w:jc w:val="right"/>
              <w:ind w:right="40"/>
              <w:spacing w:after="0"/>
              <w:rPr>
                <w:sz w:val="20"/>
                <w:szCs w:val="20"/>
                <w:color w:val="auto"/>
              </w:rPr>
            </w:pPr>
            <w:r>
              <w:rPr>
                <w:rFonts w:ascii="Arial" w:cs="Arial" w:eastAsia="Arial" w:hAnsi="Arial"/>
                <w:sz w:val="18"/>
                <w:szCs w:val="18"/>
                <w:color w:val="auto"/>
                <w:w w:val="99"/>
              </w:rPr>
              <w:t>139</w:t>
            </w:r>
          </w:p>
        </w:tc>
        <w:tc>
          <w:tcPr>
            <w:tcW w:w="0" w:type="dxa"/>
            <w:vAlign w:val="bottom"/>
          </w:tcPr>
          <w:p>
            <w:pPr>
              <w:spacing w:after="0"/>
              <w:rPr>
                <w:sz w:val="1"/>
                <w:szCs w:val="1"/>
                <w:color w:val="auto"/>
              </w:rPr>
            </w:pPr>
          </w:p>
        </w:tc>
      </w:tr>
      <w:tr>
        <w:trPr>
          <w:trHeight w:val="216"/>
        </w:trPr>
        <w:tc>
          <w:tcPr>
            <w:tcW w:w="10860" w:type="dxa"/>
            <w:vAlign w:val="bottom"/>
            <w:gridSpan w:val="4"/>
          </w:tcPr>
          <w:p>
            <w:pPr>
              <w:spacing w:after="0"/>
              <w:rPr>
                <w:rFonts w:ascii="Arial" w:cs="Arial" w:eastAsia="Arial" w:hAnsi="Arial"/>
                <w:sz w:val="18"/>
                <w:szCs w:val="18"/>
                <w:u w:val="single" w:color="auto"/>
                <w:color w:val="0000EE"/>
              </w:rPr>
            </w:pPr>
            <w:hyperlink w:anchor="page145">
              <w:r>
                <w:rPr>
                  <w:rFonts w:ascii="Arial" w:cs="Arial" w:eastAsia="Arial" w:hAnsi="Arial"/>
                  <w:sz w:val="18"/>
                  <w:szCs w:val="18"/>
                  <w:u w:val="single" w:color="auto"/>
                  <w:color w:val="0000EE"/>
                </w:rPr>
                <w:t>Material U.S. Federal Income Tax Consequences to Non-U.S. Holders of Our Class A Common Stock</w:t>
              </w:r>
            </w:hyperlink>
          </w:p>
        </w:tc>
        <w:tc>
          <w:tcPr>
            <w:tcW w:w="360" w:type="dxa"/>
            <w:vAlign w:val="bottom"/>
            <w:gridSpan w:val="2"/>
          </w:tcPr>
          <w:p>
            <w:pPr>
              <w:jc w:val="right"/>
              <w:ind w:right="40"/>
              <w:spacing w:after="0"/>
              <w:rPr>
                <w:sz w:val="20"/>
                <w:szCs w:val="20"/>
                <w:color w:val="auto"/>
              </w:rPr>
            </w:pPr>
            <w:r>
              <w:rPr>
                <w:rFonts w:ascii="Arial" w:cs="Arial" w:eastAsia="Arial" w:hAnsi="Arial"/>
                <w:sz w:val="18"/>
                <w:szCs w:val="18"/>
                <w:color w:val="auto"/>
                <w:w w:val="99"/>
              </w:rPr>
              <w:t>142</w:t>
            </w:r>
          </w:p>
        </w:tc>
        <w:tc>
          <w:tcPr>
            <w:tcW w:w="0" w:type="dxa"/>
            <w:vAlign w:val="bottom"/>
          </w:tcPr>
          <w:p>
            <w:pPr>
              <w:spacing w:after="0"/>
              <w:rPr>
                <w:sz w:val="1"/>
                <w:szCs w:val="1"/>
                <w:color w:val="auto"/>
              </w:rPr>
            </w:pPr>
          </w:p>
        </w:tc>
      </w:tr>
      <w:tr>
        <w:trPr>
          <w:trHeight w:val="216"/>
        </w:trPr>
        <w:tc>
          <w:tcPr>
            <w:tcW w:w="3160" w:type="dxa"/>
            <w:vAlign w:val="bottom"/>
          </w:tcPr>
          <w:p>
            <w:pPr>
              <w:spacing w:after="0"/>
              <w:rPr>
                <w:rFonts w:ascii="Arial" w:cs="Arial" w:eastAsia="Arial" w:hAnsi="Arial"/>
                <w:sz w:val="18"/>
                <w:szCs w:val="18"/>
                <w:u w:val="single" w:color="auto"/>
                <w:color w:val="0000EE"/>
              </w:rPr>
            </w:pPr>
            <w:hyperlink w:anchor="page149">
              <w:r>
                <w:rPr>
                  <w:rFonts w:ascii="Arial" w:cs="Arial" w:eastAsia="Arial" w:hAnsi="Arial"/>
                  <w:sz w:val="18"/>
                  <w:szCs w:val="18"/>
                  <w:u w:val="single" w:color="auto"/>
                  <w:color w:val="0000EE"/>
                </w:rPr>
                <w:t>Underwriting (Conflicts of Interest)</w:t>
              </w:r>
            </w:hyperlink>
          </w:p>
        </w:tc>
        <w:tc>
          <w:tcPr>
            <w:tcW w:w="1280" w:type="dxa"/>
            <w:vAlign w:val="bottom"/>
          </w:tcPr>
          <w:p>
            <w:pPr>
              <w:spacing w:after="0"/>
              <w:rPr>
                <w:sz w:val="18"/>
                <w:szCs w:val="18"/>
                <w:color w:val="auto"/>
              </w:rPr>
            </w:pPr>
          </w:p>
        </w:tc>
        <w:tc>
          <w:tcPr>
            <w:tcW w:w="2360" w:type="dxa"/>
            <w:vAlign w:val="bottom"/>
          </w:tcPr>
          <w:p>
            <w:pPr>
              <w:spacing w:after="0"/>
              <w:rPr>
                <w:sz w:val="18"/>
                <w:szCs w:val="18"/>
                <w:color w:val="auto"/>
              </w:rPr>
            </w:pPr>
          </w:p>
        </w:tc>
        <w:tc>
          <w:tcPr>
            <w:tcW w:w="4060" w:type="dxa"/>
            <w:vAlign w:val="bottom"/>
          </w:tcPr>
          <w:p>
            <w:pPr>
              <w:spacing w:after="0"/>
              <w:rPr>
                <w:sz w:val="18"/>
                <w:szCs w:val="18"/>
                <w:color w:val="auto"/>
              </w:rPr>
            </w:pPr>
          </w:p>
        </w:tc>
        <w:tc>
          <w:tcPr>
            <w:tcW w:w="360" w:type="dxa"/>
            <w:vAlign w:val="bottom"/>
            <w:gridSpan w:val="2"/>
          </w:tcPr>
          <w:p>
            <w:pPr>
              <w:jc w:val="right"/>
              <w:ind w:right="40"/>
              <w:spacing w:after="0"/>
              <w:rPr>
                <w:sz w:val="20"/>
                <w:szCs w:val="20"/>
                <w:color w:val="auto"/>
              </w:rPr>
            </w:pPr>
            <w:r>
              <w:rPr>
                <w:rFonts w:ascii="Arial" w:cs="Arial" w:eastAsia="Arial" w:hAnsi="Arial"/>
                <w:sz w:val="18"/>
                <w:szCs w:val="18"/>
                <w:color w:val="auto"/>
                <w:w w:val="99"/>
              </w:rPr>
              <w:t>146</w:t>
            </w:r>
          </w:p>
        </w:tc>
        <w:tc>
          <w:tcPr>
            <w:tcW w:w="0" w:type="dxa"/>
            <w:vAlign w:val="bottom"/>
          </w:tcPr>
          <w:p>
            <w:pPr>
              <w:spacing w:after="0"/>
              <w:rPr>
                <w:sz w:val="1"/>
                <w:szCs w:val="1"/>
                <w:color w:val="auto"/>
              </w:rPr>
            </w:pPr>
          </w:p>
        </w:tc>
      </w:tr>
      <w:tr>
        <w:trPr>
          <w:trHeight w:val="216"/>
        </w:trPr>
        <w:tc>
          <w:tcPr>
            <w:tcW w:w="3160" w:type="dxa"/>
            <w:vAlign w:val="bottom"/>
          </w:tcPr>
          <w:p>
            <w:pPr>
              <w:spacing w:after="0"/>
              <w:rPr>
                <w:rFonts w:ascii="Arial" w:cs="Arial" w:eastAsia="Arial" w:hAnsi="Arial"/>
                <w:sz w:val="18"/>
                <w:szCs w:val="18"/>
                <w:u w:val="single" w:color="auto"/>
                <w:color w:val="0000EE"/>
              </w:rPr>
            </w:pPr>
            <w:hyperlink w:anchor="page159">
              <w:r>
                <w:rPr>
                  <w:rFonts w:ascii="Arial" w:cs="Arial" w:eastAsia="Arial" w:hAnsi="Arial"/>
                  <w:sz w:val="18"/>
                  <w:szCs w:val="18"/>
                  <w:u w:val="single" w:color="auto"/>
                  <w:color w:val="0000EE"/>
                </w:rPr>
                <w:t>Legal Matters</w:t>
              </w:r>
            </w:hyperlink>
          </w:p>
        </w:tc>
        <w:tc>
          <w:tcPr>
            <w:tcW w:w="1280" w:type="dxa"/>
            <w:vAlign w:val="bottom"/>
          </w:tcPr>
          <w:p>
            <w:pPr>
              <w:spacing w:after="0"/>
              <w:rPr>
                <w:sz w:val="18"/>
                <w:szCs w:val="18"/>
                <w:color w:val="auto"/>
              </w:rPr>
            </w:pPr>
          </w:p>
        </w:tc>
        <w:tc>
          <w:tcPr>
            <w:tcW w:w="2360" w:type="dxa"/>
            <w:vAlign w:val="bottom"/>
          </w:tcPr>
          <w:p>
            <w:pPr>
              <w:spacing w:after="0"/>
              <w:rPr>
                <w:sz w:val="18"/>
                <w:szCs w:val="18"/>
                <w:color w:val="auto"/>
              </w:rPr>
            </w:pPr>
          </w:p>
        </w:tc>
        <w:tc>
          <w:tcPr>
            <w:tcW w:w="4060" w:type="dxa"/>
            <w:vAlign w:val="bottom"/>
          </w:tcPr>
          <w:p>
            <w:pPr>
              <w:spacing w:after="0"/>
              <w:rPr>
                <w:sz w:val="18"/>
                <w:szCs w:val="18"/>
                <w:color w:val="auto"/>
              </w:rPr>
            </w:pPr>
          </w:p>
        </w:tc>
        <w:tc>
          <w:tcPr>
            <w:tcW w:w="360" w:type="dxa"/>
            <w:vAlign w:val="bottom"/>
            <w:gridSpan w:val="2"/>
          </w:tcPr>
          <w:p>
            <w:pPr>
              <w:jc w:val="right"/>
              <w:ind w:right="40"/>
              <w:spacing w:after="0"/>
              <w:rPr>
                <w:sz w:val="20"/>
                <w:szCs w:val="20"/>
                <w:color w:val="auto"/>
              </w:rPr>
            </w:pPr>
            <w:r>
              <w:rPr>
                <w:rFonts w:ascii="Arial" w:cs="Arial" w:eastAsia="Arial" w:hAnsi="Arial"/>
                <w:sz w:val="18"/>
                <w:szCs w:val="18"/>
                <w:color w:val="auto"/>
                <w:w w:val="99"/>
              </w:rPr>
              <w:t>156</w:t>
            </w:r>
          </w:p>
        </w:tc>
        <w:tc>
          <w:tcPr>
            <w:tcW w:w="0" w:type="dxa"/>
            <w:vAlign w:val="bottom"/>
          </w:tcPr>
          <w:p>
            <w:pPr>
              <w:spacing w:after="0"/>
              <w:rPr>
                <w:sz w:val="1"/>
                <w:szCs w:val="1"/>
                <w:color w:val="auto"/>
              </w:rPr>
            </w:pPr>
          </w:p>
        </w:tc>
      </w:tr>
      <w:tr>
        <w:trPr>
          <w:trHeight w:val="216"/>
        </w:trPr>
        <w:tc>
          <w:tcPr>
            <w:tcW w:w="3160" w:type="dxa"/>
            <w:vAlign w:val="bottom"/>
          </w:tcPr>
          <w:p>
            <w:pPr>
              <w:spacing w:after="0"/>
              <w:rPr>
                <w:rFonts w:ascii="Arial" w:cs="Arial" w:eastAsia="Arial" w:hAnsi="Arial"/>
                <w:sz w:val="18"/>
                <w:szCs w:val="18"/>
                <w:u w:val="single" w:color="auto"/>
                <w:color w:val="0000EE"/>
              </w:rPr>
            </w:pPr>
            <w:hyperlink w:anchor="page159">
              <w:r>
                <w:rPr>
                  <w:rFonts w:ascii="Arial" w:cs="Arial" w:eastAsia="Arial" w:hAnsi="Arial"/>
                  <w:sz w:val="18"/>
                  <w:szCs w:val="18"/>
                  <w:u w:val="single" w:color="auto"/>
                  <w:color w:val="0000EE"/>
                </w:rPr>
                <w:t>Experts</w:t>
              </w:r>
            </w:hyperlink>
          </w:p>
        </w:tc>
        <w:tc>
          <w:tcPr>
            <w:tcW w:w="1280" w:type="dxa"/>
            <w:vAlign w:val="bottom"/>
          </w:tcPr>
          <w:p>
            <w:pPr>
              <w:spacing w:after="0"/>
              <w:rPr>
                <w:sz w:val="18"/>
                <w:szCs w:val="18"/>
                <w:color w:val="auto"/>
              </w:rPr>
            </w:pPr>
          </w:p>
        </w:tc>
        <w:tc>
          <w:tcPr>
            <w:tcW w:w="2360" w:type="dxa"/>
            <w:vAlign w:val="bottom"/>
          </w:tcPr>
          <w:p>
            <w:pPr>
              <w:spacing w:after="0"/>
              <w:rPr>
                <w:sz w:val="18"/>
                <w:szCs w:val="18"/>
                <w:color w:val="auto"/>
              </w:rPr>
            </w:pPr>
          </w:p>
        </w:tc>
        <w:tc>
          <w:tcPr>
            <w:tcW w:w="4060" w:type="dxa"/>
            <w:vAlign w:val="bottom"/>
          </w:tcPr>
          <w:p>
            <w:pPr>
              <w:spacing w:after="0"/>
              <w:rPr>
                <w:sz w:val="18"/>
                <w:szCs w:val="18"/>
                <w:color w:val="auto"/>
              </w:rPr>
            </w:pPr>
          </w:p>
        </w:tc>
        <w:tc>
          <w:tcPr>
            <w:tcW w:w="360" w:type="dxa"/>
            <w:vAlign w:val="bottom"/>
            <w:gridSpan w:val="2"/>
          </w:tcPr>
          <w:p>
            <w:pPr>
              <w:jc w:val="right"/>
              <w:ind w:right="40"/>
              <w:spacing w:after="0"/>
              <w:rPr>
                <w:sz w:val="20"/>
                <w:szCs w:val="20"/>
                <w:color w:val="auto"/>
              </w:rPr>
            </w:pPr>
            <w:r>
              <w:rPr>
                <w:rFonts w:ascii="Arial" w:cs="Arial" w:eastAsia="Arial" w:hAnsi="Arial"/>
                <w:sz w:val="18"/>
                <w:szCs w:val="18"/>
                <w:color w:val="auto"/>
                <w:w w:val="99"/>
              </w:rPr>
              <w:t>156</w:t>
            </w:r>
          </w:p>
        </w:tc>
        <w:tc>
          <w:tcPr>
            <w:tcW w:w="0" w:type="dxa"/>
            <w:vAlign w:val="bottom"/>
          </w:tcPr>
          <w:p>
            <w:pPr>
              <w:spacing w:after="0"/>
              <w:rPr>
                <w:sz w:val="1"/>
                <w:szCs w:val="1"/>
                <w:color w:val="auto"/>
              </w:rPr>
            </w:pPr>
          </w:p>
        </w:tc>
      </w:tr>
      <w:tr>
        <w:trPr>
          <w:trHeight w:val="216"/>
        </w:trPr>
        <w:tc>
          <w:tcPr>
            <w:tcW w:w="10860" w:type="dxa"/>
            <w:vAlign w:val="bottom"/>
            <w:gridSpan w:val="4"/>
          </w:tcPr>
          <w:p>
            <w:pPr>
              <w:spacing w:after="0"/>
              <w:rPr>
                <w:rFonts w:ascii="Arial" w:cs="Arial" w:eastAsia="Arial" w:hAnsi="Arial"/>
                <w:sz w:val="18"/>
                <w:szCs w:val="18"/>
                <w:u w:val="single" w:color="auto"/>
                <w:color w:val="0000EE"/>
              </w:rPr>
            </w:pPr>
            <w:hyperlink w:anchor="page159">
              <w:r>
                <w:rPr>
                  <w:rFonts w:ascii="Arial" w:cs="Arial" w:eastAsia="Arial" w:hAnsi="Arial"/>
                  <w:sz w:val="18"/>
                  <w:szCs w:val="18"/>
                  <w:u w:val="single" w:color="auto"/>
                  <w:color w:val="0000EE"/>
                </w:rPr>
                <w:t>Where You Can Find Additional Information</w:t>
              </w:r>
            </w:hyperlink>
          </w:p>
        </w:tc>
        <w:tc>
          <w:tcPr>
            <w:tcW w:w="360" w:type="dxa"/>
            <w:vAlign w:val="bottom"/>
            <w:gridSpan w:val="2"/>
          </w:tcPr>
          <w:p>
            <w:pPr>
              <w:jc w:val="right"/>
              <w:ind w:right="40"/>
              <w:spacing w:after="0"/>
              <w:rPr>
                <w:sz w:val="20"/>
                <w:szCs w:val="20"/>
                <w:color w:val="auto"/>
              </w:rPr>
            </w:pPr>
            <w:r>
              <w:rPr>
                <w:rFonts w:ascii="Arial" w:cs="Arial" w:eastAsia="Arial" w:hAnsi="Arial"/>
                <w:sz w:val="18"/>
                <w:szCs w:val="18"/>
                <w:color w:val="auto"/>
                <w:w w:val="99"/>
              </w:rPr>
              <w:t>156</w:t>
            </w:r>
          </w:p>
        </w:tc>
        <w:tc>
          <w:tcPr>
            <w:tcW w:w="0" w:type="dxa"/>
            <w:vAlign w:val="bottom"/>
          </w:tcPr>
          <w:p>
            <w:pPr>
              <w:spacing w:after="0"/>
              <w:rPr>
                <w:sz w:val="1"/>
                <w:szCs w:val="1"/>
                <w:color w:val="auto"/>
              </w:rPr>
            </w:pPr>
          </w:p>
        </w:tc>
      </w:tr>
      <w:tr>
        <w:trPr>
          <w:trHeight w:val="230"/>
        </w:trPr>
        <w:tc>
          <w:tcPr>
            <w:tcW w:w="3160" w:type="dxa"/>
            <w:vAlign w:val="bottom"/>
          </w:tcPr>
          <w:p>
            <w:pPr>
              <w:spacing w:after="0"/>
              <w:rPr>
                <w:rFonts w:ascii="Arial" w:cs="Arial" w:eastAsia="Arial" w:hAnsi="Arial"/>
                <w:sz w:val="18"/>
                <w:szCs w:val="18"/>
                <w:u w:val="single" w:color="auto"/>
                <w:color w:val="0000EE"/>
                <w:w w:val="90"/>
              </w:rPr>
            </w:pPr>
            <w:hyperlink w:anchor="page160">
              <w:r>
                <w:rPr>
                  <w:rFonts w:ascii="Arial" w:cs="Arial" w:eastAsia="Arial" w:hAnsi="Arial"/>
                  <w:sz w:val="18"/>
                  <w:szCs w:val="18"/>
                  <w:u w:val="single" w:color="auto"/>
                  <w:color w:val="0000EE"/>
                  <w:w w:val="90"/>
                </w:rPr>
                <w:t>Index to Consolidated Financial Statements</w:t>
              </w:r>
            </w:hyperlink>
          </w:p>
        </w:tc>
        <w:tc>
          <w:tcPr>
            <w:tcW w:w="1280" w:type="dxa"/>
            <w:vAlign w:val="bottom"/>
          </w:tcPr>
          <w:p>
            <w:pPr>
              <w:spacing w:after="0"/>
              <w:rPr>
                <w:sz w:val="20"/>
                <w:szCs w:val="20"/>
                <w:color w:val="auto"/>
              </w:rPr>
            </w:pPr>
          </w:p>
        </w:tc>
        <w:tc>
          <w:tcPr>
            <w:tcW w:w="2360" w:type="dxa"/>
            <w:vAlign w:val="bottom"/>
          </w:tcPr>
          <w:p>
            <w:pPr>
              <w:spacing w:after="0"/>
              <w:rPr>
                <w:sz w:val="20"/>
                <w:szCs w:val="20"/>
                <w:color w:val="auto"/>
              </w:rPr>
            </w:pPr>
          </w:p>
        </w:tc>
        <w:tc>
          <w:tcPr>
            <w:tcW w:w="4060" w:type="dxa"/>
            <w:vAlign w:val="bottom"/>
          </w:tcPr>
          <w:p>
            <w:pPr>
              <w:spacing w:after="0"/>
              <w:rPr>
                <w:sz w:val="20"/>
                <w:szCs w:val="20"/>
                <w:color w:val="auto"/>
              </w:rPr>
            </w:pPr>
          </w:p>
        </w:tc>
        <w:tc>
          <w:tcPr>
            <w:tcW w:w="360" w:type="dxa"/>
            <w:vAlign w:val="bottom"/>
            <w:gridSpan w:val="2"/>
          </w:tcPr>
          <w:p>
            <w:pPr>
              <w:jc w:val="right"/>
              <w:ind w:right="40"/>
              <w:spacing w:after="0"/>
              <w:rPr>
                <w:sz w:val="20"/>
                <w:szCs w:val="20"/>
                <w:color w:val="auto"/>
              </w:rPr>
            </w:pPr>
            <w:r>
              <w:rPr>
                <w:rFonts w:ascii="Arial" w:cs="Arial" w:eastAsia="Arial" w:hAnsi="Arial"/>
                <w:sz w:val="18"/>
                <w:szCs w:val="18"/>
                <w:color w:val="auto"/>
              </w:rPr>
              <w:t>F-1</w:t>
            </w:r>
          </w:p>
        </w:tc>
        <w:tc>
          <w:tcPr>
            <w:tcW w:w="0" w:type="dxa"/>
            <w:vAlign w:val="bottom"/>
          </w:tcPr>
          <w:p>
            <w:pPr>
              <w:spacing w:after="0"/>
              <w:rPr>
                <w:sz w:val="1"/>
                <w:szCs w:val="1"/>
                <w:color w:val="auto"/>
              </w:rPr>
            </w:pPr>
          </w:p>
        </w:tc>
      </w:tr>
      <w:tr>
        <w:trPr>
          <w:trHeight w:val="364"/>
        </w:trPr>
        <w:tc>
          <w:tcPr>
            <w:tcW w:w="316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2360" w:type="dxa"/>
            <w:vAlign w:val="bottom"/>
            <w:tcBorders>
              <w:bottom w:val="single" w:sz="8" w:color="auto"/>
            </w:tcBorders>
          </w:tcPr>
          <w:p>
            <w:pPr>
              <w:spacing w:after="0"/>
              <w:rPr>
                <w:sz w:val="24"/>
                <w:szCs w:val="24"/>
                <w:color w:val="auto"/>
              </w:rPr>
            </w:pPr>
          </w:p>
        </w:tc>
        <w:tc>
          <w:tcPr>
            <w:tcW w:w="4420" w:type="dxa"/>
            <w:vAlign w:val="bottom"/>
            <w:gridSpan w:val="3"/>
          </w:tcPr>
          <w:p>
            <w:pPr>
              <w:spacing w:after="0"/>
              <w:rPr>
                <w:sz w:val="24"/>
                <w:szCs w:val="24"/>
                <w:color w:val="auto"/>
              </w:rPr>
            </w:pPr>
          </w:p>
        </w:tc>
        <w:tc>
          <w:tcPr>
            <w:tcW w:w="0" w:type="dxa"/>
            <w:vAlign w:val="bottom"/>
          </w:tcPr>
          <w:p>
            <w:pPr>
              <w:spacing w:after="0"/>
              <w:rPr>
                <w:sz w:val="1"/>
                <w:szCs w:val="1"/>
                <w:color w:val="auto"/>
              </w:rPr>
            </w:pPr>
          </w:p>
        </w:tc>
      </w:tr>
      <w:tr>
        <w:trPr>
          <w:trHeight w:val="425"/>
        </w:trPr>
        <w:tc>
          <w:tcPr>
            <w:tcW w:w="3160" w:type="dxa"/>
            <w:vAlign w:val="bottom"/>
          </w:tcPr>
          <w:p>
            <w:pPr>
              <w:ind w:left="460"/>
              <w:spacing w:after="0"/>
              <w:rPr>
                <w:sz w:val="20"/>
                <w:szCs w:val="20"/>
                <w:color w:val="auto"/>
              </w:rPr>
            </w:pPr>
            <w:r>
              <w:rPr>
                <w:rFonts w:ascii="Arial" w:cs="Arial" w:eastAsia="Arial" w:hAnsi="Arial"/>
                <w:sz w:val="18"/>
                <w:szCs w:val="18"/>
                <w:b w:val="1"/>
                <w:bCs w:val="1"/>
                <w:color w:val="auto"/>
              </w:rPr>
              <w:t>Through and including</w:t>
            </w:r>
          </w:p>
        </w:tc>
        <w:tc>
          <w:tcPr>
            <w:tcW w:w="8060" w:type="dxa"/>
            <w:vAlign w:val="bottom"/>
            <w:gridSpan w:val="5"/>
          </w:tcPr>
          <w:p>
            <w:pPr>
              <w:jc w:val="right"/>
              <w:spacing w:after="0"/>
              <w:rPr>
                <w:sz w:val="20"/>
                <w:szCs w:val="20"/>
                <w:color w:val="auto"/>
              </w:rPr>
            </w:pPr>
            <w:r>
              <w:rPr>
                <w:rFonts w:ascii="Arial" w:cs="Arial" w:eastAsia="Arial" w:hAnsi="Arial"/>
                <w:sz w:val="18"/>
                <w:szCs w:val="18"/>
                <w:b w:val="1"/>
                <w:bCs w:val="1"/>
                <w:color w:val="auto"/>
                <w:w w:val="88"/>
              </w:rPr>
              <w:t>, 2017 (the 25th day after the date of this prospectus), all dealers effecting transactions in these securities,</w:t>
            </w:r>
          </w:p>
        </w:tc>
        <w:tc>
          <w:tcPr>
            <w:tcW w:w="0" w:type="dxa"/>
            <w:vAlign w:val="bottom"/>
          </w:tcPr>
          <w:p>
            <w:pPr>
              <w:spacing w:after="0"/>
              <w:rPr>
                <w:sz w:val="1"/>
                <w:szCs w:val="1"/>
                <w:color w:val="auto"/>
              </w:rPr>
            </w:pPr>
          </w:p>
        </w:tc>
      </w:tr>
    </w:tbl>
    <w:p>
      <w:pPr>
        <w:ind w:right="540"/>
        <w:spacing w:after="0" w:line="260" w:lineRule="auto"/>
        <w:rPr>
          <w:sz w:val="20"/>
          <w:szCs w:val="20"/>
          <w:color w:val="auto"/>
        </w:rPr>
      </w:pPr>
      <w:r>
        <w:rPr>
          <w:rFonts w:ascii="Arial" w:cs="Arial" w:eastAsia="Arial" w:hAnsi="Arial"/>
          <w:sz w:val="18"/>
          <w:szCs w:val="18"/>
          <w:b w:val="1"/>
          <w:bCs w:val="1"/>
          <w:color w:val="auto"/>
        </w:rPr>
        <w:t>whether or not participating in this offering, may be required to deliver a prospectus. This is in addition to a dealer’s obligation to deliver a prospectus when acting as an underwriter and with respect to an unsold allotment or subscription.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2825115</wp:posOffset>
            </wp:positionH>
            <wp:positionV relativeFrom="paragraph">
              <wp:posOffset>212725</wp:posOffset>
            </wp:positionV>
            <wp:extent cx="1491615"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491615" cy="8255"/>
                    </a:xfrm>
                    <a:prstGeom prst="rect">
                      <a:avLst/>
                    </a:prstGeom>
                    <a:noFill/>
                  </pic:spPr>
                </pic:pic>
              </a:graphicData>
            </a:graphic>
          </wp:anchor>
        </w:drawing>
      </w:r>
    </w:p>
    <w:p>
      <w:pPr>
        <w:spacing w:after="0" w:line="200" w:lineRule="exact"/>
        <w:rPr>
          <w:sz w:val="20"/>
          <w:szCs w:val="20"/>
          <w:color w:val="auto"/>
        </w:rPr>
      </w:pPr>
    </w:p>
    <w:p>
      <w:pPr>
        <w:spacing w:after="0" w:line="330" w:lineRule="exact"/>
        <w:rPr>
          <w:sz w:val="20"/>
          <w:szCs w:val="20"/>
          <w:color w:val="auto"/>
        </w:rPr>
      </w:pPr>
    </w:p>
    <w:p>
      <w:pPr>
        <w:ind w:right="20" w:firstLine="449"/>
        <w:spacing w:after="0" w:line="296" w:lineRule="auto"/>
        <w:rPr>
          <w:sz w:val="20"/>
          <w:szCs w:val="20"/>
          <w:color w:val="auto"/>
        </w:rPr>
      </w:pPr>
      <w:r>
        <w:rPr>
          <w:rFonts w:ascii="Arial" w:cs="Arial" w:eastAsia="Arial" w:hAnsi="Arial"/>
          <w:sz w:val="16"/>
          <w:szCs w:val="16"/>
          <w:color w:val="auto"/>
        </w:rPr>
        <w:t>Neither we, the selling stockholders, nor any of the underwriters have authorized anyone to provide any information or to make any representations other than those contained in this prospectus or in any free writing prospectuses we have prepared. Neither we, the selling stockholders, nor any of the underwriters take responsibility for, and can provide no assurance as to the reliability of, any other information that others may give you. This prospectus is an offer to sell only the shares offered hereby, but only under circumstances and in jurisdictions where it is lawful to do so. The information contained in this prospectus is current only as of its date, regardless of the time of delivery of this prospectus or of any sale of our Class A common stock.</w:t>
      </w:r>
    </w:p>
    <w:p>
      <w:pPr>
        <w:spacing w:after="0" w:line="161" w:lineRule="exact"/>
        <w:rPr>
          <w:sz w:val="20"/>
          <w:szCs w:val="20"/>
          <w:color w:val="auto"/>
        </w:rPr>
      </w:pPr>
    </w:p>
    <w:p>
      <w:pPr>
        <w:jc w:val="both"/>
        <w:ind w:right="140" w:firstLine="449"/>
        <w:spacing w:after="0" w:line="301" w:lineRule="auto"/>
        <w:rPr>
          <w:sz w:val="20"/>
          <w:szCs w:val="20"/>
          <w:color w:val="auto"/>
        </w:rPr>
      </w:pPr>
      <w:r>
        <w:rPr>
          <w:rFonts w:ascii="Arial" w:cs="Arial" w:eastAsia="Arial" w:hAnsi="Arial"/>
          <w:sz w:val="16"/>
          <w:szCs w:val="16"/>
          <w:color w:val="auto"/>
        </w:rPr>
        <w:t>For investors outside the United States: Neither we, the selling stockholders, nor any of the underwriters have done anything that would permit our initial public offering or possession or distribution of this prospectus in any jurisdiction where action for that purpose is required, other than in the United States. Persons outside the United States who come into possession of this prospectus must inform themselves about, and observe any restrictions relating to, the offering of the shares of our Class A common stock and the distribution of this prospectus outside the United States.</w:t>
      </w:r>
    </w:p>
    <w:p>
      <w:pPr>
        <w:sectPr>
          <w:pgSz w:w="11900" w:h="16838" w:orient="portrait"/>
          <w:cols w:equalWidth="0" w:num="1">
            <w:col w:w="11220"/>
          </w:cols>
          <w:pgMar w:left="320" w:top="459" w:right="359"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136130" cy="642493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6130" cy="6424930"/>
                    </a:xfrm>
                    <a:prstGeom prst="rect">
                      <a:avLst/>
                    </a:prstGeom>
                    <a:noFill/>
                  </pic:spPr>
                </pic:pic>
              </a:graphicData>
            </a:graphic>
          </wp:anchor>
        </w:drawing>
      </w:r>
    </w:p>
    <w:p>
      <w:pPr>
        <w:spacing w:after="0" w:line="200" w:lineRule="exact"/>
        <w:rPr>
          <w:sz w:val="20"/>
          <w:szCs w:val="20"/>
          <w:color w:val="auto"/>
        </w:rPr>
      </w:pPr>
    </w:p>
    <w:p>
      <w:pPr>
        <w:spacing w:after="0" w:line="274"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PROSPECTUS SUMMARY</w:t>
      </w:r>
    </w:p>
    <w:p>
      <w:pPr>
        <w:spacing w:after="0" w:line="229" w:lineRule="exact"/>
        <w:rPr>
          <w:sz w:val="20"/>
          <w:szCs w:val="20"/>
          <w:color w:val="auto"/>
        </w:rPr>
      </w:pPr>
    </w:p>
    <w:p>
      <w:pPr>
        <w:ind w:left="200" w:right="40" w:firstLine="434"/>
        <w:spacing w:after="0" w:line="293" w:lineRule="auto"/>
        <w:rPr>
          <w:sz w:val="20"/>
          <w:szCs w:val="20"/>
          <w:color w:val="auto"/>
        </w:rPr>
      </w:pPr>
      <w:r>
        <w:rPr>
          <w:rFonts w:ascii="Arial" w:cs="Arial" w:eastAsia="Arial" w:hAnsi="Arial"/>
          <w:sz w:val="16"/>
          <w:szCs w:val="16"/>
          <w:i w:val="1"/>
          <w:iCs w:val="1"/>
          <w:color w:val="auto"/>
        </w:rPr>
        <w:t>This summary highlights selected information that is presented in greater detail elsewhere in this prospectus. This summary does not contain all of the information you should consider before investing in our Class A common stock. You should read this entire prospectus carefully, including the sections titled “Risk Factors” and “Management’s Discussion and Analysis of Financial Condition and Results of Operations,” and our consolidated financial statements, and the related notes included elsewhere in this prospectus, before making an investment decision. Unless the context otherwise requires, the terms “Dropbox,” “the company,” “we,” “us,” and “our” in this prospectus refer to Dropbox, Inc. and its consolidated subsidiaries, and references to our “common stock” include our Class A common stock and Class B common stock.</w:t>
      </w:r>
    </w:p>
    <w:p>
      <w:pPr>
        <w:spacing w:after="0" w:line="376"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DROPBOX, INC.</w:t>
      </w:r>
    </w:p>
    <w:p>
      <w:pPr>
        <w:spacing w:after="0" w:line="22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Our Business</w:t>
      </w:r>
    </w:p>
    <w:p>
      <w:pPr>
        <w:spacing w:after="0" w:line="121" w:lineRule="exact"/>
        <w:rPr>
          <w:sz w:val="20"/>
          <w:szCs w:val="20"/>
          <w:color w:val="auto"/>
        </w:rPr>
      </w:pPr>
    </w:p>
    <w:p>
      <w:pPr>
        <w:ind w:left="200" w:right="180" w:firstLine="434"/>
        <w:spacing w:after="0" w:line="277" w:lineRule="auto"/>
        <w:rPr>
          <w:sz w:val="20"/>
          <w:szCs w:val="20"/>
          <w:color w:val="auto"/>
        </w:rPr>
      </w:pPr>
      <w:r>
        <w:rPr>
          <w:rFonts w:ascii="Arial" w:cs="Arial" w:eastAsia="Arial" w:hAnsi="Arial"/>
          <w:sz w:val="18"/>
          <w:szCs w:val="18"/>
          <w:color w:val="auto"/>
        </w:rPr>
        <w:t>Dropbox is a global collaboration platform that’s transforming the way people work together. We serve more than 500 million registered users across 180 countries.</w:t>
      </w:r>
    </w:p>
    <w:p>
      <w:pPr>
        <w:spacing w:after="0" w:line="170" w:lineRule="exact"/>
        <w:rPr>
          <w:sz w:val="20"/>
          <w:szCs w:val="20"/>
          <w:color w:val="auto"/>
        </w:rPr>
      </w:pPr>
    </w:p>
    <w:p>
      <w:pPr>
        <w:ind w:left="200" w:right="360" w:firstLine="434"/>
        <w:spacing w:after="0" w:line="277" w:lineRule="auto"/>
        <w:rPr>
          <w:sz w:val="20"/>
          <w:szCs w:val="20"/>
          <w:color w:val="auto"/>
        </w:rPr>
      </w:pPr>
      <w:r>
        <w:rPr>
          <w:rFonts w:ascii="Arial" w:cs="Arial" w:eastAsia="Arial" w:hAnsi="Arial"/>
          <w:sz w:val="18"/>
          <w:szCs w:val="18"/>
          <w:color w:val="auto"/>
        </w:rPr>
        <w:t>Our modern economy runs on knowledge. Today, knowledge lives in the cloud as digital content, and Dropbox is the place where more and more of this content is created, accessed, and shared with the world.</w:t>
      </w:r>
    </w:p>
    <w:p>
      <w:pPr>
        <w:spacing w:after="0" w:line="170" w:lineRule="exact"/>
        <w:rPr>
          <w:sz w:val="20"/>
          <w:szCs w:val="20"/>
          <w:color w:val="auto"/>
        </w:rPr>
      </w:pPr>
    </w:p>
    <w:p>
      <w:pPr>
        <w:jc w:val="both"/>
        <w:ind w:left="200" w:right="20" w:firstLine="434"/>
        <w:spacing w:after="0" w:line="263" w:lineRule="auto"/>
        <w:rPr>
          <w:sz w:val="20"/>
          <w:szCs w:val="20"/>
          <w:color w:val="auto"/>
        </w:rPr>
      </w:pPr>
      <w:r>
        <w:rPr>
          <w:rFonts w:ascii="Arial" w:cs="Arial" w:eastAsia="Arial" w:hAnsi="Arial"/>
          <w:sz w:val="18"/>
          <w:szCs w:val="18"/>
          <w:color w:val="auto"/>
        </w:rPr>
        <w:t>Dropbox was founded in 2007 with a simple idea: Life would be a lot better if everyone could access their most important information anytime from any device. Over the past decade, we’ve largely accomplished that mission—but along the way we recognized that for most of our users, sharing and collaborating on Dropbox was even more valuable than storing files.</w:t>
      </w:r>
    </w:p>
    <w:p>
      <w:pPr>
        <w:spacing w:after="0" w:line="184" w:lineRule="exact"/>
        <w:rPr>
          <w:sz w:val="20"/>
          <w:szCs w:val="20"/>
          <w:color w:val="auto"/>
        </w:rPr>
      </w:pPr>
    </w:p>
    <w:p>
      <w:pPr>
        <w:ind w:left="200" w:firstLine="434"/>
        <w:spacing w:after="0" w:line="263" w:lineRule="auto"/>
        <w:rPr>
          <w:sz w:val="20"/>
          <w:szCs w:val="20"/>
          <w:color w:val="auto"/>
        </w:rPr>
      </w:pPr>
      <w:r>
        <w:rPr>
          <w:rFonts w:ascii="Arial" w:cs="Arial" w:eastAsia="Arial" w:hAnsi="Arial"/>
          <w:sz w:val="18"/>
          <w:szCs w:val="18"/>
          <w:color w:val="auto"/>
        </w:rPr>
        <w:t>Our market opportunity has grown as we’ve expanded from keeping files in sync to keeping teams in sync. Today, Dropbox is well positioned to reimagine the way work gets done. We’re focused on reducing the inordinate amount of time and energy the world wastes on “work about work”— tedious tasks like searching for content, switching between applications, and managing workflows.</w:t>
      </w:r>
    </w:p>
    <w:p>
      <w:pPr>
        <w:spacing w:after="0" w:line="184" w:lineRule="exact"/>
        <w:rPr>
          <w:sz w:val="20"/>
          <w:szCs w:val="20"/>
          <w:color w:val="auto"/>
        </w:rPr>
      </w:pPr>
    </w:p>
    <w:p>
      <w:pPr>
        <w:ind w:left="200" w:right="20" w:firstLine="434"/>
        <w:spacing w:after="0" w:line="263" w:lineRule="auto"/>
        <w:rPr>
          <w:sz w:val="20"/>
          <w:szCs w:val="20"/>
          <w:color w:val="auto"/>
        </w:rPr>
      </w:pPr>
      <w:r>
        <w:rPr>
          <w:rFonts w:ascii="Arial" w:cs="Arial" w:eastAsia="Arial" w:hAnsi="Arial"/>
          <w:sz w:val="18"/>
          <w:szCs w:val="18"/>
          <w:color w:val="auto"/>
        </w:rPr>
        <w:t>We believe the need for our platform will continue to grow as teams become more fluid and global, and content is increasingly fragmented across incompatible tools and devices. Dropbox breaks down silos by centralizing the flow of information between the products and services our users prefer, even if they’re not our own.</w:t>
      </w:r>
    </w:p>
    <w:p>
      <w:pPr>
        <w:spacing w:after="0" w:line="184" w:lineRule="exact"/>
        <w:rPr>
          <w:sz w:val="20"/>
          <w:szCs w:val="20"/>
          <w:color w:val="auto"/>
        </w:rPr>
      </w:pPr>
    </w:p>
    <w:p>
      <w:pPr>
        <w:ind w:left="200" w:right="460" w:firstLine="434"/>
        <w:spacing w:after="0" w:line="308" w:lineRule="auto"/>
        <w:rPr>
          <w:sz w:val="20"/>
          <w:szCs w:val="20"/>
          <w:color w:val="auto"/>
        </w:rPr>
      </w:pPr>
      <w:r>
        <w:rPr>
          <w:rFonts w:ascii="Arial" w:cs="Arial" w:eastAsia="Arial" w:hAnsi="Arial"/>
          <w:sz w:val="17"/>
          <w:szCs w:val="17"/>
          <w:color w:val="auto"/>
        </w:rPr>
        <w:t>By solving these universal problems, we’ve become invaluable to our users. The popularity of our platform drives viral growth, which has allowed us to scale rapidly and efficiently. We’ve built a thriving global business with more than 10 million paying users.</w:t>
      </w:r>
    </w:p>
    <w:p>
      <w:pPr>
        <w:spacing w:after="0" w:line="146" w:lineRule="exact"/>
        <w:rPr>
          <w:sz w:val="20"/>
          <w:szCs w:val="20"/>
          <w:color w:val="auto"/>
        </w:rPr>
      </w:pPr>
    </w:p>
    <w:p>
      <w:pPr>
        <w:jc w:val="both"/>
        <w:ind w:left="200" w:right="20" w:firstLine="434"/>
        <w:spacing w:after="0" w:line="263" w:lineRule="auto"/>
        <w:rPr>
          <w:sz w:val="20"/>
          <w:szCs w:val="20"/>
          <w:color w:val="auto"/>
        </w:rPr>
      </w:pPr>
      <w:r>
        <w:rPr>
          <w:rFonts w:ascii="Arial" w:cs="Arial" w:eastAsia="Arial" w:hAnsi="Arial"/>
          <w:sz w:val="18"/>
          <w:szCs w:val="18"/>
          <w:color w:val="auto"/>
        </w:rPr>
        <w:t>Our revenue was $603.8 million and $844.8 million in 2015 and 2016, respectively, representing a growth rate of 40%. We generated net losses of $325.9 million and $210.2 million in 2015 and 2016, respectively. We also generated positive free cash flow of $137.4 million in 2016 compared to negative free cash flow of $63.9 million in 2015.</w:t>
      </w:r>
    </w:p>
    <w:p>
      <w:pPr>
        <w:spacing w:after="0" w:line="288"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Our Users</w:t>
      </w:r>
    </w:p>
    <w:p>
      <w:pPr>
        <w:spacing w:after="0" w:line="121" w:lineRule="exact"/>
        <w:rPr>
          <w:sz w:val="20"/>
          <w:szCs w:val="20"/>
          <w:color w:val="auto"/>
        </w:rPr>
      </w:pPr>
    </w:p>
    <w:p>
      <w:pPr>
        <w:ind w:left="200" w:right="220" w:firstLine="434"/>
        <w:spacing w:after="0" w:line="277" w:lineRule="auto"/>
        <w:rPr>
          <w:sz w:val="20"/>
          <w:szCs w:val="20"/>
          <w:color w:val="auto"/>
        </w:rPr>
      </w:pPr>
      <w:r>
        <w:rPr>
          <w:rFonts w:ascii="Arial" w:cs="Arial" w:eastAsia="Arial" w:hAnsi="Arial"/>
          <w:sz w:val="18"/>
          <w:szCs w:val="18"/>
          <w:color w:val="auto"/>
        </w:rPr>
        <w:t>We’re constantly inspired by the diverse ways people use Dropbox to bring their ideas to life and achieve their missions faster. Here are just a few examples:</w:t>
      </w:r>
    </w:p>
    <w:p>
      <w:pPr>
        <w:spacing w:after="0" w:line="76" w:lineRule="exact"/>
        <w:rPr>
          <w:sz w:val="20"/>
          <w:szCs w:val="20"/>
          <w:color w:val="auto"/>
        </w:rPr>
      </w:pPr>
    </w:p>
    <w:p>
      <w:pPr>
        <w:ind w:left="1060" w:hanging="326"/>
        <w:spacing w:after="0"/>
        <w:tabs>
          <w:tab w:leader="none" w:pos="1060" w:val="left"/>
        </w:tabs>
        <w:numPr>
          <w:ilvl w:val="0"/>
          <w:numId w:val="3"/>
        </w:numPr>
        <w:rPr>
          <w:rFonts w:ascii="Arial" w:cs="Arial" w:eastAsia="Arial" w:hAnsi="Arial"/>
          <w:sz w:val="18"/>
          <w:szCs w:val="18"/>
          <w:color w:val="auto"/>
        </w:rPr>
      </w:pPr>
      <w:r>
        <w:rPr>
          <w:rFonts w:ascii="Arial" w:cs="Arial" w:eastAsia="Arial" w:hAnsi="Arial"/>
          <w:sz w:val="18"/>
          <w:szCs w:val="18"/>
          <w:color w:val="auto"/>
        </w:rPr>
        <w:t>Nobel Prize-winning researchers sync data with collaborators to speed development of new scientific breakthroughs.</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05" w:lineRule="exact"/>
        <w:rPr>
          <w:rFonts w:ascii="Arial" w:cs="Arial" w:eastAsia="Arial" w:hAnsi="Arial"/>
          <w:sz w:val="18"/>
          <w:szCs w:val="18"/>
          <w:color w:val="auto"/>
        </w:rPr>
      </w:pPr>
    </w:p>
    <w:p>
      <w:pPr>
        <w:ind w:left="5580"/>
        <w:spacing w:after="0"/>
        <w:rPr>
          <w:rFonts w:ascii="Arial" w:cs="Arial" w:eastAsia="Arial" w:hAnsi="Arial"/>
          <w:sz w:val="18"/>
          <w:szCs w:val="18"/>
          <w:color w:val="auto"/>
        </w:rPr>
      </w:pPr>
      <w:r>
        <w:rPr>
          <w:rFonts w:ascii="Arial" w:cs="Arial" w:eastAsia="Arial" w:hAnsi="Arial"/>
          <w:sz w:val="18"/>
          <w:szCs w:val="18"/>
          <w:color w:val="auto"/>
        </w:rPr>
        <w:t>1</w:t>
      </w:r>
    </w:p>
    <w:p>
      <w:pPr>
        <w:sectPr>
          <w:pgSz w:w="11900" w:h="16838" w:orient="portrait"/>
          <w:cols w:equalWidth="0" w:num="1">
            <w:col w:w="11040"/>
          </w:cols>
          <w:pgMar w:left="320" w:top="459" w:right="539"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136130" cy="65792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6130" cy="6579235"/>
                    </a:xfrm>
                    <a:prstGeom prst="rect">
                      <a:avLst/>
                    </a:prstGeom>
                    <a:noFill/>
                  </pic:spPr>
                </pic:pic>
              </a:graphicData>
            </a:graphic>
          </wp:anchor>
        </w:drawing>
      </w:r>
    </w:p>
    <w:p>
      <w:pPr>
        <w:spacing w:after="0" w:line="200" w:lineRule="exact"/>
        <w:rPr>
          <w:sz w:val="20"/>
          <w:szCs w:val="20"/>
          <w:color w:val="auto"/>
        </w:rPr>
      </w:pPr>
    </w:p>
    <w:p>
      <w:pPr>
        <w:spacing w:after="0" w:line="278" w:lineRule="exact"/>
        <w:rPr>
          <w:sz w:val="20"/>
          <w:szCs w:val="20"/>
          <w:color w:val="auto"/>
        </w:rPr>
      </w:pPr>
    </w:p>
    <w:p>
      <w:pPr>
        <w:ind w:left="1060" w:hanging="326"/>
        <w:spacing w:after="0"/>
        <w:tabs>
          <w:tab w:leader="none" w:pos="1060" w:val="left"/>
        </w:tabs>
        <w:numPr>
          <w:ilvl w:val="0"/>
          <w:numId w:val="4"/>
        </w:numPr>
        <w:rPr>
          <w:rFonts w:ascii="Arial" w:cs="Arial" w:eastAsia="Arial" w:hAnsi="Arial"/>
          <w:sz w:val="18"/>
          <w:szCs w:val="18"/>
          <w:color w:val="auto"/>
        </w:rPr>
      </w:pPr>
      <w:r>
        <w:rPr>
          <w:rFonts w:ascii="Arial" w:cs="Arial" w:eastAsia="Arial" w:hAnsi="Arial"/>
          <w:sz w:val="18"/>
          <w:szCs w:val="18"/>
          <w:color w:val="auto"/>
        </w:rPr>
        <w:t>Designers for a sustainable apparel company iterate on new designs and coordinate store openings.</w:t>
      </w:r>
    </w:p>
    <w:p>
      <w:pPr>
        <w:spacing w:after="0" w:line="130" w:lineRule="exact"/>
        <w:rPr>
          <w:rFonts w:ascii="Arial" w:cs="Arial" w:eastAsia="Arial" w:hAnsi="Arial"/>
          <w:sz w:val="18"/>
          <w:szCs w:val="18"/>
          <w:color w:val="auto"/>
        </w:rPr>
      </w:pPr>
    </w:p>
    <w:p>
      <w:pPr>
        <w:ind w:left="1060" w:hanging="326"/>
        <w:spacing w:after="0"/>
        <w:tabs>
          <w:tab w:leader="none" w:pos="1060" w:val="left"/>
        </w:tabs>
        <w:numPr>
          <w:ilvl w:val="0"/>
          <w:numId w:val="4"/>
        </w:numPr>
        <w:rPr>
          <w:rFonts w:ascii="Arial" w:cs="Arial" w:eastAsia="Arial" w:hAnsi="Arial"/>
          <w:sz w:val="18"/>
          <w:szCs w:val="18"/>
          <w:color w:val="auto"/>
        </w:rPr>
      </w:pPr>
      <w:r>
        <w:rPr>
          <w:rFonts w:ascii="Arial" w:cs="Arial" w:eastAsia="Arial" w:hAnsi="Arial"/>
          <w:sz w:val="18"/>
          <w:szCs w:val="18"/>
          <w:color w:val="auto"/>
        </w:rPr>
        <w:t>A commercial construction company shares blueprints with subcontractors on job sites and sends bids to prospective clients.</w:t>
      </w:r>
    </w:p>
    <w:p>
      <w:pPr>
        <w:spacing w:after="0" w:line="130" w:lineRule="exact"/>
        <w:rPr>
          <w:rFonts w:ascii="Arial" w:cs="Arial" w:eastAsia="Arial" w:hAnsi="Arial"/>
          <w:sz w:val="18"/>
          <w:szCs w:val="18"/>
          <w:color w:val="auto"/>
        </w:rPr>
      </w:pPr>
    </w:p>
    <w:p>
      <w:pPr>
        <w:ind w:left="1060" w:hanging="326"/>
        <w:spacing w:after="0"/>
        <w:tabs>
          <w:tab w:leader="none" w:pos="1060" w:val="left"/>
        </w:tabs>
        <w:numPr>
          <w:ilvl w:val="0"/>
          <w:numId w:val="4"/>
        </w:numPr>
        <w:rPr>
          <w:rFonts w:ascii="Arial" w:cs="Arial" w:eastAsia="Arial" w:hAnsi="Arial"/>
          <w:sz w:val="18"/>
          <w:szCs w:val="18"/>
          <w:color w:val="auto"/>
        </w:rPr>
      </w:pPr>
      <w:r>
        <w:rPr>
          <w:rFonts w:ascii="Arial" w:cs="Arial" w:eastAsia="Arial" w:hAnsi="Arial"/>
          <w:sz w:val="18"/>
          <w:szCs w:val="18"/>
          <w:color w:val="auto"/>
        </w:rPr>
        <w:t>A Fortune 500 online travel company keeps its global workforce connected with business partners around the world.</w:t>
      </w:r>
    </w:p>
    <w:p>
      <w:pPr>
        <w:spacing w:after="0" w:line="130" w:lineRule="exact"/>
        <w:rPr>
          <w:rFonts w:ascii="Arial" w:cs="Arial" w:eastAsia="Arial" w:hAnsi="Arial"/>
          <w:sz w:val="18"/>
          <w:szCs w:val="18"/>
          <w:color w:val="auto"/>
        </w:rPr>
      </w:pPr>
    </w:p>
    <w:p>
      <w:pPr>
        <w:ind w:left="1060" w:hanging="326"/>
        <w:spacing w:after="0"/>
        <w:tabs>
          <w:tab w:leader="none" w:pos="1060" w:val="left"/>
        </w:tabs>
        <w:numPr>
          <w:ilvl w:val="0"/>
          <w:numId w:val="4"/>
        </w:numPr>
        <w:rPr>
          <w:rFonts w:ascii="Arial" w:cs="Arial" w:eastAsia="Arial" w:hAnsi="Arial"/>
          <w:sz w:val="18"/>
          <w:szCs w:val="18"/>
          <w:color w:val="auto"/>
        </w:rPr>
      </w:pPr>
      <w:r>
        <w:rPr>
          <w:rFonts w:ascii="Arial" w:cs="Arial" w:eastAsia="Arial" w:hAnsi="Arial"/>
          <w:sz w:val="18"/>
          <w:szCs w:val="18"/>
          <w:color w:val="auto"/>
        </w:rPr>
        <w:t>Pro bono lawyers at a refugee assistance organization collect and share information across continents to save lives.</w:t>
      </w:r>
    </w:p>
    <w:p>
      <w:pPr>
        <w:spacing w:after="0" w:line="329"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What Sets Us Apart</w:t>
      </w:r>
    </w:p>
    <w:p>
      <w:pPr>
        <w:spacing w:after="0" w:line="121" w:lineRule="exact"/>
        <w:rPr>
          <w:sz w:val="20"/>
          <w:szCs w:val="20"/>
          <w:color w:val="auto"/>
        </w:rPr>
      </w:pPr>
    </w:p>
    <w:p>
      <w:pPr>
        <w:ind w:left="200" w:right="760" w:firstLine="434"/>
        <w:spacing w:after="0" w:line="277" w:lineRule="auto"/>
        <w:rPr>
          <w:sz w:val="20"/>
          <w:szCs w:val="20"/>
          <w:color w:val="auto"/>
        </w:rPr>
      </w:pPr>
      <w:r>
        <w:rPr>
          <w:rFonts w:ascii="Arial" w:cs="Arial" w:eastAsia="Arial" w:hAnsi="Arial"/>
          <w:sz w:val="18"/>
          <w:szCs w:val="18"/>
          <w:color w:val="auto"/>
        </w:rPr>
        <w:t>Since the beginning, we’ve focused on simplifying the lives of our users. In a world where business software can be frustrating to use, challenging to integrate, and expensive to sell, we take a different approach.</w:t>
      </w:r>
    </w:p>
    <w:p>
      <w:pPr>
        <w:spacing w:after="0" w:line="278" w:lineRule="exact"/>
        <w:rPr>
          <w:sz w:val="20"/>
          <w:szCs w:val="20"/>
          <w:color w:val="auto"/>
        </w:rPr>
      </w:pPr>
    </w:p>
    <w:p>
      <w:pPr>
        <w:ind w:left="620"/>
        <w:spacing w:after="0"/>
        <w:rPr>
          <w:sz w:val="20"/>
          <w:szCs w:val="20"/>
          <w:color w:val="auto"/>
        </w:rPr>
      </w:pPr>
      <w:r>
        <w:rPr>
          <w:rFonts w:ascii="Arial" w:cs="Arial" w:eastAsia="Arial" w:hAnsi="Arial"/>
          <w:sz w:val="18"/>
          <w:szCs w:val="18"/>
          <w:b w:val="1"/>
          <w:bCs w:val="1"/>
          <w:i w:val="1"/>
          <w:iCs w:val="1"/>
          <w:color w:val="auto"/>
        </w:rPr>
        <w:t>Simple and intuitive design</w:t>
      </w:r>
    </w:p>
    <w:p>
      <w:pPr>
        <w:spacing w:after="0" w:line="117" w:lineRule="exact"/>
        <w:rPr>
          <w:sz w:val="20"/>
          <w:szCs w:val="20"/>
          <w:color w:val="auto"/>
        </w:rPr>
      </w:pPr>
    </w:p>
    <w:p>
      <w:pPr>
        <w:ind w:left="200" w:firstLine="434"/>
        <w:spacing w:after="0" w:line="311" w:lineRule="auto"/>
        <w:rPr>
          <w:sz w:val="20"/>
          <w:szCs w:val="20"/>
          <w:color w:val="auto"/>
        </w:rPr>
      </w:pPr>
      <w:r>
        <w:rPr>
          <w:rFonts w:ascii="Arial" w:cs="Arial" w:eastAsia="Arial" w:hAnsi="Arial"/>
          <w:sz w:val="16"/>
          <w:szCs w:val="16"/>
          <w:color w:val="auto"/>
        </w:rPr>
        <w:t>While traditional tools developed in the desktop age have struggled to keep up with evolving user demands, Dropbox was designed for the cloud era. We build simple, beautiful products that bring joy to our users and make it easier for them to do their best work. Unencumbered by legacy features, we can perfect the aspects of our platform that matter most today, such as the mobile experience and the ability to work in teams.</w:t>
      </w:r>
    </w:p>
    <w:p>
      <w:pPr>
        <w:spacing w:after="0" w:line="257" w:lineRule="exact"/>
        <w:rPr>
          <w:sz w:val="20"/>
          <w:szCs w:val="20"/>
          <w:color w:val="auto"/>
        </w:rPr>
      </w:pPr>
    </w:p>
    <w:p>
      <w:pPr>
        <w:ind w:left="620"/>
        <w:spacing w:after="0"/>
        <w:rPr>
          <w:sz w:val="20"/>
          <w:szCs w:val="20"/>
          <w:color w:val="auto"/>
        </w:rPr>
      </w:pPr>
      <w:r>
        <w:rPr>
          <w:rFonts w:ascii="Arial" w:cs="Arial" w:eastAsia="Arial" w:hAnsi="Arial"/>
          <w:sz w:val="18"/>
          <w:szCs w:val="18"/>
          <w:b w:val="1"/>
          <w:bCs w:val="1"/>
          <w:i w:val="1"/>
          <w:iCs w:val="1"/>
          <w:color w:val="auto"/>
        </w:rPr>
        <w:t>Open ecosystem</w:t>
      </w:r>
    </w:p>
    <w:p>
      <w:pPr>
        <w:spacing w:after="0" w:line="117" w:lineRule="exact"/>
        <w:rPr>
          <w:sz w:val="20"/>
          <w:szCs w:val="20"/>
          <w:color w:val="auto"/>
        </w:rPr>
      </w:pPr>
    </w:p>
    <w:p>
      <w:pPr>
        <w:ind w:left="200" w:right="180" w:firstLine="434"/>
        <w:spacing w:after="0" w:line="263" w:lineRule="auto"/>
        <w:rPr>
          <w:sz w:val="20"/>
          <w:szCs w:val="20"/>
          <w:color w:val="auto"/>
        </w:rPr>
      </w:pPr>
      <w:r>
        <w:rPr>
          <w:rFonts w:ascii="Arial" w:cs="Arial" w:eastAsia="Arial" w:hAnsi="Arial"/>
          <w:sz w:val="18"/>
          <w:szCs w:val="18"/>
          <w:color w:val="auto"/>
        </w:rPr>
        <w:t>We know people will continue to use a wide variety of tools and platforms. That’s why we’ve built Dropbox to work seamlessly with other products, integrating with everything from Google and Microsoft to Slack and Autodesk. More than 75% of Dropbox Business teams have linked to one or more third-party applications.</w:t>
      </w:r>
    </w:p>
    <w:p>
      <w:pPr>
        <w:spacing w:after="0" w:line="292" w:lineRule="exact"/>
        <w:rPr>
          <w:sz w:val="20"/>
          <w:szCs w:val="20"/>
          <w:color w:val="auto"/>
        </w:rPr>
      </w:pPr>
    </w:p>
    <w:p>
      <w:pPr>
        <w:ind w:left="620"/>
        <w:spacing w:after="0"/>
        <w:rPr>
          <w:sz w:val="20"/>
          <w:szCs w:val="20"/>
          <w:color w:val="auto"/>
        </w:rPr>
      </w:pPr>
      <w:r>
        <w:rPr>
          <w:rFonts w:ascii="Arial" w:cs="Arial" w:eastAsia="Arial" w:hAnsi="Arial"/>
          <w:sz w:val="18"/>
          <w:szCs w:val="18"/>
          <w:b w:val="1"/>
          <w:bCs w:val="1"/>
          <w:i w:val="1"/>
          <w:iCs w:val="1"/>
          <w:color w:val="auto"/>
        </w:rPr>
        <w:t>Viral, bottom-up adoption</w:t>
      </w:r>
    </w:p>
    <w:p>
      <w:pPr>
        <w:spacing w:after="0" w:line="117" w:lineRule="exact"/>
        <w:rPr>
          <w:sz w:val="20"/>
          <w:szCs w:val="20"/>
          <w:color w:val="auto"/>
        </w:rPr>
      </w:pPr>
    </w:p>
    <w:p>
      <w:pPr>
        <w:ind w:left="200" w:right="80" w:firstLine="434"/>
        <w:spacing w:after="0" w:line="259" w:lineRule="auto"/>
        <w:rPr>
          <w:sz w:val="20"/>
          <w:szCs w:val="20"/>
          <w:color w:val="auto"/>
        </w:rPr>
      </w:pPr>
      <w:r>
        <w:rPr>
          <w:rFonts w:ascii="Arial" w:cs="Arial" w:eastAsia="Arial" w:hAnsi="Arial"/>
          <w:sz w:val="18"/>
          <w:szCs w:val="18"/>
          <w:color w:val="auto"/>
        </w:rPr>
        <w:t>Our 500 million registered users are our best salespeople. They’ve spread Dropbox to their friends and brought us into their offices. Every year, millions of individual users sign up for Dropbox at work. Bottom-up adoption within organizations has been critical to our success as users increasingly choose their own tools at work. We generate over 90% of our revenue from self-serve channels—users who purchase a subscription through our app or website.</w:t>
      </w:r>
    </w:p>
    <w:p>
      <w:pPr>
        <w:spacing w:after="0" w:line="295" w:lineRule="exact"/>
        <w:rPr>
          <w:sz w:val="20"/>
          <w:szCs w:val="20"/>
          <w:color w:val="auto"/>
        </w:rPr>
      </w:pPr>
    </w:p>
    <w:p>
      <w:pPr>
        <w:ind w:left="620"/>
        <w:spacing w:after="0"/>
        <w:rPr>
          <w:sz w:val="20"/>
          <w:szCs w:val="20"/>
          <w:color w:val="auto"/>
        </w:rPr>
      </w:pPr>
      <w:r>
        <w:rPr>
          <w:rFonts w:ascii="Arial" w:cs="Arial" w:eastAsia="Arial" w:hAnsi="Arial"/>
          <w:sz w:val="18"/>
          <w:szCs w:val="18"/>
          <w:b w:val="1"/>
          <w:bCs w:val="1"/>
          <w:i w:val="1"/>
          <w:iCs w:val="1"/>
          <w:color w:val="auto"/>
        </w:rPr>
        <w:t>Performance and security</w:t>
      </w:r>
    </w:p>
    <w:p>
      <w:pPr>
        <w:spacing w:after="0" w:line="117" w:lineRule="exact"/>
        <w:rPr>
          <w:sz w:val="20"/>
          <w:szCs w:val="20"/>
          <w:color w:val="auto"/>
        </w:rPr>
      </w:pPr>
    </w:p>
    <w:p>
      <w:pPr>
        <w:ind w:left="200" w:right="60" w:firstLine="434"/>
        <w:spacing w:after="0" w:line="257" w:lineRule="auto"/>
        <w:rPr>
          <w:sz w:val="20"/>
          <w:szCs w:val="20"/>
          <w:color w:val="auto"/>
        </w:rPr>
      </w:pPr>
      <w:r>
        <w:rPr>
          <w:rFonts w:ascii="Arial" w:cs="Arial" w:eastAsia="Arial" w:hAnsi="Arial"/>
          <w:sz w:val="18"/>
          <w:szCs w:val="18"/>
          <w:color w:val="auto"/>
        </w:rPr>
        <w:t>Our custom-built infrastructure allows us to maintain high standards of performance, availability, and security. Dropbox is built on proprietary, block-level sync technology to achieve industry-leading performance. In 2016, IDC highlighted our sync performance as best-in-class, outperforming competitors on multiple sync tests, including upload and download speeds for large files. We designed our platform with multiple layers of redundancy to guard against data loss and deliver high availability. We also offer numerous layers of protection, from secure file data transfer and encryption to network configuration and application-level controls.</w:t>
      </w:r>
    </w:p>
    <w:p>
      <w:pPr>
        <w:spacing w:after="0" w:line="292"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Industry Trends in Our Favor</w:t>
      </w:r>
    </w:p>
    <w:p>
      <w:pPr>
        <w:spacing w:after="0" w:line="121" w:lineRule="exact"/>
        <w:rPr>
          <w:sz w:val="20"/>
          <w:szCs w:val="20"/>
          <w:color w:val="auto"/>
        </w:rPr>
      </w:pPr>
    </w:p>
    <w:p>
      <w:pPr>
        <w:ind w:left="620"/>
        <w:spacing w:after="0"/>
        <w:rPr>
          <w:sz w:val="20"/>
          <w:szCs w:val="20"/>
          <w:color w:val="auto"/>
        </w:rPr>
      </w:pPr>
      <w:r>
        <w:rPr>
          <w:rFonts w:ascii="Arial" w:cs="Arial" w:eastAsia="Arial" w:hAnsi="Arial"/>
          <w:sz w:val="18"/>
          <w:szCs w:val="18"/>
          <w:b w:val="1"/>
          <w:bCs w:val="1"/>
          <w:i w:val="1"/>
          <w:iCs w:val="1"/>
          <w:color w:val="auto"/>
        </w:rPr>
        <w:t>Content is increasingly scattered</w:t>
      </w:r>
    </w:p>
    <w:p>
      <w:pPr>
        <w:spacing w:after="0" w:line="117" w:lineRule="exact"/>
        <w:rPr>
          <w:sz w:val="20"/>
          <w:szCs w:val="20"/>
          <w:color w:val="auto"/>
        </w:rPr>
      </w:pPr>
    </w:p>
    <w:p>
      <w:pPr>
        <w:ind w:left="200" w:right="320" w:firstLine="434"/>
        <w:spacing w:after="0" w:line="286" w:lineRule="auto"/>
        <w:rPr>
          <w:sz w:val="20"/>
          <w:szCs w:val="20"/>
          <w:color w:val="auto"/>
        </w:rPr>
      </w:pPr>
      <w:r>
        <w:rPr>
          <w:rFonts w:ascii="Arial" w:cs="Arial" w:eastAsia="Arial" w:hAnsi="Arial"/>
          <w:sz w:val="17"/>
          <w:szCs w:val="17"/>
          <w:color w:val="auto"/>
        </w:rPr>
        <w:t>The proliferation of devices, operating systems, and applications has dramatically increased the volume and complexity of content in the workplace. Content is now routinely scattered across multiple silos, making it harder to access. According to a 2016 IDC report, more than half of companies ranging from 100 to 5,000+ employees use at least three repositories for accessing documents on a weekly basis.</w:t>
      </w: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040"/>
          </w:cols>
          <w:pgMar w:left="320" w:top="459" w:right="53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136130" cy="615886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6130" cy="6158865"/>
                    </a:xfrm>
                    <a:prstGeom prst="rect">
                      <a:avLst/>
                    </a:prstGeom>
                    <a:noFill/>
                  </pic:spPr>
                </pic:pic>
              </a:graphicData>
            </a:graphic>
          </wp:anchor>
        </w:drawing>
      </w:r>
    </w:p>
    <w:p>
      <w:pPr>
        <w:spacing w:after="0" w:line="200" w:lineRule="exact"/>
        <w:rPr>
          <w:sz w:val="20"/>
          <w:szCs w:val="20"/>
          <w:color w:val="auto"/>
        </w:rPr>
      </w:pPr>
    </w:p>
    <w:p>
      <w:pPr>
        <w:spacing w:after="0" w:line="278" w:lineRule="exact"/>
        <w:rPr>
          <w:sz w:val="20"/>
          <w:szCs w:val="20"/>
          <w:color w:val="auto"/>
        </w:rPr>
      </w:pPr>
    </w:p>
    <w:p>
      <w:pPr>
        <w:ind w:left="620"/>
        <w:spacing w:after="0"/>
        <w:rPr>
          <w:sz w:val="20"/>
          <w:szCs w:val="20"/>
          <w:color w:val="auto"/>
        </w:rPr>
      </w:pPr>
      <w:r>
        <w:rPr>
          <w:rFonts w:ascii="Arial" w:cs="Arial" w:eastAsia="Arial" w:hAnsi="Arial"/>
          <w:sz w:val="18"/>
          <w:szCs w:val="18"/>
          <w:b w:val="1"/>
          <w:bCs w:val="1"/>
          <w:i w:val="1"/>
          <w:iCs w:val="1"/>
          <w:color w:val="auto"/>
        </w:rPr>
        <w:t>The tools people use are fragmented</w:t>
      </w:r>
    </w:p>
    <w:p>
      <w:pPr>
        <w:spacing w:after="0" w:line="117" w:lineRule="exact"/>
        <w:rPr>
          <w:sz w:val="20"/>
          <w:szCs w:val="20"/>
          <w:color w:val="auto"/>
        </w:rPr>
      </w:pPr>
    </w:p>
    <w:p>
      <w:pPr>
        <w:ind w:left="200" w:right="60" w:firstLine="434"/>
        <w:spacing w:after="0" w:line="259" w:lineRule="auto"/>
        <w:rPr>
          <w:sz w:val="20"/>
          <w:szCs w:val="20"/>
          <w:color w:val="auto"/>
        </w:rPr>
      </w:pPr>
      <w:r>
        <w:rPr>
          <w:rFonts w:ascii="Arial" w:cs="Arial" w:eastAsia="Arial" w:hAnsi="Arial"/>
          <w:sz w:val="18"/>
          <w:szCs w:val="18"/>
          <w:color w:val="auto"/>
        </w:rPr>
        <w:t>Content created at work tends to follow a predictable pattern: It’s authored, sent out for feedback, and shared or published once it’s done. At the same time, teams are organizing that content and coordinating tasks around it. But many of the tools people use today don’t work well together and support only one or two steps of the content lifecycle. This requires users to constantly switch between these tools and makes it even harder to get work done.</w:t>
      </w:r>
    </w:p>
    <w:p>
      <w:pPr>
        <w:spacing w:after="0" w:line="295" w:lineRule="exact"/>
        <w:rPr>
          <w:sz w:val="20"/>
          <w:szCs w:val="20"/>
          <w:color w:val="auto"/>
        </w:rPr>
      </w:pPr>
    </w:p>
    <w:p>
      <w:pPr>
        <w:ind w:left="620"/>
        <w:spacing w:after="0"/>
        <w:rPr>
          <w:sz w:val="20"/>
          <w:szCs w:val="20"/>
          <w:color w:val="auto"/>
        </w:rPr>
      </w:pPr>
      <w:r>
        <w:rPr>
          <w:rFonts w:ascii="Arial" w:cs="Arial" w:eastAsia="Arial" w:hAnsi="Arial"/>
          <w:sz w:val="18"/>
          <w:szCs w:val="18"/>
          <w:b w:val="1"/>
          <w:bCs w:val="1"/>
          <w:i w:val="1"/>
          <w:iCs w:val="1"/>
          <w:color w:val="auto"/>
        </w:rPr>
        <w:t>Teams have become more fluid and global</w:t>
      </w:r>
    </w:p>
    <w:p>
      <w:pPr>
        <w:spacing w:after="0" w:line="117" w:lineRule="exact"/>
        <w:rPr>
          <w:sz w:val="20"/>
          <w:szCs w:val="20"/>
          <w:color w:val="auto"/>
        </w:rPr>
      </w:pPr>
    </w:p>
    <w:p>
      <w:pPr>
        <w:ind w:left="200" w:right="200" w:firstLine="434"/>
        <w:spacing w:after="0" w:line="259" w:lineRule="auto"/>
        <w:rPr>
          <w:sz w:val="20"/>
          <w:szCs w:val="20"/>
          <w:color w:val="auto"/>
        </w:rPr>
      </w:pPr>
      <w:r>
        <w:rPr>
          <w:rFonts w:ascii="Arial" w:cs="Arial" w:eastAsia="Arial" w:hAnsi="Arial"/>
          <w:sz w:val="18"/>
          <w:szCs w:val="18"/>
          <w:color w:val="auto"/>
        </w:rPr>
        <w:t>Technology hasn’t kept up with a modern workforce that’s increasingly fluid and mobile. People work together on teams that span different functions, organizations, and geographies. A 2016 study by Deloitte found that 37% of the global workforce is now mobile, 30% of full-time employees primarily work remotely, and 20% of the workforce is made up of temporary workers, contractors, and freelancers. The ability to swiftly disseminate content and its relevant context is critical to keeping teams in sync.</w:t>
      </w:r>
    </w:p>
    <w:p>
      <w:pPr>
        <w:spacing w:after="0" w:line="295" w:lineRule="exact"/>
        <w:rPr>
          <w:sz w:val="20"/>
          <w:szCs w:val="20"/>
          <w:color w:val="auto"/>
        </w:rPr>
      </w:pPr>
    </w:p>
    <w:p>
      <w:pPr>
        <w:ind w:left="620"/>
        <w:spacing w:after="0"/>
        <w:rPr>
          <w:sz w:val="20"/>
          <w:szCs w:val="20"/>
          <w:color w:val="auto"/>
        </w:rPr>
      </w:pPr>
      <w:r>
        <w:rPr>
          <w:rFonts w:ascii="Arial" w:cs="Arial" w:eastAsia="Arial" w:hAnsi="Arial"/>
          <w:sz w:val="18"/>
          <w:szCs w:val="18"/>
          <w:b w:val="1"/>
          <w:bCs w:val="1"/>
          <w:i w:val="1"/>
          <w:iCs w:val="1"/>
          <w:color w:val="auto"/>
        </w:rPr>
        <w:t>“Work about work” is wasteful and stifles creativity</w:t>
      </w:r>
    </w:p>
    <w:p>
      <w:pPr>
        <w:spacing w:after="0" w:line="117" w:lineRule="exact"/>
        <w:rPr>
          <w:sz w:val="20"/>
          <w:szCs w:val="20"/>
          <w:color w:val="auto"/>
        </w:rPr>
      </w:pPr>
    </w:p>
    <w:p>
      <w:pPr>
        <w:ind w:left="200" w:firstLine="434"/>
        <w:spacing w:after="0" w:line="259" w:lineRule="auto"/>
        <w:rPr>
          <w:sz w:val="20"/>
          <w:szCs w:val="20"/>
          <w:color w:val="auto"/>
        </w:rPr>
      </w:pPr>
      <w:r>
        <w:rPr>
          <w:rFonts w:ascii="Arial" w:cs="Arial" w:eastAsia="Arial" w:hAnsi="Arial"/>
          <w:sz w:val="18"/>
          <w:szCs w:val="18"/>
          <w:color w:val="auto"/>
        </w:rPr>
        <w:t>The combination of scattered content, fragmented tools, and fluid team structures has led to decreased workplace productivity. According to a report by McKinsey &amp; Company, knowledge workers spend approximately 60% of their time at work on tedious tasks such as searching for content, reviewing email, and re-sharing context to keep team members in the loop—what we call “work about work.” This means they spend just 40% of their time doing the jobs they were hired to do.</w:t>
      </w:r>
    </w:p>
    <w:p>
      <w:pPr>
        <w:spacing w:after="0" w:line="295" w:lineRule="exact"/>
        <w:rPr>
          <w:sz w:val="20"/>
          <w:szCs w:val="20"/>
          <w:color w:val="auto"/>
        </w:rPr>
      </w:pPr>
    </w:p>
    <w:p>
      <w:pPr>
        <w:ind w:left="620"/>
        <w:spacing w:after="0"/>
        <w:rPr>
          <w:sz w:val="20"/>
          <w:szCs w:val="20"/>
          <w:color w:val="auto"/>
        </w:rPr>
      </w:pPr>
      <w:r>
        <w:rPr>
          <w:rFonts w:ascii="Arial" w:cs="Arial" w:eastAsia="Arial" w:hAnsi="Arial"/>
          <w:sz w:val="18"/>
          <w:szCs w:val="18"/>
          <w:b w:val="1"/>
          <w:bCs w:val="1"/>
          <w:i w:val="1"/>
          <w:iCs w:val="1"/>
          <w:color w:val="auto"/>
        </w:rPr>
        <w:t>Individual users are changing the way software is adopted and purchased</w:t>
      </w:r>
    </w:p>
    <w:p>
      <w:pPr>
        <w:spacing w:after="0" w:line="117" w:lineRule="exact"/>
        <w:rPr>
          <w:sz w:val="20"/>
          <w:szCs w:val="20"/>
          <w:color w:val="auto"/>
        </w:rPr>
      </w:pPr>
    </w:p>
    <w:p>
      <w:pPr>
        <w:ind w:left="200" w:right="80" w:firstLine="434"/>
        <w:spacing w:after="0" w:line="311" w:lineRule="auto"/>
        <w:rPr>
          <w:sz w:val="20"/>
          <w:szCs w:val="20"/>
          <w:color w:val="auto"/>
        </w:rPr>
      </w:pPr>
      <w:r>
        <w:rPr>
          <w:rFonts w:ascii="Arial" w:cs="Arial" w:eastAsia="Arial" w:hAnsi="Arial"/>
          <w:sz w:val="16"/>
          <w:szCs w:val="16"/>
          <w:color w:val="auto"/>
        </w:rPr>
        <w:t>Software purchasing decisions have traditionally been made by an organization’s IT department, which often deploys products that employees don’t like and many refuse to adopt. As individuals increasingly choose their own tools at work, purchasing power has become more decentralized. A 2017 IDC report noted that new devices and software were being adopted at a faster rate by individual users than by IT departments.</w:t>
      </w:r>
    </w:p>
    <w:p>
      <w:pPr>
        <w:spacing w:after="0" w:line="253"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Our Solution</w:t>
      </w:r>
    </w:p>
    <w:p>
      <w:pPr>
        <w:spacing w:after="0" w:line="121" w:lineRule="exact"/>
        <w:rPr>
          <w:sz w:val="20"/>
          <w:szCs w:val="20"/>
          <w:color w:val="auto"/>
        </w:rPr>
      </w:pPr>
    </w:p>
    <w:p>
      <w:pPr>
        <w:ind w:left="200" w:right="160" w:firstLine="434"/>
        <w:spacing w:after="0" w:line="308" w:lineRule="auto"/>
        <w:rPr>
          <w:sz w:val="20"/>
          <w:szCs w:val="20"/>
          <w:color w:val="auto"/>
        </w:rPr>
      </w:pPr>
      <w:r>
        <w:rPr>
          <w:rFonts w:ascii="Arial" w:cs="Arial" w:eastAsia="Arial" w:hAnsi="Arial"/>
          <w:sz w:val="17"/>
          <w:szCs w:val="17"/>
          <w:color w:val="auto"/>
        </w:rPr>
        <w:t>Dropbox allows individuals, teams, and organizations to collaborate more effectively. Anyone can sign up for free through our website or app, and upgrade to a paid subscription plan for premium features. Our platform offers an elegant solution to the challenges described above.</w:t>
      </w:r>
    </w:p>
    <w:p>
      <w:pPr>
        <w:spacing w:after="0" w:line="254" w:lineRule="exact"/>
        <w:rPr>
          <w:sz w:val="20"/>
          <w:szCs w:val="20"/>
          <w:color w:val="auto"/>
        </w:rPr>
      </w:pPr>
    </w:p>
    <w:p>
      <w:pPr>
        <w:ind w:left="620"/>
        <w:spacing w:after="0"/>
        <w:rPr>
          <w:sz w:val="20"/>
          <w:szCs w:val="20"/>
          <w:color w:val="auto"/>
        </w:rPr>
      </w:pPr>
      <w:r>
        <w:rPr>
          <w:rFonts w:ascii="Arial" w:cs="Arial" w:eastAsia="Arial" w:hAnsi="Arial"/>
          <w:sz w:val="18"/>
          <w:szCs w:val="18"/>
          <w:b w:val="1"/>
          <w:bCs w:val="1"/>
          <w:i w:val="1"/>
          <w:iCs w:val="1"/>
          <w:color w:val="auto"/>
        </w:rPr>
        <w:t>Key elements of our platform</w:t>
      </w:r>
    </w:p>
    <w:p>
      <w:pPr>
        <w:spacing w:after="0" w:line="131" w:lineRule="exact"/>
        <w:rPr>
          <w:sz w:val="20"/>
          <w:szCs w:val="20"/>
          <w:color w:val="auto"/>
        </w:rPr>
      </w:pPr>
    </w:p>
    <w:p>
      <w:pPr>
        <w:ind w:left="1060" w:right="40" w:hanging="326"/>
        <w:spacing w:after="0" w:line="279" w:lineRule="auto"/>
        <w:tabs>
          <w:tab w:leader="none" w:pos="1060" w:val="left"/>
        </w:tabs>
        <w:numPr>
          <w:ilvl w:val="0"/>
          <w:numId w:val="5"/>
        </w:numPr>
        <w:rPr>
          <w:rFonts w:ascii="Arial" w:cs="Arial" w:eastAsia="Arial" w:hAnsi="Arial"/>
          <w:sz w:val="17"/>
          <w:szCs w:val="17"/>
          <w:color w:val="auto"/>
        </w:rPr>
      </w:pPr>
      <w:r>
        <w:rPr>
          <w:rFonts w:ascii="Arial" w:cs="Arial" w:eastAsia="Arial" w:hAnsi="Arial"/>
          <w:sz w:val="17"/>
          <w:szCs w:val="17"/>
          <w:i w:val="1"/>
          <w:iCs w:val="1"/>
          <w:color w:val="auto"/>
        </w:rPr>
        <w:t xml:space="preserve">Unified home for content. </w:t>
      </w:r>
      <w:r>
        <w:rPr>
          <w:rFonts w:ascii="Arial" w:cs="Arial" w:eastAsia="Arial" w:hAnsi="Arial"/>
          <w:sz w:val="17"/>
          <w:szCs w:val="17"/>
          <w:color w:val="auto"/>
        </w:rPr>
        <w:t>We provide a unified home for the world’s content and the relevant context around it. To date, our users have</w:t>
      </w:r>
      <w:r>
        <w:rPr>
          <w:rFonts w:ascii="Arial" w:cs="Arial" w:eastAsia="Arial" w:hAnsi="Arial"/>
          <w:sz w:val="17"/>
          <w:szCs w:val="17"/>
          <w:i w:val="1"/>
          <w:iCs w:val="1"/>
          <w:color w:val="auto"/>
        </w:rPr>
        <w:t xml:space="preserve"> </w:t>
      </w:r>
      <w:r>
        <w:rPr>
          <w:rFonts w:ascii="Arial" w:cs="Arial" w:eastAsia="Arial" w:hAnsi="Arial"/>
          <w:sz w:val="17"/>
          <w:szCs w:val="17"/>
          <w:color w:val="auto"/>
        </w:rPr>
        <w:t>added more than 400 billion pieces of content to Dropbox, totaling over an exabyte (more than 1,000,000,000 gigabytes). When users join Dropbox, they gain access to a digital workspace that supports the full content lifecycle—they can create and organize their content, access it from anywhere, share it with internal and external collaborators, and review feedback and history.</w:t>
      </w:r>
    </w:p>
    <w:p>
      <w:pPr>
        <w:spacing w:after="0" w:line="76" w:lineRule="exact"/>
        <w:rPr>
          <w:rFonts w:ascii="Arial" w:cs="Arial" w:eastAsia="Arial" w:hAnsi="Arial"/>
          <w:sz w:val="17"/>
          <w:szCs w:val="17"/>
          <w:color w:val="auto"/>
        </w:rPr>
      </w:pPr>
    </w:p>
    <w:p>
      <w:pPr>
        <w:ind w:left="1060" w:right="280" w:hanging="326"/>
        <w:spacing w:after="0" w:line="259" w:lineRule="auto"/>
        <w:tabs>
          <w:tab w:leader="none" w:pos="1060" w:val="left"/>
        </w:tabs>
        <w:numPr>
          <w:ilvl w:val="0"/>
          <w:numId w:val="5"/>
        </w:numPr>
        <w:rPr>
          <w:rFonts w:ascii="Arial" w:cs="Arial" w:eastAsia="Arial" w:hAnsi="Arial"/>
          <w:sz w:val="18"/>
          <w:szCs w:val="18"/>
          <w:color w:val="auto"/>
        </w:rPr>
      </w:pPr>
      <w:r>
        <w:rPr>
          <w:rFonts w:ascii="Arial" w:cs="Arial" w:eastAsia="Arial" w:hAnsi="Arial"/>
          <w:sz w:val="18"/>
          <w:szCs w:val="18"/>
          <w:i w:val="1"/>
          <w:iCs w:val="1"/>
          <w:color w:val="auto"/>
        </w:rPr>
        <w:t xml:space="preserve">Global sharing network. </w:t>
      </w:r>
      <w:r>
        <w:rPr>
          <w:rFonts w:ascii="Arial" w:cs="Arial" w:eastAsia="Arial" w:hAnsi="Arial"/>
          <w:sz w:val="18"/>
          <w:szCs w:val="18"/>
          <w:color w:val="auto"/>
        </w:rPr>
        <w:t>We’ve built one of the largest collaboration platforms in the world, with more than 4.5 billion connections to</w:t>
      </w:r>
      <w:r>
        <w:rPr>
          <w:rFonts w:ascii="Arial" w:cs="Arial" w:eastAsia="Arial" w:hAnsi="Arial"/>
          <w:sz w:val="18"/>
          <w:szCs w:val="18"/>
          <w:i w:val="1"/>
          <w:iCs w:val="1"/>
          <w:color w:val="auto"/>
        </w:rPr>
        <w:t xml:space="preserve"> </w:t>
      </w:r>
      <w:r>
        <w:rPr>
          <w:rFonts w:ascii="Arial" w:cs="Arial" w:eastAsia="Arial" w:hAnsi="Arial"/>
          <w:sz w:val="18"/>
          <w:szCs w:val="18"/>
          <w:color w:val="auto"/>
        </w:rPr>
        <w:t>shared content. We cater to the needs of dynamic, dispersed teams. The overwhelming majority of our customers use Dropbox to share and collaborate. As we continue to grow, more users benefit from frictionless sharing, and powerful network effects increase the utility and stickiness of our platform.</w:t>
      </w: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040"/>
          </w:cols>
          <w:pgMar w:left="320" w:top="459" w:right="539"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136130" cy="634746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6130" cy="6347460"/>
                    </a:xfrm>
                    <a:prstGeom prst="rect">
                      <a:avLst/>
                    </a:prstGeom>
                    <a:noFill/>
                  </pic:spPr>
                </pic:pic>
              </a:graphicData>
            </a:graphic>
          </wp:anchor>
        </w:drawing>
      </w:r>
    </w:p>
    <w:p>
      <w:pPr>
        <w:spacing w:after="0" w:line="200" w:lineRule="exact"/>
        <w:rPr>
          <w:sz w:val="20"/>
          <w:szCs w:val="20"/>
          <w:color w:val="auto"/>
        </w:rPr>
      </w:pPr>
    </w:p>
    <w:p>
      <w:pPr>
        <w:spacing w:after="0" w:line="278" w:lineRule="exact"/>
        <w:rPr>
          <w:sz w:val="20"/>
          <w:szCs w:val="20"/>
          <w:color w:val="auto"/>
        </w:rPr>
      </w:pPr>
    </w:p>
    <w:p>
      <w:pPr>
        <w:ind w:left="1060" w:right="260" w:hanging="326"/>
        <w:spacing w:after="0" w:line="311" w:lineRule="auto"/>
        <w:tabs>
          <w:tab w:leader="none" w:pos="1060" w:val="left"/>
        </w:tabs>
        <w:numPr>
          <w:ilvl w:val="0"/>
          <w:numId w:val="6"/>
        </w:numPr>
        <w:rPr>
          <w:rFonts w:ascii="Arial" w:cs="Arial" w:eastAsia="Arial" w:hAnsi="Arial"/>
          <w:sz w:val="16"/>
          <w:szCs w:val="16"/>
          <w:color w:val="auto"/>
        </w:rPr>
      </w:pPr>
      <w:r>
        <w:rPr>
          <w:rFonts w:ascii="Arial" w:cs="Arial" w:eastAsia="Arial" w:hAnsi="Arial"/>
          <w:sz w:val="16"/>
          <w:szCs w:val="16"/>
          <w:i w:val="1"/>
          <w:iCs w:val="1"/>
          <w:color w:val="auto"/>
        </w:rPr>
        <w:t xml:space="preserve">New product experiences. </w:t>
      </w:r>
      <w:r>
        <w:rPr>
          <w:rFonts w:ascii="Arial" w:cs="Arial" w:eastAsia="Arial" w:hAnsi="Arial"/>
          <w:sz w:val="16"/>
          <w:szCs w:val="16"/>
          <w:color w:val="auto"/>
        </w:rPr>
        <w:t>The insights we glean from our community of users lead us to develop new product experiences, like Paper,</w:t>
      </w:r>
      <w:r>
        <w:rPr>
          <w:rFonts w:ascii="Arial" w:cs="Arial" w:eastAsia="Arial" w:hAnsi="Arial"/>
          <w:sz w:val="16"/>
          <w:szCs w:val="16"/>
          <w:i w:val="1"/>
          <w:iCs w:val="1"/>
          <w:color w:val="auto"/>
        </w:rPr>
        <w:t xml:space="preserve"> </w:t>
      </w:r>
      <w:r>
        <w:rPr>
          <w:rFonts w:ascii="Arial" w:cs="Arial" w:eastAsia="Arial" w:hAnsi="Arial"/>
          <w:sz w:val="16"/>
          <w:szCs w:val="16"/>
          <w:color w:val="auto"/>
        </w:rPr>
        <w:t>Smart Sync, and Showcase. Machine learning further improves the user experience by enabling more intelligent search and better organization of information. This ongoing innovation broadens the value of our platform and deepens user engagement.</w:t>
      </w:r>
    </w:p>
    <w:p>
      <w:pPr>
        <w:spacing w:after="0" w:line="149" w:lineRule="exact"/>
        <w:rPr>
          <w:sz w:val="20"/>
          <w:szCs w:val="20"/>
          <w:color w:val="auto"/>
        </w:rPr>
      </w:pPr>
    </w:p>
    <w:p>
      <w:pPr>
        <w:ind w:left="200" w:firstLine="434"/>
        <w:spacing w:after="0" w:line="259" w:lineRule="auto"/>
        <w:rPr>
          <w:sz w:val="20"/>
          <w:szCs w:val="20"/>
          <w:color w:val="auto"/>
        </w:rPr>
      </w:pPr>
      <w:r>
        <w:rPr>
          <w:rFonts w:ascii="Arial" w:cs="Arial" w:eastAsia="Arial" w:hAnsi="Arial"/>
          <w:sz w:val="18"/>
          <w:szCs w:val="18"/>
          <w:color w:val="auto"/>
        </w:rPr>
        <w:t>These elements reinforce one another to produce a powerful flywheel effect. As users create and share more content with more people, they expand our global sharing network. This network allows us to gather insights and feedback that help us create new product experiences. And with our scale, we can instantly put these innovations in the hands of millions. This, in turn, helps attract more users and content, which further propels the flywheel.</w:t>
      </w:r>
    </w:p>
    <w:p>
      <w:pPr>
        <w:spacing w:after="0" w:line="291"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Our Growth Strategy</w:t>
      </w:r>
    </w:p>
    <w:p>
      <w:pPr>
        <w:spacing w:after="0" w:line="121" w:lineRule="exact"/>
        <w:rPr>
          <w:sz w:val="20"/>
          <w:szCs w:val="20"/>
          <w:color w:val="auto"/>
        </w:rPr>
      </w:pPr>
    </w:p>
    <w:p>
      <w:pPr>
        <w:ind w:left="620"/>
        <w:spacing w:after="0"/>
        <w:rPr>
          <w:sz w:val="20"/>
          <w:szCs w:val="20"/>
          <w:color w:val="auto"/>
        </w:rPr>
      </w:pPr>
      <w:r>
        <w:rPr>
          <w:rFonts w:ascii="Arial" w:cs="Arial" w:eastAsia="Arial" w:hAnsi="Arial"/>
          <w:sz w:val="18"/>
          <w:szCs w:val="18"/>
          <w:b w:val="1"/>
          <w:bCs w:val="1"/>
          <w:i w:val="1"/>
          <w:iCs w:val="1"/>
          <w:color w:val="auto"/>
        </w:rPr>
        <w:t>Increase adoption and paid conversion</w:t>
      </w:r>
    </w:p>
    <w:p>
      <w:pPr>
        <w:spacing w:after="0" w:line="117" w:lineRule="exact"/>
        <w:rPr>
          <w:sz w:val="20"/>
          <w:szCs w:val="20"/>
          <w:color w:val="auto"/>
        </w:rPr>
      </w:pPr>
    </w:p>
    <w:p>
      <w:pPr>
        <w:ind w:left="200" w:right="80" w:firstLine="434"/>
        <w:spacing w:after="0" w:line="301" w:lineRule="auto"/>
        <w:rPr>
          <w:sz w:val="20"/>
          <w:szCs w:val="20"/>
          <w:color w:val="auto"/>
        </w:rPr>
      </w:pPr>
      <w:r>
        <w:rPr>
          <w:rFonts w:ascii="Arial" w:cs="Arial" w:eastAsia="Arial" w:hAnsi="Arial"/>
          <w:sz w:val="16"/>
          <w:szCs w:val="16"/>
          <w:color w:val="auto"/>
        </w:rPr>
        <w:t>We designed Dropbox to be easy to try, use, and buy. Anyone can create an account and be up and running in minutes. We estimate that approximately 300 million of our registered users have characteristics—including certain email domains, devices, and geographies—that make them more likely to pay over time. With more than 10 million paying users, we have a significant opportunity to grow our customer base. We reach our users via in-product notifications on our website and across more than 400 million actively connected devices without any external marketing spend.</w:t>
      </w:r>
    </w:p>
    <w:p>
      <w:pPr>
        <w:spacing w:after="0" w:line="265" w:lineRule="exact"/>
        <w:rPr>
          <w:sz w:val="20"/>
          <w:szCs w:val="20"/>
          <w:color w:val="auto"/>
        </w:rPr>
      </w:pPr>
    </w:p>
    <w:p>
      <w:pPr>
        <w:ind w:left="620"/>
        <w:spacing w:after="0"/>
        <w:rPr>
          <w:sz w:val="20"/>
          <w:szCs w:val="20"/>
          <w:color w:val="auto"/>
        </w:rPr>
      </w:pPr>
      <w:r>
        <w:rPr>
          <w:rFonts w:ascii="Arial" w:cs="Arial" w:eastAsia="Arial" w:hAnsi="Arial"/>
          <w:sz w:val="18"/>
          <w:szCs w:val="18"/>
          <w:b w:val="1"/>
          <w:bCs w:val="1"/>
          <w:i w:val="1"/>
          <w:iCs w:val="1"/>
          <w:color w:val="auto"/>
        </w:rPr>
        <w:t>Upgrade our paying users</w:t>
      </w:r>
    </w:p>
    <w:p>
      <w:pPr>
        <w:spacing w:after="0" w:line="117" w:lineRule="exact"/>
        <w:rPr>
          <w:sz w:val="20"/>
          <w:szCs w:val="20"/>
          <w:color w:val="auto"/>
        </w:rPr>
      </w:pPr>
    </w:p>
    <w:p>
      <w:pPr>
        <w:jc w:val="both"/>
        <w:ind w:left="200" w:right="160" w:firstLine="434"/>
        <w:spacing w:after="0" w:line="255" w:lineRule="auto"/>
        <w:rPr>
          <w:sz w:val="20"/>
          <w:szCs w:val="20"/>
          <w:color w:val="auto"/>
        </w:rPr>
      </w:pPr>
      <w:r>
        <w:rPr>
          <w:rFonts w:ascii="Arial" w:cs="Arial" w:eastAsia="Arial" w:hAnsi="Arial"/>
          <w:sz w:val="18"/>
          <w:szCs w:val="18"/>
          <w:color w:val="auto"/>
        </w:rPr>
        <w:t>We offer a range of paid subscription plans, from Plus and Professional for individuals, to Standard, Advanced, and Enterprise for teams. We analyze usage patterns within our network and run hundreds of targeted marketing campaigns to encourage paying users to upgrade their plans. For example, we prompt individual subscribers who collaborate with others on Dropbox to purchase our Standard or Advanced plans for a better team experience. In the first three quarters of 2017, over 40% of new Dropbox Business teams included a member who was previously a Plus subscriber. We believe that a large majority of individual customers use Dropbox for work, which creates an opportunity to significantly increase conversion to Dropbox Business team offerings over time.</w:t>
      </w:r>
    </w:p>
    <w:p>
      <w:pPr>
        <w:spacing w:after="0" w:line="300" w:lineRule="exact"/>
        <w:rPr>
          <w:sz w:val="20"/>
          <w:szCs w:val="20"/>
          <w:color w:val="auto"/>
        </w:rPr>
      </w:pPr>
    </w:p>
    <w:p>
      <w:pPr>
        <w:ind w:left="620"/>
        <w:spacing w:after="0"/>
        <w:rPr>
          <w:sz w:val="20"/>
          <w:szCs w:val="20"/>
          <w:color w:val="auto"/>
        </w:rPr>
      </w:pPr>
      <w:r>
        <w:rPr>
          <w:rFonts w:ascii="Arial" w:cs="Arial" w:eastAsia="Arial" w:hAnsi="Arial"/>
          <w:sz w:val="18"/>
          <w:szCs w:val="18"/>
          <w:b w:val="1"/>
          <w:bCs w:val="1"/>
          <w:i w:val="1"/>
          <w:iCs w:val="1"/>
          <w:color w:val="auto"/>
        </w:rPr>
        <w:t>Apply insights to build new product experiences</w:t>
      </w:r>
    </w:p>
    <w:p>
      <w:pPr>
        <w:spacing w:after="0" w:line="117" w:lineRule="exact"/>
        <w:rPr>
          <w:sz w:val="20"/>
          <w:szCs w:val="20"/>
          <w:color w:val="auto"/>
        </w:rPr>
      </w:pPr>
    </w:p>
    <w:p>
      <w:pPr>
        <w:ind w:left="200" w:right="320" w:firstLine="434"/>
        <w:spacing w:after="0" w:line="259" w:lineRule="auto"/>
        <w:rPr>
          <w:sz w:val="20"/>
          <w:szCs w:val="20"/>
          <w:color w:val="auto"/>
        </w:rPr>
      </w:pPr>
      <w:r>
        <w:rPr>
          <w:rFonts w:ascii="Arial" w:cs="Arial" w:eastAsia="Arial" w:hAnsi="Arial"/>
          <w:sz w:val="18"/>
          <w:szCs w:val="18"/>
          <w:color w:val="auto"/>
        </w:rPr>
        <w:t>As our community of users grows, we gain more insight into their needs and pain points. We translate these insights into new product experiences that support the entire content lifecycle. For example, we learned through analytics and research that our users often work with many different types of content. As a result, we added the ability to embed rich media in Paper so they can pull everything together in one place—from InVision graphics and Google slides to Spotify tracks and Vimeo clips.</w:t>
      </w:r>
    </w:p>
    <w:p>
      <w:pPr>
        <w:spacing w:after="0" w:line="295" w:lineRule="exact"/>
        <w:rPr>
          <w:sz w:val="20"/>
          <w:szCs w:val="20"/>
          <w:color w:val="auto"/>
        </w:rPr>
      </w:pPr>
    </w:p>
    <w:p>
      <w:pPr>
        <w:ind w:left="620"/>
        <w:spacing w:after="0"/>
        <w:rPr>
          <w:sz w:val="20"/>
          <w:szCs w:val="20"/>
          <w:color w:val="auto"/>
        </w:rPr>
      </w:pPr>
      <w:r>
        <w:rPr>
          <w:rFonts w:ascii="Arial" w:cs="Arial" w:eastAsia="Arial" w:hAnsi="Arial"/>
          <w:sz w:val="18"/>
          <w:szCs w:val="18"/>
          <w:b w:val="1"/>
          <w:bCs w:val="1"/>
          <w:i w:val="1"/>
          <w:iCs w:val="1"/>
          <w:color w:val="auto"/>
        </w:rPr>
        <w:t>Expand our ecosystem</w:t>
      </w:r>
    </w:p>
    <w:p>
      <w:pPr>
        <w:spacing w:after="0" w:line="117" w:lineRule="exact"/>
        <w:rPr>
          <w:sz w:val="20"/>
          <w:szCs w:val="20"/>
          <w:color w:val="auto"/>
        </w:rPr>
      </w:pPr>
    </w:p>
    <w:p>
      <w:pPr>
        <w:ind w:left="200" w:right="60" w:firstLine="434"/>
        <w:spacing w:after="0" w:line="311" w:lineRule="auto"/>
        <w:rPr>
          <w:sz w:val="20"/>
          <w:szCs w:val="20"/>
          <w:color w:val="auto"/>
        </w:rPr>
      </w:pPr>
      <w:r>
        <w:rPr>
          <w:rFonts w:ascii="Arial" w:cs="Arial" w:eastAsia="Arial" w:hAnsi="Arial"/>
          <w:sz w:val="16"/>
          <w:szCs w:val="16"/>
          <w:color w:val="auto"/>
        </w:rPr>
        <w:t>Our open and thriving ecosystem fosters deeper relationships with our users and makes Dropbox more valuable to them over time. The scale and reach of our platform is enhanced by a number of third-party applications, developers, and technology partners. As of September 30, 2017, Dropbox was receiving over 50 billion API calls per month, and more than 500,000 developers had registered and built applications on our platform.</w:t>
      </w:r>
    </w:p>
    <w:p>
      <w:pPr>
        <w:spacing w:after="0" w:line="253"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Our Market Opportunity</w:t>
      </w:r>
    </w:p>
    <w:p>
      <w:pPr>
        <w:spacing w:after="0" w:line="121" w:lineRule="exact"/>
        <w:rPr>
          <w:sz w:val="20"/>
          <w:szCs w:val="20"/>
          <w:color w:val="auto"/>
        </w:rPr>
      </w:pPr>
    </w:p>
    <w:p>
      <w:pPr>
        <w:ind w:left="200" w:right="220" w:firstLine="434"/>
        <w:spacing w:after="0" w:line="277" w:lineRule="auto"/>
        <w:rPr>
          <w:sz w:val="20"/>
          <w:szCs w:val="20"/>
          <w:color w:val="auto"/>
        </w:rPr>
      </w:pPr>
      <w:r>
        <w:rPr>
          <w:rFonts w:ascii="Arial" w:cs="Arial" w:eastAsia="Arial" w:hAnsi="Arial"/>
          <w:sz w:val="18"/>
          <w:szCs w:val="18"/>
          <w:color w:val="auto"/>
        </w:rPr>
        <w:t>Over the past decade, Dropbox has pioneered the worldwide adoption of file sync and share software. We’ve since expanded our capabilities and introduced new product experiences to help our users get work done.</w:t>
      </w: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0980"/>
          </w:cols>
          <w:pgMar w:left="320" w:top="459" w:right="599"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136130" cy="62445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6130" cy="6244590"/>
                    </a:xfrm>
                    <a:prstGeom prst="rect">
                      <a:avLst/>
                    </a:prstGeom>
                    <a:noFill/>
                  </pic:spPr>
                </pic:pic>
              </a:graphicData>
            </a:graphic>
          </wp:anchor>
        </w:drawing>
      </w:r>
    </w:p>
    <w:p>
      <w:pPr>
        <w:spacing w:after="0" w:line="200" w:lineRule="exact"/>
        <w:rPr>
          <w:sz w:val="20"/>
          <w:szCs w:val="20"/>
          <w:color w:val="auto"/>
        </w:rPr>
      </w:pPr>
    </w:p>
    <w:p>
      <w:pPr>
        <w:spacing w:after="0" w:line="278" w:lineRule="exact"/>
        <w:rPr>
          <w:sz w:val="20"/>
          <w:szCs w:val="20"/>
          <w:color w:val="auto"/>
        </w:rPr>
      </w:pPr>
    </w:p>
    <w:p>
      <w:pPr>
        <w:ind w:left="200"/>
        <w:spacing w:after="0"/>
        <w:rPr>
          <w:sz w:val="20"/>
          <w:szCs w:val="20"/>
          <w:color w:val="auto"/>
        </w:rPr>
      </w:pPr>
      <w:r>
        <w:rPr>
          <w:rFonts w:ascii="Arial" w:cs="Arial" w:eastAsia="Arial" w:hAnsi="Arial"/>
          <w:sz w:val="18"/>
          <w:szCs w:val="18"/>
          <w:color w:val="auto"/>
        </w:rPr>
        <w:t>For the second consecutive year, Gartner has named Dropbox a leader in their Magic Quadrant for Content Collaboration Platforms.</w:t>
      </w:r>
    </w:p>
    <w:p>
      <w:pPr>
        <w:spacing w:after="0" w:line="225" w:lineRule="exact"/>
        <w:rPr>
          <w:sz w:val="20"/>
          <w:szCs w:val="20"/>
          <w:color w:val="auto"/>
        </w:rPr>
      </w:pPr>
    </w:p>
    <w:p>
      <w:pPr>
        <w:ind w:left="620"/>
        <w:spacing w:after="0"/>
        <w:rPr>
          <w:sz w:val="20"/>
          <w:szCs w:val="20"/>
          <w:color w:val="auto"/>
        </w:rPr>
      </w:pPr>
      <w:r>
        <w:rPr>
          <w:rFonts w:ascii="Arial" w:cs="Arial" w:eastAsia="Arial" w:hAnsi="Arial"/>
          <w:sz w:val="16"/>
          <w:szCs w:val="16"/>
          <w:color w:val="auto"/>
        </w:rPr>
        <w:t>Our addressable market includes collaborative applications, content management, project and portfolio management, and public cloud storage.</w:t>
      </w:r>
    </w:p>
    <w:p>
      <w:pPr>
        <w:spacing w:after="0" w:line="46" w:lineRule="exact"/>
        <w:rPr>
          <w:sz w:val="20"/>
          <w:szCs w:val="20"/>
          <w:color w:val="auto"/>
        </w:rPr>
      </w:pPr>
    </w:p>
    <w:p>
      <w:pPr>
        <w:ind w:left="200"/>
        <w:spacing w:after="0"/>
        <w:rPr>
          <w:sz w:val="20"/>
          <w:szCs w:val="20"/>
          <w:color w:val="auto"/>
        </w:rPr>
      </w:pPr>
      <w:r>
        <w:rPr>
          <w:rFonts w:ascii="Arial" w:cs="Arial" w:eastAsia="Arial" w:hAnsi="Arial"/>
          <w:sz w:val="18"/>
          <w:szCs w:val="18"/>
          <w:color w:val="auto"/>
        </w:rPr>
        <w:t>IDC estimates that investment in these categories will total more than $50 billion in 2019.</w:t>
      </w:r>
    </w:p>
    <w:p>
      <w:pPr>
        <w:spacing w:after="0" w:line="211" w:lineRule="exact"/>
        <w:rPr>
          <w:sz w:val="20"/>
          <w:szCs w:val="20"/>
          <w:color w:val="auto"/>
        </w:rPr>
      </w:pPr>
    </w:p>
    <w:p>
      <w:pPr>
        <w:ind w:left="200" w:firstLine="434"/>
        <w:spacing w:after="0" w:line="342" w:lineRule="auto"/>
        <w:rPr>
          <w:sz w:val="20"/>
          <w:szCs w:val="20"/>
          <w:color w:val="auto"/>
        </w:rPr>
      </w:pPr>
      <w:r>
        <w:rPr>
          <w:rFonts w:ascii="Arial" w:cs="Arial" w:eastAsia="Arial" w:hAnsi="Arial"/>
          <w:sz w:val="16"/>
          <w:szCs w:val="16"/>
          <w:color w:val="auto"/>
        </w:rPr>
        <w:t>As one of the few large-scale collaboration platforms that serves customers of all sizes, we also have an opportunity to reach a broad population of independent knowledge and creative workers. We believe that this market hasn’t traditionally been included in IT spending estimates.</w:t>
      </w:r>
    </w:p>
    <w:p>
      <w:pPr>
        <w:spacing w:after="0" w:line="228"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Risk Factors Summary</w:t>
      </w:r>
    </w:p>
    <w:p>
      <w:pPr>
        <w:spacing w:after="0" w:line="121" w:lineRule="exact"/>
        <w:rPr>
          <w:sz w:val="20"/>
          <w:szCs w:val="20"/>
          <w:color w:val="auto"/>
        </w:rPr>
      </w:pPr>
    </w:p>
    <w:p>
      <w:pPr>
        <w:ind w:left="200" w:right="580" w:firstLine="434"/>
        <w:spacing w:after="0" w:line="277" w:lineRule="auto"/>
        <w:rPr>
          <w:sz w:val="20"/>
          <w:szCs w:val="20"/>
          <w:color w:val="auto"/>
        </w:rPr>
      </w:pPr>
      <w:r>
        <w:rPr>
          <w:rFonts w:ascii="Arial" w:cs="Arial" w:eastAsia="Arial" w:hAnsi="Arial"/>
          <w:sz w:val="18"/>
          <w:szCs w:val="18"/>
          <w:color w:val="auto"/>
        </w:rPr>
        <w:t>Our business is subject to numerous risks and uncertainties, including those highlighted in the section titled “Risk Factors” immediately following this prospectus summary. These risks include, but are not limited to, the following:</w:t>
      </w:r>
    </w:p>
    <w:p>
      <w:pPr>
        <w:spacing w:after="0" w:line="76" w:lineRule="exact"/>
        <w:rPr>
          <w:sz w:val="20"/>
          <w:szCs w:val="20"/>
          <w:color w:val="auto"/>
        </w:rPr>
      </w:pPr>
    </w:p>
    <w:p>
      <w:pPr>
        <w:ind w:left="1060" w:right="220" w:hanging="326"/>
        <w:spacing w:after="0" w:line="277" w:lineRule="auto"/>
        <w:tabs>
          <w:tab w:leader="none" w:pos="1060" w:val="left"/>
        </w:tabs>
        <w:numPr>
          <w:ilvl w:val="0"/>
          <w:numId w:val="7"/>
        </w:numPr>
        <w:rPr>
          <w:rFonts w:ascii="Arial" w:cs="Arial" w:eastAsia="Arial" w:hAnsi="Arial"/>
          <w:sz w:val="18"/>
          <w:szCs w:val="18"/>
          <w:color w:val="auto"/>
        </w:rPr>
      </w:pPr>
      <w:r>
        <w:rPr>
          <w:rFonts w:ascii="Arial" w:cs="Arial" w:eastAsia="Arial" w:hAnsi="Arial"/>
          <w:sz w:val="18"/>
          <w:szCs w:val="18"/>
          <w:color w:val="auto"/>
        </w:rPr>
        <w:t>Our business depends on our ability to retain and upgrade paying users, and any decline in renewals or upgrades could adversely affect our future results of operations.</w:t>
      </w:r>
    </w:p>
    <w:p>
      <w:pPr>
        <w:spacing w:after="0" w:line="75" w:lineRule="exact"/>
        <w:rPr>
          <w:rFonts w:ascii="Arial" w:cs="Arial" w:eastAsia="Arial" w:hAnsi="Arial"/>
          <w:sz w:val="18"/>
          <w:szCs w:val="18"/>
          <w:color w:val="auto"/>
        </w:rPr>
      </w:pPr>
    </w:p>
    <w:p>
      <w:pPr>
        <w:ind w:left="1060" w:hanging="326"/>
        <w:spacing w:after="0"/>
        <w:tabs>
          <w:tab w:leader="none" w:pos="1060" w:val="left"/>
        </w:tabs>
        <w:numPr>
          <w:ilvl w:val="0"/>
          <w:numId w:val="7"/>
        </w:numPr>
        <w:rPr>
          <w:rFonts w:ascii="Arial" w:cs="Arial" w:eastAsia="Arial" w:hAnsi="Arial"/>
          <w:sz w:val="18"/>
          <w:szCs w:val="18"/>
          <w:color w:val="auto"/>
        </w:rPr>
      </w:pPr>
      <w:r>
        <w:rPr>
          <w:rFonts w:ascii="Arial" w:cs="Arial" w:eastAsia="Arial" w:hAnsi="Arial"/>
          <w:sz w:val="18"/>
          <w:szCs w:val="18"/>
          <w:color w:val="auto"/>
        </w:rPr>
        <w:t>Our future growth could be harmed if we fail to attract new users or convert registered users to paying users.</w:t>
      </w:r>
    </w:p>
    <w:p>
      <w:pPr>
        <w:spacing w:after="0" w:line="130" w:lineRule="exact"/>
        <w:rPr>
          <w:rFonts w:ascii="Arial" w:cs="Arial" w:eastAsia="Arial" w:hAnsi="Arial"/>
          <w:sz w:val="18"/>
          <w:szCs w:val="18"/>
          <w:color w:val="auto"/>
        </w:rPr>
      </w:pPr>
    </w:p>
    <w:p>
      <w:pPr>
        <w:ind w:left="1060" w:hanging="326"/>
        <w:spacing w:after="0"/>
        <w:tabs>
          <w:tab w:leader="none" w:pos="1060" w:val="left"/>
        </w:tabs>
        <w:numPr>
          <w:ilvl w:val="0"/>
          <w:numId w:val="7"/>
        </w:numPr>
        <w:rPr>
          <w:rFonts w:ascii="Arial" w:cs="Arial" w:eastAsia="Arial" w:hAnsi="Arial"/>
          <w:sz w:val="18"/>
          <w:szCs w:val="18"/>
          <w:color w:val="auto"/>
        </w:rPr>
      </w:pPr>
      <w:r>
        <w:rPr>
          <w:rFonts w:ascii="Arial" w:cs="Arial" w:eastAsia="Arial" w:hAnsi="Arial"/>
          <w:sz w:val="18"/>
          <w:szCs w:val="18"/>
          <w:color w:val="auto"/>
        </w:rPr>
        <w:t>Our revenue growth rate has declined in recent periods and may continue to slow in the future.</w:t>
      </w:r>
    </w:p>
    <w:p>
      <w:pPr>
        <w:spacing w:after="0" w:line="130" w:lineRule="exact"/>
        <w:rPr>
          <w:rFonts w:ascii="Arial" w:cs="Arial" w:eastAsia="Arial" w:hAnsi="Arial"/>
          <w:sz w:val="18"/>
          <w:szCs w:val="18"/>
          <w:color w:val="auto"/>
        </w:rPr>
      </w:pPr>
    </w:p>
    <w:p>
      <w:pPr>
        <w:ind w:left="1060" w:right="800" w:hanging="326"/>
        <w:spacing w:after="0" w:line="277" w:lineRule="auto"/>
        <w:tabs>
          <w:tab w:leader="none" w:pos="1060" w:val="left"/>
        </w:tabs>
        <w:numPr>
          <w:ilvl w:val="0"/>
          <w:numId w:val="7"/>
        </w:numPr>
        <w:rPr>
          <w:rFonts w:ascii="Arial" w:cs="Arial" w:eastAsia="Arial" w:hAnsi="Arial"/>
          <w:sz w:val="18"/>
          <w:szCs w:val="18"/>
          <w:color w:val="auto"/>
        </w:rPr>
      </w:pPr>
      <w:r>
        <w:rPr>
          <w:rFonts w:ascii="Arial" w:cs="Arial" w:eastAsia="Arial" w:hAnsi="Arial"/>
          <w:sz w:val="18"/>
          <w:szCs w:val="18"/>
          <w:color w:val="auto"/>
        </w:rPr>
        <w:t>We have a history of net losses, we anticipate increasing expenses in the future, and we may not be able to achieve or maintain profitability.</w:t>
      </w:r>
    </w:p>
    <w:p>
      <w:pPr>
        <w:spacing w:after="0" w:line="75" w:lineRule="exact"/>
        <w:rPr>
          <w:rFonts w:ascii="Arial" w:cs="Arial" w:eastAsia="Arial" w:hAnsi="Arial"/>
          <w:sz w:val="18"/>
          <w:szCs w:val="18"/>
          <w:color w:val="auto"/>
        </w:rPr>
      </w:pPr>
    </w:p>
    <w:p>
      <w:pPr>
        <w:ind w:left="1060" w:right="120" w:hanging="326"/>
        <w:spacing w:after="0" w:line="277" w:lineRule="auto"/>
        <w:tabs>
          <w:tab w:leader="none" w:pos="1060" w:val="left"/>
        </w:tabs>
        <w:numPr>
          <w:ilvl w:val="0"/>
          <w:numId w:val="7"/>
        </w:numPr>
        <w:rPr>
          <w:rFonts w:ascii="Arial" w:cs="Arial" w:eastAsia="Arial" w:hAnsi="Arial"/>
          <w:sz w:val="18"/>
          <w:szCs w:val="18"/>
          <w:color w:val="auto"/>
        </w:rPr>
      </w:pPr>
      <w:r>
        <w:rPr>
          <w:rFonts w:ascii="Arial" w:cs="Arial" w:eastAsia="Arial" w:hAnsi="Arial"/>
          <w:sz w:val="18"/>
          <w:szCs w:val="18"/>
          <w:color w:val="auto"/>
        </w:rPr>
        <w:t>Our business could be damaged, and we could be subject to liability if there is any unauthorized access to our data or our users’ content, including through privacy and data security breaches.</w:t>
      </w:r>
    </w:p>
    <w:p>
      <w:pPr>
        <w:spacing w:after="0" w:line="75" w:lineRule="exact"/>
        <w:rPr>
          <w:rFonts w:ascii="Arial" w:cs="Arial" w:eastAsia="Arial" w:hAnsi="Arial"/>
          <w:sz w:val="18"/>
          <w:szCs w:val="18"/>
          <w:color w:val="auto"/>
        </w:rPr>
      </w:pPr>
    </w:p>
    <w:p>
      <w:pPr>
        <w:ind w:left="1060" w:hanging="326"/>
        <w:spacing w:after="0"/>
        <w:tabs>
          <w:tab w:leader="none" w:pos="1060" w:val="left"/>
        </w:tabs>
        <w:numPr>
          <w:ilvl w:val="0"/>
          <w:numId w:val="7"/>
        </w:numPr>
        <w:rPr>
          <w:rFonts w:ascii="Arial" w:cs="Arial" w:eastAsia="Arial" w:hAnsi="Arial"/>
          <w:sz w:val="18"/>
          <w:szCs w:val="18"/>
          <w:color w:val="auto"/>
        </w:rPr>
      </w:pPr>
      <w:r>
        <w:rPr>
          <w:rFonts w:ascii="Arial" w:cs="Arial" w:eastAsia="Arial" w:hAnsi="Arial"/>
          <w:sz w:val="18"/>
          <w:szCs w:val="18"/>
          <w:color w:val="auto"/>
        </w:rPr>
        <w:t>Our business could be harmed by any significant disruption of service on our platform or loss of content.</w:t>
      </w:r>
    </w:p>
    <w:p>
      <w:pPr>
        <w:spacing w:after="0" w:line="130" w:lineRule="exact"/>
        <w:rPr>
          <w:rFonts w:ascii="Arial" w:cs="Arial" w:eastAsia="Arial" w:hAnsi="Arial"/>
          <w:sz w:val="18"/>
          <w:szCs w:val="18"/>
          <w:color w:val="auto"/>
        </w:rPr>
      </w:pPr>
    </w:p>
    <w:p>
      <w:pPr>
        <w:ind w:left="1060" w:right="60" w:hanging="326"/>
        <w:spacing w:after="0" w:line="277" w:lineRule="auto"/>
        <w:tabs>
          <w:tab w:leader="none" w:pos="1060" w:val="left"/>
        </w:tabs>
        <w:numPr>
          <w:ilvl w:val="0"/>
          <w:numId w:val="7"/>
        </w:numPr>
        <w:rPr>
          <w:rFonts w:ascii="Arial" w:cs="Arial" w:eastAsia="Arial" w:hAnsi="Arial"/>
          <w:sz w:val="18"/>
          <w:szCs w:val="18"/>
          <w:color w:val="auto"/>
        </w:rPr>
      </w:pPr>
      <w:r>
        <w:rPr>
          <w:rFonts w:ascii="Arial" w:cs="Arial" w:eastAsia="Arial" w:hAnsi="Arial"/>
          <w:sz w:val="18"/>
          <w:szCs w:val="18"/>
          <w:color w:val="auto"/>
        </w:rPr>
        <w:t>We generate revenue from sales of subscriptions to our platform, and any decline in demand for our platform or for content collaboration solutions in general could negatively impact our business.</w:t>
      </w:r>
    </w:p>
    <w:p>
      <w:pPr>
        <w:spacing w:after="0" w:line="75" w:lineRule="exact"/>
        <w:rPr>
          <w:rFonts w:ascii="Arial" w:cs="Arial" w:eastAsia="Arial" w:hAnsi="Arial"/>
          <w:sz w:val="18"/>
          <w:szCs w:val="18"/>
          <w:color w:val="auto"/>
        </w:rPr>
      </w:pPr>
    </w:p>
    <w:p>
      <w:pPr>
        <w:ind w:left="1060" w:right="40" w:hanging="326"/>
        <w:spacing w:after="0" w:line="277" w:lineRule="auto"/>
        <w:tabs>
          <w:tab w:leader="none" w:pos="1060" w:val="left"/>
        </w:tabs>
        <w:numPr>
          <w:ilvl w:val="0"/>
          <w:numId w:val="7"/>
        </w:numPr>
        <w:rPr>
          <w:rFonts w:ascii="Arial" w:cs="Arial" w:eastAsia="Arial" w:hAnsi="Arial"/>
          <w:sz w:val="18"/>
          <w:szCs w:val="18"/>
          <w:color w:val="auto"/>
        </w:rPr>
      </w:pPr>
      <w:r>
        <w:rPr>
          <w:rFonts w:ascii="Arial" w:cs="Arial" w:eastAsia="Arial" w:hAnsi="Arial"/>
          <w:sz w:val="18"/>
          <w:szCs w:val="18"/>
          <w:color w:val="auto"/>
        </w:rPr>
        <w:t>Our business depends upon the interoperability of our platform across devices, operating systems, and third-party applications that we do not control.</w:t>
      </w:r>
    </w:p>
    <w:p>
      <w:pPr>
        <w:spacing w:after="0" w:line="75" w:lineRule="exact"/>
        <w:rPr>
          <w:rFonts w:ascii="Arial" w:cs="Arial" w:eastAsia="Arial" w:hAnsi="Arial"/>
          <w:sz w:val="18"/>
          <w:szCs w:val="18"/>
          <w:color w:val="auto"/>
        </w:rPr>
      </w:pPr>
    </w:p>
    <w:p>
      <w:pPr>
        <w:ind w:left="1060" w:hanging="326"/>
        <w:spacing w:after="0"/>
        <w:tabs>
          <w:tab w:leader="none" w:pos="1060" w:val="left"/>
        </w:tabs>
        <w:numPr>
          <w:ilvl w:val="0"/>
          <w:numId w:val="7"/>
        </w:numPr>
        <w:rPr>
          <w:rFonts w:ascii="Arial" w:cs="Arial" w:eastAsia="Arial" w:hAnsi="Arial"/>
          <w:sz w:val="18"/>
          <w:szCs w:val="18"/>
          <w:color w:val="auto"/>
        </w:rPr>
      </w:pPr>
      <w:r>
        <w:rPr>
          <w:rFonts w:ascii="Arial" w:cs="Arial" w:eastAsia="Arial" w:hAnsi="Arial"/>
          <w:sz w:val="18"/>
          <w:szCs w:val="18"/>
          <w:color w:val="auto"/>
        </w:rPr>
        <w:t>We operate in competitive markets, and we must continue to compete effectively.</w:t>
      </w:r>
    </w:p>
    <w:p>
      <w:pPr>
        <w:spacing w:after="0" w:line="130" w:lineRule="exact"/>
        <w:rPr>
          <w:rFonts w:ascii="Arial" w:cs="Arial" w:eastAsia="Arial" w:hAnsi="Arial"/>
          <w:sz w:val="18"/>
          <w:szCs w:val="18"/>
          <w:color w:val="auto"/>
        </w:rPr>
      </w:pPr>
    </w:p>
    <w:p>
      <w:pPr>
        <w:ind w:left="1060" w:hanging="326"/>
        <w:spacing w:after="0"/>
        <w:tabs>
          <w:tab w:leader="none" w:pos="1060" w:val="left"/>
        </w:tabs>
        <w:numPr>
          <w:ilvl w:val="0"/>
          <w:numId w:val="7"/>
        </w:numPr>
        <w:rPr>
          <w:rFonts w:ascii="Arial" w:cs="Arial" w:eastAsia="Arial" w:hAnsi="Arial"/>
          <w:sz w:val="18"/>
          <w:szCs w:val="18"/>
          <w:color w:val="auto"/>
        </w:rPr>
      </w:pPr>
      <w:r>
        <w:rPr>
          <w:rFonts w:ascii="Arial" w:cs="Arial" w:eastAsia="Arial" w:hAnsi="Arial"/>
          <w:sz w:val="18"/>
          <w:szCs w:val="18"/>
          <w:color w:val="auto"/>
        </w:rPr>
        <w:t>We may not be able to respond to rapid technological changes, extend our platform, or develop new features.</w:t>
      </w:r>
    </w:p>
    <w:p>
      <w:pPr>
        <w:spacing w:after="0" w:line="130" w:lineRule="exact"/>
        <w:rPr>
          <w:rFonts w:ascii="Arial" w:cs="Arial" w:eastAsia="Arial" w:hAnsi="Arial"/>
          <w:sz w:val="18"/>
          <w:szCs w:val="18"/>
          <w:color w:val="auto"/>
        </w:rPr>
      </w:pPr>
    </w:p>
    <w:p>
      <w:pPr>
        <w:ind w:left="1060" w:hanging="326"/>
        <w:spacing w:after="0"/>
        <w:tabs>
          <w:tab w:leader="none" w:pos="1060" w:val="left"/>
        </w:tabs>
        <w:numPr>
          <w:ilvl w:val="0"/>
          <w:numId w:val="7"/>
        </w:numPr>
        <w:rPr>
          <w:rFonts w:ascii="Arial" w:cs="Arial" w:eastAsia="Arial" w:hAnsi="Arial"/>
          <w:sz w:val="18"/>
          <w:szCs w:val="18"/>
          <w:color w:val="auto"/>
        </w:rPr>
      </w:pPr>
      <w:r>
        <w:rPr>
          <w:rFonts w:ascii="Arial" w:cs="Arial" w:eastAsia="Arial" w:hAnsi="Arial"/>
          <w:sz w:val="18"/>
          <w:szCs w:val="18"/>
          <w:color w:val="auto"/>
        </w:rPr>
        <w:t>We may not successfully manage our growth or plan for future growth.</w:t>
      </w:r>
    </w:p>
    <w:p>
      <w:pPr>
        <w:spacing w:after="0" w:line="130" w:lineRule="exact"/>
        <w:rPr>
          <w:rFonts w:ascii="Arial" w:cs="Arial" w:eastAsia="Arial" w:hAnsi="Arial"/>
          <w:sz w:val="18"/>
          <w:szCs w:val="18"/>
          <w:color w:val="auto"/>
        </w:rPr>
      </w:pPr>
    </w:p>
    <w:p>
      <w:pPr>
        <w:ind w:left="1060" w:right="200" w:hanging="326"/>
        <w:spacing w:after="0" w:line="308" w:lineRule="auto"/>
        <w:tabs>
          <w:tab w:leader="none" w:pos="1060" w:val="left"/>
        </w:tabs>
        <w:numPr>
          <w:ilvl w:val="0"/>
          <w:numId w:val="7"/>
        </w:numPr>
        <w:rPr>
          <w:rFonts w:ascii="Arial" w:cs="Arial" w:eastAsia="Arial" w:hAnsi="Arial"/>
          <w:sz w:val="17"/>
          <w:szCs w:val="17"/>
          <w:color w:val="auto"/>
        </w:rPr>
      </w:pPr>
      <w:r>
        <w:rPr>
          <w:rFonts w:ascii="Arial" w:cs="Arial" w:eastAsia="Arial" w:hAnsi="Arial"/>
          <w:sz w:val="17"/>
          <w:szCs w:val="17"/>
          <w:color w:val="auto"/>
        </w:rPr>
        <w:t>The dual class structure of our common stock will have the effect of concentrating voting control with those stockholders who held our capital stock prior to the completion of this offering, and it may depress the trading price of our Class A common stock.</w:t>
      </w:r>
    </w:p>
    <w:p>
      <w:pPr>
        <w:spacing w:after="0" w:line="250"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Channels for Disclosure of Information</w:t>
      </w:r>
    </w:p>
    <w:p>
      <w:pPr>
        <w:spacing w:after="0" w:line="121" w:lineRule="exact"/>
        <w:rPr>
          <w:sz w:val="20"/>
          <w:szCs w:val="20"/>
          <w:color w:val="auto"/>
        </w:rPr>
      </w:pPr>
    </w:p>
    <w:p>
      <w:pPr>
        <w:ind w:left="200" w:right="140" w:firstLine="434"/>
        <w:spacing w:after="0" w:line="286" w:lineRule="auto"/>
        <w:rPr>
          <w:sz w:val="20"/>
          <w:szCs w:val="20"/>
          <w:color w:val="auto"/>
        </w:rPr>
      </w:pPr>
      <w:r>
        <w:rPr>
          <w:rFonts w:ascii="Arial" w:cs="Arial" w:eastAsia="Arial" w:hAnsi="Arial"/>
          <w:sz w:val="17"/>
          <w:szCs w:val="17"/>
          <w:color w:val="auto"/>
        </w:rPr>
        <w:t>Investors, the media, and others should note that, following the completion of this offering, we intend to announce material information to the public through filings with the Securities and Exchange Commission, or the SEC, the investor relations page on our website, press releases, public conference calls, webcasts, our company news site at dropbox.com/news, and our corporate blog at blogs.dropbox.com.</w:t>
      </w: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0980"/>
          </w:cols>
          <w:pgMar w:left="320" w:top="459" w:right="599"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136130" cy="408432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6130" cy="4084320"/>
                    </a:xfrm>
                    <a:prstGeom prst="rect">
                      <a:avLst/>
                    </a:prstGeom>
                    <a:noFill/>
                  </pic:spPr>
                </pic:pic>
              </a:graphicData>
            </a:graphic>
          </wp:anchor>
        </w:drawing>
      </w:r>
    </w:p>
    <w:p>
      <w:pPr>
        <w:spacing w:after="0" w:line="200" w:lineRule="exact"/>
        <w:rPr>
          <w:sz w:val="20"/>
          <w:szCs w:val="20"/>
          <w:color w:val="auto"/>
        </w:rPr>
      </w:pPr>
    </w:p>
    <w:p>
      <w:pPr>
        <w:spacing w:after="0" w:line="278" w:lineRule="exact"/>
        <w:rPr>
          <w:sz w:val="20"/>
          <w:szCs w:val="20"/>
          <w:color w:val="auto"/>
        </w:rPr>
      </w:pPr>
    </w:p>
    <w:p>
      <w:pPr>
        <w:ind w:left="200" w:right="40" w:firstLine="434"/>
        <w:spacing w:after="0" w:line="277" w:lineRule="auto"/>
        <w:rPr>
          <w:sz w:val="20"/>
          <w:szCs w:val="20"/>
          <w:color w:val="auto"/>
        </w:rPr>
      </w:pPr>
      <w:r>
        <w:rPr>
          <w:rFonts w:ascii="Arial" w:cs="Arial" w:eastAsia="Arial" w:hAnsi="Arial"/>
          <w:sz w:val="18"/>
          <w:szCs w:val="18"/>
          <w:color w:val="auto"/>
        </w:rPr>
        <w:t>The information disclosed by the foregoing channels could be deemed to be material information. As such, we encourage investors, the media, and others to follow the channels listed above and to review the information disclosed through such channels.</w:t>
      </w:r>
    </w:p>
    <w:p>
      <w:pPr>
        <w:spacing w:after="0" w:line="170" w:lineRule="exact"/>
        <w:rPr>
          <w:sz w:val="20"/>
          <w:szCs w:val="20"/>
          <w:color w:val="auto"/>
        </w:rPr>
      </w:pPr>
    </w:p>
    <w:p>
      <w:pPr>
        <w:ind w:left="200" w:right="20" w:firstLine="434"/>
        <w:spacing w:after="0" w:line="277" w:lineRule="auto"/>
        <w:rPr>
          <w:sz w:val="20"/>
          <w:szCs w:val="20"/>
          <w:color w:val="auto"/>
        </w:rPr>
      </w:pPr>
      <w:r>
        <w:rPr>
          <w:rFonts w:ascii="Arial" w:cs="Arial" w:eastAsia="Arial" w:hAnsi="Arial"/>
          <w:sz w:val="18"/>
          <w:szCs w:val="18"/>
          <w:color w:val="auto"/>
        </w:rPr>
        <w:t>Any updates to the list of disclosure channels through which we will announce information will be posted on the investor relations page on our website.</w:t>
      </w:r>
    </w:p>
    <w:p>
      <w:pPr>
        <w:spacing w:after="0" w:line="274"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Corporate Information</w:t>
      </w:r>
    </w:p>
    <w:p>
      <w:pPr>
        <w:spacing w:after="0" w:line="121" w:lineRule="exact"/>
        <w:rPr>
          <w:sz w:val="20"/>
          <w:szCs w:val="20"/>
          <w:color w:val="auto"/>
        </w:rPr>
      </w:pPr>
    </w:p>
    <w:p>
      <w:pPr>
        <w:ind w:left="200" w:right="160" w:firstLine="434"/>
        <w:spacing w:after="0" w:line="279" w:lineRule="auto"/>
        <w:rPr>
          <w:sz w:val="20"/>
          <w:szCs w:val="20"/>
          <w:color w:val="auto"/>
        </w:rPr>
      </w:pPr>
      <w:r>
        <w:rPr>
          <w:rFonts w:ascii="Arial" w:cs="Arial" w:eastAsia="Arial" w:hAnsi="Arial"/>
          <w:sz w:val="17"/>
          <w:szCs w:val="17"/>
          <w:color w:val="auto"/>
        </w:rPr>
        <w:t>We were incorporated in May 2007 as Evenflow, Inc., a Delaware corporation, and changed our name to Dropbox, Inc. in October 2009. Our principal executive offices are located at 333 Brannan Street, San Francisco, California, 94107, and our telephone number is (415) 857-6800. Our website address is www.dropbox.com. Information contained on, or that can be accessed through, our website does not constitute part of this prospectus and inclusions of our website address in this prospectus are inactive textual references only.</w:t>
      </w:r>
    </w:p>
    <w:p>
      <w:pPr>
        <w:spacing w:after="0" w:line="171" w:lineRule="exact"/>
        <w:rPr>
          <w:sz w:val="20"/>
          <w:szCs w:val="20"/>
          <w:color w:val="auto"/>
        </w:rPr>
      </w:pPr>
    </w:p>
    <w:p>
      <w:pPr>
        <w:ind w:left="200" w:right="60" w:firstLine="434"/>
        <w:spacing w:after="0" w:line="259" w:lineRule="auto"/>
        <w:rPr>
          <w:sz w:val="20"/>
          <w:szCs w:val="20"/>
          <w:color w:val="auto"/>
        </w:rPr>
      </w:pPr>
      <w:r>
        <w:rPr>
          <w:rFonts w:ascii="Arial" w:cs="Arial" w:eastAsia="Arial" w:hAnsi="Arial"/>
          <w:sz w:val="18"/>
          <w:szCs w:val="18"/>
          <w:color w:val="auto"/>
        </w:rPr>
        <w:t>“Dropbox,” “Dropbox Paper,” “Dropbox Smart Sync,” “Dropbox Showcase,” our logo, and our other registered or common law trademarks, service marks, or trade names appearing in this prospectus are the property of Dropbox, Inc. We refer to Dropbox Paper as Paper, Dropbox Smart Sync as Smart Sync, and Dropbox Showcase as Showcase in this prospectus. Other trademarks and trade names referred to in this prospectus are the property of their respective owners.</w:t>
      </w:r>
    </w:p>
    <w:p>
      <w:pPr>
        <w:spacing w:after="0" w:line="291"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JOBS Act</w:t>
      </w:r>
    </w:p>
    <w:p>
      <w:pPr>
        <w:spacing w:after="0" w:line="121" w:lineRule="exact"/>
        <w:rPr>
          <w:sz w:val="20"/>
          <w:szCs w:val="20"/>
          <w:color w:val="auto"/>
        </w:rPr>
      </w:pPr>
    </w:p>
    <w:p>
      <w:pPr>
        <w:ind w:left="200" w:firstLine="434"/>
        <w:spacing w:after="0" w:line="272" w:lineRule="auto"/>
        <w:rPr>
          <w:sz w:val="20"/>
          <w:szCs w:val="20"/>
          <w:color w:val="auto"/>
        </w:rPr>
      </w:pPr>
      <w:r>
        <w:rPr>
          <w:rFonts w:ascii="Arial" w:cs="Arial" w:eastAsia="Arial" w:hAnsi="Arial"/>
          <w:sz w:val="17"/>
          <w:szCs w:val="17"/>
          <w:color w:val="auto"/>
        </w:rPr>
        <w:t>We are an “emerging growth company,” as defined in the Jumpstart Our Business Startups Act of 2012, or the JOBS Act, and we intend to take advantage of certain exemptions from various reporting requirements that are applicable to other public companies that are not emerging growth companies. We may take advantage of these exemptions for so long as we are an emerging growth company, which could be as long as five years following the completion of this offering. Our status as an “emerging growth company” will end on the last day of the fiscal year in which we have $1.07 billion or more in annual revenue. However, if we achieve the $1.07 billion revenue threshold prior to the completion of this offering, we will continue to be treated as an “emerging growth company” for certain purposes until the earlier of the date on which we complete this offering or the end of the one-year period beginning on the date we ceased to be an “emerging growth company.”</w:t>
      </w: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jc w:val="center"/>
        <w:ind w:right="-29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0940"/>
          </w:cols>
          <w:pgMar w:left="320" w:top="459" w:right="639"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136130" cy="649351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6130" cy="6493510"/>
                    </a:xfrm>
                    <a:prstGeom prst="rect">
                      <a:avLst/>
                    </a:prstGeom>
                    <a:noFill/>
                  </pic:spPr>
                </pic:pic>
              </a:graphicData>
            </a:graphic>
          </wp:anchor>
        </w:drawing>
      </w:r>
    </w:p>
    <w:p>
      <w:pPr>
        <w:spacing w:after="0" w:line="200" w:lineRule="exact"/>
        <w:rPr>
          <w:sz w:val="20"/>
          <w:szCs w:val="20"/>
          <w:color w:val="auto"/>
        </w:rPr>
      </w:pPr>
    </w:p>
    <w:p>
      <w:pPr>
        <w:spacing w:after="0" w:line="274"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THE OFFERING</w:t>
      </w:r>
    </w:p>
    <w:p>
      <w:pPr>
        <w:sectPr>
          <w:pgSz w:w="11900" w:h="16838" w:orient="portrait"/>
          <w:cols w:equalWidth="0" w:num="1">
            <w:col w:w="11040"/>
          </w:cols>
          <w:pgMar w:left="320" w:top="459" w:right="539" w:bottom="1440" w:gutter="0" w:footer="0" w:header="0"/>
        </w:sectPr>
      </w:pPr>
    </w:p>
    <w:p>
      <w:pPr>
        <w:spacing w:after="0" w:line="256" w:lineRule="exact"/>
        <w:rPr>
          <w:sz w:val="20"/>
          <w:szCs w:val="20"/>
          <w:color w:val="auto"/>
        </w:rPr>
      </w:pPr>
    </w:p>
    <w:p>
      <w:pPr>
        <w:ind w:left="200"/>
        <w:spacing w:after="0"/>
        <w:rPr>
          <w:sz w:val="20"/>
          <w:szCs w:val="20"/>
          <w:color w:val="auto"/>
        </w:rPr>
      </w:pPr>
      <w:r>
        <w:rPr>
          <w:rFonts w:ascii="Arial" w:cs="Arial" w:eastAsia="Arial" w:hAnsi="Arial"/>
          <w:sz w:val="18"/>
          <w:szCs w:val="18"/>
          <w:color w:val="auto"/>
        </w:rPr>
        <w:t>Class A common stock offered by us</w:t>
      </w:r>
    </w:p>
    <w:p>
      <w:pPr>
        <w:spacing w:after="0" w:line="266" w:lineRule="exact"/>
        <w:rPr>
          <w:sz w:val="20"/>
          <w:szCs w:val="20"/>
          <w:color w:val="auto"/>
        </w:rPr>
      </w:pPr>
    </w:p>
    <w:p>
      <w:pPr>
        <w:ind w:left="280" w:right="880" w:hanging="80"/>
        <w:spacing w:after="0" w:line="277" w:lineRule="auto"/>
        <w:rPr>
          <w:sz w:val="20"/>
          <w:szCs w:val="20"/>
          <w:color w:val="auto"/>
        </w:rPr>
      </w:pPr>
      <w:r>
        <w:rPr>
          <w:rFonts w:ascii="Arial" w:cs="Arial" w:eastAsia="Arial" w:hAnsi="Arial"/>
          <w:sz w:val="18"/>
          <w:szCs w:val="18"/>
          <w:color w:val="auto"/>
        </w:rPr>
        <w:t>Class A common stock offered by the selling stockholders</w:t>
      </w:r>
    </w:p>
    <w:p>
      <w:pPr>
        <w:spacing w:after="0" w:line="211" w:lineRule="exact"/>
        <w:rPr>
          <w:sz w:val="20"/>
          <w:szCs w:val="20"/>
          <w:color w:val="auto"/>
        </w:rPr>
      </w:pPr>
    </w:p>
    <w:p>
      <w:pPr>
        <w:ind w:left="280" w:right="480" w:hanging="80"/>
        <w:spacing w:after="0" w:line="277" w:lineRule="auto"/>
        <w:rPr>
          <w:sz w:val="20"/>
          <w:szCs w:val="20"/>
          <w:color w:val="auto"/>
        </w:rPr>
      </w:pPr>
      <w:r>
        <w:rPr>
          <w:rFonts w:ascii="Arial" w:cs="Arial" w:eastAsia="Arial" w:hAnsi="Arial"/>
          <w:sz w:val="18"/>
          <w:szCs w:val="18"/>
          <w:color w:val="auto"/>
        </w:rPr>
        <w:t>Class A common stock to be outstanding after this offering</w:t>
      </w:r>
    </w:p>
    <w:p>
      <w:pPr>
        <w:spacing w:after="0" w:line="211" w:lineRule="exact"/>
        <w:rPr>
          <w:sz w:val="20"/>
          <w:szCs w:val="20"/>
          <w:color w:val="auto"/>
        </w:rPr>
      </w:pPr>
    </w:p>
    <w:p>
      <w:pPr>
        <w:ind w:left="280" w:right="480" w:hanging="80"/>
        <w:spacing w:after="0" w:line="277" w:lineRule="auto"/>
        <w:rPr>
          <w:sz w:val="20"/>
          <w:szCs w:val="20"/>
          <w:color w:val="auto"/>
        </w:rPr>
      </w:pPr>
      <w:r>
        <w:rPr>
          <w:rFonts w:ascii="Arial" w:cs="Arial" w:eastAsia="Arial" w:hAnsi="Arial"/>
          <w:sz w:val="18"/>
          <w:szCs w:val="18"/>
          <w:color w:val="auto"/>
        </w:rPr>
        <w:t>Class B common stock to be outstanding after this offering</w:t>
      </w:r>
    </w:p>
    <w:p>
      <w:pPr>
        <w:spacing w:after="0" w:line="211" w:lineRule="exact"/>
        <w:rPr>
          <w:sz w:val="20"/>
          <w:szCs w:val="20"/>
          <w:color w:val="auto"/>
        </w:rPr>
      </w:pPr>
    </w:p>
    <w:p>
      <w:pPr>
        <w:ind w:left="280" w:right="40" w:hanging="80"/>
        <w:spacing w:after="0" w:line="277" w:lineRule="auto"/>
        <w:rPr>
          <w:sz w:val="20"/>
          <w:szCs w:val="20"/>
          <w:color w:val="auto"/>
        </w:rPr>
      </w:pPr>
      <w:r>
        <w:rPr>
          <w:rFonts w:ascii="Arial" w:cs="Arial" w:eastAsia="Arial" w:hAnsi="Arial"/>
          <w:sz w:val="18"/>
          <w:szCs w:val="18"/>
          <w:color w:val="auto"/>
        </w:rPr>
        <w:t>Total Class A common stock and Class B common stock to be outstanding after this offering</w:t>
      </w:r>
    </w:p>
    <w:p>
      <w:pPr>
        <w:spacing w:after="0" w:line="211" w:lineRule="exact"/>
        <w:rPr>
          <w:sz w:val="20"/>
          <w:szCs w:val="20"/>
          <w:color w:val="auto"/>
        </w:rPr>
      </w:pPr>
    </w:p>
    <w:p>
      <w:pPr>
        <w:ind w:left="280" w:hanging="80"/>
        <w:spacing w:after="0" w:line="277" w:lineRule="auto"/>
        <w:rPr>
          <w:sz w:val="20"/>
          <w:szCs w:val="20"/>
          <w:color w:val="auto"/>
        </w:rPr>
      </w:pPr>
      <w:r>
        <w:rPr>
          <w:rFonts w:ascii="Arial" w:cs="Arial" w:eastAsia="Arial" w:hAnsi="Arial"/>
          <w:sz w:val="18"/>
          <w:szCs w:val="18"/>
          <w:color w:val="auto"/>
        </w:rPr>
        <w:t>Option to purchase additional shares of Class A common stock from us</w:t>
      </w:r>
    </w:p>
    <w:p>
      <w:pPr>
        <w:spacing w:after="0" w:line="211" w:lineRule="exact"/>
        <w:rPr>
          <w:sz w:val="20"/>
          <w:szCs w:val="20"/>
          <w:color w:val="auto"/>
        </w:rPr>
      </w:pPr>
    </w:p>
    <w:p>
      <w:pPr>
        <w:ind w:left="280" w:hanging="80"/>
        <w:spacing w:after="0" w:line="277" w:lineRule="auto"/>
        <w:rPr>
          <w:sz w:val="20"/>
          <w:szCs w:val="20"/>
          <w:color w:val="auto"/>
        </w:rPr>
      </w:pPr>
      <w:r>
        <w:rPr>
          <w:rFonts w:ascii="Arial" w:cs="Arial" w:eastAsia="Arial" w:hAnsi="Arial"/>
          <w:sz w:val="18"/>
          <w:szCs w:val="18"/>
          <w:color w:val="auto"/>
        </w:rPr>
        <w:t>Option to purchase additional shares of Class A common stock from the selling stockholders</w:t>
      </w:r>
    </w:p>
    <w:p>
      <w:pPr>
        <w:spacing w:after="0" w:line="211" w:lineRule="exact"/>
        <w:rPr>
          <w:sz w:val="20"/>
          <w:szCs w:val="20"/>
          <w:color w:val="auto"/>
        </w:rPr>
      </w:pPr>
    </w:p>
    <w:p>
      <w:pPr>
        <w:ind w:left="200"/>
        <w:spacing w:after="0"/>
        <w:rPr>
          <w:sz w:val="20"/>
          <w:szCs w:val="20"/>
          <w:color w:val="auto"/>
        </w:rPr>
      </w:pPr>
      <w:r>
        <w:rPr>
          <w:rFonts w:ascii="Arial" w:cs="Arial" w:eastAsia="Arial" w:hAnsi="Arial"/>
          <w:sz w:val="18"/>
          <w:szCs w:val="18"/>
          <w:color w:val="auto"/>
        </w:rPr>
        <w:t>Use of proceeds</w:t>
      </w:r>
    </w:p>
    <w:p>
      <w:pPr>
        <w:spacing w:after="0" w:line="20" w:lineRule="exact"/>
        <w:rPr>
          <w:sz w:val="20"/>
          <w:szCs w:val="20"/>
          <w:color w:val="auto"/>
        </w:rPr>
      </w:pPr>
      <w:r>
        <w:rPr>
          <w:sz w:val="20"/>
          <w:szCs w:val="20"/>
          <w:color w:val="auto"/>
        </w:rPr>
        <w:br w:type="column"/>
      </w:r>
    </w:p>
    <w:p>
      <w:pPr>
        <w:spacing w:after="0" w:line="236" w:lineRule="exact"/>
        <w:rPr>
          <w:sz w:val="20"/>
          <w:szCs w:val="20"/>
          <w:color w:val="auto"/>
        </w:rPr>
      </w:pPr>
    </w:p>
    <w:p>
      <w:pPr>
        <w:ind w:left="589"/>
        <w:spacing w:after="0"/>
        <w:rPr>
          <w:sz w:val="20"/>
          <w:szCs w:val="20"/>
          <w:color w:val="auto"/>
        </w:rPr>
      </w:pPr>
      <w:r>
        <w:rPr>
          <w:rFonts w:ascii="Arial" w:cs="Arial" w:eastAsia="Arial" w:hAnsi="Arial"/>
          <w:sz w:val="18"/>
          <w:szCs w:val="18"/>
          <w:color w:val="auto"/>
        </w:rPr>
        <w:t>shares</w:t>
      </w:r>
    </w:p>
    <w:p>
      <w:pPr>
        <w:spacing w:after="0" w:line="266" w:lineRule="exact"/>
        <w:rPr>
          <w:sz w:val="20"/>
          <w:szCs w:val="20"/>
          <w:color w:val="auto"/>
        </w:rPr>
      </w:pPr>
    </w:p>
    <w:p>
      <w:pPr>
        <w:ind w:left="589"/>
        <w:spacing w:after="0"/>
        <w:rPr>
          <w:sz w:val="20"/>
          <w:szCs w:val="20"/>
          <w:color w:val="auto"/>
        </w:rPr>
      </w:pPr>
      <w:r>
        <w:rPr>
          <w:rFonts w:ascii="Arial" w:cs="Arial" w:eastAsia="Arial" w:hAnsi="Arial"/>
          <w:sz w:val="18"/>
          <w:szCs w:val="18"/>
          <w:color w:val="auto"/>
        </w:rPr>
        <w:t>shares</w:t>
      </w:r>
    </w:p>
    <w:p>
      <w:pPr>
        <w:spacing w:after="0" w:line="200" w:lineRule="exact"/>
        <w:rPr>
          <w:sz w:val="20"/>
          <w:szCs w:val="20"/>
          <w:color w:val="auto"/>
        </w:rPr>
      </w:pPr>
    </w:p>
    <w:p>
      <w:pPr>
        <w:spacing w:after="0" w:line="282" w:lineRule="exact"/>
        <w:rPr>
          <w:sz w:val="20"/>
          <w:szCs w:val="20"/>
          <w:color w:val="auto"/>
        </w:rPr>
      </w:pPr>
    </w:p>
    <w:p>
      <w:pPr>
        <w:ind w:left="589"/>
        <w:spacing w:after="0"/>
        <w:rPr>
          <w:sz w:val="20"/>
          <w:szCs w:val="20"/>
          <w:color w:val="auto"/>
        </w:rPr>
      </w:pPr>
      <w:r>
        <w:rPr>
          <w:rFonts w:ascii="Arial" w:cs="Arial" w:eastAsia="Arial" w:hAnsi="Arial"/>
          <w:sz w:val="18"/>
          <w:szCs w:val="18"/>
          <w:color w:val="auto"/>
        </w:rPr>
        <w:t>shares</w:t>
      </w:r>
    </w:p>
    <w:p>
      <w:pPr>
        <w:spacing w:after="0" w:line="200" w:lineRule="exact"/>
        <w:rPr>
          <w:sz w:val="20"/>
          <w:szCs w:val="20"/>
          <w:color w:val="auto"/>
        </w:rPr>
      </w:pPr>
    </w:p>
    <w:p>
      <w:pPr>
        <w:spacing w:after="0" w:line="282" w:lineRule="exact"/>
        <w:rPr>
          <w:sz w:val="20"/>
          <w:szCs w:val="20"/>
          <w:color w:val="auto"/>
        </w:rPr>
      </w:pPr>
    </w:p>
    <w:p>
      <w:pPr>
        <w:ind w:left="589"/>
        <w:spacing w:after="0"/>
        <w:rPr>
          <w:sz w:val="20"/>
          <w:szCs w:val="20"/>
          <w:color w:val="auto"/>
        </w:rPr>
      </w:pPr>
      <w:r>
        <w:rPr>
          <w:rFonts w:ascii="Arial" w:cs="Arial" w:eastAsia="Arial" w:hAnsi="Arial"/>
          <w:sz w:val="18"/>
          <w:szCs w:val="18"/>
          <w:color w:val="auto"/>
        </w:rPr>
        <w:t>shares</w:t>
      </w:r>
    </w:p>
    <w:p>
      <w:pPr>
        <w:spacing w:after="0" w:line="200" w:lineRule="exact"/>
        <w:rPr>
          <w:sz w:val="20"/>
          <w:szCs w:val="20"/>
          <w:color w:val="auto"/>
        </w:rPr>
      </w:pPr>
    </w:p>
    <w:p>
      <w:pPr>
        <w:spacing w:after="0" w:line="282" w:lineRule="exact"/>
        <w:rPr>
          <w:sz w:val="20"/>
          <w:szCs w:val="20"/>
          <w:color w:val="auto"/>
        </w:rPr>
      </w:pPr>
    </w:p>
    <w:p>
      <w:pPr>
        <w:ind w:left="589"/>
        <w:spacing w:after="0"/>
        <w:rPr>
          <w:sz w:val="20"/>
          <w:szCs w:val="20"/>
          <w:color w:val="auto"/>
        </w:rPr>
      </w:pPr>
      <w:r>
        <w:rPr>
          <w:rFonts w:ascii="Arial" w:cs="Arial" w:eastAsia="Arial" w:hAnsi="Arial"/>
          <w:sz w:val="18"/>
          <w:szCs w:val="18"/>
          <w:color w:val="auto"/>
        </w:rPr>
        <w:t>shares</w:t>
      </w:r>
    </w:p>
    <w:p>
      <w:pPr>
        <w:spacing w:after="0" w:line="200" w:lineRule="exact"/>
        <w:rPr>
          <w:sz w:val="20"/>
          <w:szCs w:val="20"/>
          <w:color w:val="auto"/>
        </w:rPr>
      </w:pPr>
    </w:p>
    <w:p>
      <w:pPr>
        <w:spacing w:after="0" w:line="282" w:lineRule="exact"/>
        <w:rPr>
          <w:sz w:val="20"/>
          <w:szCs w:val="20"/>
          <w:color w:val="auto"/>
        </w:rPr>
      </w:pPr>
    </w:p>
    <w:p>
      <w:pPr>
        <w:ind w:left="589"/>
        <w:spacing w:after="0"/>
        <w:rPr>
          <w:sz w:val="20"/>
          <w:szCs w:val="20"/>
          <w:color w:val="auto"/>
        </w:rPr>
      </w:pPr>
      <w:r>
        <w:rPr>
          <w:rFonts w:ascii="Arial" w:cs="Arial" w:eastAsia="Arial" w:hAnsi="Arial"/>
          <w:sz w:val="18"/>
          <w:szCs w:val="18"/>
          <w:color w:val="auto"/>
        </w:rPr>
        <w:t>shares</w:t>
      </w:r>
    </w:p>
    <w:p>
      <w:pPr>
        <w:spacing w:after="0" w:line="200" w:lineRule="exact"/>
        <w:rPr>
          <w:sz w:val="20"/>
          <w:szCs w:val="20"/>
          <w:color w:val="auto"/>
        </w:rPr>
      </w:pPr>
    </w:p>
    <w:p>
      <w:pPr>
        <w:spacing w:after="0" w:line="282" w:lineRule="exact"/>
        <w:rPr>
          <w:sz w:val="20"/>
          <w:szCs w:val="20"/>
          <w:color w:val="auto"/>
        </w:rPr>
      </w:pPr>
    </w:p>
    <w:p>
      <w:pPr>
        <w:ind w:left="589"/>
        <w:spacing w:after="0"/>
        <w:rPr>
          <w:sz w:val="20"/>
          <w:szCs w:val="20"/>
          <w:color w:val="auto"/>
        </w:rPr>
      </w:pPr>
      <w:r>
        <w:rPr>
          <w:rFonts w:ascii="Arial" w:cs="Arial" w:eastAsia="Arial" w:hAnsi="Arial"/>
          <w:sz w:val="18"/>
          <w:szCs w:val="18"/>
          <w:color w:val="auto"/>
        </w:rPr>
        <w:t>shares</w:t>
      </w:r>
    </w:p>
    <w:p>
      <w:pPr>
        <w:spacing w:after="0" w:line="200" w:lineRule="exact"/>
        <w:rPr>
          <w:sz w:val="20"/>
          <w:szCs w:val="20"/>
          <w:color w:val="auto"/>
        </w:rPr>
      </w:pPr>
    </w:p>
    <w:p>
      <w:pPr>
        <w:spacing w:after="0" w:line="282" w:lineRule="exact"/>
        <w:rPr>
          <w:sz w:val="20"/>
          <w:szCs w:val="20"/>
          <w:color w:val="auto"/>
        </w:rPr>
      </w:pPr>
    </w:p>
    <w:p>
      <w:pPr>
        <w:ind w:left="9"/>
        <w:spacing w:after="0"/>
        <w:rPr>
          <w:sz w:val="20"/>
          <w:szCs w:val="20"/>
          <w:color w:val="auto"/>
        </w:rPr>
      </w:pPr>
      <w:r>
        <w:rPr>
          <w:rFonts w:ascii="Arial" w:cs="Arial" w:eastAsia="Arial" w:hAnsi="Arial"/>
          <w:sz w:val="16"/>
          <w:szCs w:val="16"/>
          <w:color w:val="auto"/>
        </w:rPr>
        <w:t>We estimate that the net proceeds to us from the sale of shares of our Class A common stock</w:t>
      </w:r>
    </w:p>
    <w:p>
      <w:pPr>
        <w:spacing w:after="0" w:line="46" w:lineRule="exact"/>
        <w:rPr>
          <w:sz w:val="20"/>
          <w:szCs w:val="20"/>
          <w:color w:val="auto"/>
        </w:rPr>
      </w:pPr>
    </w:p>
    <w:p>
      <w:pPr>
        <w:jc w:val="both"/>
        <w:ind w:left="9" w:right="260"/>
        <w:spacing w:after="0" w:line="281" w:lineRule="auto"/>
        <w:rPr>
          <w:sz w:val="20"/>
          <w:szCs w:val="20"/>
          <w:color w:val="auto"/>
        </w:rPr>
      </w:pPr>
      <w:r>
        <w:rPr>
          <w:rFonts w:ascii="Arial" w:cs="Arial" w:eastAsia="Arial" w:hAnsi="Arial"/>
          <w:sz w:val="16"/>
          <w:szCs w:val="16"/>
          <w:color w:val="auto"/>
        </w:rPr>
        <w:t>in this offering will be approximately $ (or approximately $ if the underwriters’ option to purchase additional shares of our Class A common stock from us and the selling stockholders is exercised in full), based upon the assumed initial public offering price of</w:t>
      </w:r>
    </w:p>
    <w:p>
      <w:pPr>
        <w:spacing w:after="0" w:line="2" w:lineRule="exact"/>
        <w:rPr>
          <w:sz w:val="20"/>
          <w:szCs w:val="20"/>
          <w:color w:val="auto"/>
        </w:rPr>
      </w:pPr>
    </w:p>
    <w:p>
      <w:pPr>
        <w:ind w:left="9" w:right="140" w:hanging="9"/>
        <w:spacing w:after="0" w:line="277" w:lineRule="auto"/>
        <w:tabs>
          <w:tab w:leader="none" w:pos="503" w:val="left"/>
        </w:tabs>
        <w:numPr>
          <w:ilvl w:val="0"/>
          <w:numId w:val="8"/>
        </w:numPr>
        <w:rPr>
          <w:rFonts w:ascii="Arial" w:cs="Arial" w:eastAsia="Arial" w:hAnsi="Arial"/>
          <w:sz w:val="17"/>
          <w:szCs w:val="17"/>
          <w:color w:val="auto"/>
        </w:rPr>
      </w:pPr>
      <w:r>
        <w:rPr>
          <w:rFonts w:ascii="Arial" w:cs="Arial" w:eastAsia="Arial" w:hAnsi="Arial"/>
          <w:sz w:val="17"/>
          <w:szCs w:val="17"/>
          <w:color w:val="auto"/>
        </w:rPr>
        <w:t>per share, which is the midpoint of the estimated offering price range set forth on the cover page of this prospectus, and after deducting estimated underwriting discounts and commissions and estimated offering expenses payable by us.</w:t>
      </w:r>
    </w:p>
    <w:p>
      <w:pPr>
        <w:spacing w:after="0" w:line="200" w:lineRule="exact"/>
        <w:rPr>
          <w:sz w:val="20"/>
          <w:szCs w:val="20"/>
          <w:color w:val="auto"/>
        </w:rPr>
      </w:pPr>
    </w:p>
    <w:p>
      <w:pPr>
        <w:ind w:left="9" w:right="280"/>
        <w:spacing w:after="0" w:line="287" w:lineRule="auto"/>
        <w:rPr>
          <w:sz w:val="20"/>
          <w:szCs w:val="20"/>
          <w:color w:val="auto"/>
        </w:rPr>
      </w:pPr>
      <w:r>
        <w:rPr>
          <w:rFonts w:ascii="Arial" w:cs="Arial" w:eastAsia="Arial" w:hAnsi="Arial"/>
          <w:sz w:val="16"/>
          <w:szCs w:val="16"/>
          <w:color w:val="auto"/>
        </w:rPr>
        <w:t>The principal purposes of this offering are to increase our capitalization and financial flexibility, create a public market for our Class A common stock, and enable access to the public equity markets for us and our stockholders. We intend to use a portion of the net</w:t>
      </w:r>
    </w:p>
    <w:p>
      <w:pPr>
        <w:spacing w:after="0" w:line="2" w:lineRule="exact"/>
        <w:rPr>
          <w:sz w:val="20"/>
          <w:szCs w:val="20"/>
          <w:color w:val="auto"/>
        </w:rPr>
      </w:pPr>
    </w:p>
    <w:p>
      <w:pPr>
        <w:ind w:left="9"/>
        <w:spacing w:after="0" w:line="281" w:lineRule="auto"/>
        <w:rPr>
          <w:sz w:val="20"/>
          <w:szCs w:val="20"/>
          <w:color w:val="auto"/>
        </w:rPr>
      </w:pPr>
      <w:r>
        <w:rPr>
          <w:rFonts w:ascii="Arial" w:cs="Arial" w:eastAsia="Arial" w:hAnsi="Arial"/>
          <w:sz w:val="16"/>
          <w:szCs w:val="16"/>
          <w:color w:val="auto"/>
        </w:rPr>
        <w:t>proceeds we receive from this offering to repay $ that is expected to be outstanding immediately prior to the completion of this offering under our revolving credit facility, which we intend to draw down prior to the completion of this offering to satisfy tax withholding</w:t>
      </w:r>
    </w:p>
    <w:p>
      <w:pPr>
        <w:spacing w:after="0" w:line="2" w:lineRule="exact"/>
        <w:rPr>
          <w:sz w:val="20"/>
          <w:szCs w:val="20"/>
          <w:color w:val="auto"/>
        </w:rPr>
      </w:pPr>
    </w:p>
    <w:p>
      <w:pPr>
        <w:ind w:left="9" w:right="60"/>
        <w:spacing w:after="0" w:line="265" w:lineRule="auto"/>
        <w:rPr>
          <w:sz w:val="20"/>
          <w:szCs w:val="20"/>
          <w:color w:val="auto"/>
        </w:rPr>
      </w:pPr>
      <w:r>
        <w:rPr>
          <w:rFonts w:ascii="Arial" w:cs="Arial" w:eastAsia="Arial" w:hAnsi="Arial"/>
          <w:sz w:val="17"/>
          <w:szCs w:val="17"/>
          <w:color w:val="auto"/>
        </w:rPr>
        <w:t>and remittance obligations of $ related to the settlement of certain restricted stock units, or RSUs, for which the service condition was satisfied as of September 30, 2017, and for which we expect the liquidity event-related performance vesting condition, or the Performance Vesting Condition, to be satisfied upon the effectiveness of our registration statement related to this offering. This amount is based upon the assumed initial public</w:t>
      </w:r>
    </w:p>
    <w:p>
      <w:pPr>
        <w:spacing w:after="0" w:line="1" w:lineRule="exact"/>
        <w:rPr>
          <w:sz w:val="20"/>
          <w:szCs w:val="20"/>
          <w:color w:val="auto"/>
        </w:rPr>
      </w:pPr>
    </w:p>
    <w:p>
      <w:pPr>
        <w:ind w:left="9" w:right="40"/>
        <w:spacing w:after="0" w:line="260" w:lineRule="auto"/>
        <w:rPr>
          <w:sz w:val="20"/>
          <w:szCs w:val="20"/>
          <w:color w:val="auto"/>
        </w:rPr>
      </w:pPr>
      <w:r>
        <w:rPr>
          <w:rFonts w:ascii="Arial" w:cs="Arial" w:eastAsia="Arial" w:hAnsi="Arial"/>
          <w:sz w:val="18"/>
          <w:szCs w:val="18"/>
          <w:color w:val="auto"/>
        </w:rPr>
        <w:t>offering price of $ per share, which is the midpoint of the estimated offering price range set forth on the cover page of this prospectus. We also intend to</w:t>
      </w:r>
    </w:p>
    <w:p>
      <w:pPr>
        <w:spacing w:after="0" w:line="200" w:lineRule="exact"/>
        <w:rPr>
          <w:sz w:val="20"/>
          <w:szCs w:val="20"/>
          <w:color w:val="auto"/>
        </w:rPr>
      </w:pPr>
    </w:p>
    <w:p>
      <w:pPr>
        <w:sectPr>
          <w:pgSz w:w="11900" w:h="16838" w:orient="portrait"/>
          <w:cols w:equalWidth="0" w:num="2">
            <w:col w:w="4300" w:space="11"/>
            <w:col w:w="6729"/>
          </w:cols>
          <w:pgMar w:left="320" w:top="459" w:right="539" w:bottom="1440" w:gutter="0" w:footer="0" w:header="0"/>
          <w:type w:val="continuous"/>
        </w:sectPr>
      </w:pPr>
    </w:p>
    <w:p>
      <w:pPr>
        <w:spacing w:after="0" w:line="200" w:lineRule="exact"/>
        <w:rPr>
          <w:sz w:val="20"/>
          <w:szCs w:val="20"/>
          <w:color w:val="auto"/>
        </w:rPr>
      </w:pPr>
    </w:p>
    <w:p>
      <w:pPr>
        <w:spacing w:after="0" w:line="366" w:lineRule="exact"/>
        <w:rPr>
          <w:sz w:val="20"/>
          <w:szCs w:val="20"/>
          <w:color w:val="auto"/>
        </w:rPr>
      </w:pPr>
    </w:p>
    <w:p>
      <w:pPr>
        <w:jc w:val="center"/>
        <w:ind w:right="-199"/>
        <w:spacing w:after="0"/>
        <w:rPr>
          <w:sz w:val="20"/>
          <w:szCs w:val="20"/>
          <w:color w:val="auto"/>
        </w:rPr>
      </w:pPr>
      <w:r>
        <w:rPr>
          <w:rFonts w:ascii="Arial" w:cs="Arial" w:eastAsia="Arial" w:hAnsi="Arial"/>
          <w:sz w:val="13"/>
          <w:szCs w:val="13"/>
          <w:color w:val="auto"/>
        </w:rPr>
        <w:t>7</w:t>
      </w:r>
    </w:p>
    <w:p>
      <w:pPr>
        <w:sectPr>
          <w:pgSz w:w="11900" w:h="16838" w:orient="portrait"/>
          <w:cols w:equalWidth="0" w:num="1">
            <w:col w:w="11040"/>
          </w:cols>
          <w:pgMar w:left="320" w:top="459" w:right="539" w:bottom="1440" w:gutter="0" w:footer="0" w:header="0"/>
          <w:type w:val="continuous"/>
        </w:sectPr>
      </w:pPr>
    </w:p>
    <w:bookmarkStart w:id="10" w:name="page11"/>
    <w:bookmarkEnd w:id="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136130" cy="543052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6130" cy="5430520"/>
                    </a:xfrm>
                    <a:prstGeom prst="rect">
                      <a:avLst/>
                    </a:prstGeom>
                    <a:noFill/>
                  </pic:spPr>
                </pic:pic>
              </a:graphicData>
            </a:graphic>
          </wp:anchor>
        </w:drawing>
      </w:r>
    </w:p>
    <w:p>
      <w:pPr>
        <w:spacing w:after="0" w:line="200" w:lineRule="exact"/>
        <w:rPr>
          <w:sz w:val="20"/>
          <w:szCs w:val="20"/>
          <w:color w:val="auto"/>
        </w:rPr>
      </w:pPr>
    </w:p>
    <w:p>
      <w:pPr>
        <w:spacing w:after="0" w:line="278" w:lineRule="exact"/>
        <w:rPr>
          <w:sz w:val="20"/>
          <w:szCs w:val="20"/>
          <w:color w:val="auto"/>
        </w:rPr>
      </w:pPr>
    </w:p>
    <w:p>
      <w:pPr>
        <w:ind w:left="4320" w:right="20"/>
        <w:spacing w:after="0" w:line="272" w:lineRule="auto"/>
        <w:rPr>
          <w:sz w:val="20"/>
          <w:szCs w:val="20"/>
          <w:color w:val="auto"/>
        </w:rPr>
      </w:pPr>
      <w:r>
        <w:rPr>
          <w:rFonts w:ascii="Arial" w:cs="Arial" w:eastAsia="Arial" w:hAnsi="Arial"/>
          <w:sz w:val="17"/>
          <w:szCs w:val="17"/>
          <w:color w:val="auto"/>
        </w:rPr>
        <w:t>use the net proceeds we receive from this offering for general corporate purposes, including working capital, operating expenses, and capital expenditures. Additionally, we may use a portion of the net proceeds we receive from this offering to acquire businesses, products, services, or technologies. However, we do not have agreements or commitments for any material acquisitions at this time. We will not receive any of the proceeds from the sale of Class A common stock in this offering by the selling stockholders. See “Use of Proceeds” for additional information.</w:t>
      </w:r>
    </w:p>
    <w:p>
      <w:pPr>
        <w:spacing w:after="0" w:line="218" w:lineRule="exact"/>
        <w:rPr>
          <w:sz w:val="20"/>
          <w:szCs w:val="20"/>
          <w:color w:val="auto"/>
        </w:rPr>
      </w:pPr>
    </w:p>
    <w:tbl>
      <w:tblPr>
        <w:tblLayout w:type="fixed"/>
        <w:tblInd w:w="200" w:type="dxa"/>
        <w:tblCellMar>
          <w:top w:w="0" w:type="dxa"/>
          <w:left w:w="0" w:type="dxa"/>
          <w:bottom w:w="0" w:type="dxa"/>
          <w:right w:w="0" w:type="dxa"/>
        </w:tblCellMar>
      </w:tblPr>
      <w:tr>
        <w:trPr>
          <w:trHeight w:val="230"/>
        </w:trPr>
        <w:tc>
          <w:tcPr>
            <w:tcW w:w="2900" w:type="dxa"/>
            <w:vAlign w:val="bottom"/>
          </w:tcPr>
          <w:p>
            <w:pPr>
              <w:spacing w:after="0"/>
              <w:rPr>
                <w:sz w:val="20"/>
                <w:szCs w:val="20"/>
                <w:color w:val="auto"/>
              </w:rPr>
            </w:pPr>
            <w:r>
              <w:rPr>
                <w:rFonts w:ascii="Arial" w:cs="Arial" w:eastAsia="Arial" w:hAnsi="Arial"/>
                <w:sz w:val="18"/>
                <w:szCs w:val="18"/>
                <w:color w:val="auto"/>
              </w:rPr>
              <w:t>Voting rights</w:t>
            </w:r>
          </w:p>
        </w:tc>
        <w:tc>
          <w:tcPr>
            <w:tcW w:w="6840" w:type="dxa"/>
            <w:vAlign w:val="bottom"/>
            <w:gridSpan w:val="4"/>
          </w:tcPr>
          <w:p>
            <w:pPr>
              <w:ind w:left="1220"/>
              <w:spacing w:after="0"/>
              <w:rPr>
                <w:sz w:val="20"/>
                <w:szCs w:val="20"/>
                <w:color w:val="auto"/>
              </w:rPr>
            </w:pPr>
            <w:r>
              <w:rPr>
                <w:rFonts w:ascii="Arial" w:cs="Arial" w:eastAsia="Arial" w:hAnsi="Arial"/>
                <w:sz w:val="18"/>
                <w:szCs w:val="18"/>
                <w:color w:val="auto"/>
                <w:w w:val="98"/>
              </w:rPr>
              <w:t>Shares of our Class A common stock are entitled to one vote per share.</w:t>
            </w:r>
          </w:p>
        </w:tc>
        <w:tc>
          <w:tcPr>
            <w:tcW w:w="1100" w:type="dxa"/>
            <w:vAlign w:val="bottom"/>
          </w:tcPr>
          <w:p>
            <w:pPr>
              <w:spacing w:after="0"/>
              <w:rPr>
                <w:sz w:val="20"/>
                <w:szCs w:val="20"/>
                <w:color w:val="auto"/>
              </w:rPr>
            </w:pPr>
          </w:p>
        </w:tc>
      </w:tr>
      <w:tr>
        <w:trPr>
          <w:trHeight w:val="473"/>
        </w:trPr>
        <w:tc>
          <w:tcPr>
            <w:tcW w:w="2900" w:type="dxa"/>
            <w:vAlign w:val="bottom"/>
          </w:tcPr>
          <w:p>
            <w:pPr>
              <w:spacing w:after="0"/>
              <w:rPr>
                <w:sz w:val="24"/>
                <w:szCs w:val="24"/>
                <w:color w:val="auto"/>
              </w:rPr>
            </w:pPr>
          </w:p>
        </w:tc>
        <w:tc>
          <w:tcPr>
            <w:tcW w:w="5180" w:type="dxa"/>
            <w:vAlign w:val="bottom"/>
            <w:gridSpan w:val="3"/>
          </w:tcPr>
          <w:p>
            <w:pPr>
              <w:ind w:left="1220"/>
              <w:spacing w:after="0"/>
              <w:rPr>
                <w:sz w:val="20"/>
                <w:szCs w:val="20"/>
                <w:color w:val="auto"/>
              </w:rPr>
            </w:pPr>
            <w:r>
              <w:rPr>
                <w:rFonts w:ascii="Arial" w:cs="Arial" w:eastAsia="Arial" w:hAnsi="Arial"/>
                <w:sz w:val="18"/>
                <w:szCs w:val="18"/>
                <w:color w:val="auto"/>
                <w:w w:val="96"/>
              </w:rPr>
              <w:t>Shares of our Class B common stock are entitled to</w:t>
            </w:r>
          </w:p>
        </w:tc>
        <w:tc>
          <w:tcPr>
            <w:tcW w:w="1660" w:type="dxa"/>
            <w:vAlign w:val="bottom"/>
          </w:tcPr>
          <w:p>
            <w:pPr>
              <w:ind w:left="180"/>
              <w:spacing w:after="0"/>
              <w:rPr>
                <w:sz w:val="20"/>
                <w:szCs w:val="20"/>
                <w:color w:val="auto"/>
              </w:rPr>
            </w:pPr>
            <w:r>
              <w:rPr>
                <w:rFonts w:ascii="Arial" w:cs="Arial" w:eastAsia="Arial" w:hAnsi="Arial"/>
                <w:sz w:val="18"/>
                <w:szCs w:val="18"/>
                <w:color w:val="auto"/>
              </w:rPr>
              <w:t>votes per share.</w:t>
            </w:r>
          </w:p>
        </w:tc>
        <w:tc>
          <w:tcPr>
            <w:tcW w:w="1100" w:type="dxa"/>
            <w:vAlign w:val="bottom"/>
          </w:tcPr>
          <w:p>
            <w:pPr>
              <w:spacing w:after="0"/>
              <w:rPr>
                <w:sz w:val="24"/>
                <w:szCs w:val="24"/>
                <w:color w:val="auto"/>
              </w:rPr>
            </w:pPr>
          </w:p>
        </w:tc>
      </w:tr>
      <w:tr>
        <w:trPr>
          <w:trHeight w:val="445"/>
        </w:trPr>
        <w:tc>
          <w:tcPr>
            <w:tcW w:w="2900" w:type="dxa"/>
            <w:vAlign w:val="bottom"/>
          </w:tcPr>
          <w:p>
            <w:pPr>
              <w:spacing w:after="0"/>
              <w:rPr>
                <w:sz w:val="24"/>
                <w:szCs w:val="24"/>
                <w:color w:val="auto"/>
              </w:rPr>
            </w:pPr>
          </w:p>
        </w:tc>
        <w:tc>
          <w:tcPr>
            <w:tcW w:w="7940" w:type="dxa"/>
            <w:vAlign w:val="bottom"/>
            <w:gridSpan w:val="5"/>
          </w:tcPr>
          <w:p>
            <w:pPr>
              <w:ind w:left="1220"/>
              <w:spacing w:after="0"/>
              <w:rPr>
                <w:sz w:val="20"/>
                <w:szCs w:val="20"/>
                <w:color w:val="auto"/>
              </w:rPr>
            </w:pPr>
            <w:r>
              <w:rPr>
                <w:rFonts w:ascii="Arial" w:cs="Arial" w:eastAsia="Arial" w:hAnsi="Arial"/>
                <w:sz w:val="18"/>
                <w:szCs w:val="18"/>
                <w:color w:val="auto"/>
                <w:w w:val="99"/>
              </w:rPr>
              <w:t>Holders of our Class A common stock and Class B common stock will generally vote</w:t>
            </w:r>
          </w:p>
        </w:tc>
      </w:tr>
      <w:tr>
        <w:trPr>
          <w:trHeight w:val="216"/>
        </w:trPr>
        <w:tc>
          <w:tcPr>
            <w:tcW w:w="2900" w:type="dxa"/>
            <w:vAlign w:val="bottom"/>
          </w:tcPr>
          <w:p>
            <w:pPr>
              <w:spacing w:after="0"/>
              <w:rPr>
                <w:sz w:val="18"/>
                <w:szCs w:val="18"/>
                <w:color w:val="auto"/>
              </w:rPr>
            </w:pPr>
          </w:p>
        </w:tc>
        <w:tc>
          <w:tcPr>
            <w:tcW w:w="7940" w:type="dxa"/>
            <w:vAlign w:val="bottom"/>
            <w:gridSpan w:val="5"/>
          </w:tcPr>
          <w:p>
            <w:pPr>
              <w:ind w:left="1220"/>
              <w:spacing w:after="0"/>
              <w:rPr>
                <w:sz w:val="20"/>
                <w:szCs w:val="20"/>
                <w:color w:val="auto"/>
              </w:rPr>
            </w:pPr>
            <w:r>
              <w:rPr>
                <w:rFonts w:ascii="Arial" w:cs="Arial" w:eastAsia="Arial" w:hAnsi="Arial"/>
                <w:sz w:val="18"/>
                <w:szCs w:val="18"/>
                <w:color w:val="auto"/>
                <w:w w:val="94"/>
              </w:rPr>
              <w:t>together as a single class, unless otherwise required by law or our amended and restated</w:t>
            </w:r>
          </w:p>
        </w:tc>
      </w:tr>
      <w:tr>
        <w:trPr>
          <w:trHeight w:val="216"/>
        </w:trPr>
        <w:tc>
          <w:tcPr>
            <w:tcW w:w="2900" w:type="dxa"/>
            <w:vAlign w:val="bottom"/>
          </w:tcPr>
          <w:p>
            <w:pPr>
              <w:spacing w:after="0"/>
              <w:rPr>
                <w:sz w:val="18"/>
                <w:szCs w:val="18"/>
                <w:color w:val="auto"/>
              </w:rPr>
            </w:pPr>
          </w:p>
        </w:tc>
        <w:tc>
          <w:tcPr>
            <w:tcW w:w="7940" w:type="dxa"/>
            <w:vAlign w:val="bottom"/>
            <w:gridSpan w:val="5"/>
          </w:tcPr>
          <w:p>
            <w:pPr>
              <w:ind w:left="1220"/>
              <w:spacing w:after="0"/>
              <w:rPr>
                <w:sz w:val="20"/>
                <w:szCs w:val="20"/>
                <w:color w:val="auto"/>
              </w:rPr>
            </w:pPr>
            <w:r>
              <w:rPr>
                <w:rFonts w:ascii="Arial" w:cs="Arial" w:eastAsia="Arial" w:hAnsi="Arial"/>
                <w:sz w:val="18"/>
                <w:szCs w:val="18"/>
                <w:color w:val="auto"/>
                <w:w w:val="93"/>
              </w:rPr>
              <w:t>certificate of incorporation. The holders of our outstanding Class B common stock will hold</w:t>
            </w:r>
          </w:p>
        </w:tc>
      </w:tr>
      <w:tr>
        <w:trPr>
          <w:trHeight w:val="216"/>
        </w:trPr>
        <w:tc>
          <w:tcPr>
            <w:tcW w:w="2900" w:type="dxa"/>
            <w:vAlign w:val="bottom"/>
          </w:tcPr>
          <w:p>
            <w:pPr>
              <w:spacing w:after="0"/>
              <w:rPr>
                <w:sz w:val="18"/>
                <w:szCs w:val="18"/>
                <w:color w:val="auto"/>
              </w:rPr>
            </w:pPr>
          </w:p>
        </w:tc>
        <w:tc>
          <w:tcPr>
            <w:tcW w:w="2380" w:type="dxa"/>
            <w:vAlign w:val="bottom"/>
          </w:tcPr>
          <w:p>
            <w:pPr>
              <w:ind w:left="1220"/>
              <w:spacing w:after="0"/>
              <w:rPr>
                <w:sz w:val="20"/>
                <w:szCs w:val="20"/>
                <w:color w:val="auto"/>
              </w:rPr>
            </w:pPr>
            <w:r>
              <w:rPr>
                <w:rFonts w:ascii="Arial" w:cs="Arial" w:eastAsia="Arial" w:hAnsi="Arial"/>
                <w:sz w:val="18"/>
                <w:szCs w:val="18"/>
                <w:color w:val="auto"/>
              </w:rPr>
              <w:t>approximately</w:t>
            </w:r>
          </w:p>
        </w:tc>
        <w:tc>
          <w:tcPr>
            <w:tcW w:w="5560" w:type="dxa"/>
            <w:vAlign w:val="bottom"/>
            <w:gridSpan w:val="4"/>
          </w:tcPr>
          <w:p>
            <w:pPr>
              <w:ind w:left="140"/>
              <w:spacing w:after="0"/>
              <w:rPr>
                <w:sz w:val="20"/>
                <w:szCs w:val="20"/>
                <w:color w:val="auto"/>
              </w:rPr>
            </w:pPr>
            <w:r>
              <w:rPr>
                <w:rFonts w:ascii="Arial" w:cs="Arial" w:eastAsia="Arial" w:hAnsi="Arial"/>
                <w:sz w:val="18"/>
                <w:szCs w:val="18"/>
                <w:color w:val="auto"/>
              </w:rPr>
              <w:t>% of the voting power of our outstanding capital stock following this</w:t>
            </w:r>
          </w:p>
        </w:tc>
      </w:tr>
      <w:tr>
        <w:trPr>
          <w:trHeight w:val="216"/>
        </w:trPr>
        <w:tc>
          <w:tcPr>
            <w:tcW w:w="2900" w:type="dxa"/>
            <w:vAlign w:val="bottom"/>
          </w:tcPr>
          <w:p>
            <w:pPr>
              <w:spacing w:after="0"/>
              <w:rPr>
                <w:sz w:val="18"/>
                <w:szCs w:val="18"/>
                <w:color w:val="auto"/>
              </w:rPr>
            </w:pPr>
          </w:p>
        </w:tc>
        <w:tc>
          <w:tcPr>
            <w:tcW w:w="7940" w:type="dxa"/>
            <w:vAlign w:val="bottom"/>
            <w:gridSpan w:val="5"/>
          </w:tcPr>
          <w:p>
            <w:pPr>
              <w:ind w:left="1220"/>
              <w:spacing w:after="0"/>
              <w:rPr>
                <w:sz w:val="20"/>
                <w:szCs w:val="20"/>
                <w:color w:val="auto"/>
              </w:rPr>
            </w:pPr>
            <w:r>
              <w:rPr>
                <w:rFonts w:ascii="Arial" w:cs="Arial" w:eastAsia="Arial" w:hAnsi="Arial"/>
                <w:sz w:val="18"/>
                <w:szCs w:val="18"/>
                <w:color w:val="auto"/>
              </w:rPr>
              <w:t>offering and will have the ability to control the outcome of matters submitted to our</w:t>
            </w:r>
          </w:p>
        </w:tc>
      </w:tr>
      <w:tr>
        <w:trPr>
          <w:trHeight w:val="216"/>
        </w:trPr>
        <w:tc>
          <w:tcPr>
            <w:tcW w:w="2900" w:type="dxa"/>
            <w:vAlign w:val="bottom"/>
          </w:tcPr>
          <w:p>
            <w:pPr>
              <w:spacing w:after="0"/>
              <w:rPr>
                <w:sz w:val="18"/>
                <w:szCs w:val="18"/>
                <w:color w:val="auto"/>
              </w:rPr>
            </w:pPr>
          </w:p>
        </w:tc>
        <w:tc>
          <w:tcPr>
            <w:tcW w:w="7940" w:type="dxa"/>
            <w:vAlign w:val="bottom"/>
            <w:gridSpan w:val="5"/>
          </w:tcPr>
          <w:p>
            <w:pPr>
              <w:ind w:left="1220"/>
              <w:spacing w:after="0"/>
              <w:rPr>
                <w:sz w:val="20"/>
                <w:szCs w:val="20"/>
                <w:color w:val="auto"/>
              </w:rPr>
            </w:pPr>
            <w:r>
              <w:rPr>
                <w:rFonts w:ascii="Arial" w:cs="Arial" w:eastAsia="Arial" w:hAnsi="Arial"/>
                <w:sz w:val="18"/>
                <w:szCs w:val="18"/>
                <w:color w:val="auto"/>
                <w:w w:val="96"/>
              </w:rPr>
              <w:t>stockholders for approval, including the election of our directors and the approval of any</w:t>
            </w:r>
          </w:p>
        </w:tc>
      </w:tr>
      <w:tr>
        <w:trPr>
          <w:trHeight w:val="216"/>
        </w:trPr>
        <w:tc>
          <w:tcPr>
            <w:tcW w:w="2900" w:type="dxa"/>
            <w:vAlign w:val="bottom"/>
          </w:tcPr>
          <w:p>
            <w:pPr>
              <w:spacing w:after="0"/>
              <w:rPr>
                <w:sz w:val="18"/>
                <w:szCs w:val="18"/>
                <w:color w:val="auto"/>
              </w:rPr>
            </w:pPr>
          </w:p>
        </w:tc>
        <w:tc>
          <w:tcPr>
            <w:tcW w:w="7940" w:type="dxa"/>
            <w:vAlign w:val="bottom"/>
            <w:gridSpan w:val="5"/>
          </w:tcPr>
          <w:p>
            <w:pPr>
              <w:ind w:left="1220"/>
              <w:spacing w:after="0"/>
              <w:rPr>
                <w:sz w:val="20"/>
                <w:szCs w:val="20"/>
                <w:color w:val="auto"/>
              </w:rPr>
            </w:pPr>
            <w:r>
              <w:rPr>
                <w:rFonts w:ascii="Arial" w:cs="Arial" w:eastAsia="Arial" w:hAnsi="Arial"/>
                <w:sz w:val="18"/>
                <w:szCs w:val="18"/>
                <w:color w:val="auto"/>
                <w:w w:val="93"/>
              </w:rPr>
              <w:t>change in control transaction. Additionally, our executive officers, directors, and holders of</w:t>
            </w:r>
          </w:p>
        </w:tc>
      </w:tr>
      <w:tr>
        <w:trPr>
          <w:trHeight w:val="216"/>
        </w:trPr>
        <w:tc>
          <w:tcPr>
            <w:tcW w:w="2900" w:type="dxa"/>
            <w:vAlign w:val="bottom"/>
          </w:tcPr>
          <w:p>
            <w:pPr>
              <w:spacing w:after="0"/>
              <w:rPr>
                <w:sz w:val="18"/>
                <w:szCs w:val="18"/>
                <w:color w:val="auto"/>
              </w:rPr>
            </w:pPr>
          </w:p>
        </w:tc>
        <w:tc>
          <w:tcPr>
            <w:tcW w:w="6840" w:type="dxa"/>
            <w:vAlign w:val="bottom"/>
            <w:gridSpan w:val="4"/>
          </w:tcPr>
          <w:p>
            <w:pPr>
              <w:ind w:left="1220"/>
              <w:spacing w:after="0"/>
              <w:rPr>
                <w:sz w:val="20"/>
                <w:szCs w:val="20"/>
                <w:color w:val="auto"/>
              </w:rPr>
            </w:pPr>
            <w:r>
              <w:rPr>
                <w:rFonts w:ascii="Arial" w:cs="Arial" w:eastAsia="Arial" w:hAnsi="Arial"/>
                <w:sz w:val="18"/>
                <w:szCs w:val="18"/>
                <w:color w:val="auto"/>
                <w:w w:val="93"/>
              </w:rPr>
              <w:t>5% or more of our common stock will hold, in the aggregate, approximately</w:t>
            </w:r>
          </w:p>
        </w:tc>
        <w:tc>
          <w:tcPr>
            <w:tcW w:w="1100" w:type="dxa"/>
            <w:vAlign w:val="bottom"/>
          </w:tcPr>
          <w:p>
            <w:pPr>
              <w:ind w:left="120"/>
              <w:spacing w:after="0"/>
              <w:rPr>
                <w:sz w:val="20"/>
                <w:szCs w:val="20"/>
                <w:color w:val="auto"/>
              </w:rPr>
            </w:pPr>
            <w:r>
              <w:rPr>
                <w:rFonts w:ascii="Arial" w:cs="Arial" w:eastAsia="Arial" w:hAnsi="Arial"/>
                <w:sz w:val="18"/>
                <w:szCs w:val="18"/>
                <w:color w:val="auto"/>
              </w:rPr>
              <w:t>% of the</w:t>
            </w:r>
          </w:p>
        </w:tc>
      </w:tr>
      <w:tr>
        <w:trPr>
          <w:trHeight w:val="216"/>
        </w:trPr>
        <w:tc>
          <w:tcPr>
            <w:tcW w:w="2900" w:type="dxa"/>
            <w:vAlign w:val="bottom"/>
          </w:tcPr>
          <w:p>
            <w:pPr>
              <w:spacing w:after="0"/>
              <w:rPr>
                <w:sz w:val="18"/>
                <w:szCs w:val="18"/>
                <w:color w:val="auto"/>
              </w:rPr>
            </w:pPr>
          </w:p>
        </w:tc>
        <w:tc>
          <w:tcPr>
            <w:tcW w:w="7940" w:type="dxa"/>
            <w:vAlign w:val="bottom"/>
            <w:gridSpan w:val="5"/>
          </w:tcPr>
          <w:p>
            <w:pPr>
              <w:ind w:left="1220"/>
              <w:spacing w:after="0"/>
              <w:rPr>
                <w:sz w:val="20"/>
                <w:szCs w:val="20"/>
                <w:color w:val="auto"/>
              </w:rPr>
            </w:pPr>
            <w:r>
              <w:rPr>
                <w:rFonts w:ascii="Arial" w:cs="Arial" w:eastAsia="Arial" w:hAnsi="Arial"/>
                <w:sz w:val="18"/>
                <w:szCs w:val="18"/>
                <w:color w:val="auto"/>
                <w:w w:val="97"/>
              </w:rPr>
              <w:t>voting power of our outstanding capital stock following this offering. See “Principal and</w:t>
            </w:r>
          </w:p>
        </w:tc>
      </w:tr>
      <w:tr>
        <w:trPr>
          <w:trHeight w:val="230"/>
        </w:trPr>
        <w:tc>
          <w:tcPr>
            <w:tcW w:w="2900" w:type="dxa"/>
            <w:vAlign w:val="bottom"/>
          </w:tcPr>
          <w:p>
            <w:pPr>
              <w:spacing w:after="0"/>
              <w:rPr>
                <w:sz w:val="20"/>
                <w:szCs w:val="20"/>
                <w:color w:val="auto"/>
              </w:rPr>
            </w:pPr>
          </w:p>
        </w:tc>
        <w:tc>
          <w:tcPr>
            <w:tcW w:w="7940" w:type="dxa"/>
            <w:vAlign w:val="bottom"/>
            <w:gridSpan w:val="5"/>
          </w:tcPr>
          <w:p>
            <w:pPr>
              <w:ind w:left="1220"/>
              <w:spacing w:after="0"/>
              <w:rPr>
                <w:sz w:val="20"/>
                <w:szCs w:val="20"/>
                <w:color w:val="auto"/>
              </w:rPr>
            </w:pPr>
            <w:r>
              <w:rPr>
                <w:rFonts w:ascii="Arial" w:cs="Arial" w:eastAsia="Arial" w:hAnsi="Arial"/>
                <w:sz w:val="18"/>
                <w:szCs w:val="18"/>
                <w:color w:val="auto"/>
              </w:rPr>
              <w:t>Selling Stockholders” and “Description of Capital Stock” for additional information.</w:t>
            </w:r>
          </w:p>
        </w:tc>
      </w:tr>
      <w:tr>
        <w:trPr>
          <w:trHeight w:val="459"/>
        </w:trPr>
        <w:tc>
          <w:tcPr>
            <w:tcW w:w="2900" w:type="dxa"/>
            <w:vAlign w:val="bottom"/>
          </w:tcPr>
          <w:p>
            <w:pPr>
              <w:spacing w:after="0"/>
              <w:rPr>
                <w:sz w:val="20"/>
                <w:szCs w:val="20"/>
                <w:color w:val="auto"/>
              </w:rPr>
            </w:pPr>
            <w:r>
              <w:rPr>
                <w:rFonts w:ascii="Arial" w:cs="Arial" w:eastAsia="Arial" w:hAnsi="Arial"/>
                <w:sz w:val="18"/>
                <w:szCs w:val="18"/>
                <w:color w:val="auto"/>
              </w:rPr>
              <w:t>Proposed ticker symbol</w:t>
            </w:r>
          </w:p>
        </w:tc>
        <w:tc>
          <w:tcPr>
            <w:tcW w:w="2380" w:type="dxa"/>
            <w:vAlign w:val="bottom"/>
          </w:tcPr>
          <w:p>
            <w:pPr>
              <w:ind w:left="1220"/>
              <w:spacing w:after="0"/>
              <w:rPr>
                <w:sz w:val="20"/>
                <w:szCs w:val="20"/>
                <w:color w:val="auto"/>
              </w:rPr>
            </w:pPr>
            <w:r>
              <w:rPr>
                <w:rFonts w:ascii="Arial" w:cs="Arial" w:eastAsia="Arial" w:hAnsi="Arial"/>
                <w:sz w:val="18"/>
                <w:szCs w:val="18"/>
                <w:color w:val="auto"/>
              </w:rPr>
              <w:t>“DBX”</w:t>
            </w:r>
          </w:p>
        </w:tc>
        <w:tc>
          <w:tcPr>
            <w:tcW w:w="380" w:type="dxa"/>
            <w:vAlign w:val="bottom"/>
          </w:tcPr>
          <w:p>
            <w:pPr>
              <w:spacing w:after="0"/>
              <w:rPr>
                <w:sz w:val="24"/>
                <w:szCs w:val="24"/>
                <w:color w:val="auto"/>
              </w:rPr>
            </w:pPr>
          </w:p>
        </w:tc>
        <w:tc>
          <w:tcPr>
            <w:tcW w:w="242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1100" w:type="dxa"/>
            <w:vAlign w:val="bottom"/>
          </w:tcPr>
          <w:p>
            <w:pPr>
              <w:spacing w:after="0"/>
              <w:rPr>
                <w:sz w:val="24"/>
                <w:szCs w:val="24"/>
                <w:color w:val="auto"/>
              </w:rPr>
            </w:pPr>
          </w:p>
        </w:tc>
      </w:tr>
      <w:tr>
        <w:trPr>
          <w:trHeight w:val="458"/>
        </w:trPr>
        <w:tc>
          <w:tcPr>
            <w:tcW w:w="2900" w:type="dxa"/>
            <w:vAlign w:val="bottom"/>
          </w:tcPr>
          <w:p>
            <w:pPr>
              <w:spacing w:after="0"/>
              <w:rPr>
                <w:sz w:val="20"/>
                <w:szCs w:val="20"/>
                <w:color w:val="auto"/>
              </w:rPr>
            </w:pPr>
            <w:r>
              <w:rPr>
                <w:rFonts w:ascii="Arial" w:cs="Arial" w:eastAsia="Arial" w:hAnsi="Arial"/>
                <w:sz w:val="18"/>
                <w:szCs w:val="18"/>
                <w:color w:val="auto"/>
              </w:rPr>
              <w:t>Conflict of interest</w:t>
            </w:r>
          </w:p>
        </w:tc>
        <w:tc>
          <w:tcPr>
            <w:tcW w:w="7940" w:type="dxa"/>
            <w:vAlign w:val="bottom"/>
            <w:gridSpan w:val="5"/>
          </w:tcPr>
          <w:p>
            <w:pPr>
              <w:ind w:left="1220"/>
              <w:spacing w:after="0"/>
              <w:rPr>
                <w:sz w:val="20"/>
                <w:szCs w:val="20"/>
                <w:color w:val="auto"/>
              </w:rPr>
            </w:pPr>
            <w:r>
              <w:rPr>
                <w:rFonts w:ascii="Arial" w:cs="Arial" w:eastAsia="Arial" w:hAnsi="Arial"/>
                <w:sz w:val="18"/>
                <w:szCs w:val="18"/>
                <w:color w:val="auto"/>
                <w:w w:val="96"/>
              </w:rPr>
              <w:t>Affiliates of Goldman Sachs &amp; Co. LLC and J.P. Morgan Securities LLC, underwriters in</w:t>
            </w:r>
          </w:p>
        </w:tc>
      </w:tr>
      <w:tr>
        <w:trPr>
          <w:trHeight w:val="216"/>
        </w:trPr>
        <w:tc>
          <w:tcPr>
            <w:tcW w:w="2900" w:type="dxa"/>
            <w:vAlign w:val="bottom"/>
          </w:tcPr>
          <w:p>
            <w:pPr>
              <w:spacing w:after="0"/>
              <w:rPr>
                <w:sz w:val="18"/>
                <w:szCs w:val="18"/>
                <w:color w:val="auto"/>
              </w:rPr>
            </w:pPr>
          </w:p>
        </w:tc>
        <w:tc>
          <w:tcPr>
            <w:tcW w:w="7940" w:type="dxa"/>
            <w:vAlign w:val="bottom"/>
            <w:gridSpan w:val="5"/>
          </w:tcPr>
          <w:p>
            <w:pPr>
              <w:ind w:left="1220"/>
              <w:spacing w:after="0"/>
              <w:rPr>
                <w:sz w:val="20"/>
                <w:szCs w:val="20"/>
                <w:color w:val="auto"/>
              </w:rPr>
            </w:pPr>
            <w:r>
              <w:rPr>
                <w:rFonts w:ascii="Arial" w:cs="Arial" w:eastAsia="Arial" w:hAnsi="Arial"/>
                <w:sz w:val="18"/>
                <w:szCs w:val="18"/>
                <w:color w:val="auto"/>
                <w:w w:val="94"/>
              </w:rPr>
              <w:t>this offering, will receive at least 5% of the net proceeds of this offering in connection with</w:t>
            </w:r>
          </w:p>
        </w:tc>
      </w:tr>
      <w:tr>
        <w:trPr>
          <w:trHeight w:val="216"/>
        </w:trPr>
        <w:tc>
          <w:tcPr>
            <w:tcW w:w="2900" w:type="dxa"/>
            <w:vAlign w:val="bottom"/>
          </w:tcPr>
          <w:p>
            <w:pPr>
              <w:spacing w:after="0"/>
              <w:rPr>
                <w:sz w:val="18"/>
                <w:szCs w:val="18"/>
                <w:color w:val="auto"/>
              </w:rPr>
            </w:pPr>
          </w:p>
        </w:tc>
        <w:tc>
          <w:tcPr>
            <w:tcW w:w="2760" w:type="dxa"/>
            <w:vAlign w:val="bottom"/>
            <w:gridSpan w:val="2"/>
          </w:tcPr>
          <w:p>
            <w:pPr>
              <w:ind w:left="1220"/>
              <w:spacing w:after="0"/>
              <w:rPr>
                <w:sz w:val="20"/>
                <w:szCs w:val="20"/>
                <w:color w:val="auto"/>
              </w:rPr>
            </w:pPr>
            <w:r>
              <w:rPr>
                <w:rFonts w:ascii="Arial" w:cs="Arial" w:eastAsia="Arial" w:hAnsi="Arial"/>
                <w:sz w:val="18"/>
                <w:szCs w:val="18"/>
                <w:color w:val="auto"/>
              </w:rPr>
              <w:t>the repayment of $</w:t>
            </w:r>
          </w:p>
        </w:tc>
        <w:tc>
          <w:tcPr>
            <w:tcW w:w="5180" w:type="dxa"/>
            <w:vAlign w:val="bottom"/>
            <w:gridSpan w:val="3"/>
          </w:tcPr>
          <w:p>
            <w:pPr>
              <w:ind w:left="220"/>
              <w:spacing w:after="0"/>
              <w:rPr>
                <w:sz w:val="20"/>
                <w:szCs w:val="20"/>
                <w:color w:val="auto"/>
              </w:rPr>
            </w:pPr>
            <w:r>
              <w:rPr>
                <w:rFonts w:ascii="Arial" w:cs="Arial" w:eastAsia="Arial" w:hAnsi="Arial"/>
                <w:sz w:val="18"/>
                <w:szCs w:val="18"/>
                <w:color w:val="auto"/>
              </w:rPr>
              <w:t>that is expected to be outstanding immediately prior to the</w:t>
            </w:r>
          </w:p>
        </w:tc>
      </w:tr>
      <w:tr>
        <w:trPr>
          <w:trHeight w:val="216"/>
        </w:trPr>
        <w:tc>
          <w:tcPr>
            <w:tcW w:w="2900" w:type="dxa"/>
            <w:vAlign w:val="bottom"/>
          </w:tcPr>
          <w:p>
            <w:pPr>
              <w:spacing w:after="0"/>
              <w:rPr>
                <w:sz w:val="18"/>
                <w:szCs w:val="18"/>
                <w:color w:val="auto"/>
              </w:rPr>
            </w:pPr>
          </w:p>
        </w:tc>
        <w:tc>
          <w:tcPr>
            <w:tcW w:w="7940" w:type="dxa"/>
            <w:vAlign w:val="bottom"/>
            <w:gridSpan w:val="5"/>
          </w:tcPr>
          <w:p>
            <w:pPr>
              <w:ind w:left="1220"/>
              <w:spacing w:after="0"/>
              <w:rPr>
                <w:sz w:val="20"/>
                <w:szCs w:val="20"/>
                <w:color w:val="auto"/>
              </w:rPr>
            </w:pPr>
            <w:r>
              <w:rPr>
                <w:rFonts w:ascii="Arial" w:cs="Arial" w:eastAsia="Arial" w:hAnsi="Arial"/>
                <w:sz w:val="18"/>
                <w:szCs w:val="18"/>
                <w:color w:val="auto"/>
              </w:rPr>
              <w:t>completion of this offering under our revolving credit facility. See “Use of Proceeds.”</w:t>
            </w:r>
          </w:p>
        </w:tc>
      </w:tr>
      <w:tr>
        <w:trPr>
          <w:trHeight w:val="216"/>
        </w:trPr>
        <w:tc>
          <w:tcPr>
            <w:tcW w:w="2900" w:type="dxa"/>
            <w:vAlign w:val="bottom"/>
          </w:tcPr>
          <w:p>
            <w:pPr>
              <w:spacing w:after="0"/>
              <w:rPr>
                <w:sz w:val="18"/>
                <w:szCs w:val="18"/>
                <w:color w:val="auto"/>
              </w:rPr>
            </w:pPr>
          </w:p>
        </w:tc>
        <w:tc>
          <w:tcPr>
            <w:tcW w:w="7940" w:type="dxa"/>
            <w:vAlign w:val="bottom"/>
            <w:gridSpan w:val="5"/>
          </w:tcPr>
          <w:p>
            <w:pPr>
              <w:ind w:left="1220"/>
              <w:spacing w:after="0"/>
              <w:rPr>
                <w:sz w:val="20"/>
                <w:szCs w:val="20"/>
                <w:color w:val="auto"/>
              </w:rPr>
            </w:pPr>
            <w:r>
              <w:rPr>
                <w:rFonts w:ascii="Arial" w:cs="Arial" w:eastAsia="Arial" w:hAnsi="Arial"/>
                <w:sz w:val="18"/>
                <w:szCs w:val="18"/>
                <w:color w:val="auto"/>
                <w:w w:val="97"/>
              </w:rPr>
              <w:t>Accordingly, this offering is being made in compliance with the requirements of FINRA</w:t>
            </w:r>
          </w:p>
        </w:tc>
      </w:tr>
      <w:tr>
        <w:trPr>
          <w:trHeight w:val="216"/>
        </w:trPr>
        <w:tc>
          <w:tcPr>
            <w:tcW w:w="2900" w:type="dxa"/>
            <w:vAlign w:val="bottom"/>
          </w:tcPr>
          <w:p>
            <w:pPr>
              <w:spacing w:after="0"/>
              <w:rPr>
                <w:sz w:val="18"/>
                <w:szCs w:val="18"/>
                <w:color w:val="auto"/>
              </w:rPr>
            </w:pPr>
          </w:p>
        </w:tc>
        <w:tc>
          <w:tcPr>
            <w:tcW w:w="7940" w:type="dxa"/>
            <w:vAlign w:val="bottom"/>
            <w:gridSpan w:val="5"/>
          </w:tcPr>
          <w:p>
            <w:pPr>
              <w:ind w:left="1220"/>
              <w:spacing w:after="0"/>
              <w:rPr>
                <w:sz w:val="20"/>
                <w:szCs w:val="20"/>
                <w:color w:val="auto"/>
              </w:rPr>
            </w:pPr>
            <w:r>
              <w:rPr>
                <w:rFonts w:ascii="Arial" w:cs="Arial" w:eastAsia="Arial" w:hAnsi="Arial"/>
                <w:sz w:val="18"/>
                <w:szCs w:val="18"/>
                <w:color w:val="auto"/>
                <w:w w:val="91"/>
              </w:rPr>
              <w:t>Rule 5121. This rule requires, among other things, that a “qualified independent underwriter”</w:t>
            </w:r>
          </w:p>
        </w:tc>
      </w:tr>
      <w:tr>
        <w:trPr>
          <w:trHeight w:val="216"/>
        </w:trPr>
        <w:tc>
          <w:tcPr>
            <w:tcW w:w="2900" w:type="dxa"/>
            <w:vAlign w:val="bottom"/>
          </w:tcPr>
          <w:p>
            <w:pPr>
              <w:spacing w:after="0"/>
              <w:rPr>
                <w:sz w:val="18"/>
                <w:szCs w:val="18"/>
                <w:color w:val="auto"/>
              </w:rPr>
            </w:pPr>
          </w:p>
        </w:tc>
        <w:tc>
          <w:tcPr>
            <w:tcW w:w="7940" w:type="dxa"/>
            <w:vAlign w:val="bottom"/>
            <w:gridSpan w:val="5"/>
          </w:tcPr>
          <w:p>
            <w:pPr>
              <w:ind w:left="1220"/>
              <w:spacing w:after="0"/>
              <w:rPr>
                <w:sz w:val="20"/>
                <w:szCs w:val="20"/>
                <w:color w:val="auto"/>
              </w:rPr>
            </w:pPr>
            <w:r>
              <w:rPr>
                <w:rFonts w:ascii="Arial" w:cs="Arial" w:eastAsia="Arial" w:hAnsi="Arial"/>
                <w:sz w:val="18"/>
                <w:szCs w:val="18"/>
                <w:color w:val="auto"/>
                <w:w w:val="99"/>
              </w:rPr>
              <w:t>has participated in the preparation of, and has exercised the usual standards of “due</w:t>
            </w:r>
          </w:p>
        </w:tc>
      </w:tr>
      <w:tr>
        <w:trPr>
          <w:trHeight w:val="230"/>
        </w:trPr>
        <w:tc>
          <w:tcPr>
            <w:tcW w:w="2900" w:type="dxa"/>
            <w:vAlign w:val="bottom"/>
          </w:tcPr>
          <w:p>
            <w:pPr>
              <w:spacing w:after="0"/>
              <w:rPr>
                <w:sz w:val="20"/>
                <w:szCs w:val="20"/>
                <w:color w:val="auto"/>
              </w:rPr>
            </w:pPr>
          </w:p>
        </w:tc>
        <w:tc>
          <w:tcPr>
            <w:tcW w:w="5180" w:type="dxa"/>
            <w:vAlign w:val="bottom"/>
            <w:gridSpan w:val="3"/>
          </w:tcPr>
          <w:p>
            <w:pPr>
              <w:ind w:left="1220"/>
              <w:spacing w:after="0"/>
              <w:rPr>
                <w:sz w:val="20"/>
                <w:szCs w:val="20"/>
                <w:color w:val="auto"/>
              </w:rPr>
            </w:pPr>
            <w:r>
              <w:rPr>
                <w:rFonts w:ascii="Arial" w:cs="Arial" w:eastAsia="Arial" w:hAnsi="Arial"/>
                <w:sz w:val="18"/>
                <w:szCs w:val="18"/>
                <w:color w:val="auto"/>
                <w:w w:val="94"/>
              </w:rPr>
              <w:t>diligence” with respect to, the registration statement.</w:t>
            </w:r>
          </w:p>
        </w:tc>
        <w:tc>
          <w:tcPr>
            <w:tcW w:w="2760" w:type="dxa"/>
            <w:vAlign w:val="bottom"/>
            <w:gridSpan w:val="2"/>
          </w:tcPr>
          <w:p>
            <w:pPr>
              <w:ind w:left="460"/>
              <w:spacing w:after="0"/>
              <w:rPr>
                <w:sz w:val="20"/>
                <w:szCs w:val="20"/>
                <w:color w:val="auto"/>
              </w:rPr>
            </w:pPr>
            <w:r>
              <w:rPr>
                <w:rFonts w:ascii="Arial" w:cs="Arial" w:eastAsia="Arial" w:hAnsi="Arial"/>
                <w:sz w:val="18"/>
                <w:szCs w:val="18"/>
                <w:color w:val="auto"/>
                <w:w w:val="96"/>
              </w:rPr>
              <w:t>has agreed to act as qualified</w:t>
            </w:r>
          </w:p>
        </w:tc>
      </w:tr>
    </w:tbl>
    <w:p>
      <w:pPr>
        <w:ind w:left="4320" w:right="200"/>
        <w:spacing w:after="0" w:line="255" w:lineRule="auto"/>
        <w:rPr>
          <w:sz w:val="20"/>
          <w:szCs w:val="20"/>
          <w:color w:val="auto"/>
        </w:rPr>
      </w:pPr>
      <w:r>
        <w:rPr>
          <w:rFonts w:ascii="Arial" w:cs="Arial" w:eastAsia="Arial" w:hAnsi="Arial"/>
          <w:sz w:val="18"/>
          <w:szCs w:val="18"/>
          <w:color w:val="auto"/>
        </w:rPr>
        <w:t>independent underwriter for this offering and to undertake the legal responsibilities and liabilities of an underwriter under the Securities Act of 1933, as amended, or the Securities Act.</w:t>
      </w: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040"/>
          </w:cols>
          <w:pgMar w:left="320" w:top="459" w:right="53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136130" cy="581596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6130" cy="5815965"/>
                    </a:xfrm>
                    <a:prstGeom prst="rect">
                      <a:avLst/>
                    </a:prstGeom>
                    <a:noFill/>
                  </pic:spPr>
                </pic:pic>
              </a:graphicData>
            </a:graphic>
          </wp:anchor>
        </w:drawing>
      </w:r>
    </w:p>
    <w:p>
      <w:pPr>
        <w:spacing w:after="0" w:line="200" w:lineRule="exact"/>
        <w:rPr>
          <w:sz w:val="20"/>
          <w:szCs w:val="20"/>
          <w:color w:val="auto"/>
        </w:rPr>
      </w:pPr>
    </w:p>
    <w:p>
      <w:pPr>
        <w:spacing w:after="0" w:line="278" w:lineRule="exact"/>
        <w:rPr>
          <w:sz w:val="20"/>
          <w:szCs w:val="20"/>
          <w:color w:val="auto"/>
        </w:rPr>
      </w:pPr>
    </w:p>
    <w:p>
      <w:pPr>
        <w:ind w:left="620"/>
        <w:spacing w:after="0"/>
        <w:rPr>
          <w:sz w:val="20"/>
          <w:szCs w:val="20"/>
          <w:color w:val="auto"/>
        </w:rPr>
      </w:pPr>
      <w:r>
        <w:rPr>
          <w:rFonts w:ascii="Arial" w:cs="Arial" w:eastAsia="Arial" w:hAnsi="Arial"/>
          <w:sz w:val="17"/>
          <w:szCs w:val="17"/>
          <w:color w:val="auto"/>
        </w:rPr>
        <w:t>The number of shares of our Class A common stock and Class B common stock that will be outstanding after this offering is based on</w:t>
      </w:r>
    </w:p>
    <w:p>
      <w:pPr>
        <w:spacing w:after="0" w:line="35" w:lineRule="exact"/>
        <w:rPr>
          <w:sz w:val="20"/>
          <w:szCs w:val="20"/>
          <w:color w:val="auto"/>
        </w:rPr>
      </w:pPr>
    </w:p>
    <w:p>
      <w:pPr>
        <w:ind w:left="200"/>
        <w:spacing w:after="0"/>
        <w:rPr>
          <w:sz w:val="20"/>
          <w:szCs w:val="20"/>
          <w:color w:val="auto"/>
        </w:rPr>
      </w:pPr>
      <w:r>
        <w:rPr>
          <w:rFonts w:ascii="Arial" w:cs="Arial" w:eastAsia="Arial" w:hAnsi="Arial"/>
          <w:sz w:val="17"/>
          <w:szCs w:val="17"/>
          <w:color w:val="auto"/>
        </w:rPr>
        <w:t>13,892,885 shares of our Class A common stock and 538,851,747 shares of our Class B common stock as of September 30, 2017, and reflects:</w:t>
      </w:r>
    </w:p>
    <w:p>
      <w:pPr>
        <w:spacing w:after="0" w:line="128" w:lineRule="exact"/>
        <w:rPr>
          <w:sz w:val="20"/>
          <w:szCs w:val="20"/>
          <w:color w:val="auto"/>
        </w:rPr>
      </w:pPr>
    </w:p>
    <w:p>
      <w:pPr>
        <w:ind w:left="1060" w:right="180" w:hanging="326"/>
        <w:spacing w:after="0" w:line="257" w:lineRule="auto"/>
        <w:tabs>
          <w:tab w:leader="none" w:pos="1060" w:val="left"/>
        </w:tabs>
        <w:numPr>
          <w:ilvl w:val="0"/>
          <w:numId w:val="9"/>
        </w:numPr>
        <w:rPr>
          <w:rFonts w:ascii="Arial" w:cs="Arial" w:eastAsia="Arial" w:hAnsi="Arial"/>
          <w:sz w:val="18"/>
          <w:szCs w:val="18"/>
          <w:color w:val="auto"/>
        </w:rPr>
      </w:pPr>
      <w:r>
        <w:rPr>
          <w:rFonts w:ascii="Arial" w:cs="Arial" w:eastAsia="Arial" w:hAnsi="Arial"/>
          <w:sz w:val="18"/>
          <w:szCs w:val="18"/>
          <w:color w:val="auto"/>
        </w:rPr>
        <w:t>(i) 387,934 shares of preferred stock and 3,914,934 shares of Class B common stock that will convert into Class A common stock immediately prior to the completion of this offering pursuant to the terms of certain transfer agreements, and (ii) 220,965,979 shares of preferred stock that will automatically convert into shares of Class B common stock immediately prior to the completion of this offering pursuant to the terms of our amended and restated certificate of incorporation, which we refer to, collectively, as the Capital Stock Conversions; and</w:t>
      </w:r>
    </w:p>
    <w:p>
      <w:pPr>
        <w:spacing w:after="0" w:line="93" w:lineRule="exact"/>
        <w:rPr>
          <w:rFonts w:ascii="Arial" w:cs="Arial" w:eastAsia="Arial" w:hAnsi="Arial"/>
          <w:sz w:val="18"/>
          <w:szCs w:val="18"/>
          <w:color w:val="auto"/>
        </w:rPr>
      </w:pPr>
    </w:p>
    <w:p>
      <w:pPr>
        <w:ind w:left="1060" w:right="80" w:hanging="326"/>
        <w:spacing w:after="0" w:line="263" w:lineRule="auto"/>
        <w:tabs>
          <w:tab w:leader="none" w:pos="1060" w:val="left"/>
        </w:tabs>
        <w:numPr>
          <w:ilvl w:val="0"/>
          <w:numId w:val="9"/>
        </w:numPr>
        <w:rPr>
          <w:rFonts w:ascii="Arial" w:cs="Arial" w:eastAsia="Arial" w:hAnsi="Arial"/>
          <w:sz w:val="18"/>
          <w:szCs w:val="18"/>
          <w:color w:val="auto"/>
        </w:rPr>
      </w:pPr>
      <w:r>
        <w:rPr>
          <w:rFonts w:ascii="Arial" w:cs="Arial" w:eastAsia="Arial" w:hAnsi="Arial"/>
          <w:sz w:val="18"/>
          <w:szCs w:val="18"/>
          <w:color w:val="auto"/>
        </w:rPr>
        <w:t>38,172,093 shares of our Class B common stock subject to RSUs, for which the service condition was satisfied as of September 30, 2017, and for which we expect the Performance Vesting Condition to be satisfied upon the effectiveness of our registration statement related to this offering (which RSUs are expected to be net settled by us), or the RSU Settlement.</w:t>
      </w:r>
    </w:p>
    <w:p>
      <w:pPr>
        <w:spacing w:after="0" w:line="184" w:lineRule="exact"/>
        <w:rPr>
          <w:sz w:val="20"/>
          <w:szCs w:val="20"/>
          <w:color w:val="auto"/>
        </w:rPr>
      </w:pPr>
    </w:p>
    <w:p>
      <w:pPr>
        <w:ind w:left="620"/>
        <w:spacing w:after="0"/>
        <w:rPr>
          <w:sz w:val="20"/>
          <w:szCs w:val="20"/>
          <w:color w:val="auto"/>
        </w:rPr>
      </w:pPr>
      <w:r>
        <w:rPr>
          <w:rFonts w:ascii="Arial" w:cs="Arial" w:eastAsia="Arial" w:hAnsi="Arial"/>
          <w:sz w:val="17"/>
          <w:szCs w:val="17"/>
          <w:color w:val="auto"/>
        </w:rPr>
        <w:t>The shares of our Class A common stock and Class B common stock outstanding as of September 30, 2017 excludes the following:</w:t>
      </w:r>
    </w:p>
    <w:p>
      <w:pPr>
        <w:spacing w:after="0" w:line="142" w:lineRule="exact"/>
        <w:rPr>
          <w:sz w:val="20"/>
          <w:szCs w:val="20"/>
          <w:color w:val="auto"/>
        </w:rPr>
      </w:pPr>
    </w:p>
    <w:p>
      <w:pPr>
        <w:ind w:left="1060" w:right="340" w:hanging="326"/>
        <w:spacing w:after="0" w:line="277" w:lineRule="auto"/>
        <w:tabs>
          <w:tab w:leader="none" w:pos="10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7,484,830 shares of our Class B common stock issuable upon the exercise of options to purchase shares of our Class B common stock outstanding as of September 30, 2017, with a weighted-average exercise price of $7.03 per share;</w:t>
      </w:r>
    </w:p>
    <w:p>
      <w:pPr>
        <w:spacing w:after="0" w:line="75" w:lineRule="exact"/>
        <w:rPr>
          <w:rFonts w:ascii="Arial" w:cs="Arial" w:eastAsia="Arial" w:hAnsi="Arial"/>
          <w:sz w:val="18"/>
          <w:szCs w:val="18"/>
          <w:color w:val="auto"/>
        </w:rPr>
      </w:pPr>
    </w:p>
    <w:p>
      <w:pPr>
        <w:ind w:left="1060" w:hanging="326"/>
        <w:spacing w:after="0" w:line="277" w:lineRule="auto"/>
        <w:tabs>
          <w:tab w:leader="none" w:pos="10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22,883,109 shares of our Class A common stock and 23,405,828 shares of our Class B common stock subject to RSUs outstanding, but for which the service condition was not satisfied, as of September 30, 2017;</w:t>
      </w:r>
    </w:p>
    <w:p>
      <w:pPr>
        <w:spacing w:after="0" w:line="75" w:lineRule="exact"/>
        <w:rPr>
          <w:rFonts w:ascii="Arial" w:cs="Arial" w:eastAsia="Arial" w:hAnsi="Arial"/>
          <w:sz w:val="18"/>
          <w:szCs w:val="18"/>
          <w:color w:val="auto"/>
        </w:rPr>
      </w:pPr>
    </w:p>
    <w:p>
      <w:pPr>
        <w:ind w:left="1060" w:hanging="326"/>
        <w:spacing w:after="0"/>
        <w:tabs>
          <w:tab w:leader="none" w:pos="10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1,588,685 shares of our Class A common stock subject to RSUs granted after September 30, 2017; and</w:t>
      </w:r>
    </w:p>
    <w:p>
      <w:pPr>
        <w:spacing w:after="0" w:line="130" w:lineRule="exact"/>
        <w:rPr>
          <w:rFonts w:ascii="Arial" w:cs="Arial" w:eastAsia="Arial" w:hAnsi="Arial"/>
          <w:sz w:val="18"/>
          <w:szCs w:val="18"/>
          <w:color w:val="auto"/>
        </w:rPr>
      </w:pPr>
    </w:p>
    <w:p>
      <w:pPr>
        <w:ind w:left="1640" w:hanging="906"/>
        <w:spacing w:after="0"/>
        <w:tabs>
          <w:tab w:leader="none" w:pos="16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shares of our Class A common stock reserved for future issuance under our equity compensation plans, consisting of:</w:t>
      </w:r>
    </w:p>
    <w:p>
      <w:pPr>
        <w:spacing w:after="0" w:line="130" w:lineRule="exact"/>
        <w:rPr>
          <w:rFonts w:ascii="Arial" w:cs="Arial" w:eastAsia="Arial" w:hAnsi="Arial"/>
          <w:sz w:val="18"/>
          <w:szCs w:val="18"/>
          <w:color w:val="auto"/>
        </w:rPr>
      </w:pPr>
    </w:p>
    <w:p>
      <w:pPr>
        <w:ind w:left="1600" w:right="120" w:hanging="434"/>
        <w:spacing w:after="0" w:line="277" w:lineRule="auto"/>
        <w:tabs>
          <w:tab w:leader="none" w:pos="2185" w:val="left"/>
        </w:tabs>
        <w:numPr>
          <w:ilvl w:val="1"/>
          <w:numId w:val="10"/>
        </w:numPr>
        <w:rPr>
          <w:rFonts w:ascii="Arial" w:cs="Arial" w:eastAsia="Arial" w:hAnsi="Arial"/>
          <w:sz w:val="18"/>
          <w:szCs w:val="18"/>
          <w:color w:val="auto"/>
        </w:rPr>
      </w:pPr>
      <w:r>
        <w:rPr>
          <w:rFonts w:ascii="Arial" w:cs="Arial" w:eastAsia="Arial" w:hAnsi="Arial"/>
          <w:sz w:val="18"/>
          <w:szCs w:val="18"/>
          <w:color w:val="auto"/>
        </w:rPr>
        <w:t>shares of our Class A common stock to be reserved for future issuance under our 2018 Equity Incentive Plan, or our 2018 Plan, which will become effective prior to the completion of this offering;</w:t>
      </w:r>
    </w:p>
    <w:p>
      <w:pPr>
        <w:spacing w:after="0" w:line="75" w:lineRule="exact"/>
        <w:rPr>
          <w:rFonts w:ascii="Arial" w:cs="Arial" w:eastAsia="Arial" w:hAnsi="Arial"/>
          <w:sz w:val="18"/>
          <w:szCs w:val="18"/>
          <w:color w:val="auto"/>
        </w:rPr>
      </w:pPr>
    </w:p>
    <w:p>
      <w:pPr>
        <w:ind w:left="1600" w:hanging="434"/>
        <w:spacing w:after="0" w:line="263" w:lineRule="auto"/>
        <w:tabs>
          <w:tab w:leader="none" w:pos="2185" w:val="left"/>
        </w:tabs>
        <w:numPr>
          <w:ilvl w:val="1"/>
          <w:numId w:val="10"/>
        </w:numPr>
        <w:rPr>
          <w:rFonts w:ascii="Arial" w:cs="Arial" w:eastAsia="Arial" w:hAnsi="Arial"/>
          <w:sz w:val="18"/>
          <w:szCs w:val="18"/>
          <w:color w:val="auto"/>
        </w:rPr>
      </w:pPr>
      <w:r>
        <w:rPr>
          <w:rFonts w:ascii="Arial" w:cs="Arial" w:eastAsia="Arial" w:hAnsi="Arial"/>
          <w:sz w:val="18"/>
          <w:szCs w:val="18"/>
          <w:color w:val="auto"/>
        </w:rPr>
        <w:t>shares of our Class A common stock reserved for future issuance under our 2017 Equity Incentive Plan, or our 2017 Plan, which number of shares will be added to the shares of our Class A common stock to be reserved for future issuance under our 2018 Plan upon its effectiveness; and</w:t>
      </w:r>
    </w:p>
    <w:p>
      <w:pPr>
        <w:spacing w:after="0" w:line="89" w:lineRule="exact"/>
        <w:rPr>
          <w:rFonts w:ascii="Arial" w:cs="Arial" w:eastAsia="Arial" w:hAnsi="Arial"/>
          <w:sz w:val="18"/>
          <w:szCs w:val="18"/>
          <w:color w:val="auto"/>
        </w:rPr>
      </w:pPr>
    </w:p>
    <w:p>
      <w:pPr>
        <w:ind w:left="1600" w:right="120" w:hanging="434"/>
        <w:spacing w:after="0" w:line="263" w:lineRule="auto"/>
        <w:tabs>
          <w:tab w:leader="none" w:pos="2185" w:val="left"/>
        </w:tabs>
        <w:numPr>
          <w:ilvl w:val="1"/>
          <w:numId w:val="10"/>
        </w:numPr>
        <w:rPr>
          <w:rFonts w:ascii="Arial" w:cs="Arial" w:eastAsia="Arial" w:hAnsi="Arial"/>
          <w:sz w:val="18"/>
          <w:szCs w:val="18"/>
          <w:color w:val="auto"/>
        </w:rPr>
      </w:pPr>
      <w:r>
        <w:rPr>
          <w:rFonts w:ascii="Arial" w:cs="Arial" w:eastAsia="Arial" w:hAnsi="Arial"/>
          <w:sz w:val="18"/>
          <w:szCs w:val="18"/>
          <w:color w:val="auto"/>
        </w:rPr>
        <w:t>shares of our Class A common stock to be reserved for future issuance under our 2018 Employee Stock Purchase Plan, or our ESPP, which will become effective prior to the completion of this offering, but no offering periods under the ESPP will commence unless and until otherwise determined by our Board of Directors.</w:t>
      </w:r>
    </w:p>
    <w:p>
      <w:pPr>
        <w:spacing w:after="0" w:line="184" w:lineRule="exact"/>
        <w:rPr>
          <w:sz w:val="20"/>
          <w:szCs w:val="20"/>
          <w:color w:val="auto"/>
        </w:rPr>
      </w:pPr>
    </w:p>
    <w:p>
      <w:pPr>
        <w:ind w:left="200" w:right="80" w:firstLine="434"/>
        <w:spacing w:after="0" w:line="279" w:lineRule="auto"/>
        <w:rPr>
          <w:sz w:val="20"/>
          <w:szCs w:val="20"/>
          <w:color w:val="auto"/>
        </w:rPr>
      </w:pPr>
      <w:r>
        <w:rPr>
          <w:rFonts w:ascii="Arial" w:cs="Arial" w:eastAsia="Arial" w:hAnsi="Arial"/>
          <w:sz w:val="17"/>
          <w:szCs w:val="17"/>
          <w:color w:val="auto"/>
        </w:rPr>
        <w:t>Our 2018 Plan and ESPP each provides for annual automatic increases in the number of shares of our Class A common stock reserved thereunder, and our 2018 Plan also provides for increases to the number of shares of our Class A common stock that may be granted thereunder based on shares under our 2008 Equity Incentive Plan, or our 2008 Plan, and 2017 Plan that expire, are forfeited, or otherwise repurchased by us, as more fully described in the section titled “Executive Compensation—Employee Benefits and Stock Plans.”</w:t>
      </w:r>
    </w:p>
    <w:p>
      <w:pPr>
        <w:spacing w:after="0" w:line="171" w:lineRule="exact"/>
        <w:rPr>
          <w:sz w:val="20"/>
          <w:szCs w:val="20"/>
          <w:color w:val="auto"/>
        </w:rPr>
      </w:pPr>
    </w:p>
    <w:p>
      <w:pPr>
        <w:ind w:left="620"/>
        <w:spacing w:after="0"/>
        <w:rPr>
          <w:sz w:val="20"/>
          <w:szCs w:val="20"/>
          <w:color w:val="auto"/>
        </w:rPr>
      </w:pPr>
      <w:r>
        <w:rPr>
          <w:rFonts w:ascii="Arial" w:cs="Arial" w:eastAsia="Arial" w:hAnsi="Arial"/>
          <w:sz w:val="18"/>
          <w:szCs w:val="18"/>
          <w:color w:val="auto"/>
        </w:rPr>
        <w:t>Except as otherwise indicated, all information in this prospectus assumes:</w:t>
      </w:r>
    </w:p>
    <w:p>
      <w:pPr>
        <w:spacing w:after="0" w:line="131" w:lineRule="exact"/>
        <w:rPr>
          <w:sz w:val="20"/>
          <w:szCs w:val="20"/>
          <w:color w:val="auto"/>
        </w:rPr>
      </w:pPr>
    </w:p>
    <w:p>
      <w:pPr>
        <w:ind w:left="1060" w:hanging="326"/>
        <w:spacing w:after="0"/>
        <w:tabs>
          <w:tab w:leader="none" w:pos="10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Capital Stock Conversions will occur immediately prior to the completion of this offering;</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05" w:lineRule="exact"/>
        <w:rPr>
          <w:rFonts w:ascii="Arial" w:cs="Arial" w:eastAsia="Arial" w:hAnsi="Arial"/>
          <w:sz w:val="18"/>
          <w:szCs w:val="18"/>
          <w:color w:val="auto"/>
        </w:rPr>
      </w:pPr>
    </w:p>
    <w:p>
      <w:pPr>
        <w:ind w:left="5580"/>
        <w:spacing w:after="0"/>
        <w:rPr>
          <w:rFonts w:ascii="Arial" w:cs="Arial" w:eastAsia="Arial" w:hAnsi="Arial"/>
          <w:sz w:val="18"/>
          <w:szCs w:val="18"/>
          <w:color w:val="auto"/>
        </w:rPr>
      </w:pPr>
      <w:r>
        <w:rPr>
          <w:rFonts w:ascii="Arial" w:cs="Arial" w:eastAsia="Arial" w:hAnsi="Arial"/>
          <w:sz w:val="18"/>
          <w:szCs w:val="18"/>
          <w:color w:val="auto"/>
        </w:rPr>
        <w:t>9</w:t>
      </w:r>
    </w:p>
    <w:p>
      <w:pPr>
        <w:sectPr>
          <w:pgSz w:w="11900" w:h="16838" w:orient="portrait"/>
          <w:cols w:equalWidth="0" w:num="1">
            <w:col w:w="11040"/>
          </w:cols>
          <w:pgMar w:left="320" w:top="459" w:right="53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136130" cy="17100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6130" cy="1710055"/>
                    </a:xfrm>
                    <a:prstGeom prst="rect">
                      <a:avLst/>
                    </a:prstGeom>
                    <a:noFill/>
                  </pic:spPr>
                </pic:pic>
              </a:graphicData>
            </a:graphic>
          </wp:anchor>
        </w:drawing>
      </w:r>
    </w:p>
    <w:p>
      <w:pPr>
        <w:spacing w:after="0" w:line="200" w:lineRule="exact"/>
        <w:rPr>
          <w:sz w:val="20"/>
          <w:szCs w:val="20"/>
          <w:color w:val="auto"/>
        </w:rPr>
      </w:pPr>
    </w:p>
    <w:p>
      <w:pPr>
        <w:spacing w:after="0" w:line="278" w:lineRule="exact"/>
        <w:rPr>
          <w:sz w:val="20"/>
          <w:szCs w:val="20"/>
          <w:color w:val="auto"/>
        </w:rPr>
      </w:pPr>
    </w:p>
    <w:p>
      <w:pPr>
        <w:ind w:left="1060" w:hanging="326"/>
        <w:spacing w:after="0" w:line="277" w:lineRule="auto"/>
        <w:tabs>
          <w:tab w:leader="none" w:pos="10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filing and effectiveness of our amended and restated certificate of incorporation in Delaware and the effectiveness of our amended and restated bylaws, each of which will occur immediately prior to the completion of this offering;</w:t>
      </w:r>
    </w:p>
    <w:p>
      <w:pPr>
        <w:spacing w:after="0" w:line="75" w:lineRule="exact"/>
        <w:rPr>
          <w:rFonts w:ascii="Arial" w:cs="Arial" w:eastAsia="Arial" w:hAnsi="Arial"/>
          <w:sz w:val="18"/>
          <w:szCs w:val="18"/>
          <w:color w:val="auto"/>
        </w:rPr>
      </w:pPr>
    </w:p>
    <w:p>
      <w:pPr>
        <w:ind w:left="1060" w:right="320" w:hanging="326"/>
        <w:spacing w:after="0" w:line="277" w:lineRule="auto"/>
        <w:tabs>
          <w:tab w:leader="none" w:pos="10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conversion of shares of our Class B common stock held by certain selling stockholders into an equivalent number of shares of our Class A common stock upon the sale by the selling stockholders in this offering;</w:t>
      </w:r>
    </w:p>
    <w:p>
      <w:pPr>
        <w:spacing w:after="0" w:line="75" w:lineRule="exact"/>
        <w:rPr>
          <w:rFonts w:ascii="Arial" w:cs="Arial" w:eastAsia="Arial" w:hAnsi="Arial"/>
          <w:sz w:val="18"/>
          <w:szCs w:val="18"/>
          <w:color w:val="auto"/>
        </w:rPr>
      </w:pPr>
    </w:p>
    <w:p>
      <w:pPr>
        <w:ind w:left="1060" w:right="540" w:hanging="326"/>
        <w:spacing w:after="0" w:line="277" w:lineRule="auto"/>
        <w:tabs>
          <w:tab w:leader="none" w:pos="10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no exercise of outstanding stock options or settlement of outstanding RSUs subsequent to September 30, 2017, other than the RSU Settlement; and</w:t>
      </w:r>
    </w:p>
    <w:p>
      <w:pPr>
        <w:sectPr>
          <w:pgSz w:w="11900" w:h="16838" w:orient="portrait"/>
          <w:cols w:equalWidth="0" w:num="1">
            <w:col w:w="11000"/>
          </w:cols>
          <w:pgMar w:left="320" w:top="459" w:right="579" w:bottom="1440" w:gutter="0" w:footer="0" w:header="0"/>
        </w:sectPr>
      </w:pPr>
    </w:p>
    <w:p>
      <w:pPr>
        <w:spacing w:after="0" w:line="76" w:lineRule="exact"/>
        <w:rPr>
          <w:sz w:val="20"/>
          <w:szCs w:val="20"/>
          <w:color w:val="auto"/>
        </w:rPr>
      </w:pPr>
    </w:p>
    <w:p>
      <w:pPr>
        <w:ind w:left="740"/>
        <w:spacing w:after="0"/>
        <w:rPr>
          <w:sz w:val="20"/>
          <w:szCs w:val="20"/>
          <w:color w:val="auto"/>
        </w:rPr>
      </w:pPr>
      <w:r>
        <w:rPr>
          <w:rFonts w:ascii="Arial" w:cs="Arial" w:eastAsia="Arial" w:hAnsi="Arial"/>
          <w:sz w:val="17"/>
          <w:szCs w:val="17"/>
          <w:color w:val="auto"/>
        </w:rPr>
        <w:t>•</w:t>
      </w:r>
    </w:p>
    <w:p>
      <w:pPr>
        <w:spacing w:after="0" w:line="20" w:lineRule="exact"/>
        <w:rPr>
          <w:sz w:val="20"/>
          <w:szCs w:val="20"/>
          <w:color w:val="auto"/>
        </w:rPr>
      </w:pPr>
      <w:r>
        <w:rPr>
          <w:sz w:val="20"/>
          <w:szCs w:val="20"/>
          <w:color w:val="auto"/>
        </w:rPr>
        <w:br w:type="column"/>
      </w:r>
    </w:p>
    <w:p>
      <w:pPr>
        <w:spacing w:after="0" w:line="56"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no exercise by the underwriters of their option to purchase up to an additional the selling stockholders.</w:t>
      </w:r>
    </w:p>
    <w:p>
      <w:pPr>
        <w:spacing w:after="0" w:line="20" w:lineRule="exact"/>
        <w:rPr>
          <w:sz w:val="20"/>
          <w:szCs w:val="20"/>
          <w:color w:val="auto"/>
        </w:rPr>
      </w:pPr>
      <w:r>
        <w:rPr>
          <w:sz w:val="20"/>
          <w:szCs w:val="20"/>
          <w:color w:val="auto"/>
        </w:rPr>
        <w:br w:type="column"/>
      </w:r>
    </w:p>
    <w:p>
      <w:pPr>
        <w:spacing w:after="0" w:line="56" w:lineRule="exact"/>
        <w:rPr>
          <w:sz w:val="20"/>
          <w:szCs w:val="20"/>
          <w:color w:val="auto"/>
        </w:rPr>
      </w:pPr>
    </w:p>
    <w:p>
      <w:pPr>
        <w:spacing w:after="0"/>
        <w:rPr>
          <w:sz w:val="20"/>
          <w:szCs w:val="20"/>
          <w:color w:val="auto"/>
        </w:rPr>
      </w:pPr>
      <w:r>
        <w:rPr>
          <w:rFonts w:ascii="Arial" w:cs="Arial" w:eastAsia="Arial" w:hAnsi="Arial"/>
          <w:sz w:val="16"/>
          <w:szCs w:val="16"/>
          <w:color w:val="auto"/>
        </w:rPr>
        <w:t>shares of our Class A common stock from us and</w:t>
      </w:r>
    </w:p>
    <w:p>
      <w:pPr>
        <w:spacing w:after="0" w:line="493" w:lineRule="exact"/>
        <w:rPr>
          <w:sz w:val="20"/>
          <w:szCs w:val="20"/>
          <w:color w:val="auto"/>
        </w:rPr>
      </w:pPr>
    </w:p>
    <w:p>
      <w:pPr>
        <w:sectPr>
          <w:pgSz w:w="11900" w:h="16838" w:orient="portrait"/>
          <w:cols w:equalWidth="0" w:num="3">
            <w:col w:w="800" w:space="260"/>
            <w:col w:w="5580" w:space="640"/>
            <w:col w:w="3720"/>
          </w:cols>
          <w:pgMar w:left="320" w:top="459" w:right="579" w:bottom="1440" w:gutter="0" w:footer="0" w:header="0"/>
          <w:type w:val="continuous"/>
        </w:sectPr>
      </w:pPr>
    </w:p>
    <w:p>
      <w:pPr>
        <w:spacing w:after="0" w:line="200" w:lineRule="exact"/>
        <w:rPr>
          <w:sz w:val="20"/>
          <w:szCs w:val="20"/>
          <w:color w:val="auto"/>
        </w:rPr>
      </w:pPr>
    </w:p>
    <w:p>
      <w:pPr>
        <w:spacing w:after="0" w:line="351" w:lineRule="exact"/>
        <w:rPr>
          <w:sz w:val="20"/>
          <w:szCs w:val="20"/>
          <w:color w:val="auto"/>
        </w:rPr>
      </w:pPr>
    </w:p>
    <w:p>
      <w:pPr>
        <w:jc w:val="center"/>
        <w:ind w:right="-259"/>
        <w:spacing w:after="0"/>
        <w:rPr>
          <w:sz w:val="20"/>
          <w:szCs w:val="20"/>
          <w:color w:val="auto"/>
        </w:rPr>
      </w:pPr>
      <w:r>
        <w:rPr>
          <w:rFonts w:ascii="Arial" w:cs="Arial" w:eastAsia="Arial" w:hAnsi="Arial"/>
          <w:sz w:val="16"/>
          <w:szCs w:val="16"/>
          <w:color w:val="auto"/>
        </w:rPr>
        <w:t>10</w:t>
      </w:r>
    </w:p>
    <w:p>
      <w:pPr>
        <w:sectPr>
          <w:pgSz w:w="11900" w:h="16838" w:orient="portrait"/>
          <w:cols w:equalWidth="0" w:num="1">
            <w:col w:w="11000"/>
          </w:cols>
          <w:pgMar w:left="320" w:top="459" w:right="579" w:bottom="1440" w:gutter="0" w:footer="0" w:header="0"/>
          <w:type w:val="continuous"/>
        </w:sectPr>
      </w:pPr>
    </w:p>
    <w:bookmarkStart w:id="13" w:name="page14"/>
    <w:bookmarkEnd w:id="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136130" cy="61931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36130" cy="6193155"/>
                    </a:xfrm>
                    <a:prstGeom prst="rect">
                      <a:avLst/>
                    </a:prstGeom>
                    <a:noFill/>
                  </pic:spPr>
                </pic:pic>
              </a:graphicData>
            </a:graphic>
          </wp:anchor>
        </w:drawing>
      </w:r>
    </w:p>
    <w:p>
      <w:pPr>
        <w:spacing w:after="0" w:line="200" w:lineRule="exact"/>
        <w:rPr>
          <w:sz w:val="20"/>
          <w:szCs w:val="20"/>
          <w:color w:val="auto"/>
        </w:rPr>
      </w:pPr>
    </w:p>
    <w:p>
      <w:pPr>
        <w:spacing w:after="0" w:line="274"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SUMMARY CONSOLIDATED FINANCIAL AND OTHER DATA</w:t>
      </w:r>
    </w:p>
    <w:p>
      <w:pPr>
        <w:spacing w:after="0" w:line="229" w:lineRule="exact"/>
        <w:rPr>
          <w:sz w:val="20"/>
          <w:szCs w:val="20"/>
          <w:color w:val="auto"/>
        </w:rPr>
      </w:pPr>
    </w:p>
    <w:p>
      <w:pPr>
        <w:ind w:left="200" w:right="80" w:firstLine="434"/>
        <w:spacing w:after="0" w:line="269" w:lineRule="auto"/>
        <w:rPr>
          <w:sz w:val="20"/>
          <w:szCs w:val="20"/>
          <w:color w:val="auto"/>
        </w:rPr>
      </w:pPr>
      <w:r>
        <w:rPr>
          <w:rFonts w:ascii="Arial" w:cs="Arial" w:eastAsia="Arial" w:hAnsi="Arial"/>
          <w:sz w:val="17"/>
          <w:szCs w:val="17"/>
          <w:color w:val="auto"/>
        </w:rPr>
        <w:t>The following summary consolidated financial data should be read in conjunction with “Management’s Discussion and Analysis of Financial Condition and Results of Operations” and the consolidated financial statements and related notes thereto included elsewhere in this prospectus. The consolidated statements of operations data for each of the years ended December 31, 2015 and 2016, are derived from our audited consolidated financial statements that are included elsewhere in this prospectus. The consolidated statements of operations data for the nine months ended September 30, 2016 and 2017, and the consolidated balance sheet data as of September 30, 2017, have been derived from our unaudited consolidated financial statements appearing elsewhere in this prospectus. We have prepared the unaudited consolidated financial statements on the same basis as the audited consolidated financial statements and have included all adjustments, consisting only of normal recurring adjustments that, in our opinion, are necessary to state fairly the financial information set forth in those statements. Our historical results are not necessarily indicative of our future results, and the results of operations for the nine months ended September 30, 2017, are not necessarily indicative of the results to be expected for the full year or any other period. The summary consolidated financial data in this section are not intended to replace the consolidated financial statements and related notes thereto included elsewhere in this prospectus and are qualified in their entirety by the consolidated financial statements and related notes thereto included elsewhere in this prospectus.</w:t>
      </w:r>
    </w:p>
    <w:p>
      <w:pPr>
        <w:spacing w:after="0" w:line="283"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Consolidated Statements of Operations Data</w:t>
      </w:r>
    </w:p>
    <w:p>
      <w:pPr>
        <w:spacing w:after="0" w:line="235" w:lineRule="exact"/>
        <w:rPr>
          <w:sz w:val="20"/>
          <w:szCs w:val="20"/>
          <w:color w:val="auto"/>
        </w:rPr>
      </w:pPr>
    </w:p>
    <w:tbl>
      <w:tblPr>
        <w:tblLayout w:type="fixed"/>
        <w:tblInd w:w="20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00" w:type="dxa"/>
            <w:vAlign w:val="bottom"/>
            <w:gridSpan w:val="6"/>
          </w:tcPr>
          <w:p>
            <w:pPr>
              <w:jc w:val="right"/>
              <w:ind w:right="601"/>
              <w:spacing w:after="0"/>
              <w:rPr>
                <w:sz w:val="20"/>
                <w:szCs w:val="20"/>
                <w:color w:val="auto"/>
              </w:rPr>
            </w:pPr>
            <w:r>
              <w:rPr>
                <w:rFonts w:ascii="Arial" w:cs="Arial" w:eastAsia="Arial" w:hAnsi="Arial"/>
                <w:sz w:val="14"/>
                <w:szCs w:val="14"/>
                <w:b w:val="1"/>
                <w:bCs w:val="1"/>
                <w:color w:val="auto"/>
              </w:rPr>
              <w:t>Year ended</w:t>
            </w: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00" w:type="dxa"/>
            <w:vAlign w:val="bottom"/>
            <w:gridSpan w:val="4"/>
          </w:tcPr>
          <w:p>
            <w:pPr>
              <w:jc w:val="right"/>
              <w:ind w:right="181"/>
              <w:spacing w:after="0"/>
              <w:rPr>
                <w:sz w:val="20"/>
                <w:szCs w:val="20"/>
                <w:color w:val="auto"/>
              </w:rPr>
            </w:pPr>
            <w:r>
              <w:rPr>
                <w:rFonts w:ascii="Arial" w:cs="Arial" w:eastAsia="Arial" w:hAnsi="Arial"/>
                <w:sz w:val="14"/>
                <w:szCs w:val="14"/>
                <w:b w:val="1"/>
                <w:bCs w:val="1"/>
                <w:color w:val="auto"/>
                <w:w w:val="93"/>
              </w:rPr>
              <w:t>Nine months ended</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00" w:type="dxa"/>
            <w:vAlign w:val="bottom"/>
            <w:gridSpan w:val="6"/>
          </w:tcPr>
          <w:p>
            <w:pPr>
              <w:jc w:val="right"/>
              <w:ind w:right="521"/>
              <w:spacing w:after="0"/>
              <w:rPr>
                <w:sz w:val="20"/>
                <w:szCs w:val="20"/>
                <w:color w:val="auto"/>
              </w:rPr>
            </w:pPr>
            <w:r>
              <w:rPr>
                <w:rFonts w:ascii="Arial" w:cs="Arial" w:eastAsia="Arial" w:hAnsi="Arial"/>
                <w:sz w:val="14"/>
                <w:szCs w:val="14"/>
                <w:b w:val="1"/>
                <w:bCs w:val="1"/>
                <w:color w:val="auto"/>
              </w:rPr>
              <w:t>December 31,</w:t>
            </w: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00" w:type="dxa"/>
            <w:vAlign w:val="bottom"/>
            <w:gridSpan w:val="4"/>
          </w:tcPr>
          <w:p>
            <w:pPr>
              <w:jc w:val="right"/>
              <w:ind w:right="341"/>
              <w:spacing w:after="0"/>
              <w:rPr>
                <w:sz w:val="20"/>
                <w:szCs w:val="20"/>
                <w:color w:val="auto"/>
              </w:rPr>
            </w:pPr>
            <w:r>
              <w:rPr>
                <w:rFonts w:ascii="Arial" w:cs="Arial" w:eastAsia="Arial" w:hAnsi="Arial"/>
                <w:sz w:val="14"/>
                <w:szCs w:val="14"/>
                <w:b w:val="1"/>
                <w:bCs w:val="1"/>
                <w:color w:val="auto"/>
              </w:rPr>
              <w:t>September 30,</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7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480" w:type="dxa"/>
            <w:vAlign w:val="bottom"/>
            <w:tcBorders>
              <w:top w:val="single" w:sz="8" w:color="auto"/>
              <w:bottom w:val="single" w:sz="8" w:color="auto"/>
            </w:tcBorders>
          </w:tcPr>
          <w:p>
            <w:pPr>
              <w:jc w:val="right"/>
              <w:ind w:right="54"/>
              <w:spacing w:after="0" w:line="142" w:lineRule="exact"/>
              <w:rPr>
                <w:sz w:val="20"/>
                <w:szCs w:val="20"/>
                <w:color w:val="auto"/>
              </w:rPr>
            </w:pPr>
            <w:r>
              <w:rPr>
                <w:rFonts w:ascii="Arial" w:cs="Arial" w:eastAsia="Arial" w:hAnsi="Arial"/>
                <w:sz w:val="14"/>
                <w:szCs w:val="14"/>
                <w:b w:val="1"/>
                <w:bCs w:val="1"/>
                <w:color w:val="auto"/>
              </w:rPr>
              <w:t>2015</w:t>
            </w:r>
          </w:p>
        </w:tc>
        <w:tc>
          <w:tcPr>
            <w:tcW w:w="240" w:type="dxa"/>
            <w:vAlign w:val="bottom"/>
            <w:tcBorders>
              <w:top w:val="single" w:sz="8" w:color="auto"/>
              <w:bottom w:val="single" w:sz="8" w:color="auto"/>
            </w:tcBorders>
          </w:tcPr>
          <w:p>
            <w:pPr>
              <w:spacing w:after="0"/>
              <w:rPr>
                <w:sz w:val="12"/>
                <w:szCs w:val="12"/>
                <w:color w:val="auto"/>
              </w:rPr>
            </w:pPr>
          </w:p>
        </w:tc>
        <w:tc>
          <w:tcPr>
            <w:tcW w:w="180" w:type="dxa"/>
            <w:vAlign w:val="bottom"/>
            <w:tcBorders>
              <w:top w:val="single" w:sz="8" w:color="auto"/>
              <w:bottom w:val="single" w:sz="8" w:color="auto"/>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480" w:type="dxa"/>
            <w:vAlign w:val="bottom"/>
            <w:tcBorders>
              <w:top w:val="single" w:sz="8" w:color="auto"/>
              <w:bottom w:val="single" w:sz="8" w:color="auto"/>
            </w:tcBorders>
          </w:tcPr>
          <w:p>
            <w:pPr>
              <w:jc w:val="right"/>
              <w:ind w:right="51"/>
              <w:spacing w:after="0" w:line="142" w:lineRule="exact"/>
              <w:rPr>
                <w:sz w:val="20"/>
                <w:szCs w:val="20"/>
                <w:color w:val="auto"/>
              </w:rPr>
            </w:pPr>
            <w:r>
              <w:rPr>
                <w:rFonts w:ascii="Arial" w:cs="Arial" w:eastAsia="Arial" w:hAnsi="Arial"/>
                <w:sz w:val="14"/>
                <w:szCs w:val="14"/>
                <w:b w:val="1"/>
                <w:bCs w:val="1"/>
                <w:color w:val="auto"/>
              </w:rPr>
              <w:t>2016</w:t>
            </w:r>
          </w:p>
        </w:tc>
        <w:tc>
          <w:tcPr>
            <w:tcW w:w="240" w:type="dxa"/>
            <w:vAlign w:val="bottom"/>
            <w:tcBorders>
              <w:bottom w:val="single" w:sz="8" w:color="auto"/>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460" w:type="dxa"/>
            <w:vAlign w:val="bottom"/>
            <w:tcBorders>
              <w:top w:val="single" w:sz="8" w:color="auto"/>
              <w:bottom w:val="single" w:sz="8" w:color="auto"/>
            </w:tcBorders>
          </w:tcPr>
          <w:p>
            <w:pPr>
              <w:jc w:val="right"/>
              <w:ind w:right="53"/>
              <w:spacing w:after="0" w:line="142" w:lineRule="exact"/>
              <w:rPr>
                <w:sz w:val="20"/>
                <w:szCs w:val="20"/>
                <w:color w:val="auto"/>
              </w:rPr>
            </w:pPr>
            <w:r>
              <w:rPr>
                <w:rFonts w:ascii="Arial" w:cs="Arial" w:eastAsia="Arial" w:hAnsi="Arial"/>
                <w:sz w:val="14"/>
                <w:szCs w:val="14"/>
                <w:b w:val="1"/>
                <w:bCs w:val="1"/>
                <w:color w:val="auto"/>
                <w:w w:val="96"/>
              </w:rPr>
              <w:t>2016</w:t>
            </w:r>
          </w:p>
        </w:tc>
        <w:tc>
          <w:tcPr>
            <w:tcW w:w="420" w:type="dxa"/>
            <w:vAlign w:val="bottom"/>
            <w:tcBorders>
              <w:top w:val="single" w:sz="8" w:color="auto"/>
              <w:bottom w:val="single" w:sz="8" w:color="auto"/>
            </w:tcBorders>
          </w:tcPr>
          <w:p>
            <w:pPr>
              <w:spacing w:after="0"/>
              <w:rPr>
                <w:sz w:val="12"/>
                <w:szCs w:val="12"/>
                <w:color w:val="auto"/>
              </w:rPr>
            </w:pPr>
          </w:p>
        </w:tc>
        <w:tc>
          <w:tcPr>
            <w:tcW w:w="500" w:type="dxa"/>
            <w:vAlign w:val="bottom"/>
            <w:tcBorders>
              <w:top w:val="single" w:sz="8" w:color="auto"/>
              <w:bottom w:val="single" w:sz="8" w:color="auto"/>
            </w:tcBorders>
          </w:tcPr>
          <w:p>
            <w:pPr>
              <w:jc w:val="right"/>
              <w:ind w:right="11"/>
              <w:spacing w:after="0" w:line="142" w:lineRule="exact"/>
              <w:rPr>
                <w:sz w:val="20"/>
                <w:szCs w:val="20"/>
                <w:color w:val="auto"/>
              </w:rPr>
            </w:pPr>
            <w:r>
              <w:rPr>
                <w:rFonts w:ascii="Arial" w:cs="Arial" w:eastAsia="Arial" w:hAnsi="Arial"/>
                <w:sz w:val="14"/>
                <w:szCs w:val="14"/>
                <w:b w:val="1"/>
                <w:bCs w:val="1"/>
                <w:color w:val="auto"/>
              </w:rPr>
              <w:t>2017</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7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860" w:type="dxa"/>
            <w:vAlign w:val="bottom"/>
            <w:gridSpan w:val="10"/>
          </w:tcPr>
          <w:p>
            <w:pPr>
              <w:jc w:val="right"/>
              <w:spacing w:after="0" w:line="142" w:lineRule="exact"/>
              <w:rPr>
                <w:sz w:val="20"/>
                <w:szCs w:val="20"/>
                <w:color w:val="auto"/>
              </w:rPr>
            </w:pPr>
            <w:r>
              <w:rPr>
                <w:rFonts w:ascii="Arial" w:cs="Arial" w:eastAsia="Arial" w:hAnsi="Arial"/>
                <w:sz w:val="14"/>
                <w:szCs w:val="14"/>
                <w:i w:val="1"/>
                <w:iCs w:val="1"/>
                <w:color w:val="auto"/>
              </w:rPr>
              <w:t>(In millions, except for per share amounts)</w:t>
            </w:r>
          </w:p>
        </w:tc>
        <w:tc>
          <w:tcPr>
            <w:tcW w:w="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00" w:type="dxa"/>
            <w:vAlign w:val="bottom"/>
            <w:shd w:val="clear" w:color="auto" w:fill="CCEEFF"/>
          </w:tcPr>
          <w:p>
            <w:pPr>
              <w:spacing w:after="0"/>
              <w:rPr>
                <w:sz w:val="20"/>
                <w:szCs w:val="20"/>
                <w:color w:val="auto"/>
              </w:rPr>
            </w:pPr>
            <w:r>
              <w:rPr>
                <w:rFonts w:ascii="Arial" w:cs="Arial" w:eastAsia="Arial" w:hAnsi="Arial"/>
                <w:sz w:val="18"/>
                <w:szCs w:val="18"/>
                <w:color w:val="auto"/>
              </w:rPr>
              <w:t>Revenue</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603.8</w:t>
            </w:r>
          </w:p>
        </w:tc>
        <w:tc>
          <w:tcPr>
            <w:tcW w:w="240" w:type="dxa"/>
            <w:vAlign w:val="bottom"/>
            <w:shd w:val="clear" w:color="auto" w:fill="CCEEFF"/>
          </w:tcPr>
          <w:p>
            <w:pPr>
              <w:spacing w:after="0"/>
              <w:rPr>
                <w:sz w:val="18"/>
                <w:szCs w:val="18"/>
                <w:color w:val="auto"/>
              </w:rPr>
            </w:pP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844.8</w:t>
            </w:r>
          </w:p>
        </w:tc>
        <w:tc>
          <w:tcPr>
            <w:tcW w:w="240" w:type="dxa"/>
            <w:vAlign w:val="bottom"/>
            <w:shd w:val="clear" w:color="auto" w:fill="CCEEFF"/>
          </w:tcPr>
          <w:p>
            <w:pPr>
              <w:spacing w:after="0"/>
              <w:rPr>
                <w:sz w:val="18"/>
                <w:szCs w:val="18"/>
                <w:color w:val="auto"/>
              </w:rPr>
            </w:pP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606.8</w:t>
            </w:r>
          </w:p>
        </w:tc>
        <w:tc>
          <w:tcPr>
            <w:tcW w:w="42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$801.3</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100" w:type="dxa"/>
            <w:vAlign w:val="bottom"/>
          </w:tcPr>
          <w:p>
            <w:pPr>
              <w:spacing w:after="0"/>
              <w:rPr>
                <w:sz w:val="20"/>
                <w:szCs w:val="20"/>
                <w:color w:val="auto"/>
              </w:rPr>
            </w:pPr>
            <w:r>
              <w:rPr>
                <w:rFonts w:ascii="Arial" w:cs="Arial" w:eastAsia="Arial" w:hAnsi="Arial"/>
                <w:sz w:val="18"/>
                <w:szCs w:val="18"/>
                <w:color w:val="auto"/>
              </w:rPr>
              <w:t>Cost of revenue</w:t>
            </w:r>
            <w:r>
              <w:rPr>
                <w:rFonts w:ascii="Arial" w:cs="Arial" w:eastAsia="Arial" w:hAnsi="Arial"/>
                <w:sz w:val="15"/>
                <w:szCs w:val="15"/>
                <w:color w:val="auto"/>
              </w:rPr>
              <w:t>(1)</w:t>
            </w:r>
          </w:p>
        </w:tc>
        <w:tc>
          <w:tcPr>
            <w:tcW w:w="16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407.4</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390.6</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7"/>
              </w:rPr>
              <w:t>301.3</w:t>
            </w:r>
          </w:p>
        </w:tc>
        <w:tc>
          <w:tcPr>
            <w:tcW w:w="420" w:type="dxa"/>
            <w:vAlign w:val="bottom"/>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277.2</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00" w:type="dxa"/>
            <w:vAlign w:val="bottom"/>
            <w:shd w:val="clear" w:color="auto" w:fill="CCEEFF"/>
          </w:tcPr>
          <w:p>
            <w:pPr>
              <w:spacing w:after="0"/>
              <w:rPr>
                <w:sz w:val="20"/>
                <w:szCs w:val="20"/>
                <w:color w:val="auto"/>
              </w:rPr>
            </w:pPr>
            <w:r>
              <w:rPr>
                <w:rFonts w:ascii="Arial" w:cs="Arial" w:eastAsia="Arial" w:hAnsi="Arial"/>
                <w:sz w:val="18"/>
                <w:szCs w:val="18"/>
                <w:color w:val="auto"/>
              </w:rPr>
              <w:t>Gross profit</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196.4</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454.2</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305.5</w:t>
            </w:r>
          </w:p>
        </w:tc>
        <w:tc>
          <w:tcPr>
            <w:tcW w:w="42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524.1</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00" w:type="dxa"/>
            <w:vAlign w:val="bottom"/>
          </w:tcPr>
          <w:p>
            <w:pPr>
              <w:spacing w:after="0"/>
              <w:rPr>
                <w:sz w:val="20"/>
                <w:szCs w:val="20"/>
                <w:color w:val="auto"/>
              </w:rPr>
            </w:pPr>
            <w:r>
              <w:rPr>
                <w:rFonts w:ascii="Arial" w:cs="Arial" w:eastAsia="Arial" w:hAnsi="Arial"/>
                <w:sz w:val="18"/>
                <w:szCs w:val="18"/>
                <w:color w:val="auto"/>
              </w:rPr>
              <w:t>Operating expenses:</w:t>
            </w:r>
            <w:r>
              <w:rPr>
                <w:rFonts w:ascii="Arial" w:cs="Arial" w:eastAsia="Arial" w:hAnsi="Arial"/>
                <w:sz w:val="15"/>
                <w:szCs w:val="15"/>
                <w:color w:val="auto"/>
              </w:rPr>
              <w:t>(1)</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Research and development</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201.6</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289.7</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215.6</w:t>
            </w:r>
          </w:p>
        </w:tc>
        <w:tc>
          <w:tcPr>
            <w:tcW w:w="42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276.3</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00" w:type="dxa"/>
            <w:vAlign w:val="bottom"/>
          </w:tcPr>
          <w:p>
            <w:pPr>
              <w:ind w:left="340"/>
              <w:spacing w:after="0"/>
              <w:rPr>
                <w:sz w:val="20"/>
                <w:szCs w:val="20"/>
                <w:color w:val="auto"/>
              </w:rPr>
            </w:pPr>
            <w:r>
              <w:rPr>
                <w:rFonts w:ascii="Arial" w:cs="Arial" w:eastAsia="Arial" w:hAnsi="Arial"/>
                <w:sz w:val="18"/>
                <w:szCs w:val="18"/>
                <w:color w:val="auto"/>
              </w:rPr>
              <w:t>Sales and marketing</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193.1</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250.6</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w w:val="97"/>
              </w:rPr>
              <w:t>186.7</w:t>
            </w:r>
          </w:p>
        </w:tc>
        <w:tc>
          <w:tcPr>
            <w:tcW w:w="420" w:type="dxa"/>
            <w:vAlign w:val="bottom"/>
          </w:tcPr>
          <w:p>
            <w:pPr>
              <w:spacing w:after="0"/>
              <w:rPr>
                <w:sz w:val="18"/>
                <w:szCs w:val="18"/>
                <w:color w:val="auto"/>
              </w:rPr>
            </w:pPr>
          </w:p>
        </w:tc>
        <w:tc>
          <w:tcPr>
            <w:tcW w:w="620" w:type="dxa"/>
            <w:vAlign w:val="bottom"/>
            <w:gridSpan w:val="2"/>
          </w:tcPr>
          <w:p>
            <w:pPr>
              <w:jc w:val="right"/>
              <w:ind w:right="41"/>
              <w:spacing w:after="0"/>
              <w:rPr>
                <w:sz w:val="20"/>
                <w:szCs w:val="20"/>
                <w:color w:val="auto"/>
              </w:rPr>
            </w:pPr>
            <w:r>
              <w:rPr>
                <w:rFonts w:ascii="Arial" w:cs="Arial" w:eastAsia="Arial" w:hAnsi="Arial"/>
                <w:sz w:val="18"/>
                <w:szCs w:val="18"/>
                <w:color w:val="auto"/>
              </w:rPr>
              <w:t>211.1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General and administrative</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107.9</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107.4</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41"/>
              <w:spacing w:after="0"/>
              <w:rPr>
                <w:sz w:val="20"/>
                <w:szCs w:val="20"/>
                <w:color w:val="auto"/>
              </w:rPr>
            </w:pPr>
            <w:r>
              <w:rPr>
                <w:rFonts w:ascii="Arial" w:cs="Arial" w:eastAsia="Arial" w:hAnsi="Arial"/>
                <w:sz w:val="18"/>
                <w:szCs w:val="18"/>
                <w:color w:val="auto"/>
              </w:rPr>
              <w:t>76.5</w:t>
            </w:r>
          </w:p>
        </w:tc>
        <w:tc>
          <w:tcPr>
            <w:tcW w:w="620" w:type="dxa"/>
            <w:vAlign w:val="bottom"/>
            <w:gridSpan w:val="2"/>
            <w:shd w:val="clear" w:color="auto" w:fill="CCEEFF"/>
          </w:tcPr>
          <w:p>
            <w:pPr>
              <w:jc w:val="right"/>
              <w:ind w:right="41"/>
              <w:spacing w:after="0"/>
              <w:rPr>
                <w:sz w:val="20"/>
                <w:szCs w:val="20"/>
                <w:color w:val="auto"/>
              </w:rPr>
            </w:pPr>
            <w:r>
              <w:rPr>
                <w:rFonts w:ascii="Arial" w:cs="Arial" w:eastAsia="Arial" w:hAnsi="Arial"/>
                <w:sz w:val="18"/>
                <w:szCs w:val="18"/>
                <w:color w:val="auto"/>
              </w:rPr>
              <w:t>113.1</w:t>
            </w:r>
          </w:p>
        </w:tc>
        <w:tc>
          <w:tcPr>
            <w:tcW w:w="0" w:type="dxa"/>
            <w:vAlign w:val="bottom"/>
          </w:tcPr>
          <w:p>
            <w:pPr>
              <w:spacing w:after="0"/>
              <w:rPr>
                <w:sz w:val="1"/>
                <w:szCs w:val="1"/>
                <w:color w:val="auto"/>
              </w:rPr>
            </w:pPr>
          </w:p>
        </w:tc>
      </w:tr>
      <w:tr>
        <w:trPr>
          <w:trHeight w:val="230"/>
        </w:trPr>
        <w:tc>
          <w:tcPr>
            <w:tcW w:w="7120" w:type="dxa"/>
            <w:vAlign w:val="bottom"/>
            <w:gridSpan w:val="2"/>
          </w:tcPr>
          <w:p>
            <w:pPr>
              <w:spacing w:after="0"/>
              <w:rPr>
                <w:sz w:val="20"/>
                <w:szCs w:val="20"/>
                <w:color w:val="auto"/>
              </w:rPr>
            </w:pPr>
            <w:r>
              <w:rPr>
                <w:rFonts w:ascii="Arial" w:cs="Arial" w:eastAsia="Arial" w:hAnsi="Arial"/>
                <w:sz w:val="18"/>
                <w:szCs w:val="18"/>
                <w:color w:val="auto"/>
              </w:rPr>
              <w:t>Total operating expenses</w:t>
            </w:r>
          </w:p>
        </w:tc>
        <w:tc>
          <w:tcPr>
            <w:tcW w:w="16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502.6</w:t>
            </w:r>
          </w:p>
        </w:tc>
        <w:tc>
          <w:tcPr>
            <w:tcW w:w="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0" w:type="dxa"/>
            <w:vAlign w:val="bottom"/>
            <w:tcBorders>
              <w:top w:val="single" w:sz="8" w:color="auto"/>
              <w:bottom w:val="single" w:sz="8" w:color="auto"/>
            </w:tcBorders>
          </w:tcPr>
          <w:p>
            <w:pPr>
              <w:spacing w:after="0"/>
              <w:rPr>
                <w:sz w:val="20"/>
                <w:szCs w:val="20"/>
                <w:color w:val="auto"/>
              </w:rPr>
            </w:pPr>
          </w:p>
        </w:tc>
        <w:tc>
          <w:tcPr>
            <w:tcW w:w="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647.7</w:t>
            </w:r>
          </w:p>
        </w:tc>
        <w:tc>
          <w:tcPr>
            <w:tcW w:w="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7"/>
              </w:rPr>
              <w:t>478.8</w:t>
            </w:r>
          </w:p>
        </w:tc>
        <w:tc>
          <w:tcPr>
            <w:tcW w:w="420" w:type="dxa"/>
            <w:vAlign w:val="bottom"/>
          </w:tcPr>
          <w:p>
            <w:pPr>
              <w:spacing w:after="0"/>
              <w:rPr>
                <w:sz w:val="20"/>
                <w:szCs w:val="20"/>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600.5</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00" w:type="dxa"/>
            <w:vAlign w:val="bottom"/>
            <w:shd w:val="clear" w:color="auto" w:fill="CCEEFF"/>
          </w:tcPr>
          <w:p>
            <w:pPr>
              <w:spacing w:after="0"/>
              <w:rPr>
                <w:sz w:val="20"/>
                <w:szCs w:val="20"/>
                <w:color w:val="auto"/>
              </w:rPr>
            </w:pPr>
            <w:r>
              <w:rPr>
                <w:rFonts w:ascii="Arial" w:cs="Arial" w:eastAsia="Arial" w:hAnsi="Arial"/>
                <w:sz w:val="18"/>
                <w:szCs w:val="18"/>
                <w:color w:val="auto"/>
              </w:rPr>
              <w:t>Loss from operations</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01"/>
              <w:spacing w:after="0"/>
              <w:rPr>
                <w:sz w:val="20"/>
                <w:szCs w:val="20"/>
                <w:color w:val="auto"/>
              </w:rPr>
            </w:pPr>
            <w:r>
              <w:rPr>
                <w:rFonts w:ascii="Arial" w:cs="Arial" w:eastAsia="Arial" w:hAnsi="Arial"/>
                <w:sz w:val="18"/>
                <w:szCs w:val="18"/>
                <w:color w:val="auto"/>
                <w:w w:val="91"/>
              </w:rPr>
              <w:t>(306.2)</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01"/>
              <w:spacing w:after="0"/>
              <w:rPr>
                <w:sz w:val="20"/>
                <w:szCs w:val="20"/>
                <w:color w:val="auto"/>
              </w:rPr>
            </w:pPr>
            <w:r>
              <w:rPr>
                <w:rFonts w:ascii="Arial" w:cs="Arial" w:eastAsia="Arial" w:hAnsi="Arial"/>
                <w:sz w:val="18"/>
                <w:szCs w:val="18"/>
                <w:color w:val="auto"/>
                <w:w w:val="91"/>
              </w:rPr>
              <w:t>(193.5)</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81"/>
              <w:spacing w:after="0"/>
              <w:rPr>
                <w:sz w:val="20"/>
                <w:szCs w:val="20"/>
                <w:color w:val="auto"/>
              </w:rPr>
            </w:pPr>
            <w:r>
              <w:rPr>
                <w:rFonts w:ascii="Arial" w:cs="Arial" w:eastAsia="Arial" w:hAnsi="Arial"/>
                <w:sz w:val="18"/>
                <w:szCs w:val="18"/>
                <w:color w:val="auto"/>
                <w:w w:val="87"/>
              </w:rPr>
              <w:t>(173.3)</w:t>
            </w: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(76.4)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00" w:type="dxa"/>
            <w:vAlign w:val="bottom"/>
          </w:tcPr>
          <w:p>
            <w:pPr>
              <w:spacing w:after="0"/>
              <w:rPr>
                <w:sz w:val="20"/>
                <w:szCs w:val="20"/>
                <w:color w:val="auto"/>
              </w:rPr>
            </w:pPr>
            <w:r>
              <w:rPr>
                <w:rFonts w:ascii="Arial" w:cs="Arial" w:eastAsia="Arial" w:hAnsi="Arial"/>
                <w:sz w:val="18"/>
                <w:szCs w:val="18"/>
                <w:color w:val="auto"/>
              </w:rPr>
              <w:t>Interest expense, net</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gridSpan w:val="2"/>
          </w:tcPr>
          <w:p>
            <w:pPr>
              <w:jc w:val="right"/>
              <w:ind w:right="101"/>
              <w:spacing w:after="0"/>
              <w:rPr>
                <w:sz w:val="20"/>
                <w:szCs w:val="20"/>
                <w:color w:val="auto"/>
              </w:rPr>
            </w:pPr>
            <w:r>
              <w:rPr>
                <w:rFonts w:ascii="Arial" w:cs="Arial" w:eastAsia="Arial" w:hAnsi="Arial"/>
                <w:sz w:val="18"/>
                <w:szCs w:val="18"/>
                <w:color w:val="auto"/>
              </w:rPr>
              <w:t>(15.2)</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gridSpan w:val="2"/>
          </w:tcPr>
          <w:p>
            <w:pPr>
              <w:jc w:val="right"/>
              <w:ind w:right="101"/>
              <w:spacing w:after="0"/>
              <w:rPr>
                <w:sz w:val="20"/>
                <w:szCs w:val="20"/>
                <w:color w:val="auto"/>
              </w:rPr>
            </w:pPr>
            <w:r>
              <w:rPr>
                <w:rFonts w:ascii="Arial" w:cs="Arial" w:eastAsia="Arial" w:hAnsi="Arial"/>
                <w:sz w:val="18"/>
                <w:szCs w:val="18"/>
                <w:color w:val="auto"/>
              </w:rPr>
              <w:t>(16.4)</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281"/>
              <w:spacing w:after="0"/>
              <w:rPr>
                <w:sz w:val="20"/>
                <w:szCs w:val="20"/>
                <w:color w:val="auto"/>
              </w:rPr>
            </w:pPr>
            <w:r>
              <w:rPr>
                <w:rFonts w:ascii="Arial" w:cs="Arial" w:eastAsia="Arial" w:hAnsi="Arial"/>
                <w:sz w:val="18"/>
                <w:szCs w:val="18"/>
                <w:color w:val="auto"/>
              </w:rPr>
              <w:t>(12.7)</w:t>
            </w:r>
          </w:p>
        </w:tc>
        <w:tc>
          <w:tcPr>
            <w:tcW w:w="620" w:type="dxa"/>
            <w:vAlign w:val="bottom"/>
            <w:gridSpan w:val="2"/>
          </w:tcPr>
          <w:p>
            <w:pPr>
              <w:jc w:val="right"/>
              <w:spacing w:after="0"/>
              <w:rPr>
                <w:sz w:val="20"/>
                <w:szCs w:val="20"/>
                <w:color w:val="auto"/>
              </w:rPr>
            </w:pPr>
            <w:r>
              <w:rPr>
                <w:rFonts w:ascii="Arial" w:cs="Arial" w:eastAsia="Arial" w:hAnsi="Arial"/>
                <w:sz w:val="18"/>
                <w:szCs w:val="18"/>
                <w:color w:val="auto"/>
              </w:rPr>
              <w:t>(9.4)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00" w:type="dxa"/>
            <w:vAlign w:val="bottom"/>
            <w:shd w:val="clear" w:color="auto" w:fill="CCEEFF"/>
          </w:tcPr>
          <w:p>
            <w:pPr>
              <w:spacing w:after="0"/>
              <w:rPr>
                <w:sz w:val="20"/>
                <w:szCs w:val="20"/>
                <w:color w:val="auto"/>
              </w:rPr>
            </w:pPr>
            <w:r>
              <w:rPr>
                <w:rFonts w:ascii="Arial" w:cs="Arial" w:eastAsia="Arial" w:hAnsi="Arial"/>
                <w:sz w:val="18"/>
                <w:szCs w:val="18"/>
                <w:color w:val="auto"/>
              </w:rPr>
              <w:t>Other income (expense), net</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01"/>
              <w:spacing w:after="0"/>
              <w:rPr>
                <w:sz w:val="20"/>
                <w:szCs w:val="20"/>
                <w:color w:val="auto"/>
              </w:rPr>
            </w:pPr>
            <w:r>
              <w:rPr>
                <w:rFonts w:ascii="Arial" w:cs="Arial" w:eastAsia="Arial" w:hAnsi="Arial"/>
                <w:sz w:val="18"/>
                <w:szCs w:val="18"/>
                <w:color w:val="auto"/>
              </w:rPr>
              <w:t>(4.2)</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w:t>
            </w:r>
          </w:p>
        </w:tc>
        <w:tc>
          <w:tcPr>
            <w:tcW w:w="42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41"/>
              <w:spacing w:after="0"/>
              <w:rPr>
                <w:sz w:val="20"/>
                <w:szCs w:val="20"/>
                <w:color w:val="auto"/>
              </w:rPr>
            </w:pPr>
            <w:r>
              <w:rPr>
                <w:rFonts w:ascii="Arial" w:cs="Arial" w:eastAsia="Arial" w:hAnsi="Arial"/>
                <w:sz w:val="18"/>
                <w:szCs w:val="18"/>
                <w:color w:val="auto"/>
              </w:rPr>
              <w:t>13.0</w:t>
            </w:r>
          </w:p>
        </w:tc>
        <w:tc>
          <w:tcPr>
            <w:tcW w:w="0" w:type="dxa"/>
            <w:vAlign w:val="bottom"/>
          </w:tcPr>
          <w:p>
            <w:pPr>
              <w:spacing w:after="0"/>
              <w:rPr>
                <w:sz w:val="1"/>
                <w:szCs w:val="1"/>
                <w:color w:val="auto"/>
              </w:rPr>
            </w:pPr>
          </w:p>
        </w:tc>
      </w:tr>
      <w:tr>
        <w:trPr>
          <w:trHeight w:val="20"/>
        </w:trPr>
        <w:tc>
          <w:tcPr>
            <w:tcW w:w="7120" w:type="dxa"/>
            <w:vAlign w:val="bottom"/>
            <w:gridSpan w:val="2"/>
            <w:vMerge w:val="restart"/>
          </w:tcPr>
          <w:p>
            <w:pPr>
              <w:spacing w:after="0"/>
              <w:rPr>
                <w:sz w:val="20"/>
                <w:szCs w:val="20"/>
                <w:color w:val="auto"/>
              </w:rPr>
            </w:pPr>
            <w:r>
              <w:rPr>
                <w:rFonts w:ascii="Arial" w:cs="Arial" w:eastAsia="Arial" w:hAnsi="Arial"/>
                <w:sz w:val="18"/>
                <w:szCs w:val="18"/>
                <w:color w:val="auto"/>
              </w:rPr>
              <w:t>Loss before income taxes</w:t>
            </w:r>
          </w:p>
        </w:tc>
        <w:tc>
          <w:tcPr>
            <w:tcW w:w="1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7120" w:type="dxa"/>
            <w:vAlign w:val="bottom"/>
            <w:gridSpan w:val="2"/>
            <w:vMerge w:val="continue"/>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20" w:type="dxa"/>
            <w:vAlign w:val="bottom"/>
            <w:gridSpan w:val="2"/>
          </w:tcPr>
          <w:p>
            <w:pPr>
              <w:jc w:val="right"/>
              <w:ind w:right="101"/>
              <w:spacing w:after="0"/>
              <w:rPr>
                <w:sz w:val="20"/>
                <w:szCs w:val="20"/>
                <w:color w:val="auto"/>
              </w:rPr>
            </w:pPr>
            <w:r>
              <w:rPr>
                <w:rFonts w:ascii="Arial" w:cs="Arial" w:eastAsia="Arial" w:hAnsi="Arial"/>
                <w:sz w:val="18"/>
                <w:szCs w:val="18"/>
                <w:color w:val="auto"/>
                <w:w w:val="91"/>
              </w:rPr>
              <w:t>(325.6)</w:t>
            </w:r>
          </w:p>
        </w:tc>
        <w:tc>
          <w:tcPr>
            <w:tcW w:w="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20" w:type="dxa"/>
            <w:vAlign w:val="bottom"/>
            <w:gridSpan w:val="2"/>
          </w:tcPr>
          <w:p>
            <w:pPr>
              <w:jc w:val="right"/>
              <w:ind w:right="101"/>
              <w:spacing w:after="0"/>
              <w:rPr>
                <w:sz w:val="20"/>
                <w:szCs w:val="20"/>
                <w:color w:val="auto"/>
              </w:rPr>
            </w:pPr>
            <w:r>
              <w:rPr>
                <w:rFonts w:ascii="Arial" w:cs="Arial" w:eastAsia="Arial" w:hAnsi="Arial"/>
                <w:sz w:val="18"/>
                <w:szCs w:val="18"/>
                <w:color w:val="auto"/>
                <w:w w:val="91"/>
              </w:rPr>
              <w:t>(205.0)</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80" w:type="dxa"/>
            <w:vAlign w:val="bottom"/>
            <w:gridSpan w:val="2"/>
          </w:tcPr>
          <w:p>
            <w:pPr>
              <w:jc w:val="right"/>
              <w:ind w:right="281"/>
              <w:spacing w:after="0"/>
              <w:rPr>
                <w:sz w:val="20"/>
                <w:szCs w:val="20"/>
                <w:color w:val="auto"/>
              </w:rPr>
            </w:pPr>
            <w:r>
              <w:rPr>
                <w:rFonts w:ascii="Arial" w:cs="Arial" w:eastAsia="Arial" w:hAnsi="Arial"/>
                <w:sz w:val="18"/>
                <w:szCs w:val="18"/>
                <w:color w:val="auto"/>
                <w:w w:val="87"/>
              </w:rPr>
              <w:t>(177.7)</w:t>
            </w:r>
          </w:p>
        </w:tc>
        <w:tc>
          <w:tcPr>
            <w:tcW w:w="620" w:type="dxa"/>
            <w:vAlign w:val="bottom"/>
            <w:gridSpan w:val="2"/>
          </w:tcPr>
          <w:p>
            <w:pPr>
              <w:jc w:val="right"/>
              <w:spacing w:after="0"/>
              <w:rPr>
                <w:sz w:val="20"/>
                <w:szCs w:val="20"/>
                <w:color w:val="auto"/>
              </w:rPr>
            </w:pPr>
            <w:r>
              <w:rPr>
                <w:rFonts w:ascii="Arial" w:cs="Arial" w:eastAsia="Arial" w:hAnsi="Arial"/>
                <w:sz w:val="18"/>
                <w:szCs w:val="18"/>
                <w:color w:val="auto"/>
              </w:rPr>
              <w:t>(72.8)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00" w:type="dxa"/>
            <w:vAlign w:val="bottom"/>
            <w:shd w:val="clear" w:color="auto" w:fill="CCEEFF"/>
          </w:tcPr>
          <w:p>
            <w:pPr>
              <w:spacing w:after="0"/>
              <w:rPr>
                <w:sz w:val="20"/>
                <w:szCs w:val="20"/>
                <w:color w:val="auto"/>
              </w:rPr>
            </w:pPr>
            <w:r>
              <w:rPr>
                <w:rFonts w:ascii="Arial" w:cs="Arial" w:eastAsia="Arial" w:hAnsi="Arial"/>
                <w:sz w:val="18"/>
                <w:szCs w:val="18"/>
                <w:color w:val="auto"/>
              </w:rPr>
              <w:t>Provision for income taxes</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01"/>
              <w:spacing w:after="0"/>
              <w:rPr>
                <w:sz w:val="20"/>
                <w:szCs w:val="20"/>
                <w:color w:val="auto"/>
              </w:rPr>
            </w:pPr>
            <w:r>
              <w:rPr>
                <w:rFonts w:ascii="Arial" w:cs="Arial" w:eastAsia="Arial" w:hAnsi="Arial"/>
                <w:sz w:val="18"/>
                <w:szCs w:val="18"/>
                <w:color w:val="auto"/>
              </w:rPr>
              <w:t>(0.3)</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01"/>
              <w:spacing w:after="0"/>
              <w:rPr>
                <w:sz w:val="20"/>
                <w:szCs w:val="20"/>
                <w:color w:val="auto"/>
              </w:rPr>
            </w:pPr>
            <w:r>
              <w:rPr>
                <w:rFonts w:ascii="Arial" w:cs="Arial" w:eastAsia="Arial" w:hAnsi="Arial"/>
                <w:sz w:val="18"/>
                <w:szCs w:val="18"/>
                <w:color w:val="auto"/>
              </w:rPr>
              <w:t>(5.2)</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81"/>
              <w:spacing w:after="0"/>
              <w:rPr>
                <w:sz w:val="20"/>
                <w:szCs w:val="20"/>
                <w:color w:val="auto"/>
              </w:rPr>
            </w:pPr>
            <w:r>
              <w:rPr>
                <w:rFonts w:ascii="Arial" w:cs="Arial" w:eastAsia="Arial" w:hAnsi="Arial"/>
                <w:sz w:val="18"/>
                <w:szCs w:val="18"/>
                <w:color w:val="auto"/>
              </w:rPr>
              <w:t>(3.4)</w:t>
            </w: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23"/>
        </w:trPr>
        <w:tc>
          <w:tcPr>
            <w:tcW w:w="7120" w:type="dxa"/>
            <w:vAlign w:val="bottom"/>
            <w:gridSpan w:val="2"/>
          </w:tcPr>
          <w:p>
            <w:pPr>
              <w:spacing w:after="0"/>
              <w:rPr>
                <w:sz w:val="20"/>
                <w:szCs w:val="20"/>
                <w:color w:val="auto"/>
              </w:rPr>
            </w:pPr>
            <w:r>
              <w:rPr>
                <w:rFonts w:ascii="Arial" w:cs="Arial" w:eastAsia="Arial" w:hAnsi="Arial"/>
                <w:sz w:val="18"/>
                <w:szCs w:val="18"/>
                <w:color w:val="auto"/>
              </w:rPr>
              <w:t>Net loss</w:t>
            </w:r>
          </w:p>
        </w:tc>
        <w:tc>
          <w:tcPr>
            <w:tcW w:w="16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79"/>
              </w:rPr>
              <w:t>$</w:t>
            </w:r>
          </w:p>
        </w:tc>
        <w:tc>
          <w:tcPr>
            <w:tcW w:w="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0"/>
              </w:rPr>
              <w:t>(325.9</w:t>
            </w:r>
          </w:p>
        </w:tc>
        <w:tc>
          <w:tcPr>
            <w:tcW w:w="240" w:type="dxa"/>
            <w:vAlign w:val="bottom"/>
          </w:tcPr>
          <w:p>
            <w:pPr>
              <w:jc w:val="right"/>
              <w:ind w:right="101"/>
              <w:spacing w:after="0"/>
              <w:rPr>
                <w:sz w:val="20"/>
                <w:szCs w:val="20"/>
                <w:color w:val="auto"/>
              </w:rPr>
            </w:pPr>
            <w:r>
              <w:rPr>
                <w:rFonts w:ascii="Arial" w:cs="Arial" w:eastAsia="Arial" w:hAnsi="Arial"/>
                <w:sz w:val="16"/>
                <w:szCs w:val="16"/>
                <w:color w:val="auto"/>
                <w:w w:val="74"/>
              </w:rPr>
              <w:t>)</w:t>
            </w:r>
          </w:p>
        </w:tc>
        <w:tc>
          <w:tcPr>
            <w:tcW w:w="18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u w:val="single" w:color="auto"/>
                <w:color w:val="auto"/>
                <w:w w:val="71"/>
              </w:rPr>
              <w:t>$</w:t>
            </w:r>
          </w:p>
        </w:tc>
        <w:tc>
          <w:tcPr>
            <w:tcW w:w="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0"/>
              </w:rPr>
              <w:t>(210.2</w:t>
            </w:r>
          </w:p>
        </w:tc>
        <w:tc>
          <w:tcPr>
            <w:tcW w:w="240" w:type="dxa"/>
            <w:vAlign w:val="bottom"/>
          </w:tcPr>
          <w:p>
            <w:pPr>
              <w:jc w:val="right"/>
              <w:ind w:right="101"/>
              <w:spacing w:after="0"/>
              <w:rPr>
                <w:sz w:val="20"/>
                <w:szCs w:val="20"/>
                <w:color w:val="auto"/>
              </w:rPr>
            </w:pPr>
            <w:r>
              <w:rPr>
                <w:rFonts w:ascii="Arial" w:cs="Arial" w:eastAsia="Arial" w:hAnsi="Arial"/>
                <w:sz w:val="16"/>
                <w:szCs w:val="16"/>
                <w:color w:val="auto"/>
                <w:w w:val="74"/>
              </w:rPr>
              <w:t>)</w:t>
            </w:r>
          </w:p>
        </w:tc>
        <w:tc>
          <w:tcPr>
            <w:tcW w:w="18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u w:val="single" w:color="auto"/>
                <w:color w:val="auto"/>
                <w:w w:val="71"/>
              </w:rPr>
              <w:t>$</w:t>
            </w:r>
          </w:p>
        </w:tc>
        <w:tc>
          <w:tcPr>
            <w:tcW w:w="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6"/>
              </w:rPr>
              <w:t>(181.1</w:t>
            </w:r>
          </w:p>
        </w:tc>
        <w:tc>
          <w:tcPr>
            <w:tcW w:w="420" w:type="dxa"/>
            <w:vAlign w:val="bottom"/>
          </w:tcPr>
          <w:p>
            <w:pPr>
              <w:jc w:val="right"/>
              <w:ind w:right="281"/>
              <w:spacing w:after="0"/>
              <w:rPr>
                <w:sz w:val="20"/>
                <w:szCs w:val="20"/>
                <w:color w:val="auto"/>
              </w:rPr>
            </w:pPr>
            <w:r>
              <w:rPr>
                <w:rFonts w:ascii="Arial" w:cs="Arial" w:eastAsia="Arial" w:hAnsi="Arial"/>
                <w:sz w:val="16"/>
                <w:szCs w:val="16"/>
                <w:color w:val="auto"/>
                <w:w w:val="74"/>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5"/>
              </w:rPr>
              <w:t>$ (74.0</w:t>
            </w:r>
          </w:p>
        </w:tc>
        <w:tc>
          <w:tcPr>
            <w:tcW w:w="120" w:type="dxa"/>
            <w:vAlign w:val="bottom"/>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7100" w:type="dxa"/>
            <w:vAlign w:val="bottom"/>
            <w:shd w:val="clear" w:color="auto" w:fill="CCEEFF"/>
          </w:tcPr>
          <w:p>
            <w:pPr>
              <w:spacing w:after="0"/>
              <w:rPr>
                <w:sz w:val="20"/>
                <w:szCs w:val="20"/>
                <w:color w:val="auto"/>
              </w:rPr>
            </w:pPr>
            <w:r>
              <w:rPr>
                <w:rFonts w:ascii="Arial" w:cs="Arial" w:eastAsia="Arial" w:hAnsi="Arial"/>
                <w:sz w:val="18"/>
                <w:szCs w:val="18"/>
                <w:color w:val="auto"/>
              </w:rPr>
              <w:t>Net loss per share attributable to common stockholders, basic and diluted</w:t>
            </w:r>
            <w:r>
              <w:rPr>
                <w:rFonts w:ascii="Arial" w:cs="Arial" w:eastAsia="Arial" w:hAnsi="Arial"/>
                <w:sz w:val="15"/>
                <w:szCs w:val="15"/>
                <w:color w:val="auto"/>
              </w:rPr>
              <w:t>(2)</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101"/>
              <w:spacing w:after="0"/>
              <w:rPr>
                <w:sz w:val="20"/>
                <w:szCs w:val="20"/>
                <w:color w:val="auto"/>
              </w:rPr>
            </w:pPr>
            <w:r>
              <w:rPr>
                <w:rFonts w:ascii="Arial" w:cs="Arial" w:eastAsia="Arial" w:hAnsi="Arial"/>
                <w:sz w:val="18"/>
                <w:szCs w:val="18"/>
                <w:color w:val="auto"/>
              </w:rPr>
              <w:t>(1.18)</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101"/>
              <w:spacing w:after="0"/>
              <w:rPr>
                <w:sz w:val="20"/>
                <w:szCs w:val="20"/>
                <w:color w:val="auto"/>
              </w:rPr>
            </w:pPr>
            <w:r>
              <w:rPr>
                <w:rFonts w:ascii="Arial" w:cs="Arial" w:eastAsia="Arial" w:hAnsi="Arial"/>
                <w:sz w:val="18"/>
                <w:szCs w:val="18"/>
                <w:color w:val="auto"/>
              </w:rPr>
              <w:t>(0.74)</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281"/>
              <w:spacing w:after="0"/>
              <w:rPr>
                <w:sz w:val="20"/>
                <w:szCs w:val="20"/>
                <w:color w:val="auto"/>
              </w:rPr>
            </w:pPr>
            <w:r>
              <w:rPr>
                <w:rFonts w:ascii="Arial" w:cs="Arial" w:eastAsia="Arial" w:hAnsi="Arial"/>
                <w:sz w:val="18"/>
                <w:szCs w:val="18"/>
                <w:color w:val="auto"/>
              </w:rPr>
              <w:t>(0.64)</w:t>
            </w: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6"/>
              </w:rPr>
              <w:t>$ (0.25)</w:t>
            </w:r>
          </w:p>
        </w:tc>
        <w:tc>
          <w:tcPr>
            <w:tcW w:w="0" w:type="dxa"/>
            <w:vAlign w:val="bottom"/>
          </w:tcPr>
          <w:p>
            <w:pPr>
              <w:spacing w:after="0"/>
              <w:rPr>
                <w:sz w:val="1"/>
                <w:szCs w:val="1"/>
                <w:color w:val="auto"/>
              </w:rPr>
            </w:pPr>
          </w:p>
        </w:tc>
      </w:tr>
      <w:tr>
        <w:trPr>
          <w:trHeight w:val="20"/>
        </w:trPr>
        <w:tc>
          <w:tcPr>
            <w:tcW w:w="7120" w:type="dxa"/>
            <w:vAlign w:val="bottom"/>
            <w:gridSpan w:val="2"/>
            <w:vMerge w:val="restart"/>
          </w:tcPr>
          <w:p>
            <w:pPr>
              <w:spacing w:after="0"/>
              <w:rPr>
                <w:sz w:val="20"/>
                <w:szCs w:val="20"/>
                <w:color w:val="auto"/>
              </w:rPr>
            </w:pPr>
            <w:r>
              <w:rPr>
                <w:rFonts w:ascii="Arial" w:cs="Arial" w:eastAsia="Arial" w:hAnsi="Arial"/>
                <w:sz w:val="18"/>
                <w:szCs w:val="18"/>
                <w:color w:val="auto"/>
              </w:rPr>
              <w:t>Weighted-average shares used in computing net loss per share attributable to common</w:t>
            </w: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7120" w:type="dxa"/>
            <w:vAlign w:val="bottom"/>
            <w:gridSpan w:val="2"/>
            <w:vMerge w:val="continue"/>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100" w:type="dxa"/>
            <w:vAlign w:val="bottom"/>
          </w:tcPr>
          <w:p>
            <w:pPr>
              <w:ind w:left="160"/>
              <w:spacing w:after="0"/>
              <w:rPr>
                <w:sz w:val="20"/>
                <w:szCs w:val="20"/>
                <w:color w:val="auto"/>
              </w:rPr>
            </w:pPr>
            <w:r>
              <w:rPr>
                <w:rFonts w:ascii="Arial" w:cs="Arial" w:eastAsia="Arial" w:hAnsi="Arial"/>
                <w:sz w:val="18"/>
                <w:szCs w:val="18"/>
                <w:color w:val="auto"/>
              </w:rPr>
              <w:t>stockholders, basic and diluted</w:t>
            </w:r>
          </w:p>
        </w:tc>
        <w:tc>
          <w:tcPr>
            <w:tcW w:w="16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276.8</w:t>
            </w:r>
          </w:p>
        </w:tc>
        <w:tc>
          <w:tcPr>
            <w:tcW w:w="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283.7</w:t>
            </w:r>
          </w:p>
        </w:tc>
        <w:tc>
          <w:tcPr>
            <w:tcW w:w="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7"/>
              </w:rPr>
              <w:t>282.3</w:t>
            </w:r>
          </w:p>
        </w:tc>
        <w:tc>
          <w:tcPr>
            <w:tcW w:w="420" w:type="dxa"/>
            <w:vAlign w:val="bottom"/>
          </w:tcPr>
          <w:p>
            <w:pPr>
              <w:spacing w:after="0"/>
              <w:rPr>
                <w:sz w:val="20"/>
                <w:szCs w:val="20"/>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293.2</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7100" w:type="dxa"/>
            <w:vAlign w:val="bottom"/>
            <w:shd w:val="clear" w:color="auto" w:fill="CCEEFF"/>
          </w:tcPr>
          <w:p>
            <w:pPr>
              <w:spacing w:after="0"/>
              <w:rPr>
                <w:sz w:val="20"/>
                <w:szCs w:val="20"/>
                <w:color w:val="auto"/>
              </w:rPr>
            </w:pPr>
            <w:r>
              <w:rPr>
                <w:rFonts w:ascii="Arial" w:cs="Arial" w:eastAsia="Arial" w:hAnsi="Arial"/>
                <w:sz w:val="18"/>
                <w:szCs w:val="18"/>
                <w:color w:val="auto"/>
              </w:rPr>
              <w:t>Pro forma net loss per share attributable to common stockholders, basic and diluted</w:t>
            </w:r>
            <w:r>
              <w:rPr>
                <w:rFonts w:ascii="Arial" w:cs="Arial" w:eastAsia="Arial" w:hAnsi="Arial"/>
                <w:sz w:val="15"/>
                <w:szCs w:val="15"/>
                <w:color w:val="auto"/>
              </w:rPr>
              <w:t>(2)</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101"/>
              <w:spacing w:after="0"/>
              <w:rPr>
                <w:sz w:val="20"/>
                <w:szCs w:val="20"/>
                <w:color w:val="auto"/>
              </w:rPr>
            </w:pPr>
            <w:r>
              <w:rPr>
                <w:rFonts w:ascii="Arial" w:cs="Arial" w:eastAsia="Arial" w:hAnsi="Arial"/>
                <w:sz w:val="18"/>
                <w:szCs w:val="18"/>
                <w:color w:val="auto"/>
              </w:rPr>
              <w:t>(0.39)</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6"/>
              </w:rPr>
              <w:t>$ (0.13)</w:t>
            </w:r>
          </w:p>
        </w:tc>
        <w:tc>
          <w:tcPr>
            <w:tcW w:w="0" w:type="dxa"/>
            <w:vAlign w:val="bottom"/>
          </w:tcPr>
          <w:p>
            <w:pPr>
              <w:spacing w:after="0"/>
              <w:rPr>
                <w:sz w:val="1"/>
                <w:szCs w:val="1"/>
                <w:color w:val="auto"/>
              </w:rPr>
            </w:pPr>
          </w:p>
        </w:tc>
      </w:tr>
      <w:tr>
        <w:trPr>
          <w:trHeight w:val="20"/>
        </w:trPr>
        <w:tc>
          <w:tcPr>
            <w:tcW w:w="7120" w:type="dxa"/>
            <w:vAlign w:val="bottom"/>
            <w:gridSpan w:val="2"/>
            <w:vMerge w:val="restart"/>
          </w:tcPr>
          <w:p>
            <w:pPr>
              <w:spacing w:after="0"/>
              <w:rPr>
                <w:sz w:val="20"/>
                <w:szCs w:val="20"/>
                <w:color w:val="auto"/>
              </w:rPr>
            </w:pPr>
            <w:r>
              <w:rPr>
                <w:rFonts w:ascii="Arial" w:cs="Arial" w:eastAsia="Arial" w:hAnsi="Arial"/>
                <w:sz w:val="18"/>
                <w:szCs w:val="18"/>
                <w:color w:val="auto"/>
                <w:w w:val="91"/>
              </w:rPr>
              <w:t>Weighted-average shares used in computing pro forma net loss per share attributable to common</w:t>
            </w: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7120" w:type="dxa"/>
            <w:vAlign w:val="bottom"/>
            <w:gridSpan w:val="2"/>
            <w:vMerge w:val="continue"/>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100" w:type="dxa"/>
            <w:vAlign w:val="bottom"/>
          </w:tcPr>
          <w:p>
            <w:pPr>
              <w:ind w:left="160"/>
              <w:spacing w:after="0"/>
              <w:rPr>
                <w:sz w:val="20"/>
                <w:szCs w:val="20"/>
                <w:color w:val="auto"/>
              </w:rPr>
            </w:pPr>
            <w:r>
              <w:rPr>
                <w:rFonts w:ascii="Arial" w:cs="Arial" w:eastAsia="Arial" w:hAnsi="Arial"/>
                <w:sz w:val="18"/>
                <w:szCs w:val="18"/>
                <w:color w:val="auto"/>
              </w:rPr>
              <w:t>stockholders, basic and diluted</w:t>
            </w: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535.4</w:t>
            </w:r>
          </w:p>
        </w:tc>
        <w:tc>
          <w:tcPr>
            <w:tcW w:w="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551.2</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060"/>
          </w:cols>
          <w:pgMar w:left="320" w:top="459" w:right="519"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136130" cy="649351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36130" cy="6493510"/>
                    </a:xfrm>
                    <a:prstGeom prst="rect">
                      <a:avLst/>
                    </a:prstGeom>
                    <a:noFill/>
                  </pic:spPr>
                </pic:pic>
              </a:graphicData>
            </a:graphic>
          </wp:anchor>
        </w:drawing>
      </w:r>
    </w:p>
    <w:p>
      <w:pPr>
        <w:spacing w:after="0" w:line="367" w:lineRule="exact"/>
        <w:rPr>
          <w:sz w:val="20"/>
          <w:szCs w:val="20"/>
          <w:color w:val="auto"/>
        </w:rPr>
      </w:pPr>
    </w:p>
    <w:p>
      <w:pPr>
        <w:ind w:left="520" w:hanging="326"/>
        <w:spacing w:after="0"/>
        <w:tabs>
          <w:tab w:leader="none" w:pos="520" w:val="left"/>
        </w:tabs>
        <w:numPr>
          <w:ilvl w:val="0"/>
          <w:numId w:val="13"/>
        </w:numPr>
        <w:rPr>
          <w:rFonts w:ascii="Arial" w:cs="Arial" w:eastAsia="Arial" w:hAnsi="Arial"/>
          <w:sz w:val="28"/>
          <w:szCs w:val="28"/>
          <w:color w:val="auto"/>
          <w:vertAlign w:val="superscript"/>
        </w:rPr>
      </w:pPr>
      <w:r>
        <w:rPr>
          <w:rFonts w:ascii="Arial" w:cs="Arial" w:eastAsia="Arial" w:hAnsi="Arial"/>
          <w:sz w:val="16"/>
          <w:szCs w:val="16"/>
          <w:color w:val="auto"/>
        </w:rPr>
        <w:t>Includes stock-based compensation as follows:</w:t>
      </w:r>
    </w:p>
    <w:p>
      <w:pPr>
        <w:spacing w:after="0" w:line="214" w:lineRule="exact"/>
        <w:rPr>
          <w:sz w:val="20"/>
          <w:szCs w:val="20"/>
          <w:color w:val="auto"/>
        </w:rPr>
      </w:pPr>
    </w:p>
    <w:tbl>
      <w:tblPr>
        <w:tblLayout w:type="fixed"/>
        <w:tblInd w:w="62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440" w:type="dxa"/>
            <w:vAlign w:val="bottom"/>
          </w:tcPr>
          <w:p>
            <w:pPr>
              <w:spacing w:after="0"/>
              <w:rPr>
                <w:sz w:val="14"/>
                <w:szCs w:val="14"/>
                <w:color w:val="auto"/>
              </w:rPr>
            </w:pPr>
          </w:p>
        </w:tc>
        <w:tc>
          <w:tcPr>
            <w:tcW w:w="23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40" w:type="dxa"/>
            <w:vAlign w:val="bottom"/>
            <w:gridSpan w:val="4"/>
          </w:tcPr>
          <w:p>
            <w:pPr>
              <w:jc w:val="right"/>
              <w:ind w:right="181"/>
              <w:spacing w:after="0"/>
              <w:rPr>
                <w:sz w:val="20"/>
                <w:szCs w:val="20"/>
                <w:color w:val="auto"/>
              </w:rPr>
            </w:pPr>
            <w:r>
              <w:rPr>
                <w:rFonts w:ascii="Arial" w:cs="Arial" w:eastAsia="Arial" w:hAnsi="Arial"/>
                <w:sz w:val="14"/>
                <w:szCs w:val="14"/>
                <w:b w:val="1"/>
                <w:bCs w:val="1"/>
                <w:color w:val="auto"/>
              </w:rPr>
              <w:t>Year ended</w:t>
            </w:r>
          </w:p>
        </w:tc>
        <w:tc>
          <w:tcPr>
            <w:tcW w:w="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20" w:type="dxa"/>
            <w:vAlign w:val="bottom"/>
            <w:gridSpan w:val="5"/>
          </w:tcPr>
          <w:p>
            <w:pPr>
              <w:jc w:val="center"/>
              <w:ind w:right="120"/>
              <w:spacing w:after="0"/>
              <w:rPr>
                <w:sz w:val="20"/>
                <w:szCs w:val="20"/>
                <w:color w:val="auto"/>
              </w:rPr>
            </w:pPr>
            <w:r>
              <w:rPr>
                <w:rFonts w:ascii="Arial" w:cs="Arial" w:eastAsia="Arial" w:hAnsi="Arial"/>
                <w:sz w:val="14"/>
                <w:szCs w:val="14"/>
                <w:b w:val="1"/>
                <w:bCs w:val="1"/>
                <w:color w:val="auto"/>
                <w:w w:val="90"/>
              </w:rPr>
              <w:t>Nine months ended</w:t>
            </w:r>
          </w:p>
        </w:tc>
      </w:tr>
      <w:tr>
        <w:trPr>
          <w:trHeight w:val="171"/>
        </w:trPr>
        <w:tc>
          <w:tcPr>
            <w:tcW w:w="20" w:type="dxa"/>
            <w:vAlign w:val="bottom"/>
          </w:tcPr>
          <w:p>
            <w:pPr>
              <w:spacing w:after="0"/>
              <w:rPr>
                <w:sz w:val="14"/>
                <w:szCs w:val="14"/>
                <w:color w:val="auto"/>
              </w:rPr>
            </w:pPr>
          </w:p>
        </w:tc>
        <w:tc>
          <w:tcPr>
            <w:tcW w:w="4440" w:type="dxa"/>
            <w:vAlign w:val="bottom"/>
          </w:tcPr>
          <w:p>
            <w:pPr>
              <w:spacing w:after="0"/>
              <w:rPr>
                <w:sz w:val="14"/>
                <w:szCs w:val="14"/>
                <w:color w:val="auto"/>
              </w:rPr>
            </w:pPr>
          </w:p>
        </w:tc>
        <w:tc>
          <w:tcPr>
            <w:tcW w:w="23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40" w:type="dxa"/>
            <w:vAlign w:val="bottom"/>
            <w:gridSpan w:val="4"/>
          </w:tcPr>
          <w:p>
            <w:pPr>
              <w:jc w:val="right"/>
              <w:ind w:right="101"/>
              <w:spacing w:after="0"/>
              <w:rPr>
                <w:sz w:val="20"/>
                <w:szCs w:val="20"/>
                <w:color w:val="auto"/>
              </w:rPr>
            </w:pPr>
            <w:r>
              <w:rPr>
                <w:rFonts w:ascii="Arial" w:cs="Arial" w:eastAsia="Arial" w:hAnsi="Arial"/>
                <w:sz w:val="14"/>
                <w:szCs w:val="14"/>
                <w:b w:val="1"/>
                <w:bCs w:val="1"/>
                <w:color w:val="auto"/>
              </w:rPr>
              <w:t>December 31,</w:t>
            </w:r>
          </w:p>
        </w:tc>
        <w:tc>
          <w:tcPr>
            <w:tcW w:w="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20" w:type="dxa"/>
            <w:vAlign w:val="bottom"/>
            <w:gridSpan w:val="5"/>
          </w:tcPr>
          <w:p>
            <w:pPr>
              <w:jc w:val="center"/>
              <w:ind w:right="140"/>
              <w:spacing w:after="0"/>
              <w:rPr>
                <w:sz w:val="20"/>
                <w:szCs w:val="20"/>
                <w:color w:val="auto"/>
              </w:rPr>
            </w:pPr>
            <w:r>
              <w:rPr>
                <w:rFonts w:ascii="Arial" w:cs="Arial" w:eastAsia="Arial" w:hAnsi="Arial"/>
                <w:sz w:val="14"/>
                <w:szCs w:val="14"/>
                <w:b w:val="1"/>
                <w:bCs w:val="1"/>
                <w:color w:val="auto"/>
                <w:w w:val="91"/>
              </w:rPr>
              <w:t>September 30,</w:t>
            </w:r>
          </w:p>
        </w:tc>
      </w:tr>
      <w:tr>
        <w:trPr>
          <w:trHeight w:val="142"/>
        </w:trPr>
        <w:tc>
          <w:tcPr>
            <w:tcW w:w="20" w:type="dxa"/>
            <w:vAlign w:val="bottom"/>
          </w:tcPr>
          <w:p>
            <w:pPr>
              <w:spacing w:after="0"/>
              <w:rPr>
                <w:sz w:val="12"/>
                <w:szCs w:val="12"/>
                <w:color w:val="auto"/>
              </w:rPr>
            </w:pPr>
          </w:p>
        </w:tc>
        <w:tc>
          <w:tcPr>
            <w:tcW w:w="4440" w:type="dxa"/>
            <w:vAlign w:val="bottom"/>
          </w:tcPr>
          <w:p>
            <w:pPr>
              <w:spacing w:after="0"/>
              <w:rPr>
                <w:sz w:val="12"/>
                <w:szCs w:val="12"/>
                <w:color w:val="auto"/>
              </w:rPr>
            </w:pPr>
          </w:p>
        </w:tc>
        <w:tc>
          <w:tcPr>
            <w:tcW w:w="2380" w:type="dxa"/>
            <w:vAlign w:val="bottom"/>
          </w:tcPr>
          <w:p>
            <w:pPr>
              <w:spacing w:after="0"/>
              <w:rPr>
                <w:sz w:val="12"/>
                <w:szCs w:val="12"/>
                <w:color w:val="auto"/>
              </w:rPr>
            </w:pPr>
          </w:p>
        </w:tc>
        <w:tc>
          <w:tcPr>
            <w:tcW w:w="360" w:type="dxa"/>
            <w:vAlign w:val="bottom"/>
            <w:tcBorders>
              <w:top w:val="single" w:sz="8" w:color="auto"/>
              <w:bottom w:val="single" w:sz="8" w:color="auto"/>
            </w:tcBorders>
            <w:gridSpan w:val="2"/>
          </w:tcPr>
          <w:p>
            <w:pPr>
              <w:jc w:val="right"/>
              <w:spacing w:after="0" w:line="142" w:lineRule="exact"/>
              <w:rPr>
                <w:sz w:val="20"/>
                <w:szCs w:val="20"/>
                <w:color w:val="auto"/>
              </w:rPr>
            </w:pPr>
            <w:r>
              <w:rPr>
                <w:rFonts w:ascii="Arial" w:cs="Arial" w:eastAsia="Arial" w:hAnsi="Arial"/>
                <w:sz w:val="14"/>
                <w:szCs w:val="14"/>
                <w:b w:val="1"/>
                <w:bCs w:val="1"/>
                <w:color w:val="auto"/>
                <w:w w:val="96"/>
              </w:rPr>
              <w:t>2015</w:t>
            </w:r>
          </w:p>
        </w:tc>
        <w:tc>
          <w:tcPr>
            <w:tcW w:w="860" w:type="dxa"/>
            <w:vAlign w:val="bottom"/>
            <w:tcBorders>
              <w:top w:val="single" w:sz="8" w:color="auto"/>
              <w:bottom w:val="single" w:sz="8" w:color="auto"/>
            </w:tcBorders>
            <w:gridSpan w:val="3"/>
          </w:tcPr>
          <w:p>
            <w:pPr>
              <w:jc w:val="right"/>
              <w:ind w:right="1"/>
              <w:spacing w:after="0" w:line="142" w:lineRule="exact"/>
              <w:rPr>
                <w:sz w:val="20"/>
                <w:szCs w:val="20"/>
                <w:color w:val="auto"/>
              </w:rPr>
            </w:pPr>
            <w:r>
              <w:rPr>
                <w:rFonts w:ascii="Arial" w:cs="Arial" w:eastAsia="Arial" w:hAnsi="Arial"/>
                <w:sz w:val="14"/>
                <w:szCs w:val="14"/>
                <w:b w:val="1"/>
                <w:bCs w:val="1"/>
                <w:color w:val="auto"/>
              </w:rPr>
              <w:t>2016</w:t>
            </w:r>
          </w:p>
        </w:tc>
        <w:tc>
          <w:tcPr>
            <w:tcW w:w="420" w:type="dxa"/>
            <w:vAlign w:val="bottom"/>
            <w:tcBorders>
              <w:bottom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420" w:type="dxa"/>
            <w:vAlign w:val="bottom"/>
            <w:tcBorders>
              <w:top w:val="single" w:sz="8" w:color="auto"/>
              <w:bottom w:val="single" w:sz="8" w:color="auto"/>
            </w:tcBorders>
          </w:tcPr>
          <w:p>
            <w:pPr>
              <w:jc w:val="right"/>
              <w:ind w:right="42"/>
              <w:spacing w:after="0" w:line="142" w:lineRule="exact"/>
              <w:rPr>
                <w:sz w:val="20"/>
                <w:szCs w:val="20"/>
                <w:color w:val="auto"/>
              </w:rPr>
            </w:pPr>
            <w:r>
              <w:rPr>
                <w:rFonts w:ascii="Arial" w:cs="Arial" w:eastAsia="Arial" w:hAnsi="Arial"/>
                <w:sz w:val="14"/>
                <w:szCs w:val="14"/>
                <w:b w:val="1"/>
                <w:bCs w:val="1"/>
                <w:color w:val="auto"/>
                <w:w w:val="89"/>
              </w:rPr>
              <w:t>2016</w:t>
            </w:r>
          </w:p>
        </w:tc>
        <w:tc>
          <w:tcPr>
            <w:tcW w:w="420" w:type="dxa"/>
            <w:vAlign w:val="bottom"/>
            <w:tcBorders>
              <w:top w:val="single" w:sz="8" w:color="auto"/>
              <w:bottom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440" w:type="dxa"/>
            <w:vAlign w:val="bottom"/>
            <w:tcBorders>
              <w:top w:val="single" w:sz="8" w:color="auto"/>
              <w:bottom w:val="single" w:sz="8" w:color="auto"/>
            </w:tcBorders>
          </w:tcPr>
          <w:p>
            <w:pPr>
              <w:jc w:val="right"/>
              <w:ind w:right="41"/>
              <w:spacing w:after="0" w:line="142" w:lineRule="exact"/>
              <w:rPr>
                <w:sz w:val="20"/>
                <w:szCs w:val="20"/>
                <w:color w:val="auto"/>
              </w:rPr>
            </w:pPr>
            <w:r>
              <w:rPr>
                <w:rFonts w:ascii="Arial" w:cs="Arial" w:eastAsia="Arial" w:hAnsi="Arial"/>
                <w:sz w:val="14"/>
                <w:szCs w:val="14"/>
                <w:b w:val="1"/>
                <w:bCs w:val="1"/>
                <w:color w:val="auto"/>
                <w:w w:val="96"/>
              </w:rPr>
              <w:t>2017</w:t>
            </w:r>
          </w:p>
        </w:tc>
        <w:tc>
          <w:tcPr>
            <w:tcW w:w="40" w:type="dxa"/>
            <w:vAlign w:val="bottom"/>
          </w:tcPr>
          <w:p>
            <w:pPr>
              <w:spacing w:after="0"/>
              <w:rPr>
                <w:sz w:val="12"/>
                <w:szCs w:val="12"/>
                <w:color w:val="auto"/>
              </w:rPr>
            </w:pPr>
          </w:p>
        </w:tc>
      </w:tr>
      <w:tr>
        <w:trPr>
          <w:trHeight w:val="142"/>
        </w:trPr>
        <w:tc>
          <w:tcPr>
            <w:tcW w:w="20" w:type="dxa"/>
            <w:vAlign w:val="bottom"/>
          </w:tcPr>
          <w:p>
            <w:pPr>
              <w:spacing w:after="0"/>
              <w:rPr>
                <w:sz w:val="12"/>
                <w:szCs w:val="12"/>
                <w:color w:val="auto"/>
              </w:rPr>
            </w:pPr>
          </w:p>
        </w:tc>
        <w:tc>
          <w:tcPr>
            <w:tcW w:w="4440" w:type="dxa"/>
            <w:vAlign w:val="bottom"/>
          </w:tcPr>
          <w:p>
            <w:pPr>
              <w:spacing w:after="0"/>
              <w:rPr>
                <w:sz w:val="12"/>
                <w:szCs w:val="12"/>
                <w:color w:val="auto"/>
              </w:rPr>
            </w:pPr>
          </w:p>
        </w:tc>
        <w:tc>
          <w:tcPr>
            <w:tcW w:w="23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300" w:type="dxa"/>
            <w:vAlign w:val="bottom"/>
            <w:gridSpan w:val="4"/>
          </w:tcPr>
          <w:p>
            <w:pPr>
              <w:jc w:val="right"/>
              <w:ind w:right="162"/>
              <w:spacing w:after="0" w:line="142" w:lineRule="exact"/>
              <w:rPr>
                <w:sz w:val="20"/>
                <w:szCs w:val="20"/>
                <w:color w:val="auto"/>
              </w:rPr>
            </w:pPr>
            <w:r>
              <w:rPr>
                <w:rFonts w:ascii="Arial" w:cs="Arial" w:eastAsia="Arial" w:hAnsi="Arial"/>
                <w:sz w:val="14"/>
                <w:szCs w:val="14"/>
                <w:i w:val="1"/>
                <w:iCs w:val="1"/>
                <w:color w:val="auto"/>
              </w:rPr>
              <w:t>(In millions)</w:t>
            </w:r>
          </w:p>
        </w:tc>
        <w:tc>
          <w:tcPr>
            <w:tcW w:w="4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40" w:type="dxa"/>
            <w:vAlign w:val="bottom"/>
          </w:tcPr>
          <w:p>
            <w:pPr>
              <w:spacing w:after="0"/>
              <w:rPr>
                <w:sz w:val="12"/>
                <w:szCs w:val="12"/>
                <w:color w:val="auto"/>
              </w:rPr>
            </w:pPr>
          </w:p>
        </w:tc>
      </w:tr>
      <w:tr>
        <w:trPr>
          <w:trHeight w:val="203"/>
        </w:trPr>
        <w:tc>
          <w:tcPr>
            <w:tcW w:w="20" w:type="dxa"/>
            <w:vAlign w:val="bottom"/>
          </w:tcPr>
          <w:p>
            <w:pPr>
              <w:spacing w:after="0"/>
              <w:rPr>
                <w:sz w:val="17"/>
                <w:szCs w:val="17"/>
                <w:color w:val="auto"/>
              </w:rPr>
            </w:pPr>
          </w:p>
        </w:tc>
        <w:tc>
          <w:tcPr>
            <w:tcW w:w="4440" w:type="dxa"/>
            <w:vAlign w:val="bottom"/>
            <w:shd w:val="clear" w:color="auto" w:fill="CCEEFF"/>
          </w:tcPr>
          <w:p>
            <w:pPr>
              <w:ind w:left="320"/>
              <w:spacing w:after="0"/>
              <w:rPr>
                <w:sz w:val="20"/>
                <w:szCs w:val="20"/>
                <w:color w:val="auto"/>
              </w:rPr>
            </w:pPr>
            <w:r>
              <w:rPr>
                <w:rFonts w:ascii="Arial" w:cs="Arial" w:eastAsia="Arial" w:hAnsi="Arial"/>
                <w:sz w:val="16"/>
                <w:szCs w:val="16"/>
                <w:color w:val="auto"/>
              </w:rPr>
              <w:t>Cost of revenue</w:t>
            </w:r>
          </w:p>
        </w:tc>
        <w:tc>
          <w:tcPr>
            <w:tcW w:w="24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w:t>
            </w: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8.2</w:t>
            </w:r>
          </w:p>
        </w:tc>
        <w:tc>
          <w:tcPr>
            <w:tcW w:w="52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5.9</w:t>
            </w:r>
          </w:p>
        </w:tc>
        <w:tc>
          <w:tcPr>
            <w:tcW w:w="52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9.3</w:t>
            </w:r>
          </w:p>
        </w:tc>
        <w:tc>
          <w:tcPr>
            <w:tcW w:w="40" w:type="dxa"/>
            <w:vAlign w:val="bottom"/>
            <w:shd w:val="clear" w:color="auto" w:fill="CCEEFF"/>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4440" w:type="dxa"/>
            <w:vAlign w:val="bottom"/>
          </w:tcPr>
          <w:p>
            <w:pPr>
              <w:ind w:left="320"/>
              <w:spacing w:after="0"/>
              <w:rPr>
                <w:sz w:val="20"/>
                <w:szCs w:val="20"/>
                <w:color w:val="auto"/>
              </w:rPr>
            </w:pPr>
            <w:r>
              <w:rPr>
                <w:rFonts w:ascii="Arial" w:cs="Arial" w:eastAsia="Arial" w:hAnsi="Arial"/>
                <w:sz w:val="16"/>
                <w:szCs w:val="16"/>
                <w:color w:val="auto"/>
              </w:rPr>
              <w:t>Research and development</w:t>
            </w:r>
          </w:p>
        </w:tc>
        <w:tc>
          <w:tcPr>
            <w:tcW w:w="23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80" w:type="dxa"/>
            <w:vAlign w:val="bottom"/>
          </w:tcPr>
          <w:p>
            <w:pPr>
              <w:jc w:val="right"/>
              <w:spacing w:after="0"/>
              <w:rPr>
                <w:sz w:val="20"/>
                <w:szCs w:val="20"/>
                <w:color w:val="auto"/>
              </w:rPr>
            </w:pPr>
            <w:r>
              <w:rPr>
                <w:rFonts w:ascii="Arial" w:cs="Arial" w:eastAsia="Arial" w:hAnsi="Arial"/>
                <w:sz w:val="16"/>
                <w:szCs w:val="16"/>
                <w:color w:val="auto"/>
                <w:w w:val="83"/>
              </w:rPr>
              <w:t>36.1</w:t>
            </w:r>
          </w:p>
        </w:tc>
        <w:tc>
          <w:tcPr>
            <w:tcW w:w="4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60" w:type="dxa"/>
            <w:vAlign w:val="bottom"/>
          </w:tcPr>
          <w:p>
            <w:pPr>
              <w:jc w:val="right"/>
              <w:spacing w:after="0"/>
              <w:rPr>
                <w:sz w:val="20"/>
                <w:szCs w:val="20"/>
                <w:color w:val="auto"/>
              </w:rPr>
            </w:pPr>
            <w:r>
              <w:rPr>
                <w:rFonts w:ascii="Arial" w:cs="Arial" w:eastAsia="Arial" w:hAnsi="Arial"/>
                <w:sz w:val="16"/>
                <w:szCs w:val="16"/>
                <w:color w:val="auto"/>
              </w:rPr>
              <w:t>72.7</w:t>
            </w:r>
          </w:p>
        </w:tc>
        <w:tc>
          <w:tcPr>
            <w:tcW w:w="4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20" w:type="dxa"/>
            <w:vAlign w:val="bottom"/>
          </w:tcPr>
          <w:p>
            <w:pPr>
              <w:jc w:val="right"/>
              <w:spacing w:after="0"/>
              <w:rPr>
                <w:sz w:val="20"/>
                <w:szCs w:val="20"/>
                <w:color w:val="auto"/>
              </w:rPr>
            </w:pPr>
            <w:r>
              <w:rPr>
                <w:rFonts w:ascii="Arial" w:cs="Arial" w:eastAsia="Arial" w:hAnsi="Arial"/>
                <w:sz w:val="16"/>
                <w:szCs w:val="16"/>
                <w:color w:val="auto"/>
              </w:rPr>
              <w:t>52.8</w:t>
            </w:r>
          </w:p>
        </w:tc>
        <w:tc>
          <w:tcPr>
            <w:tcW w:w="4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40" w:type="dxa"/>
            <w:vAlign w:val="bottom"/>
          </w:tcPr>
          <w:p>
            <w:pPr>
              <w:jc w:val="right"/>
              <w:spacing w:after="0"/>
              <w:rPr>
                <w:sz w:val="20"/>
                <w:szCs w:val="20"/>
                <w:color w:val="auto"/>
              </w:rPr>
            </w:pPr>
            <w:r>
              <w:rPr>
                <w:rFonts w:ascii="Arial" w:cs="Arial" w:eastAsia="Arial" w:hAnsi="Arial"/>
                <w:sz w:val="16"/>
                <w:szCs w:val="16"/>
                <w:color w:val="auto"/>
              </w:rPr>
              <w:t>66.4</w:t>
            </w:r>
          </w:p>
        </w:tc>
        <w:tc>
          <w:tcPr>
            <w:tcW w:w="40" w:type="dxa"/>
            <w:vAlign w:val="bottom"/>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4440" w:type="dxa"/>
            <w:vAlign w:val="bottom"/>
            <w:shd w:val="clear" w:color="auto" w:fill="CCEEFF"/>
          </w:tcPr>
          <w:p>
            <w:pPr>
              <w:ind w:left="320"/>
              <w:spacing w:after="0"/>
              <w:rPr>
                <w:sz w:val="20"/>
                <w:szCs w:val="20"/>
                <w:color w:val="auto"/>
              </w:rPr>
            </w:pPr>
            <w:r>
              <w:rPr>
                <w:rFonts w:ascii="Arial" w:cs="Arial" w:eastAsia="Arial" w:hAnsi="Arial"/>
                <w:sz w:val="16"/>
                <w:szCs w:val="16"/>
                <w:color w:val="auto"/>
              </w:rPr>
              <w:t>Sales and marketing</w:t>
            </w:r>
          </w:p>
        </w:tc>
        <w:tc>
          <w:tcPr>
            <w:tcW w:w="23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3"/>
              </w:rPr>
              <w:t>19.8</w:t>
            </w:r>
          </w:p>
        </w:tc>
        <w:tc>
          <w:tcPr>
            <w:tcW w:w="4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44.6</w:t>
            </w:r>
          </w:p>
        </w:tc>
        <w:tc>
          <w:tcPr>
            <w:tcW w:w="4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37.7</w:t>
            </w:r>
          </w:p>
        </w:tc>
        <w:tc>
          <w:tcPr>
            <w:tcW w:w="4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22.9</w:t>
            </w:r>
          </w:p>
        </w:tc>
        <w:tc>
          <w:tcPr>
            <w:tcW w:w="40" w:type="dxa"/>
            <w:vAlign w:val="bottom"/>
            <w:shd w:val="clear" w:color="auto" w:fill="CCEEFF"/>
          </w:tcPr>
          <w:p>
            <w:pPr>
              <w:spacing w:after="0"/>
              <w:rPr>
                <w:sz w:val="17"/>
                <w:szCs w:val="17"/>
                <w:color w:val="auto"/>
              </w:rPr>
            </w:pPr>
          </w:p>
        </w:tc>
      </w:tr>
      <w:tr>
        <w:trPr>
          <w:trHeight w:val="210"/>
        </w:trPr>
        <w:tc>
          <w:tcPr>
            <w:tcW w:w="20" w:type="dxa"/>
            <w:vAlign w:val="bottom"/>
          </w:tcPr>
          <w:p>
            <w:pPr>
              <w:spacing w:after="0"/>
              <w:rPr>
                <w:sz w:val="18"/>
                <w:szCs w:val="18"/>
                <w:color w:val="auto"/>
              </w:rPr>
            </w:pPr>
          </w:p>
        </w:tc>
        <w:tc>
          <w:tcPr>
            <w:tcW w:w="4440" w:type="dxa"/>
            <w:vAlign w:val="bottom"/>
          </w:tcPr>
          <w:p>
            <w:pPr>
              <w:ind w:left="320"/>
              <w:spacing w:after="0"/>
              <w:rPr>
                <w:sz w:val="20"/>
                <w:szCs w:val="20"/>
                <w:color w:val="auto"/>
              </w:rPr>
            </w:pPr>
            <w:r>
              <w:rPr>
                <w:rFonts w:ascii="Arial" w:cs="Arial" w:eastAsia="Arial" w:hAnsi="Arial"/>
                <w:sz w:val="16"/>
                <w:szCs w:val="16"/>
                <w:color w:val="auto"/>
              </w:rPr>
              <w:t>General and administrative</w:t>
            </w:r>
          </w:p>
        </w:tc>
        <w:tc>
          <w:tcPr>
            <w:tcW w:w="238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7.6</w:t>
            </w:r>
          </w:p>
        </w:tc>
        <w:tc>
          <w:tcPr>
            <w:tcW w:w="42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3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22.1</w:t>
            </w:r>
          </w:p>
        </w:tc>
        <w:tc>
          <w:tcPr>
            <w:tcW w:w="42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17.2</w:t>
            </w:r>
          </w:p>
        </w:tc>
        <w:tc>
          <w:tcPr>
            <w:tcW w:w="42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18.6</w:t>
            </w:r>
          </w:p>
        </w:tc>
        <w:tc>
          <w:tcPr>
            <w:tcW w:w="40" w:type="dxa"/>
            <w:vAlign w:val="bottom"/>
          </w:tcPr>
          <w:p>
            <w:pPr>
              <w:spacing w:after="0"/>
              <w:rPr>
                <w:sz w:val="18"/>
                <w:szCs w:val="18"/>
                <w:color w:val="auto"/>
              </w:rPr>
            </w:pPr>
          </w:p>
        </w:tc>
      </w:tr>
      <w:tr>
        <w:trPr>
          <w:trHeight w:val="203"/>
        </w:trPr>
        <w:tc>
          <w:tcPr>
            <w:tcW w:w="20" w:type="dxa"/>
            <w:vAlign w:val="bottom"/>
          </w:tcPr>
          <w:p>
            <w:pPr>
              <w:spacing w:after="0"/>
              <w:rPr>
                <w:sz w:val="17"/>
                <w:szCs w:val="17"/>
                <w:color w:val="auto"/>
              </w:rPr>
            </w:pPr>
          </w:p>
        </w:tc>
        <w:tc>
          <w:tcPr>
            <w:tcW w:w="4440" w:type="dxa"/>
            <w:vAlign w:val="bottom"/>
            <w:shd w:val="clear" w:color="auto" w:fill="CCEEFF"/>
          </w:tcPr>
          <w:p>
            <w:pPr>
              <w:spacing w:after="0"/>
              <w:rPr>
                <w:sz w:val="20"/>
                <w:szCs w:val="20"/>
                <w:color w:val="auto"/>
              </w:rPr>
            </w:pPr>
            <w:r>
              <w:rPr>
                <w:rFonts w:ascii="Arial" w:cs="Arial" w:eastAsia="Arial" w:hAnsi="Arial"/>
                <w:sz w:val="16"/>
                <w:szCs w:val="16"/>
                <w:color w:val="auto"/>
              </w:rPr>
              <w:t>Total stock-based compensation</w:t>
            </w:r>
          </w:p>
        </w:tc>
        <w:tc>
          <w:tcPr>
            <w:tcW w:w="2460" w:type="dxa"/>
            <w:vAlign w:val="bottom"/>
            <w:gridSpan w:val="2"/>
            <w:shd w:val="clear" w:color="auto" w:fill="CCEEFF"/>
          </w:tcPr>
          <w:p>
            <w:pPr>
              <w:jc w:val="right"/>
              <w:spacing w:after="0"/>
              <w:rPr>
                <w:sz w:val="20"/>
                <w:szCs w:val="20"/>
                <w:color w:val="auto"/>
              </w:rPr>
            </w:pPr>
            <w:r>
              <w:rPr>
                <w:rFonts w:ascii="Arial" w:cs="Arial" w:eastAsia="Arial" w:hAnsi="Arial"/>
                <w:sz w:val="16"/>
                <w:szCs w:val="16"/>
                <w:u w:val="single" w:color="auto"/>
                <w:color w:val="auto"/>
              </w:rPr>
              <w:t>$</w:t>
            </w:r>
          </w:p>
        </w:tc>
        <w:tc>
          <w:tcPr>
            <w:tcW w:w="2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3"/>
              </w:rPr>
              <w:t>66.1</w:t>
            </w: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6"/>
                <w:szCs w:val="16"/>
                <w:u w:val="single" w:color="auto"/>
                <w:color w:val="auto"/>
              </w:rPr>
              <w:t>$</w:t>
            </w:r>
          </w:p>
        </w:tc>
        <w:tc>
          <w:tcPr>
            <w:tcW w:w="3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4"/>
              </w:rPr>
              <w:t>147.6</w:t>
            </w:r>
          </w:p>
        </w:tc>
        <w:tc>
          <w:tcPr>
            <w:tcW w:w="52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9"/>
              </w:rPr>
              <w:t>113.6</w:t>
            </w:r>
          </w:p>
        </w:tc>
        <w:tc>
          <w:tcPr>
            <w:tcW w:w="52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117.2</w:t>
            </w:r>
          </w:p>
        </w:tc>
        <w:tc>
          <w:tcPr>
            <w:tcW w:w="40" w:type="dxa"/>
            <w:vAlign w:val="bottom"/>
            <w:shd w:val="clear" w:color="auto" w:fill="CCEEFF"/>
          </w:tcPr>
          <w:p>
            <w:pPr>
              <w:spacing w:after="0"/>
              <w:rPr>
                <w:sz w:val="17"/>
                <w:szCs w:val="17"/>
                <w:color w:val="auto"/>
              </w:rPr>
            </w:pPr>
          </w:p>
        </w:tc>
      </w:tr>
      <w:tr>
        <w:trPr>
          <w:trHeight w:val="20"/>
        </w:trPr>
        <w:tc>
          <w:tcPr>
            <w:tcW w:w="20" w:type="dxa"/>
            <w:vAlign w:val="bottom"/>
          </w:tcPr>
          <w:p>
            <w:pPr>
              <w:spacing w:after="0" w:line="20" w:lineRule="exact"/>
              <w:rPr>
                <w:sz w:val="1"/>
                <w:szCs w:val="1"/>
                <w:color w:val="auto"/>
              </w:rPr>
            </w:pPr>
          </w:p>
        </w:tc>
        <w:tc>
          <w:tcPr>
            <w:tcW w:w="4440" w:type="dxa"/>
            <w:vAlign w:val="bottom"/>
          </w:tcPr>
          <w:p>
            <w:pPr>
              <w:spacing w:after="0" w:line="20" w:lineRule="exact"/>
              <w:rPr>
                <w:sz w:val="1"/>
                <w:szCs w:val="1"/>
                <w:color w:val="auto"/>
              </w:rPr>
            </w:pPr>
          </w:p>
        </w:tc>
        <w:tc>
          <w:tcPr>
            <w:tcW w:w="23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47" w:lineRule="exact"/>
        <w:rPr>
          <w:sz w:val="20"/>
          <w:szCs w:val="20"/>
          <w:color w:val="auto"/>
        </w:rPr>
      </w:pPr>
    </w:p>
    <w:p>
      <w:pPr>
        <w:ind w:left="520" w:right="80" w:hanging="326"/>
        <w:spacing w:after="0" w:line="212" w:lineRule="auto"/>
        <w:tabs>
          <w:tab w:leader="none" w:pos="520" w:val="left"/>
        </w:tabs>
        <w:numPr>
          <w:ilvl w:val="0"/>
          <w:numId w:val="14"/>
        </w:numPr>
        <w:rPr>
          <w:rFonts w:ascii="Arial" w:cs="Arial" w:eastAsia="Arial" w:hAnsi="Arial"/>
          <w:sz w:val="28"/>
          <w:szCs w:val="28"/>
          <w:color w:val="auto"/>
          <w:vertAlign w:val="superscript"/>
        </w:rPr>
      </w:pPr>
      <w:r>
        <w:rPr>
          <w:rFonts w:ascii="Arial" w:cs="Arial" w:eastAsia="Arial" w:hAnsi="Arial"/>
          <w:sz w:val="16"/>
          <w:szCs w:val="16"/>
          <w:color w:val="auto"/>
        </w:rPr>
        <w:t>See Note 12, “Net Loss Per Share” to our consolidated financial statements included elsewhere in this prospectus for an explanation of the method used to calculate basic and diluted net loss per share attributable to common stockholders and Note 13, “Unaudited Pro Forma Net Loss Per Share” for an explanation of the method used to calculate pro forma net loss per share attributable to common stockholders.</w:t>
      </w:r>
    </w:p>
    <w:p>
      <w:pPr>
        <w:spacing w:after="0" w:line="314"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Consolidated Balance Sheet Data</w:t>
      </w:r>
    </w:p>
    <w:p>
      <w:pPr>
        <w:spacing w:after="0" w:line="248" w:lineRule="exact"/>
        <w:rPr>
          <w:sz w:val="20"/>
          <w:szCs w:val="20"/>
          <w:color w:val="auto"/>
        </w:rPr>
      </w:pPr>
    </w:p>
    <w:tbl>
      <w:tblPr>
        <w:tblLayout w:type="fixed"/>
        <w:tblInd w:w="1060" w:type="dxa"/>
        <w:tblCellMar>
          <w:top w:w="0" w:type="dxa"/>
          <w:left w:w="0" w:type="dxa"/>
          <w:bottom w:w="0" w:type="dxa"/>
          <w:right w:w="0" w:type="dxa"/>
        </w:tblCellMar>
      </w:tblPr>
      <w:tr>
        <w:trPr>
          <w:trHeight w:val="171"/>
        </w:trPr>
        <w:tc>
          <w:tcPr>
            <w:tcW w:w="5360" w:type="dxa"/>
            <w:vAlign w:val="bottom"/>
          </w:tcPr>
          <w:p>
            <w:pPr>
              <w:spacing w:after="0"/>
              <w:rPr>
                <w:sz w:val="14"/>
                <w:szCs w:val="14"/>
                <w:color w:val="auto"/>
              </w:rPr>
            </w:pPr>
          </w:p>
        </w:tc>
        <w:tc>
          <w:tcPr>
            <w:tcW w:w="860" w:type="dxa"/>
            <w:vAlign w:val="bottom"/>
            <w:tcBorders>
              <w:bottom w:val="single" w:sz="8" w:color="auto"/>
            </w:tcBorders>
          </w:tcPr>
          <w:p>
            <w:pPr>
              <w:spacing w:after="0"/>
              <w:rPr>
                <w:sz w:val="14"/>
                <w:szCs w:val="14"/>
                <w:color w:val="auto"/>
              </w:rPr>
            </w:pPr>
          </w:p>
        </w:tc>
        <w:tc>
          <w:tcPr>
            <w:tcW w:w="1820" w:type="dxa"/>
            <w:vAlign w:val="bottom"/>
            <w:tcBorders>
              <w:bottom w:val="single" w:sz="8" w:color="auto"/>
            </w:tcBorders>
          </w:tcPr>
          <w:p>
            <w:pPr>
              <w:jc w:val="center"/>
              <w:ind w:left="109"/>
              <w:spacing w:after="0"/>
              <w:rPr>
                <w:sz w:val="20"/>
                <w:szCs w:val="20"/>
                <w:color w:val="auto"/>
              </w:rPr>
            </w:pPr>
            <w:r>
              <w:rPr>
                <w:rFonts w:ascii="Arial" w:cs="Arial" w:eastAsia="Arial" w:hAnsi="Arial"/>
                <w:sz w:val="14"/>
                <w:szCs w:val="14"/>
                <w:b w:val="1"/>
                <w:bCs w:val="1"/>
                <w:color w:val="auto"/>
                <w:w w:val="91"/>
              </w:rPr>
              <w:t>As of September 30, 2017</w:t>
            </w:r>
          </w:p>
        </w:tc>
        <w:tc>
          <w:tcPr>
            <w:tcW w:w="1040" w:type="dxa"/>
            <w:vAlign w:val="bottom"/>
            <w:tcBorders>
              <w:bottom w:val="single" w:sz="8" w:color="auto"/>
            </w:tcBorders>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5360" w:type="dxa"/>
            <w:vAlign w:val="bottom"/>
          </w:tcPr>
          <w:p>
            <w:pPr>
              <w:spacing w:after="0"/>
              <w:rPr>
                <w:sz w:val="10"/>
                <w:szCs w:val="10"/>
                <w:color w:val="auto"/>
              </w:rPr>
            </w:pPr>
          </w:p>
        </w:tc>
        <w:tc>
          <w:tcPr>
            <w:tcW w:w="860" w:type="dxa"/>
            <w:vAlign w:val="bottom"/>
            <w:vMerge w:val="restart"/>
          </w:tcPr>
          <w:p>
            <w:pPr>
              <w:jc w:val="right"/>
              <w:ind w:right="272"/>
              <w:spacing w:after="0"/>
              <w:rPr>
                <w:sz w:val="20"/>
                <w:szCs w:val="20"/>
                <w:color w:val="auto"/>
              </w:rPr>
            </w:pPr>
            <w:r>
              <w:rPr>
                <w:rFonts w:ascii="Arial" w:cs="Arial" w:eastAsia="Arial" w:hAnsi="Arial"/>
                <w:sz w:val="14"/>
                <w:szCs w:val="14"/>
                <w:b w:val="1"/>
                <w:bCs w:val="1"/>
                <w:color w:val="auto"/>
              </w:rPr>
              <w:t>Actual</w:t>
            </w:r>
          </w:p>
        </w:tc>
        <w:tc>
          <w:tcPr>
            <w:tcW w:w="1820" w:type="dxa"/>
            <w:vAlign w:val="bottom"/>
          </w:tcPr>
          <w:p>
            <w:pPr>
              <w:jc w:val="center"/>
              <w:ind w:right="169"/>
              <w:spacing w:after="0" w:line="119" w:lineRule="exact"/>
              <w:rPr>
                <w:sz w:val="20"/>
                <w:szCs w:val="20"/>
                <w:color w:val="auto"/>
              </w:rPr>
            </w:pPr>
            <w:r>
              <w:rPr>
                <w:rFonts w:ascii="Arial" w:cs="Arial" w:eastAsia="Arial" w:hAnsi="Arial"/>
                <w:sz w:val="13"/>
                <w:szCs w:val="13"/>
                <w:b w:val="1"/>
                <w:bCs w:val="1"/>
                <w:color w:val="auto"/>
              </w:rPr>
              <w:t>Pro</w:t>
            </w:r>
          </w:p>
        </w:tc>
        <w:tc>
          <w:tcPr>
            <w:tcW w:w="1040" w:type="dxa"/>
            <w:vAlign w:val="bottom"/>
          </w:tcPr>
          <w:p>
            <w:pPr>
              <w:jc w:val="center"/>
              <w:spacing w:after="0" w:line="119" w:lineRule="exact"/>
              <w:rPr>
                <w:sz w:val="20"/>
                <w:szCs w:val="20"/>
                <w:color w:val="auto"/>
              </w:rPr>
            </w:pPr>
            <w:r>
              <w:rPr>
                <w:rFonts w:ascii="Arial" w:cs="Arial" w:eastAsia="Arial" w:hAnsi="Arial"/>
                <w:sz w:val="13"/>
                <w:szCs w:val="13"/>
                <w:b w:val="1"/>
                <w:bCs w:val="1"/>
                <w:color w:val="auto"/>
              </w:rPr>
              <w:t>Pro forma</w:t>
            </w: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5360" w:type="dxa"/>
            <w:vAlign w:val="bottom"/>
          </w:tcPr>
          <w:p>
            <w:pPr>
              <w:spacing w:after="0"/>
              <w:rPr>
                <w:sz w:val="14"/>
                <w:szCs w:val="14"/>
                <w:color w:val="auto"/>
              </w:rPr>
            </w:pPr>
          </w:p>
        </w:tc>
        <w:tc>
          <w:tcPr>
            <w:tcW w:w="860" w:type="dxa"/>
            <w:vAlign w:val="bottom"/>
            <w:vMerge w:val="continue"/>
          </w:tcPr>
          <w:p>
            <w:pPr>
              <w:spacing w:after="0"/>
              <w:rPr>
                <w:sz w:val="14"/>
                <w:szCs w:val="14"/>
                <w:color w:val="auto"/>
              </w:rPr>
            </w:pPr>
          </w:p>
        </w:tc>
        <w:tc>
          <w:tcPr>
            <w:tcW w:w="1820" w:type="dxa"/>
            <w:vAlign w:val="bottom"/>
          </w:tcPr>
          <w:p>
            <w:pPr>
              <w:jc w:val="center"/>
              <w:ind w:right="189"/>
              <w:spacing w:after="0"/>
              <w:rPr>
                <w:sz w:val="20"/>
                <w:szCs w:val="20"/>
                <w:color w:val="auto"/>
              </w:rPr>
            </w:pPr>
            <w:r>
              <w:rPr>
                <w:rFonts w:ascii="Arial" w:cs="Arial" w:eastAsia="Arial" w:hAnsi="Arial"/>
                <w:sz w:val="14"/>
                <w:szCs w:val="14"/>
                <w:b w:val="1"/>
                <w:bCs w:val="1"/>
                <w:color w:val="auto"/>
                <w:w w:val="96"/>
              </w:rPr>
              <w:t>forma</w:t>
            </w:r>
            <w:r>
              <w:rPr>
                <w:rFonts w:ascii="Arial" w:cs="Arial" w:eastAsia="Arial" w:hAnsi="Arial"/>
                <w:sz w:val="12"/>
                <w:szCs w:val="12"/>
                <w:b w:val="1"/>
                <w:bCs w:val="1"/>
                <w:color w:val="auto"/>
                <w:w w:val="96"/>
              </w:rPr>
              <w:t>(1)</w:t>
            </w:r>
          </w:p>
        </w:tc>
        <w:tc>
          <w:tcPr>
            <w:tcW w:w="1080" w:type="dxa"/>
            <w:vAlign w:val="bottom"/>
            <w:gridSpan w:val="2"/>
          </w:tcPr>
          <w:p>
            <w:pPr>
              <w:jc w:val="center"/>
              <w:spacing w:after="0"/>
              <w:rPr>
                <w:sz w:val="20"/>
                <w:szCs w:val="20"/>
                <w:color w:val="auto"/>
              </w:rPr>
            </w:pPr>
            <w:r>
              <w:rPr>
                <w:rFonts w:ascii="Arial" w:cs="Arial" w:eastAsia="Arial" w:hAnsi="Arial"/>
                <w:sz w:val="14"/>
                <w:szCs w:val="14"/>
                <w:b w:val="1"/>
                <w:bCs w:val="1"/>
                <w:color w:val="auto"/>
                <w:w w:val="92"/>
              </w:rPr>
              <w:t>as adjusted</w:t>
            </w:r>
            <w:r>
              <w:rPr>
                <w:rFonts w:ascii="Arial" w:cs="Arial" w:eastAsia="Arial" w:hAnsi="Arial"/>
                <w:sz w:val="12"/>
                <w:szCs w:val="12"/>
                <w:b w:val="1"/>
                <w:bCs w:val="1"/>
                <w:color w:val="auto"/>
                <w:w w:val="92"/>
              </w:rPr>
              <w:t>(2)(3)</w:t>
            </w:r>
          </w:p>
        </w:tc>
        <w:tc>
          <w:tcPr>
            <w:tcW w:w="0" w:type="dxa"/>
            <w:vAlign w:val="bottom"/>
          </w:tcPr>
          <w:p>
            <w:pPr>
              <w:spacing w:after="0"/>
              <w:rPr>
                <w:sz w:val="1"/>
                <w:szCs w:val="1"/>
                <w:color w:val="auto"/>
              </w:rPr>
            </w:pPr>
          </w:p>
        </w:tc>
      </w:tr>
      <w:tr>
        <w:trPr>
          <w:trHeight w:val="142"/>
        </w:trPr>
        <w:tc>
          <w:tcPr>
            <w:tcW w:w="5360" w:type="dxa"/>
            <w:vAlign w:val="bottom"/>
          </w:tcPr>
          <w:p>
            <w:pPr>
              <w:spacing w:after="0"/>
              <w:rPr>
                <w:sz w:val="12"/>
                <w:szCs w:val="12"/>
                <w:color w:val="auto"/>
              </w:rPr>
            </w:pPr>
          </w:p>
        </w:tc>
        <w:tc>
          <w:tcPr>
            <w:tcW w:w="860" w:type="dxa"/>
            <w:vAlign w:val="bottom"/>
            <w:tcBorders>
              <w:top w:val="single" w:sz="8" w:color="auto"/>
            </w:tcBorders>
          </w:tcPr>
          <w:p>
            <w:pPr>
              <w:spacing w:after="0"/>
              <w:rPr>
                <w:sz w:val="12"/>
                <w:szCs w:val="12"/>
                <w:color w:val="auto"/>
              </w:rPr>
            </w:pPr>
          </w:p>
        </w:tc>
        <w:tc>
          <w:tcPr>
            <w:tcW w:w="1820" w:type="dxa"/>
            <w:vAlign w:val="bottom"/>
            <w:tcBorders>
              <w:top w:val="single" w:sz="8" w:color="auto"/>
            </w:tcBorders>
          </w:tcPr>
          <w:p>
            <w:pPr>
              <w:jc w:val="center"/>
              <w:ind w:left="109"/>
              <w:spacing w:after="0" w:line="142" w:lineRule="exact"/>
              <w:rPr>
                <w:sz w:val="20"/>
                <w:szCs w:val="20"/>
                <w:color w:val="auto"/>
              </w:rPr>
            </w:pPr>
            <w:r>
              <w:rPr>
                <w:rFonts w:ascii="Arial" w:cs="Arial" w:eastAsia="Arial" w:hAnsi="Arial"/>
                <w:sz w:val="14"/>
                <w:szCs w:val="14"/>
                <w:i w:val="1"/>
                <w:iCs w:val="1"/>
                <w:color w:val="auto"/>
              </w:rPr>
              <w:t>(In millions)</w:t>
            </w:r>
          </w:p>
        </w:tc>
        <w:tc>
          <w:tcPr>
            <w:tcW w:w="1040" w:type="dxa"/>
            <w:vAlign w:val="bottom"/>
            <w:tcBorders>
              <w:top w:val="single" w:sz="8" w:color="auto"/>
            </w:tcBorders>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536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w:t>
            </w:r>
          </w:p>
        </w:tc>
        <w:tc>
          <w:tcPr>
            <w:tcW w:w="860" w:type="dxa"/>
            <w:vAlign w:val="bottom"/>
            <w:shd w:val="clear" w:color="auto" w:fill="CCEEFF"/>
          </w:tcPr>
          <w:p>
            <w:pPr>
              <w:jc w:val="right"/>
              <w:ind w:right="192"/>
              <w:spacing w:after="0"/>
              <w:rPr>
                <w:sz w:val="20"/>
                <w:szCs w:val="20"/>
                <w:color w:val="auto"/>
              </w:rPr>
            </w:pPr>
            <w:r>
              <w:rPr>
                <w:rFonts w:ascii="Arial" w:cs="Arial" w:eastAsia="Arial" w:hAnsi="Arial"/>
                <w:sz w:val="18"/>
                <w:szCs w:val="18"/>
                <w:color w:val="auto"/>
                <w:w w:val="93"/>
              </w:rPr>
              <w:t>$ 422.7</w:t>
            </w:r>
          </w:p>
        </w:tc>
        <w:tc>
          <w:tcPr>
            <w:tcW w:w="18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60" w:type="dxa"/>
            <w:vAlign w:val="bottom"/>
          </w:tcPr>
          <w:p>
            <w:pPr>
              <w:spacing w:after="0"/>
              <w:rPr>
                <w:sz w:val="20"/>
                <w:szCs w:val="20"/>
                <w:color w:val="auto"/>
              </w:rPr>
            </w:pPr>
            <w:r>
              <w:rPr>
                <w:rFonts w:ascii="Arial" w:cs="Arial" w:eastAsia="Arial" w:hAnsi="Arial"/>
                <w:sz w:val="18"/>
                <w:szCs w:val="18"/>
                <w:color w:val="auto"/>
              </w:rPr>
              <w:t>Working capital</w:t>
            </w:r>
          </w:p>
        </w:tc>
        <w:tc>
          <w:tcPr>
            <w:tcW w:w="860" w:type="dxa"/>
            <w:vAlign w:val="bottom"/>
          </w:tcPr>
          <w:p>
            <w:pPr>
              <w:jc w:val="right"/>
              <w:ind w:right="132"/>
              <w:spacing w:after="0"/>
              <w:rPr>
                <w:sz w:val="20"/>
                <w:szCs w:val="20"/>
                <w:color w:val="auto"/>
              </w:rPr>
            </w:pPr>
            <w:r>
              <w:rPr>
                <w:rFonts w:ascii="Arial" w:cs="Arial" w:eastAsia="Arial" w:hAnsi="Arial"/>
                <w:sz w:val="18"/>
                <w:szCs w:val="18"/>
                <w:color w:val="auto"/>
              </w:rPr>
              <w:t>(205.5)</w:t>
            </w:r>
          </w:p>
        </w:tc>
        <w:tc>
          <w:tcPr>
            <w:tcW w:w="18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60" w:type="dxa"/>
            <w:vAlign w:val="bottom"/>
            <w:shd w:val="clear" w:color="auto" w:fill="CCEEFF"/>
          </w:tcPr>
          <w:p>
            <w:pPr>
              <w:spacing w:after="0"/>
              <w:rPr>
                <w:sz w:val="20"/>
                <w:szCs w:val="20"/>
                <w:color w:val="auto"/>
              </w:rPr>
            </w:pPr>
            <w:r>
              <w:rPr>
                <w:rFonts w:ascii="Arial" w:cs="Arial" w:eastAsia="Arial" w:hAnsi="Arial"/>
                <w:sz w:val="18"/>
                <w:szCs w:val="18"/>
                <w:color w:val="auto"/>
              </w:rPr>
              <w:t>Property and equipment, net</w:t>
            </w:r>
          </w:p>
        </w:tc>
        <w:tc>
          <w:tcPr>
            <w:tcW w:w="860" w:type="dxa"/>
            <w:vAlign w:val="bottom"/>
            <w:shd w:val="clear" w:color="auto" w:fill="CCEEFF"/>
          </w:tcPr>
          <w:p>
            <w:pPr>
              <w:jc w:val="right"/>
              <w:ind w:right="192"/>
              <w:spacing w:after="0"/>
              <w:rPr>
                <w:sz w:val="20"/>
                <w:szCs w:val="20"/>
                <w:color w:val="auto"/>
              </w:rPr>
            </w:pPr>
            <w:r>
              <w:rPr>
                <w:rFonts w:ascii="Arial" w:cs="Arial" w:eastAsia="Arial" w:hAnsi="Arial"/>
                <w:sz w:val="18"/>
                <w:szCs w:val="18"/>
                <w:color w:val="auto"/>
              </w:rPr>
              <w:t>345.0</w:t>
            </w:r>
          </w:p>
        </w:tc>
        <w:tc>
          <w:tcPr>
            <w:tcW w:w="18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60" w:type="dxa"/>
            <w:vAlign w:val="bottom"/>
          </w:tcPr>
          <w:p>
            <w:pPr>
              <w:spacing w:after="0"/>
              <w:rPr>
                <w:sz w:val="20"/>
                <w:szCs w:val="20"/>
                <w:color w:val="auto"/>
              </w:rPr>
            </w:pPr>
            <w:r>
              <w:rPr>
                <w:rFonts w:ascii="Arial" w:cs="Arial" w:eastAsia="Arial" w:hAnsi="Arial"/>
                <w:sz w:val="18"/>
                <w:szCs w:val="18"/>
                <w:color w:val="auto"/>
              </w:rPr>
              <w:t>Total assets</w:t>
            </w:r>
          </w:p>
        </w:tc>
        <w:tc>
          <w:tcPr>
            <w:tcW w:w="860" w:type="dxa"/>
            <w:vAlign w:val="bottom"/>
          </w:tcPr>
          <w:p>
            <w:pPr>
              <w:jc w:val="right"/>
              <w:ind w:right="192"/>
              <w:spacing w:after="0"/>
              <w:rPr>
                <w:sz w:val="20"/>
                <w:szCs w:val="20"/>
                <w:color w:val="auto"/>
              </w:rPr>
            </w:pPr>
            <w:r>
              <w:rPr>
                <w:rFonts w:ascii="Arial" w:cs="Arial" w:eastAsia="Arial" w:hAnsi="Arial"/>
                <w:sz w:val="18"/>
                <w:szCs w:val="18"/>
                <w:color w:val="auto"/>
              </w:rPr>
              <w:t>986.5</w:t>
            </w:r>
          </w:p>
        </w:tc>
        <w:tc>
          <w:tcPr>
            <w:tcW w:w="18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60" w:type="dxa"/>
            <w:vAlign w:val="bottom"/>
            <w:shd w:val="clear" w:color="auto" w:fill="CCEEFF"/>
          </w:tcPr>
          <w:p>
            <w:pPr>
              <w:spacing w:after="0"/>
              <w:rPr>
                <w:sz w:val="20"/>
                <w:szCs w:val="20"/>
                <w:color w:val="auto"/>
              </w:rPr>
            </w:pPr>
            <w:r>
              <w:rPr>
                <w:rFonts w:ascii="Arial" w:cs="Arial" w:eastAsia="Arial" w:hAnsi="Arial"/>
                <w:sz w:val="18"/>
                <w:szCs w:val="18"/>
                <w:color w:val="auto"/>
              </w:rPr>
              <w:t>Total deferred revenue</w:t>
            </w:r>
          </w:p>
        </w:tc>
        <w:tc>
          <w:tcPr>
            <w:tcW w:w="860" w:type="dxa"/>
            <w:vAlign w:val="bottom"/>
            <w:shd w:val="clear" w:color="auto" w:fill="CCEEFF"/>
          </w:tcPr>
          <w:p>
            <w:pPr>
              <w:jc w:val="right"/>
              <w:ind w:right="192"/>
              <w:spacing w:after="0"/>
              <w:rPr>
                <w:sz w:val="20"/>
                <w:szCs w:val="20"/>
                <w:color w:val="auto"/>
              </w:rPr>
            </w:pPr>
            <w:r>
              <w:rPr>
                <w:rFonts w:ascii="Arial" w:cs="Arial" w:eastAsia="Arial" w:hAnsi="Arial"/>
                <w:sz w:val="18"/>
                <w:szCs w:val="18"/>
                <w:color w:val="auto"/>
              </w:rPr>
              <w:t>407.4</w:t>
            </w:r>
          </w:p>
        </w:tc>
        <w:tc>
          <w:tcPr>
            <w:tcW w:w="18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60" w:type="dxa"/>
            <w:vAlign w:val="bottom"/>
          </w:tcPr>
          <w:p>
            <w:pPr>
              <w:spacing w:after="0"/>
              <w:rPr>
                <w:sz w:val="20"/>
                <w:szCs w:val="20"/>
                <w:color w:val="auto"/>
              </w:rPr>
            </w:pPr>
            <w:r>
              <w:rPr>
                <w:rFonts w:ascii="Arial" w:cs="Arial" w:eastAsia="Arial" w:hAnsi="Arial"/>
                <w:sz w:val="18"/>
                <w:szCs w:val="18"/>
                <w:color w:val="auto"/>
              </w:rPr>
              <w:t>Total capital lease obligations</w:t>
            </w:r>
          </w:p>
        </w:tc>
        <w:tc>
          <w:tcPr>
            <w:tcW w:w="860" w:type="dxa"/>
            <w:vAlign w:val="bottom"/>
          </w:tcPr>
          <w:p>
            <w:pPr>
              <w:jc w:val="right"/>
              <w:ind w:right="192"/>
              <w:spacing w:after="0"/>
              <w:rPr>
                <w:sz w:val="20"/>
                <w:szCs w:val="20"/>
                <w:color w:val="auto"/>
              </w:rPr>
            </w:pPr>
            <w:r>
              <w:rPr>
                <w:rFonts w:ascii="Arial" w:cs="Arial" w:eastAsia="Arial" w:hAnsi="Arial"/>
                <w:sz w:val="18"/>
                <w:szCs w:val="18"/>
                <w:color w:val="auto"/>
              </w:rPr>
              <w:t>178.6</w:t>
            </w:r>
          </w:p>
        </w:tc>
        <w:tc>
          <w:tcPr>
            <w:tcW w:w="18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60" w:type="dxa"/>
            <w:vAlign w:val="bottom"/>
            <w:shd w:val="clear" w:color="auto" w:fill="CCEEFF"/>
          </w:tcPr>
          <w:p>
            <w:pPr>
              <w:spacing w:after="0"/>
              <w:rPr>
                <w:sz w:val="20"/>
                <w:szCs w:val="20"/>
                <w:color w:val="auto"/>
              </w:rPr>
            </w:pPr>
            <w:r>
              <w:rPr>
                <w:rFonts w:ascii="Arial" w:cs="Arial" w:eastAsia="Arial" w:hAnsi="Arial"/>
                <w:sz w:val="18"/>
                <w:szCs w:val="18"/>
                <w:color w:val="auto"/>
              </w:rPr>
              <w:t>Revolving credit facility</w:t>
            </w:r>
          </w:p>
        </w:tc>
        <w:tc>
          <w:tcPr>
            <w:tcW w:w="860" w:type="dxa"/>
            <w:vAlign w:val="bottom"/>
            <w:shd w:val="clear" w:color="auto" w:fill="CCEEFF"/>
          </w:tcPr>
          <w:p>
            <w:pPr>
              <w:jc w:val="right"/>
              <w:ind w:right="292"/>
              <w:spacing w:after="0"/>
              <w:rPr>
                <w:sz w:val="20"/>
                <w:szCs w:val="20"/>
                <w:color w:val="auto"/>
              </w:rPr>
            </w:pPr>
            <w:r>
              <w:rPr>
                <w:rFonts w:ascii="Arial" w:cs="Arial" w:eastAsia="Arial" w:hAnsi="Arial"/>
                <w:sz w:val="18"/>
                <w:szCs w:val="18"/>
                <w:color w:val="auto"/>
              </w:rPr>
              <w:t>—</w:t>
            </w:r>
          </w:p>
        </w:tc>
        <w:tc>
          <w:tcPr>
            <w:tcW w:w="18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360" w:type="dxa"/>
            <w:vAlign w:val="bottom"/>
          </w:tcPr>
          <w:p>
            <w:pPr>
              <w:spacing w:after="0"/>
              <w:rPr>
                <w:sz w:val="20"/>
                <w:szCs w:val="20"/>
                <w:color w:val="auto"/>
              </w:rPr>
            </w:pPr>
            <w:r>
              <w:rPr>
                <w:rFonts w:ascii="Arial" w:cs="Arial" w:eastAsia="Arial" w:hAnsi="Arial"/>
                <w:sz w:val="18"/>
                <w:szCs w:val="18"/>
                <w:color w:val="auto"/>
              </w:rPr>
              <w:t>Total stockholders’ equity</w:t>
            </w:r>
          </w:p>
        </w:tc>
        <w:tc>
          <w:tcPr>
            <w:tcW w:w="860" w:type="dxa"/>
            <w:vAlign w:val="bottom"/>
          </w:tcPr>
          <w:p>
            <w:pPr>
              <w:jc w:val="right"/>
              <w:ind w:right="192"/>
              <w:spacing w:after="0"/>
              <w:rPr>
                <w:sz w:val="20"/>
                <w:szCs w:val="20"/>
                <w:color w:val="auto"/>
              </w:rPr>
            </w:pPr>
            <w:r>
              <w:rPr>
                <w:rFonts w:ascii="Arial" w:cs="Arial" w:eastAsia="Arial" w:hAnsi="Arial"/>
                <w:sz w:val="18"/>
                <w:szCs w:val="18"/>
                <w:color w:val="auto"/>
              </w:rPr>
              <w:t>109.0</w:t>
            </w:r>
          </w:p>
        </w:tc>
        <w:tc>
          <w:tcPr>
            <w:tcW w:w="18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19" w:lineRule="exact"/>
        <w:rPr>
          <w:sz w:val="20"/>
          <w:szCs w:val="20"/>
          <w:color w:val="auto"/>
        </w:rPr>
      </w:pPr>
    </w:p>
    <w:p>
      <w:pPr>
        <w:jc w:val="both"/>
        <w:ind w:left="520" w:right="300" w:hanging="326"/>
        <w:spacing w:after="0" w:line="230" w:lineRule="auto"/>
        <w:tabs>
          <w:tab w:leader="none" w:pos="520" w:val="left"/>
        </w:tabs>
        <w:numPr>
          <w:ilvl w:val="0"/>
          <w:numId w:val="15"/>
        </w:numPr>
        <w:rPr>
          <w:rFonts w:ascii="Arial" w:cs="Arial" w:eastAsia="Arial" w:hAnsi="Arial"/>
          <w:sz w:val="23"/>
          <w:szCs w:val="23"/>
          <w:color w:val="auto"/>
          <w:vertAlign w:val="superscript"/>
        </w:rPr>
      </w:pPr>
      <w:r>
        <w:rPr>
          <w:rFonts w:ascii="Arial" w:cs="Arial" w:eastAsia="Arial" w:hAnsi="Arial"/>
          <w:sz w:val="14"/>
          <w:szCs w:val="14"/>
          <w:color w:val="auto"/>
        </w:rPr>
        <w:t>The pro forma column in the balance sheet data table above reflects (a) the Capital Stock Conversions, as if such conversions had occurred on September 30, 2017, (b) the filing and effectiveness of our amended and restated certificate of incorporation in Delaware that will become effective immediately prior to the</w:t>
      </w:r>
    </w:p>
    <w:p>
      <w:pPr>
        <w:spacing w:after="0" w:line="1" w:lineRule="exact"/>
        <w:rPr>
          <w:sz w:val="20"/>
          <w:szCs w:val="20"/>
          <w:color w:val="auto"/>
        </w:rPr>
      </w:pPr>
    </w:p>
    <w:tbl>
      <w:tblPr>
        <w:tblLayout w:type="fixed"/>
        <w:tblInd w:w="520" w:type="dxa"/>
        <w:tblCellMar>
          <w:top w:w="0" w:type="dxa"/>
          <w:left w:w="0" w:type="dxa"/>
          <w:bottom w:w="0" w:type="dxa"/>
          <w:right w:w="0" w:type="dxa"/>
        </w:tblCellMar>
      </w:tblPr>
      <w:tr>
        <w:trPr>
          <w:trHeight w:val="199"/>
        </w:trPr>
        <w:tc>
          <w:tcPr>
            <w:tcW w:w="9640" w:type="dxa"/>
            <w:vAlign w:val="bottom"/>
            <w:gridSpan w:val="3"/>
          </w:tcPr>
          <w:p>
            <w:pPr>
              <w:spacing w:after="0"/>
              <w:rPr>
                <w:sz w:val="20"/>
                <w:szCs w:val="20"/>
                <w:color w:val="auto"/>
              </w:rPr>
            </w:pPr>
            <w:r>
              <w:rPr>
                <w:rFonts w:ascii="Arial" w:cs="Arial" w:eastAsia="Arial" w:hAnsi="Arial"/>
                <w:sz w:val="16"/>
                <w:szCs w:val="16"/>
                <w:color w:val="auto"/>
                <w:w w:val="94"/>
              </w:rPr>
              <w:t>completion of this offering, (c) stock-based compensation expense of $415.4 million associated with the RSU Settlement, (d) the net issuance of</w:t>
            </w:r>
          </w:p>
        </w:tc>
        <w:tc>
          <w:tcPr>
            <w:tcW w:w="860" w:type="dxa"/>
            <w:vAlign w:val="bottom"/>
          </w:tcPr>
          <w:p>
            <w:pPr>
              <w:ind w:left="280"/>
              <w:spacing w:after="0"/>
              <w:rPr>
                <w:sz w:val="20"/>
                <w:szCs w:val="20"/>
                <w:color w:val="auto"/>
              </w:rPr>
            </w:pPr>
            <w:r>
              <w:rPr>
                <w:rFonts w:ascii="Arial" w:cs="Arial" w:eastAsia="Arial" w:hAnsi="Arial"/>
                <w:sz w:val="16"/>
                <w:szCs w:val="16"/>
                <w:color w:val="auto"/>
                <w:w w:val="85"/>
              </w:rPr>
              <w:t>shares of</w:t>
            </w:r>
          </w:p>
        </w:tc>
      </w:tr>
      <w:tr>
        <w:trPr>
          <w:trHeight w:val="203"/>
        </w:trPr>
        <w:tc>
          <w:tcPr>
            <w:tcW w:w="5360" w:type="dxa"/>
            <w:vAlign w:val="bottom"/>
          </w:tcPr>
          <w:p>
            <w:pPr>
              <w:spacing w:after="0"/>
              <w:rPr>
                <w:sz w:val="20"/>
                <w:szCs w:val="20"/>
                <w:color w:val="auto"/>
              </w:rPr>
            </w:pPr>
            <w:r>
              <w:rPr>
                <w:rFonts w:ascii="Arial" w:cs="Arial" w:eastAsia="Arial" w:hAnsi="Arial"/>
                <w:sz w:val="16"/>
                <w:szCs w:val="16"/>
                <w:color w:val="auto"/>
                <w:w w:val="99"/>
              </w:rPr>
              <w:t>our Class B common stock upon the RSU Settlement, (e) the borrowing of $</w:t>
            </w:r>
          </w:p>
        </w:tc>
        <w:tc>
          <w:tcPr>
            <w:tcW w:w="5140" w:type="dxa"/>
            <w:vAlign w:val="bottom"/>
            <w:gridSpan w:val="3"/>
          </w:tcPr>
          <w:p>
            <w:pPr>
              <w:jc w:val="center"/>
              <w:spacing w:after="0"/>
              <w:rPr>
                <w:sz w:val="20"/>
                <w:szCs w:val="20"/>
                <w:color w:val="auto"/>
              </w:rPr>
            </w:pPr>
            <w:r>
              <w:rPr>
                <w:rFonts w:ascii="Arial" w:cs="Arial" w:eastAsia="Arial" w:hAnsi="Arial"/>
                <w:sz w:val="16"/>
                <w:szCs w:val="16"/>
                <w:color w:val="auto"/>
                <w:w w:val="95"/>
              </w:rPr>
              <w:t>million under our revolving credit facility to satisfy our tax withholding and</w:t>
            </w:r>
          </w:p>
        </w:tc>
      </w:tr>
      <w:tr>
        <w:trPr>
          <w:trHeight w:val="203"/>
        </w:trPr>
        <w:tc>
          <w:tcPr>
            <w:tcW w:w="5360" w:type="dxa"/>
            <w:vAlign w:val="bottom"/>
          </w:tcPr>
          <w:p>
            <w:pPr>
              <w:spacing w:after="0"/>
              <w:rPr>
                <w:sz w:val="20"/>
                <w:szCs w:val="20"/>
                <w:color w:val="auto"/>
              </w:rPr>
            </w:pPr>
            <w:r>
              <w:rPr>
                <w:rFonts w:ascii="Arial" w:cs="Arial" w:eastAsia="Arial" w:hAnsi="Arial"/>
                <w:sz w:val="16"/>
                <w:szCs w:val="16"/>
                <w:color w:val="auto"/>
                <w:w w:val="92"/>
              </w:rPr>
              <w:t>remittance obligations related to the RSU Settlement, and (f) a cash payment of $</w:t>
            </w:r>
          </w:p>
        </w:tc>
        <w:tc>
          <w:tcPr>
            <w:tcW w:w="5140" w:type="dxa"/>
            <w:vAlign w:val="bottom"/>
            <w:gridSpan w:val="3"/>
          </w:tcPr>
          <w:p>
            <w:pPr>
              <w:jc w:val="center"/>
              <w:spacing w:after="0"/>
              <w:rPr>
                <w:sz w:val="20"/>
                <w:szCs w:val="20"/>
                <w:color w:val="auto"/>
              </w:rPr>
            </w:pPr>
            <w:r>
              <w:rPr>
                <w:rFonts w:ascii="Arial" w:cs="Arial" w:eastAsia="Arial" w:hAnsi="Arial"/>
                <w:sz w:val="16"/>
                <w:szCs w:val="16"/>
                <w:color w:val="auto"/>
                <w:w w:val="92"/>
              </w:rPr>
              <w:t>to satisfy our tax withholding and remittance obligations related to the</w:t>
            </w:r>
          </w:p>
        </w:tc>
      </w:tr>
      <w:tr>
        <w:trPr>
          <w:trHeight w:val="203"/>
        </w:trPr>
        <w:tc>
          <w:tcPr>
            <w:tcW w:w="7100" w:type="dxa"/>
            <w:vAlign w:val="bottom"/>
            <w:gridSpan w:val="2"/>
          </w:tcPr>
          <w:p>
            <w:pPr>
              <w:spacing w:after="0"/>
              <w:rPr>
                <w:sz w:val="20"/>
                <w:szCs w:val="20"/>
                <w:color w:val="auto"/>
              </w:rPr>
            </w:pPr>
            <w:r>
              <w:rPr>
                <w:rFonts w:ascii="Arial" w:cs="Arial" w:eastAsia="Arial" w:hAnsi="Arial"/>
                <w:sz w:val="16"/>
                <w:szCs w:val="16"/>
                <w:color w:val="auto"/>
                <w:w w:val="94"/>
              </w:rPr>
              <w:t>RSU Settlement, which amounts in (e) and (f) are based upon the assumed initial public offering price of $</w:t>
            </w:r>
          </w:p>
        </w:tc>
        <w:tc>
          <w:tcPr>
            <w:tcW w:w="3400" w:type="dxa"/>
            <w:vAlign w:val="bottom"/>
            <w:gridSpan w:val="2"/>
          </w:tcPr>
          <w:p>
            <w:pPr>
              <w:ind w:left="180"/>
              <w:spacing w:after="0"/>
              <w:rPr>
                <w:sz w:val="20"/>
                <w:szCs w:val="20"/>
                <w:color w:val="auto"/>
              </w:rPr>
            </w:pPr>
            <w:r>
              <w:rPr>
                <w:rFonts w:ascii="Arial" w:cs="Arial" w:eastAsia="Arial" w:hAnsi="Arial"/>
                <w:sz w:val="16"/>
                <w:szCs w:val="16"/>
                <w:color w:val="auto"/>
                <w:w w:val="93"/>
              </w:rPr>
              <w:t>per share, which is the midpoint of the estimated</w:t>
            </w:r>
          </w:p>
        </w:tc>
      </w:tr>
      <w:tr>
        <w:trPr>
          <w:trHeight w:val="206"/>
        </w:trPr>
        <w:tc>
          <w:tcPr>
            <w:tcW w:w="5360" w:type="dxa"/>
            <w:vAlign w:val="bottom"/>
          </w:tcPr>
          <w:p>
            <w:pPr>
              <w:spacing w:after="0"/>
              <w:rPr>
                <w:sz w:val="20"/>
                <w:szCs w:val="20"/>
                <w:color w:val="auto"/>
              </w:rPr>
            </w:pPr>
            <w:r>
              <w:rPr>
                <w:rFonts w:ascii="Arial" w:cs="Arial" w:eastAsia="Arial" w:hAnsi="Arial"/>
                <w:sz w:val="16"/>
                <w:szCs w:val="16"/>
                <w:color w:val="auto"/>
              </w:rPr>
              <w:t>offering price range set forth on the cover page of this prospectus.</w:t>
            </w:r>
          </w:p>
        </w:tc>
        <w:tc>
          <w:tcPr>
            <w:tcW w:w="1740" w:type="dxa"/>
            <w:vAlign w:val="bottom"/>
          </w:tcPr>
          <w:p>
            <w:pPr>
              <w:spacing w:after="0"/>
              <w:rPr>
                <w:sz w:val="17"/>
                <w:szCs w:val="17"/>
                <w:color w:val="auto"/>
              </w:rPr>
            </w:pPr>
          </w:p>
        </w:tc>
        <w:tc>
          <w:tcPr>
            <w:tcW w:w="2540" w:type="dxa"/>
            <w:vAlign w:val="bottom"/>
          </w:tcPr>
          <w:p>
            <w:pPr>
              <w:spacing w:after="0"/>
              <w:rPr>
                <w:sz w:val="17"/>
                <w:szCs w:val="17"/>
                <w:color w:val="auto"/>
              </w:rPr>
            </w:pPr>
          </w:p>
        </w:tc>
        <w:tc>
          <w:tcPr>
            <w:tcW w:w="860" w:type="dxa"/>
            <w:vAlign w:val="bottom"/>
          </w:tcPr>
          <w:p>
            <w:pPr>
              <w:spacing w:after="0"/>
              <w:rPr>
                <w:sz w:val="17"/>
                <w:szCs w:val="17"/>
                <w:color w:val="auto"/>
              </w:rPr>
            </w:pPr>
          </w:p>
        </w:tc>
      </w:tr>
    </w:tbl>
    <w:p>
      <w:pPr>
        <w:ind w:left="520" w:hanging="326"/>
        <w:spacing w:after="0" w:line="183" w:lineRule="auto"/>
        <w:tabs>
          <w:tab w:leader="none" w:pos="520" w:val="left"/>
        </w:tabs>
        <w:numPr>
          <w:ilvl w:val="0"/>
          <w:numId w:val="16"/>
        </w:numPr>
        <w:rPr>
          <w:rFonts w:ascii="Arial" w:cs="Arial" w:eastAsia="Arial" w:hAnsi="Arial"/>
          <w:sz w:val="23"/>
          <w:szCs w:val="23"/>
          <w:color w:val="auto"/>
          <w:vertAlign w:val="superscript"/>
        </w:rPr>
      </w:pPr>
      <w:r>
        <w:rPr>
          <w:rFonts w:ascii="Arial" w:cs="Arial" w:eastAsia="Arial" w:hAnsi="Arial"/>
          <w:sz w:val="14"/>
          <w:szCs w:val="14"/>
          <w:color w:val="auto"/>
        </w:rPr>
        <w:t>The pro forma as adjusted column in the balance sheet data table above gives effect to (a) the pro forma adjustments set forth above, (b) the sale and issuance by</w:t>
      </w:r>
    </w:p>
    <w:p>
      <w:pPr>
        <w:spacing w:after="0" w:line="11" w:lineRule="exact"/>
        <w:rPr>
          <w:sz w:val="20"/>
          <w:szCs w:val="20"/>
          <w:color w:val="auto"/>
        </w:rPr>
      </w:pPr>
    </w:p>
    <w:p>
      <w:pPr>
        <w:ind w:left="520" w:right="60"/>
        <w:spacing w:after="0" w:line="274" w:lineRule="auto"/>
        <w:rPr>
          <w:sz w:val="20"/>
          <w:szCs w:val="20"/>
          <w:color w:val="auto"/>
        </w:rPr>
      </w:pPr>
      <w:r>
        <w:rPr>
          <w:rFonts w:ascii="Arial" w:cs="Arial" w:eastAsia="Arial" w:hAnsi="Arial"/>
          <w:sz w:val="15"/>
          <w:szCs w:val="15"/>
          <w:color w:val="auto"/>
        </w:rPr>
        <w:t>us of shares of our Class A common stock in this offering, based upon the assumed initial public offering price of $ per share, which is the midpoint of the estimated offering price range set forth on the cover page of this prospectus, and after deducting estimated underwriting discounts and commissions and</w:t>
      </w:r>
    </w:p>
    <w:p>
      <w:pPr>
        <w:spacing w:after="0" w:line="1" w:lineRule="exact"/>
        <w:rPr>
          <w:sz w:val="20"/>
          <w:szCs w:val="20"/>
          <w:color w:val="auto"/>
        </w:rPr>
      </w:pPr>
    </w:p>
    <w:p>
      <w:pPr>
        <w:ind w:left="520"/>
        <w:spacing w:after="0"/>
        <w:tabs>
          <w:tab w:leader="none" w:pos="7260" w:val="left"/>
        </w:tabs>
        <w:rPr>
          <w:sz w:val="20"/>
          <w:szCs w:val="20"/>
          <w:color w:val="auto"/>
        </w:rPr>
      </w:pPr>
      <w:r>
        <w:rPr>
          <w:rFonts w:ascii="Arial" w:cs="Arial" w:eastAsia="Arial" w:hAnsi="Arial"/>
          <w:sz w:val="16"/>
          <w:szCs w:val="16"/>
          <w:color w:val="auto"/>
        </w:rPr>
        <w:t>estimated offering expenses payable by us, and (c) the use of proceeds from the offering to repay $</w:t>
      </w:r>
      <w:r>
        <w:rPr>
          <w:sz w:val="20"/>
          <w:szCs w:val="20"/>
          <w:color w:val="auto"/>
        </w:rPr>
        <w:tab/>
      </w:r>
      <w:r>
        <w:rPr>
          <w:rFonts w:ascii="Arial" w:cs="Arial" w:eastAsia="Arial" w:hAnsi="Arial"/>
          <w:sz w:val="15"/>
          <w:szCs w:val="15"/>
          <w:color w:val="auto"/>
        </w:rPr>
        <w:t>drawn down under our revolving credit facility to satisfy</w:t>
      </w:r>
    </w:p>
    <w:p>
      <w:pPr>
        <w:spacing w:after="0" w:line="19" w:lineRule="exact"/>
        <w:rPr>
          <w:sz w:val="20"/>
          <w:szCs w:val="20"/>
          <w:color w:val="auto"/>
        </w:rPr>
      </w:pPr>
    </w:p>
    <w:p>
      <w:pPr>
        <w:ind w:left="520"/>
        <w:spacing w:after="0"/>
        <w:rPr>
          <w:sz w:val="20"/>
          <w:szCs w:val="20"/>
          <w:color w:val="auto"/>
        </w:rPr>
      </w:pPr>
      <w:r>
        <w:rPr>
          <w:rFonts w:ascii="Arial" w:cs="Arial" w:eastAsia="Arial" w:hAnsi="Arial"/>
          <w:sz w:val="16"/>
          <w:szCs w:val="16"/>
          <w:color w:val="auto"/>
        </w:rPr>
        <w:t>our tax withholding and remittance obligations related to the RSU Settlement.</w:t>
      </w:r>
    </w:p>
    <w:p>
      <w:pPr>
        <w:spacing w:after="0" w:line="19" w:lineRule="exact"/>
        <w:rPr>
          <w:sz w:val="20"/>
          <w:szCs w:val="20"/>
          <w:color w:val="auto"/>
        </w:rPr>
      </w:pPr>
    </w:p>
    <w:p>
      <w:pPr>
        <w:ind w:left="200"/>
        <w:spacing w:after="0"/>
        <w:tabs>
          <w:tab w:leader="none" w:pos="500" w:val="left"/>
          <w:tab w:leader="none" w:pos="6180" w:val="left"/>
        </w:tabs>
        <w:rPr>
          <w:sz w:val="20"/>
          <w:szCs w:val="20"/>
          <w:color w:val="auto"/>
        </w:rPr>
      </w:pPr>
      <w:r>
        <w:rPr>
          <w:rFonts w:ascii="Arial" w:cs="Arial" w:eastAsia="Arial" w:hAnsi="Arial"/>
          <w:sz w:val="14"/>
          <w:szCs w:val="14"/>
          <w:color w:val="auto"/>
        </w:rPr>
        <w:t>(3)</w:t>
      </w:r>
      <w:r>
        <w:rPr>
          <w:sz w:val="20"/>
          <w:szCs w:val="20"/>
          <w:color w:val="auto"/>
        </w:rPr>
        <w:tab/>
      </w:r>
      <w:r>
        <w:rPr>
          <w:rFonts w:ascii="Arial" w:cs="Arial" w:eastAsia="Arial" w:hAnsi="Arial"/>
          <w:sz w:val="16"/>
          <w:szCs w:val="16"/>
          <w:color w:val="auto"/>
        </w:rPr>
        <w:t>Each $1.00 increase or decrease in the assumed initial public offering price of $</w:t>
      </w:r>
      <w:r>
        <w:rPr>
          <w:sz w:val="20"/>
          <w:szCs w:val="20"/>
          <w:color w:val="auto"/>
        </w:rPr>
        <w:tab/>
      </w:r>
      <w:r>
        <w:rPr>
          <w:rFonts w:ascii="Arial" w:cs="Arial" w:eastAsia="Arial" w:hAnsi="Arial"/>
          <w:sz w:val="14"/>
          <w:szCs w:val="14"/>
          <w:color w:val="auto"/>
        </w:rPr>
        <w:t>per share, which is the midpoint of the estimated offering price range set</w:t>
      </w:r>
    </w:p>
    <w:p>
      <w:pPr>
        <w:spacing w:after="0" w:line="19" w:lineRule="exact"/>
        <w:rPr>
          <w:sz w:val="20"/>
          <w:szCs w:val="20"/>
          <w:color w:val="auto"/>
        </w:rPr>
      </w:pPr>
    </w:p>
    <w:p>
      <w:pPr>
        <w:ind w:left="520"/>
        <w:spacing w:after="0"/>
        <w:rPr>
          <w:sz w:val="20"/>
          <w:szCs w:val="20"/>
          <w:color w:val="auto"/>
        </w:rPr>
      </w:pPr>
      <w:r>
        <w:rPr>
          <w:rFonts w:ascii="Arial" w:cs="Arial" w:eastAsia="Arial" w:hAnsi="Arial"/>
          <w:sz w:val="15"/>
          <w:szCs w:val="15"/>
          <w:color w:val="auto"/>
        </w:rPr>
        <w:t>forth on the cover page of this prospectus, would increase or decrease, as applicable, (a) the amount of our pro forma as adjusted cash and cash equivalents,</w:t>
      </w:r>
    </w:p>
    <w:p>
      <w:pPr>
        <w:spacing w:after="0" w:line="30" w:lineRule="exact"/>
        <w:rPr>
          <w:sz w:val="20"/>
          <w:szCs w:val="20"/>
          <w:color w:val="auto"/>
        </w:rPr>
      </w:pPr>
    </w:p>
    <w:p>
      <w:pPr>
        <w:ind w:left="520"/>
        <w:spacing w:after="0"/>
        <w:tabs>
          <w:tab w:leader="none" w:pos="4940" w:val="left"/>
        </w:tabs>
        <w:rPr>
          <w:sz w:val="20"/>
          <w:szCs w:val="20"/>
          <w:color w:val="auto"/>
        </w:rPr>
      </w:pPr>
      <w:r>
        <w:rPr>
          <w:rFonts w:ascii="Arial" w:cs="Arial" w:eastAsia="Arial" w:hAnsi="Arial"/>
          <w:sz w:val="16"/>
          <w:szCs w:val="16"/>
          <w:color w:val="auto"/>
        </w:rPr>
        <w:t>working capital, total assets, and total stockholders’ equity by $</w:t>
      </w:r>
      <w:r>
        <w:rPr>
          <w:sz w:val="20"/>
          <w:szCs w:val="20"/>
          <w:color w:val="auto"/>
        </w:rPr>
        <w:tab/>
      </w:r>
      <w:r>
        <w:rPr>
          <w:rFonts w:ascii="Arial" w:cs="Arial" w:eastAsia="Arial" w:hAnsi="Arial"/>
          <w:sz w:val="14"/>
          <w:szCs w:val="14"/>
          <w:color w:val="auto"/>
        </w:rPr>
        <w:t>, assuming that the number of shares offered by us, as set forth on the cover page of this</w:t>
      </w:r>
    </w:p>
    <w:p>
      <w:pPr>
        <w:spacing w:after="0" w:line="19" w:lineRule="exact"/>
        <w:rPr>
          <w:sz w:val="20"/>
          <w:szCs w:val="20"/>
          <w:color w:val="auto"/>
        </w:rPr>
      </w:pPr>
    </w:p>
    <w:p>
      <w:pPr>
        <w:ind w:left="520"/>
        <w:spacing w:after="0"/>
        <w:rPr>
          <w:sz w:val="20"/>
          <w:szCs w:val="20"/>
          <w:color w:val="auto"/>
        </w:rPr>
      </w:pPr>
      <w:r>
        <w:rPr>
          <w:rFonts w:ascii="Arial" w:cs="Arial" w:eastAsia="Arial" w:hAnsi="Arial"/>
          <w:sz w:val="16"/>
          <w:szCs w:val="16"/>
          <w:color w:val="auto"/>
        </w:rPr>
        <w:t>prospectus, remains the same, after deducting estimated underwriting discounts and commissions payable by us, (b)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020"/>
          </w:cols>
          <w:pgMar w:left="320" w:top="459" w:right="559"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136130" cy="614172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36130" cy="6141720"/>
                    </a:xfrm>
                    <a:prstGeom prst="rect">
                      <a:avLst/>
                    </a:prstGeom>
                    <a:noFill/>
                  </pic:spPr>
                </pic:pic>
              </a:graphicData>
            </a:graphic>
          </wp:anchor>
        </w:drawing>
      </w:r>
    </w:p>
    <w:p>
      <w:pPr>
        <w:spacing w:after="0" w:line="200" w:lineRule="exact"/>
        <w:rPr>
          <w:sz w:val="20"/>
          <w:szCs w:val="20"/>
          <w:color w:val="auto"/>
        </w:rPr>
      </w:pPr>
    </w:p>
    <w:p>
      <w:pPr>
        <w:spacing w:after="0" w:line="283" w:lineRule="exact"/>
        <w:rPr>
          <w:sz w:val="20"/>
          <w:szCs w:val="20"/>
          <w:color w:val="auto"/>
        </w:rPr>
      </w:pPr>
    </w:p>
    <w:p>
      <w:pPr>
        <w:ind w:left="520"/>
        <w:spacing w:after="0"/>
        <w:rPr>
          <w:sz w:val="20"/>
          <w:szCs w:val="20"/>
          <w:color w:val="auto"/>
        </w:rPr>
      </w:pPr>
      <w:r>
        <w:rPr>
          <w:rFonts w:ascii="Arial" w:cs="Arial" w:eastAsia="Arial" w:hAnsi="Arial"/>
          <w:sz w:val="15"/>
          <w:szCs w:val="15"/>
          <w:color w:val="auto"/>
        </w:rPr>
        <w:t>amount we would be required to draw down under our revolving credit facility to satisfy our tax withholding and remittance obligations related to the RSU</w:t>
      </w:r>
    </w:p>
    <w:p>
      <w:pPr>
        <w:spacing w:after="0" w:line="34" w:lineRule="exact"/>
        <w:rPr>
          <w:sz w:val="20"/>
          <w:szCs w:val="20"/>
          <w:color w:val="auto"/>
        </w:rPr>
      </w:pPr>
    </w:p>
    <w:p>
      <w:pPr>
        <w:ind w:left="520"/>
        <w:spacing w:after="0"/>
        <w:tabs>
          <w:tab w:leader="none" w:pos="1840" w:val="left"/>
        </w:tabs>
        <w:rPr>
          <w:sz w:val="20"/>
          <w:szCs w:val="20"/>
          <w:color w:val="auto"/>
        </w:rPr>
      </w:pPr>
      <w:r>
        <w:rPr>
          <w:rFonts w:ascii="Arial" w:cs="Arial" w:eastAsia="Arial" w:hAnsi="Arial"/>
          <w:sz w:val="16"/>
          <w:szCs w:val="16"/>
          <w:color w:val="auto"/>
        </w:rPr>
        <w:t>Settlement by $</w:t>
      </w:r>
      <w:r>
        <w:rPr>
          <w:sz w:val="20"/>
          <w:szCs w:val="20"/>
          <w:color w:val="auto"/>
        </w:rPr>
        <w:tab/>
      </w:r>
      <w:r>
        <w:rPr>
          <w:rFonts w:ascii="Arial" w:cs="Arial" w:eastAsia="Arial" w:hAnsi="Arial"/>
          <w:sz w:val="14"/>
          <w:szCs w:val="14"/>
          <w:color w:val="auto"/>
        </w:rPr>
        <w:t>, and (c) the amount we would be required to pay to satisfy our tax withholding and remittance obligations related to the RSU Settlement by</w:t>
      </w:r>
    </w:p>
    <w:p>
      <w:pPr>
        <w:ind w:left="920" w:hanging="402"/>
        <w:spacing w:after="0" w:line="199" w:lineRule="auto"/>
        <w:tabs>
          <w:tab w:leader="none" w:pos="920" w:val="left"/>
        </w:tabs>
        <w:numPr>
          <w:ilvl w:val="0"/>
          <w:numId w:val="17"/>
        </w:numPr>
        <w:rPr>
          <w:rFonts w:ascii="Arial" w:cs="Arial" w:eastAsia="Arial" w:hAnsi="Arial"/>
          <w:sz w:val="3"/>
          <w:szCs w:val="3"/>
          <w:color w:val="auto"/>
        </w:rPr>
      </w:pPr>
      <w:r>
        <w:rPr>
          <w:rFonts w:ascii="Arial" w:cs="Arial" w:eastAsia="Arial" w:hAnsi="Arial"/>
          <w:sz w:val="3"/>
          <w:szCs w:val="3"/>
          <w:color w:val="auto"/>
        </w:rPr>
        <w:t>. An increase or decrease of 1.0 million shares in the number of shares offered by us would increase or decrease, as applicable, the amount of our pro forma</w:t>
      </w:r>
    </w:p>
    <w:p>
      <w:pPr>
        <w:spacing w:after="0" w:line="189" w:lineRule="exact"/>
        <w:rPr>
          <w:sz w:val="20"/>
          <w:szCs w:val="20"/>
          <w:color w:val="auto"/>
        </w:rPr>
      </w:pPr>
    </w:p>
    <w:p>
      <w:pPr>
        <w:ind w:left="520" w:right="240"/>
        <w:spacing w:after="0" w:line="293" w:lineRule="auto"/>
        <w:rPr>
          <w:sz w:val="20"/>
          <w:szCs w:val="20"/>
          <w:color w:val="auto"/>
        </w:rPr>
      </w:pPr>
      <w:r>
        <w:rPr>
          <w:rFonts w:ascii="Arial" w:cs="Arial" w:eastAsia="Arial" w:hAnsi="Arial"/>
          <w:sz w:val="16"/>
          <w:szCs w:val="16"/>
          <w:color w:val="auto"/>
        </w:rPr>
        <w:t>as adjusted cash and cash equivalents, working capital, total assets, and total stockholders’ equity by $ , assuming the assumed initial public offering price remains the same, and after deducting estimated underwriting discounts and commissions payable by us.</w:t>
      </w:r>
    </w:p>
    <w:p>
      <w:pPr>
        <w:spacing w:after="0" w:line="271"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Key Business Metrics</w:t>
      </w:r>
    </w:p>
    <w:p>
      <w:pPr>
        <w:spacing w:after="0" w:line="121" w:lineRule="exact"/>
        <w:rPr>
          <w:sz w:val="20"/>
          <w:szCs w:val="20"/>
          <w:color w:val="auto"/>
        </w:rPr>
      </w:pPr>
    </w:p>
    <w:p>
      <w:pPr>
        <w:ind w:left="200" w:right="40" w:firstLine="434"/>
        <w:spacing w:after="0" w:line="277" w:lineRule="auto"/>
        <w:rPr>
          <w:sz w:val="20"/>
          <w:szCs w:val="20"/>
          <w:color w:val="auto"/>
        </w:rPr>
      </w:pPr>
      <w:r>
        <w:rPr>
          <w:rFonts w:ascii="Arial" w:cs="Arial" w:eastAsia="Arial" w:hAnsi="Arial"/>
          <w:sz w:val="18"/>
          <w:szCs w:val="18"/>
          <w:color w:val="auto"/>
        </w:rPr>
        <w:t>We review a number of operating and financial metrics, including the following key metrics to evaluate our business, measure our performance, identify trends affecting our business, formulate business plans, and make strategic decisions.</w:t>
      </w:r>
    </w:p>
    <w:p>
      <w:pPr>
        <w:spacing w:after="0" w:line="278" w:lineRule="exact"/>
        <w:rPr>
          <w:sz w:val="20"/>
          <w:szCs w:val="20"/>
          <w:color w:val="auto"/>
        </w:rPr>
      </w:pPr>
    </w:p>
    <w:p>
      <w:pPr>
        <w:ind w:left="620"/>
        <w:spacing w:after="0"/>
        <w:rPr>
          <w:sz w:val="20"/>
          <w:szCs w:val="20"/>
          <w:color w:val="auto"/>
        </w:rPr>
      </w:pPr>
      <w:r>
        <w:rPr>
          <w:rFonts w:ascii="Arial" w:cs="Arial" w:eastAsia="Arial" w:hAnsi="Arial"/>
          <w:sz w:val="18"/>
          <w:szCs w:val="18"/>
          <w:b w:val="1"/>
          <w:bCs w:val="1"/>
          <w:i w:val="1"/>
          <w:iCs w:val="1"/>
          <w:color w:val="auto"/>
        </w:rPr>
        <w:t>Paying users</w:t>
      </w:r>
    </w:p>
    <w:p>
      <w:pPr>
        <w:spacing w:after="0" w:line="117" w:lineRule="exact"/>
        <w:rPr>
          <w:sz w:val="20"/>
          <w:szCs w:val="20"/>
          <w:color w:val="auto"/>
        </w:rPr>
      </w:pPr>
    </w:p>
    <w:p>
      <w:pPr>
        <w:ind w:left="200" w:firstLine="434"/>
        <w:spacing w:after="0" w:line="279" w:lineRule="auto"/>
        <w:rPr>
          <w:sz w:val="20"/>
          <w:szCs w:val="20"/>
          <w:color w:val="auto"/>
        </w:rPr>
      </w:pPr>
      <w:r>
        <w:rPr>
          <w:rFonts w:ascii="Arial" w:cs="Arial" w:eastAsia="Arial" w:hAnsi="Arial"/>
          <w:sz w:val="17"/>
          <w:szCs w:val="17"/>
          <w:color w:val="auto"/>
        </w:rPr>
        <w:t>We define paying users as the number of users who have active paid licenses for access to our platform as of the end of the period. One person would count as multiple paying users if the person had more than one active license. For example, a 50-person Dropbox Business team would count as 50 paying users, and an individual Dropbox Plus user would count as one paying user. If that individual Dropbox Plus user was also part of the 50-person Dropbox Business team, we would count the individual as two paying users.</w:t>
      </w:r>
    </w:p>
    <w:p>
      <w:pPr>
        <w:spacing w:after="0" w:line="171" w:lineRule="exact"/>
        <w:rPr>
          <w:sz w:val="20"/>
          <w:szCs w:val="20"/>
          <w:color w:val="auto"/>
        </w:rPr>
      </w:pPr>
    </w:p>
    <w:p>
      <w:pPr>
        <w:ind w:left="620"/>
        <w:spacing w:after="0"/>
        <w:rPr>
          <w:sz w:val="20"/>
          <w:szCs w:val="20"/>
          <w:color w:val="auto"/>
        </w:rPr>
      </w:pPr>
      <w:r>
        <w:rPr>
          <w:rFonts w:ascii="Arial" w:cs="Arial" w:eastAsia="Arial" w:hAnsi="Arial"/>
          <w:sz w:val="18"/>
          <w:szCs w:val="18"/>
          <w:color w:val="auto"/>
        </w:rPr>
        <w:t>The below table sets forth the number of paying users as of December 31, 2015, December 31, 2016, and September 30, 2017:</w:t>
      </w:r>
    </w:p>
    <w:p>
      <w:pPr>
        <w:spacing w:after="0" w:line="231" w:lineRule="exact"/>
        <w:rPr>
          <w:sz w:val="20"/>
          <w:szCs w:val="20"/>
          <w:color w:val="auto"/>
        </w:rPr>
      </w:pPr>
    </w:p>
    <w:tbl>
      <w:tblPr>
        <w:tblLayout w:type="fixed"/>
        <w:tblInd w:w="1060" w:type="dxa"/>
        <w:tblCellMar>
          <w:top w:w="0" w:type="dxa"/>
          <w:left w:w="0" w:type="dxa"/>
          <w:bottom w:w="0" w:type="dxa"/>
          <w:right w:w="0" w:type="dxa"/>
        </w:tblCellMar>
      </w:tblPr>
      <w:tr>
        <w:trPr>
          <w:trHeight w:val="161"/>
        </w:trPr>
        <w:tc>
          <w:tcPr>
            <w:tcW w:w="62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520" w:type="dxa"/>
            <w:vAlign w:val="bottom"/>
            <w:gridSpan w:val="2"/>
          </w:tcPr>
          <w:p>
            <w:pPr>
              <w:jc w:val="center"/>
              <w:ind w:right="1040"/>
              <w:spacing w:after="0"/>
              <w:rPr>
                <w:sz w:val="20"/>
                <w:szCs w:val="20"/>
                <w:color w:val="auto"/>
              </w:rPr>
            </w:pPr>
            <w:r>
              <w:rPr>
                <w:rFonts w:ascii="Arial" w:cs="Arial" w:eastAsia="Arial" w:hAnsi="Arial"/>
                <w:sz w:val="14"/>
                <w:szCs w:val="14"/>
                <w:b w:val="1"/>
                <w:bCs w:val="1"/>
                <w:color w:val="auto"/>
                <w:w w:val="91"/>
              </w:rPr>
              <w:t>As of</w:t>
            </w:r>
          </w:p>
        </w:tc>
        <w:tc>
          <w:tcPr>
            <w:tcW w:w="940" w:type="dxa"/>
            <w:vAlign w:val="bottom"/>
            <w:gridSpan w:val="2"/>
          </w:tcPr>
          <w:p>
            <w:pPr>
              <w:jc w:val="center"/>
              <w:ind w:right="60"/>
              <w:spacing w:after="0"/>
              <w:rPr>
                <w:sz w:val="20"/>
                <w:szCs w:val="20"/>
                <w:color w:val="auto"/>
              </w:rPr>
            </w:pPr>
            <w:r>
              <w:rPr>
                <w:rFonts w:ascii="Arial" w:cs="Arial" w:eastAsia="Arial" w:hAnsi="Arial"/>
                <w:sz w:val="14"/>
                <w:szCs w:val="14"/>
                <w:b w:val="1"/>
                <w:bCs w:val="1"/>
                <w:color w:val="auto"/>
                <w:w w:val="91"/>
              </w:rPr>
              <w:t>As of</w:t>
            </w:r>
          </w:p>
        </w:tc>
      </w:tr>
      <w:tr>
        <w:trPr>
          <w:trHeight w:val="171"/>
        </w:trPr>
        <w:tc>
          <w:tcPr>
            <w:tcW w:w="6240" w:type="dxa"/>
            <w:vAlign w:val="bottom"/>
          </w:tcPr>
          <w:p>
            <w:pPr>
              <w:spacing w:after="0"/>
              <w:rPr>
                <w:sz w:val="14"/>
                <w:szCs w:val="14"/>
                <w:color w:val="auto"/>
              </w:rPr>
            </w:pPr>
          </w:p>
        </w:tc>
        <w:tc>
          <w:tcPr>
            <w:tcW w:w="1940" w:type="dxa"/>
            <w:vAlign w:val="bottom"/>
            <w:gridSpan w:val="3"/>
          </w:tcPr>
          <w:p>
            <w:pPr>
              <w:jc w:val="center"/>
              <w:ind w:right="620"/>
              <w:spacing w:after="0"/>
              <w:rPr>
                <w:sz w:val="20"/>
                <w:szCs w:val="20"/>
                <w:color w:val="auto"/>
              </w:rPr>
            </w:pPr>
            <w:r>
              <w:rPr>
                <w:rFonts w:ascii="Arial" w:cs="Arial" w:eastAsia="Arial" w:hAnsi="Arial"/>
                <w:sz w:val="14"/>
                <w:szCs w:val="14"/>
                <w:b w:val="1"/>
                <w:bCs w:val="1"/>
                <w:color w:val="auto"/>
                <w:w w:val="92"/>
              </w:rPr>
              <w:t>December 31,</w:t>
            </w:r>
          </w:p>
        </w:tc>
        <w:tc>
          <w:tcPr>
            <w:tcW w:w="940" w:type="dxa"/>
            <w:vAlign w:val="bottom"/>
            <w:gridSpan w:val="2"/>
          </w:tcPr>
          <w:p>
            <w:pPr>
              <w:jc w:val="center"/>
              <w:ind w:right="60"/>
              <w:spacing w:after="0"/>
              <w:rPr>
                <w:sz w:val="20"/>
                <w:szCs w:val="20"/>
                <w:color w:val="auto"/>
              </w:rPr>
            </w:pPr>
            <w:r>
              <w:rPr>
                <w:rFonts w:ascii="Arial" w:cs="Arial" w:eastAsia="Arial" w:hAnsi="Arial"/>
                <w:sz w:val="14"/>
                <w:szCs w:val="14"/>
                <w:b w:val="1"/>
                <w:bCs w:val="1"/>
                <w:color w:val="auto"/>
                <w:w w:val="91"/>
              </w:rPr>
              <w:t>September 30,</w:t>
            </w:r>
          </w:p>
        </w:tc>
      </w:tr>
      <w:tr>
        <w:trPr>
          <w:trHeight w:val="142"/>
        </w:trPr>
        <w:tc>
          <w:tcPr>
            <w:tcW w:w="6240" w:type="dxa"/>
            <w:vAlign w:val="bottom"/>
          </w:tcPr>
          <w:p>
            <w:pPr>
              <w:spacing w:after="0"/>
              <w:rPr>
                <w:sz w:val="12"/>
                <w:szCs w:val="12"/>
                <w:color w:val="auto"/>
              </w:rPr>
            </w:pPr>
          </w:p>
        </w:tc>
        <w:tc>
          <w:tcPr>
            <w:tcW w:w="420" w:type="dxa"/>
            <w:vAlign w:val="bottom"/>
            <w:tcBorders>
              <w:top w:val="single" w:sz="8" w:color="auto"/>
              <w:bottom w:val="single" w:sz="8" w:color="auto"/>
            </w:tcBorders>
          </w:tcPr>
          <w:p>
            <w:pPr>
              <w:jc w:val="right"/>
              <w:ind w:right="22"/>
              <w:spacing w:after="0" w:line="142" w:lineRule="exact"/>
              <w:rPr>
                <w:sz w:val="20"/>
                <w:szCs w:val="20"/>
                <w:color w:val="auto"/>
              </w:rPr>
            </w:pPr>
            <w:r>
              <w:rPr>
                <w:rFonts w:ascii="Arial" w:cs="Arial" w:eastAsia="Arial" w:hAnsi="Arial"/>
                <w:sz w:val="14"/>
                <w:szCs w:val="14"/>
                <w:b w:val="1"/>
                <w:bCs w:val="1"/>
                <w:color w:val="auto"/>
                <w:w w:val="96"/>
              </w:rPr>
              <w:t>2015</w:t>
            </w:r>
          </w:p>
        </w:tc>
        <w:tc>
          <w:tcPr>
            <w:tcW w:w="88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2016</w:t>
            </w:r>
          </w:p>
        </w:tc>
        <w:tc>
          <w:tcPr>
            <w:tcW w:w="640" w:type="dxa"/>
            <w:vAlign w:val="bottom"/>
            <w:tcBorders>
              <w:bottom w:val="single" w:sz="8" w:color="auto"/>
            </w:tcBorders>
          </w:tcPr>
          <w:p>
            <w:pPr>
              <w:spacing w:after="0"/>
              <w:rPr>
                <w:sz w:val="12"/>
                <w:szCs w:val="12"/>
                <w:color w:val="auto"/>
              </w:rPr>
            </w:pPr>
          </w:p>
        </w:tc>
        <w:tc>
          <w:tcPr>
            <w:tcW w:w="880" w:type="dxa"/>
            <w:vAlign w:val="bottom"/>
            <w:tcBorders>
              <w:top w:val="single" w:sz="8" w:color="auto"/>
              <w:bottom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96"/>
              </w:rPr>
              <w:t>2017</w:t>
            </w:r>
          </w:p>
        </w:tc>
        <w:tc>
          <w:tcPr>
            <w:tcW w:w="60" w:type="dxa"/>
            <w:vAlign w:val="bottom"/>
          </w:tcPr>
          <w:p>
            <w:pPr>
              <w:spacing w:after="0"/>
              <w:rPr>
                <w:sz w:val="12"/>
                <w:szCs w:val="12"/>
                <w:color w:val="auto"/>
              </w:rPr>
            </w:pPr>
          </w:p>
        </w:tc>
      </w:tr>
      <w:tr>
        <w:trPr>
          <w:trHeight w:val="142"/>
        </w:trPr>
        <w:tc>
          <w:tcPr>
            <w:tcW w:w="62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520" w:type="dxa"/>
            <w:vAlign w:val="bottom"/>
            <w:gridSpan w:val="2"/>
          </w:tcPr>
          <w:p>
            <w:pPr>
              <w:jc w:val="right"/>
              <w:ind w:right="160"/>
              <w:spacing w:after="0" w:line="142" w:lineRule="exact"/>
              <w:rPr>
                <w:sz w:val="20"/>
                <w:szCs w:val="20"/>
                <w:color w:val="auto"/>
              </w:rPr>
            </w:pPr>
            <w:r>
              <w:rPr>
                <w:rFonts w:ascii="Arial" w:cs="Arial" w:eastAsia="Arial" w:hAnsi="Arial"/>
                <w:sz w:val="14"/>
                <w:szCs w:val="14"/>
                <w:i w:val="1"/>
                <w:iCs w:val="1"/>
                <w:color w:val="auto"/>
              </w:rPr>
              <w:t>(In millions)</w:t>
            </w:r>
          </w:p>
        </w:tc>
        <w:tc>
          <w:tcPr>
            <w:tcW w:w="880" w:type="dxa"/>
            <w:vAlign w:val="bottom"/>
          </w:tcPr>
          <w:p>
            <w:pPr>
              <w:spacing w:after="0"/>
              <w:rPr>
                <w:sz w:val="12"/>
                <w:szCs w:val="12"/>
                <w:color w:val="auto"/>
              </w:rPr>
            </w:pPr>
          </w:p>
        </w:tc>
        <w:tc>
          <w:tcPr>
            <w:tcW w:w="60" w:type="dxa"/>
            <w:vAlign w:val="bottom"/>
          </w:tcPr>
          <w:p>
            <w:pPr>
              <w:spacing w:after="0"/>
              <w:rPr>
                <w:sz w:val="12"/>
                <w:szCs w:val="12"/>
                <w:color w:val="auto"/>
              </w:rPr>
            </w:pPr>
          </w:p>
        </w:tc>
      </w:tr>
      <w:tr>
        <w:trPr>
          <w:trHeight w:val="216"/>
        </w:trPr>
        <w:tc>
          <w:tcPr>
            <w:tcW w:w="6240" w:type="dxa"/>
            <w:vAlign w:val="bottom"/>
            <w:shd w:val="clear" w:color="auto" w:fill="CCEEFF"/>
          </w:tcPr>
          <w:p>
            <w:pPr>
              <w:spacing w:after="0"/>
              <w:rPr>
                <w:sz w:val="20"/>
                <w:szCs w:val="20"/>
                <w:color w:val="auto"/>
              </w:rPr>
            </w:pPr>
            <w:r>
              <w:rPr>
                <w:rFonts w:ascii="Arial" w:cs="Arial" w:eastAsia="Arial" w:hAnsi="Arial"/>
                <w:sz w:val="18"/>
                <w:szCs w:val="18"/>
                <w:color w:val="auto"/>
              </w:rPr>
              <w:t>Paying users</w:t>
            </w:r>
          </w:p>
        </w:tc>
        <w:tc>
          <w:tcPr>
            <w:tcW w:w="420" w:type="dxa"/>
            <w:vAlign w:val="bottom"/>
            <w:shd w:val="clear" w:color="auto" w:fill="CCEEFF"/>
          </w:tcPr>
          <w:p>
            <w:pPr>
              <w:jc w:val="right"/>
              <w:ind w:right="22"/>
              <w:spacing w:after="0"/>
              <w:rPr>
                <w:sz w:val="20"/>
                <w:szCs w:val="20"/>
                <w:color w:val="auto"/>
              </w:rPr>
            </w:pPr>
            <w:r>
              <w:rPr>
                <w:rFonts w:ascii="Arial" w:cs="Arial" w:eastAsia="Arial" w:hAnsi="Arial"/>
                <w:sz w:val="18"/>
                <w:szCs w:val="18"/>
                <w:color w:val="auto"/>
              </w:rPr>
              <w:t>6.5</w:t>
            </w:r>
          </w:p>
        </w:tc>
        <w:tc>
          <w:tcPr>
            <w:tcW w:w="152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8.8</w:t>
            </w:r>
          </w:p>
        </w:tc>
        <w:tc>
          <w:tcPr>
            <w:tcW w:w="9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10.4</w:t>
            </w:r>
          </w:p>
        </w:tc>
      </w:tr>
    </w:tbl>
    <w:p>
      <w:pPr>
        <w:spacing w:after="0" w:line="310" w:lineRule="exact"/>
        <w:rPr>
          <w:sz w:val="20"/>
          <w:szCs w:val="20"/>
          <w:color w:val="auto"/>
        </w:rPr>
      </w:pPr>
    </w:p>
    <w:p>
      <w:pPr>
        <w:ind w:left="620"/>
        <w:spacing w:after="0"/>
        <w:rPr>
          <w:sz w:val="20"/>
          <w:szCs w:val="20"/>
          <w:color w:val="auto"/>
        </w:rPr>
      </w:pPr>
      <w:r>
        <w:rPr>
          <w:rFonts w:ascii="Arial" w:cs="Arial" w:eastAsia="Arial" w:hAnsi="Arial"/>
          <w:sz w:val="18"/>
          <w:szCs w:val="18"/>
          <w:b w:val="1"/>
          <w:bCs w:val="1"/>
          <w:i w:val="1"/>
          <w:iCs w:val="1"/>
          <w:color w:val="auto"/>
        </w:rPr>
        <w:t>Average revenue per paying user</w:t>
      </w:r>
    </w:p>
    <w:p>
      <w:pPr>
        <w:spacing w:after="0" w:line="117" w:lineRule="exact"/>
        <w:rPr>
          <w:sz w:val="20"/>
          <w:szCs w:val="20"/>
          <w:color w:val="auto"/>
        </w:rPr>
      </w:pPr>
    </w:p>
    <w:p>
      <w:pPr>
        <w:jc w:val="both"/>
        <w:ind w:left="200" w:right="120" w:firstLine="434"/>
        <w:spacing w:after="0" w:line="279" w:lineRule="auto"/>
        <w:rPr>
          <w:sz w:val="20"/>
          <w:szCs w:val="20"/>
          <w:color w:val="auto"/>
        </w:rPr>
      </w:pPr>
      <w:r>
        <w:rPr>
          <w:rFonts w:ascii="Arial" w:cs="Arial" w:eastAsia="Arial" w:hAnsi="Arial"/>
          <w:sz w:val="17"/>
          <w:szCs w:val="17"/>
          <w:color w:val="auto"/>
        </w:rPr>
        <w:t>We define average revenue per paying user, or ARPU, as our revenue for the period presented divided by the average paying users during the same period. For interim periods, we use annualized revenue, which is calculated by dividing the revenue for the particular period by the number of days in that period and multiplying this value by 365 days. Average paying users are calculated based on adding the number of paying users as of the beginning of the period to the number of paying users as of the end of the period, and then dividing by two.</w:t>
      </w:r>
    </w:p>
    <w:p>
      <w:pPr>
        <w:spacing w:after="0" w:line="171" w:lineRule="exact"/>
        <w:rPr>
          <w:sz w:val="20"/>
          <w:szCs w:val="20"/>
          <w:color w:val="auto"/>
        </w:rPr>
      </w:pPr>
    </w:p>
    <w:p>
      <w:pPr>
        <w:ind w:left="620"/>
        <w:spacing w:after="0"/>
        <w:rPr>
          <w:sz w:val="20"/>
          <w:szCs w:val="20"/>
          <w:color w:val="auto"/>
        </w:rPr>
      </w:pPr>
      <w:r>
        <w:rPr>
          <w:rFonts w:ascii="Arial" w:cs="Arial" w:eastAsia="Arial" w:hAnsi="Arial"/>
          <w:sz w:val="16"/>
          <w:szCs w:val="16"/>
          <w:color w:val="auto"/>
        </w:rPr>
        <w:t>The below table sets forth our ARPU for the years ended December 31, 2015 and 2016, and the nine months ended September 30, 2016 and</w:t>
      </w:r>
    </w:p>
    <w:p>
      <w:pPr>
        <w:spacing w:after="0" w:line="46" w:lineRule="exact"/>
        <w:rPr>
          <w:sz w:val="20"/>
          <w:szCs w:val="20"/>
          <w:color w:val="auto"/>
        </w:rPr>
      </w:pPr>
    </w:p>
    <w:p>
      <w:pPr>
        <w:ind w:left="200"/>
        <w:spacing w:after="0"/>
        <w:rPr>
          <w:sz w:val="20"/>
          <w:szCs w:val="20"/>
          <w:color w:val="auto"/>
        </w:rPr>
      </w:pPr>
      <w:r>
        <w:rPr>
          <w:rFonts w:ascii="Arial" w:cs="Arial" w:eastAsia="Arial" w:hAnsi="Arial"/>
          <w:sz w:val="18"/>
          <w:szCs w:val="18"/>
          <w:color w:val="auto"/>
        </w:rPr>
        <w:t>2017.</w:t>
      </w:r>
    </w:p>
    <w:p>
      <w:pPr>
        <w:spacing w:after="0" w:line="217" w:lineRule="exact"/>
        <w:rPr>
          <w:sz w:val="20"/>
          <w:szCs w:val="20"/>
          <w:color w:val="auto"/>
        </w:rPr>
      </w:pPr>
    </w:p>
    <w:tbl>
      <w:tblPr>
        <w:tblLayout w:type="fixed"/>
        <w:tblInd w:w="620" w:type="dxa"/>
        <w:tblCellMar>
          <w:top w:w="0" w:type="dxa"/>
          <w:left w:w="0" w:type="dxa"/>
          <w:bottom w:w="0" w:type="dxa"/>
          <w:right w:w="0" w:type="dxa"/>
        </w:tblCellMar>
      </w:tblPr>
      <w:tr>
        <w:trPr>
          <w:trHeight w:val="161"/>
        </w:trPr>
        <w:tc>
          <w:tcPr>
            <w:tcW w:w="3560" w:type="dxa"/>
            <w:vAlign w:val="bottom"/>
          </w:tcPr>
          <w:p>
            <w:pPr>
              <w:spacing w:after="0"/>
              <w:rPr>
                <w:sz w:val="14"/>
                <w:szCs w:val="14"/>
                <w:color w:val="auto"/>
              </w:rPr>
            </w:pPr>
          </w:p>
        </w:tc>
        <w:tc>
          <w:tcPr>
            <w:tcW w:w="3060" w:type="dxa"/>
            <w:vAlign w:val="bottom"/>
          </w:tcPr>
          <w:p>
            <w:pPr>
              <w:spacing w:after="0"/>
              <w:rPr>
                <w:sz w:val="14"/>
                <w:szCs w:val="14"/>
                <w:color w:val="auto"/>
              </w:rPr>
            </w:pPr>
          </w:p>
        </w:tc>
        <w:tc>
          <w:tcPr>
            <w:tcW w:w="1440" w:type="dxa"/>
            <w:vAlign w:val="bottom"/>
            <w:gridSpan w:val="3"/>
          </w:tcPr>
          <w:p>
            <w:pPr>
              <w:jc w:val="center"/>
              <w:spacing w:after="0"/>
              <w:rPr>
                <w:sz w:val="20"/>
                <w:szCs w:val="20"/>
                <w:color w:val="auto"/>
              </w:rPr>
            </w:pPr>
            <w:r>
              <w:rPr>
                <w:rFonts w:ascii="Arial" w:cs="Arial" w:eastAsia="Arial" w:hAnsi="Arial"/>
                <w:sz w:val="14"/>
                <w:szCs w:val="14"/>
                <w:b w:val="1"/>
                <w:bCs w:val="1"/>
                <w:color w:val="auto"/>
                <w:w w:val="92"/>
              </w:rPr>
              <w:t>Year ended</w:t>
            </w:r>
          </w:p>
        </w:tc>
        <w:tc>
          <w:tcPr>
            <w:tcW w:w="460" w:type="dxa"/>
            <w:vAlign w:val="bottom"/>
          </w:tcPr>
          <w:p>
            <w:pPr>
              <w:spacing w:after="0"/>
              <w:rPr>
                <w:sz w:val="14"/>
                <w:szCs w:val="14"/>
                <w:color w:val="auto"/>
              </w:rPr>
            </w:pPr>
          </w:p>
        </w:tc>
        <w:tc>
          <w:tcPr>
            <w:tcW w:w="1480" w:type="dxa"/>
            <w:vAlign w:val="bottom"/>
            <w:gridSpan w:val="4"/>
          </w:tcPr>
          <w:p>
            <w:pPr>
              <w:jc w:val="center"/>
              <w:ind w:right="60"/>
              <w:spacing w:after="0"/>
              <w:rPr>
                <w:sz w:val="20"/>
                <w:szCs w:val="20"/>
                <w:color w:val="auto"/>
              </w:rPr>
            </w:pPr>
            <w:r>
              <w:rPr>
                <w:rFonts w:ascii="Arial" w:cs="Arial" w:eastAsia="Arial" w:hAnsi="Arial"/>
                <w:sz w:val="14"/>
                <w:szCs w:val="14"/>
                <w:b w:val="1"/>
                <w:bCs w:val="1"/>
                <w:color w:val="auto"/>
                <w:w w:val="90"/>
              </w:rPr>
              <w:t>Nine months ended</w:t>
            </w:r>
          </w:p>
        </w:tc>
      </w:tr>
      <w:tr>
        <w:trPr>
          <w:trHeight w:val="171"/>
        </w:trPr>
        <w:tc>
          <w:tcPr>
            <w:tcW w:w="3560" w:type="dxa"/>
            <w:vAlign w:val="bottom"/>
          </w:tcPr>
          <w:p>
            <w:pPr>
              <w:spacing w:after="0"/>
              <w:rPr>
                <w:sz w:val="14"/>
                <w:szCs w:val="14"/>
                <w:color w:val="auto"/>
              </w:rPr>
            </w:pPr>
          </w:p>
        </w:tc>
        <w:tc>
          <w:tcPr>
            <w:tcW w:w="3060" w:type="dxa"/>
            <w:vAlign w:val="bottom"/>
          </w:tcPr>
          <w:p>
            <w:pPr>
              <w:spacing w:after="0"/>
              <w:rPr>
                <w:sz w:val="14"/>
                <w:szCs w:val="14"/>
                <w:color w:val="auto"/>
              </w:rPr>
            </w:pPr>
          </w:p>
        </w:tc>
        <w:tc>
          <w:tcPr>
            <w:tcW w:w="1440" w:type="dxa"/>
            <w:vAlign w:val="bottom"/>
            <w:gridSpan w:val="3"/>
          </w:tcPr>
          <w:p>
            <w:pPr>
              <w:jc w:val="center"/>
              <w:spacing w:after="0"/>
              <w:rPr>
                <w:sz w:val="20"/>
                <w:szCs w:val="20"/>
                <w:color w:val="auto"/>
              </w:rPr>
            </w:pPr>
            <w:r>
              <w:rPr>
                <w:rFonts w:ascii="Arial" w:cs="Arial" w:eastAsia="Arial" w:hAnsi="Arial"/>
                <w:sz w:val="14"/>
                <w:szCs w:val="14"/>
                <w:b w:val="1"/>
                <w:bCs w:val="1"/>
                <w:color w:val="auto"/>
                <w:w w:val="92"/>
              </w:rPr>
              <w:t>December 31,</w:t>
            </w:r>
          </w:p>
        </w:tc>
        <w:tc>
          <w:tcPr>
            <w:tcW w:w="460" w:type="dxa"/>
            <w:vAlign w:val="bottom"/>
          </w:tcPr>
          <w:p>
            <w:pPr>
              <w:spacing w:after="0"/>
              <w:rPr>
                <w:sz w:val="14"/>
                <w:szCs w:val="14"/>
                <w:color w:val="auto"/>
              </w:rPr>
            </w:pPr>
          </w:p>
        </w:tc>
        <w:tc>
          <w:tcPr>
            <w:tcW w:w="1480" w:type="dxa"/>
            <w:vAlign w:val="bottom"/>
            <w:gridSpan w:val="4"/>
          </w:tcPr>
          <w:p>
            <w:pPr>
              <w:jc w:val="center"/>
              <w:ind w:right="60"/>
              <w:spacing w:after="0"/>
              <w:rPr>
                <w:sz w:val="20"/>
                <w:szCs w:val="20"/>
                <w:color w:val="auto"/>
              </w:rPr>
            </w:pPr>
            <w:r>
              <w:rPr>
                <w:rFonts w:ascii="Arial" w:cs="Arial" w:eastAsia="Arial" w:hAnsi="Arial"/>
                <w:sz w:val="14"/>
                <w:szCs w:val="14"/>
                <w:b w:val="1"/>
                <w:bCs w:val="1"/>
                <w:color w:val="auto"/>
                <w:w w:val="89"/>
              </w:rPr>
              <w:t>September 30,</w:t>
            </w:r>
          </w:p>
        </w:tc>
      </w:tr>
      <w:tr>
        <w:trPr>
          <w:trHeight w:val="142"/>
        </w:trPr>
        <w:tc>
          <w:tcPr>
            <w:tcW w:w="3560" w:type="dxa"/>
            <w:vAlign w:val="bottom"/>
          </w:tcPr>
          <w:p>
            <w:pPr>
              <w:spacing w:after="0"/>
              <w:rPr>
                <w:sz w:val="12"/>
                <w:szCs w:val="12"/>
                <w:color w:val="auto"/>
              </w:rPr>
            </w:pPr>
          </w:p>
        </w:tc>
        <w:tc>
          <w:tcPr>
            <w:tcW w:w="3060" w:type="dxa"/>
            <w:vAlign w:val="bottom"/>
          </w:tcPr>
          <w:p>
            <w:pPr>
              <w:spacing w:after="0"/>
              <w:rPr>
                <w:sz w:val="12"/>
                <w:szCs w:val="12"/>
                <w:color w:val="auto"/>
              </w:rPr>
            </w:pPr>
          </w:p>
        </w:tc>
        <w:tc>
          <w:tcPr>
            <w:tcW w:w="500" w:type="dxa"/>
            <w:vAlign w:val="bottom"/>
            <w:tcBorders>
              <w:top w:val="single" w:sz="8" w:color="auto"/>
            </w:tcBorders>
          </w:tcPr>
          <w:p>
            <w:pPr>
              <w:jc w:val="right"/>
              <w:ind w:right="24"/>
              <w:spacing w:after="0" w:line="142" w:lineRule="exact"/>
              <w:rPr>
                <w:sz w:val="20"/>
                <w:szCs w:val="20"/>
                <w:color w:val="auto"/>
              </w:rPr>
            </w:pPr>
            <w:r>
              <w:rPr>
                <w:rFonts w:ascii="Arial" w:cs="Arial" w:eastAsia="Arial" w:hAnsi="Arial"/>
                <w:sz w:val="14"/>
                <w:szCs w:val="14"/>
                <w:b w:val="1"/>
                <w:bCs w:val="1"/>
                <w:color w:val="auto"/>
              </w:rPr>
              <w:t>2015</w:t>
            </w:r>
          </w:p>
        </w:tc>
        <w:tc>
          <w:tcPr>
            <w:tcW w:w="940" w:type="dxa"/>
            <w:vAlign w:val="bottom"/>
            <w:tcBorders>
              <w:top w:val="single" w:sz="8" w:color="auto"/>
            </w:tcBorders>
            <w:gridSpan w:val="2"/>
          </w:tcPr>
          <w:p>
            <w:pPr>
              <w:jc w:val="right"/>
              <w:ind w:right="10"/>
              <w:spacing w:after="0" w:line="142" w:lineRule="exact"/>
              <w:rPr>
                <w:sz w:val="20"/>
                <w:szCs w:val="20"/>
                <w:color w:val="auto"/>
              </w:rPr>
            </w:pPr>
            <w:r>
              <w:rPr>
                <w:rFonts w:ascii="Arial" w:cs="Arial" w:eastAsia="Arial" w:hAnsi="Arial"/>
                <w:sz w:val="14"/>
                <w:szCs w:val="14"/>
                <w:b w:val="1"/>
                <w:bCs w:val="1"/>
                <w:color w:val="auto"/>
              </w:rPr>
              <w:t>2016</w:t>
            </w:r>
          </w:p>
        </w:tc>
        <w:tc>
          <w:tcPr>
            <w:tcW w:w="460" w:type="dxa"/>
            <w:vAlign w:val="bottom"/>
          </w:tcPr>
          <w:p>
            <w:pPr>
              <w:spacing w:after="0"/>
              <w:rPr>
                <w:sz w:val="12"/>
                <w:szCs w:val="12"/>
                <w:color w:val="auto"/>
              </w:rPr>
            </w:pPr>
          </w:p>
        </w:tc>
        <w:tc>
          <w:tcPr>
            <w:tcW w:w="500" w:type="dxa"/>
            <w:vAlign w:val="bottom"/>
            <w:tcBorders>
              <w:top w:val="single" w:sz="8" w:color="auto"/>
            </w:tcBorders>
          </w:tcPr>
          <w:p>
            <w:pPr>
              <w:jc w:val="right"/>
              <w:ind w:right="44"/>
              <w:spacing w:after="0" w:line="142" w:lineRule="exact"/>
              <w:rPr>
                <w:sz w:val="20"/>
                <w:szCs w:val="20"/>
                <w:color w:val="auto"/>
              </w:rPr>
            </w:pPr>
            <w:r>
              <w:rPr>
                <w:rFonts w:ascii="Arial" w:cs="Arial" w:eastAsia="Arial" w:hAnsi="Arial"/>
                <w:sz w:val="14"/>
                <w:szCs w:val="14"/>
                <w:b w:val="1"/>
                <w:bCs w:val="1"/>
                <w:color w:val="auto"/>
              </w:rPr>
              <w:t>2016</w:t>
            </w:r>
          </w:p>
        </w:tc>
        <w:tc>
          <w:tcPr>
            <w:tcW w:w="920" w:type="dxa"/>
            <w:vAlign w:val="bottom"/>
            <w:tcBorders>
              <w:top w:val="single" w:sz="8" w:color="auto"/>
            </w:tcBorders>
            <w:gridSpan w:val="2"/>
          </w:tcPr>
          <w:p>
            <w:pPr>
              <w:jc w:val="right"/>
              <w:ind w:right="10"/>
              <w:spacing w:after="0" w:line="142" w:lineRule="exact"/>
              <w:rPr>
                <w:sz w:val="20"/>
                <w:szCs w:val="20"/>
                <w:color w:val="auto"/>
              </w:rPr>
            </w:pPr>
            <w:r>
              <w:rPr>
                <w:rFonts w:ascii="Arial" w:cs="Arial" w:eastAsia="Arial" w:hAnsi="Arial"/>
                <w:sz w:val="14"/>
                <w:szCs w:val="14"/>
                <w:b w:val="1"/>
                <w:bCs w:val="1"/>
                <w:color w:val="auto"/>
              </w:rPr>
              <w:t>2017</w:t>
            </w:r>
          </w:p>
        </w:tc>
        <w:tc>
          <w:tcPr>
            <w:tcW w:w="60" w:type="dxa"/>
            <w:vAlign w:val="bottom"/>
          </w:tcPr>
          <w:p>
            <w:pPr>
              <w:spacing w:after="0"/>
              <w:rPr>
                <w:sz w:val="12"/>
                <w:szCs w:val="12"/>
                <w:color w:val="auto"/>
              </w:rPr>
            </w:pPr>
          </w:p>
        </w:tc>
      </w:tr>
      <w:tr>
        <w:trPr>
          <w:trHeight w:val="209"/>
        </w:trPr>
        <w:tc>
          <w:tcPr>
            <w:tcW w:w="35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ARPU</w:t>
            </w:r>
          </w:p>
        </w:tc>
        <w:tc>
          <w:tcPr>
            <w:tcW w:w="306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$113.5</w:t>
            </w:r>
          </w:p>
        </w:tc>
        <w:tc>
          <w:tcPr>
            <w:tcW w:w="44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$110.5</w:t>
            </w:r>
          </w:p>
        </w:tc>
        <w:tc>
          <w:tcPr>
            <w:tcW w:w="46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$109.5</w:t>
            </w:r>
          </w:p>
        </w:tc>
        <w:tc>
          <w:tcPr>
            <w:tcW w:w="440" w:type="dxa"/>
            <w:vAlign w:val="bottom"/>
            <w:tcBorders>
              <w:top w:val="single" w:sz="8" w:color="CCEEFF"/>
            </w:tcBorders>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3"/>
              </w:rPr>
              <w:t>$111.5</w:t>
            </w:r>
          </w:p>
        </w:tc>
        <w:tc>
          <w:tcPr>
            <w:tcW w:w="60" w:type="dxa"/>
            <w:vAlign w:val="bottom"/>
            <w:tcBorders>
              <w:top w:val="single" w:sz="8" w:color="CCEEFF"/>
            </w:tcBorders>
            <w:shd w:val="clear" w:color="auto" w:fill="CCEEFF"/>
          </w:tcPr>
          <w:p>
            <w:pPr>
              <w:spacing w:after="0"/>
              <w:rPr>
                <w:sz w:val="18"/>
                <w:szCs w:val="18"/>
                <w:color w:val="auto"/>
              </w:rPr>
            </w:pPr>
          </w:p>
        </w:tc>
      </w:tr>
    </w:tbl>
    <w:p>
      <w:pPr>
        <w:spacing w:after="0" w:line="310" w:lineRule="exact"/>
        <w:rPr>
          <w:sz w:val="20"/>
          <w:szCs w:val="20"/>
          <w:color w:val="auto"/>
        </w:rPr>
      </w:pPr>
    </w:p>
    <w:p>
      <w:pPr>
        <w:ind w:left="620"/>
        <w:spacing w:after="0"/>
        <w:rPr>
          <w:sz w:val="20"/>
          <w:szCs w:val="20"/>
          <w:color w:val="auto"/>
        </w:rPr>
      </w:pPr>
      <w:r>
        <w:rPr>
          <w:rFonts w:ascii="Arial" w:cs="Arial" w:eastAsia="Arial" w:hAnsi="Arial"/>
          <w:sz w:val="18"/>
          <w:szCs w:val="18"/>
          <w:b w:val="1"/>
          <w:bCs w:val="1"/>
          <w:i w:val="1"/>
          <w:iCs w:val="1"/>
          <w:color w:val="auto"/>
        </w:rPr>
        <w:t>Free cash flow</w:t>
      </w:r>
    </w:p>
    <w:p>
      <w:pPr>
        <w:spacing w:after="0" w:line="117" w:lineRule="exact"/>
        <w:rPr>
          <w:sz w:val="20"/>
          <w:szCs w:val="20"/>
          <w:color w:val="auto"/>
        </w:rPr>
      </w:pPr>
    </w:p>
    <w:p>
      <w:pPr>
        <w:ind w:left="620"/>
        <w:spacing w:after="0"/>
        <w:rPr>
          <w:sz w:val="20"/>
          <w:szCs w:val="20"/>
          <w:color w:val="auto"/>
        </w:rPr>
      </w:pPr>
      <w:r>
        <w:rPr>
          <w:rFonts w:ascii="Arial" w:cs="Arial" w:eastAsia="Arial" w:hAnsi="Arial"/>
          <w:sz w:val="18"/>
          <w:szCs w:val="18"/>
          <w:color w:val="auto"/>
        </w:rPr>
        <w:t>We define free cash flow, or FCF, as net cash provided by operating activities less capital expenditures.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040"/>
          </w:cols>
          <w:pgMar w:left="320" w:top="459" w:right="53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136130" cy="194119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36130" cy="1941195"/>
                    </a:xfrm>
                    <a:prstGeom prst="rect">
                      <a:avLst/>
                    </a:prstGeom>
                    <a:noFill/>
                  </pic:spPr>
                </pic:pic>
              </a:graphicData>
            </a:graphic>
          </wp:anchor>
        </w:drawing>
      </w:r>
    </w:p>
    <w:p>
      <w:pPr>
        <w:spacing w:after="0" w:line="200" w:lineRule="exact"/>
        <w:rPr>
          <w:sz w:val="20"/>
          <w:szCs w:val="20"/>
          <w:color w:val="auto"/>
        </w:rPr>
      </w:pPr>
    </w:p>
    <w:p>
      <w:pPr>
        <w:spacing w:after="0" w:line="278" w:lineRule="exact"/>
        <w:rPr>
          <w:sz w:val="20"/>
          <w:szCs w:val="20"/>
          <w:color w:val="auto"/>
        </w:rPr>
      </w:pPr>
    </w:p>
    <w:p>
      <w:pPr>
        <w:ind w:left="620"/>
        <w:spacing w:after="0"/>
        <w:rPr>
          <w:sz w:val="20"/>
          <w:szCs w:val="20"/>
          <w:color w:val="auto"/>
        </w:rPr>
      </w:pPr>
      <w:r>
        <w:rPr>
          <w:rFonts w:ascii="Arial" w:cs="Arial" w:eastAsia="Arial" w:hAnsi="Arial"/>
          <w:sz w:val="18"/>
          <w:szCs w:val="18"/>
          <w:color w:val="auto"/>
        </w:rPr>
        <w:t>The following is a reconciliation of FCF to the most comparable GAAP measure, net cash provided by operating activities:</w:t>
      </w:r>
    </w:p>
    <w:p>
      <w:pPr>
        <w:spacing w:after="0" w:line="231" w:lineRule="exact"/>
        <w:rPr>
          <w:sz w:val="20"/>
          <w:szCs w:val="20"/>
          <w:color w:val="auto"/>
        </w:rPr>
      </w:pPr>
    </w:p>
    <w:tbl>
      <w:tblPr>
        <w:tblLayout w:type="fixed"/>
        <w:tblInd w:w="62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64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1780" w:type="dxa"/>
            <w:vAlign w:val="bottom"/>
            <w:gridSpan w:val="5"/>
          </w:tcPr>
          <w:p>
            <w:pPr>
              <w:jc w:val="right"/>
              <w:ind w:right="680"/>
              <w:spacing w:after="0"/>
              <w:rPr>
                <w:sz w:val="20"/>
                <w:szCs w:val="20"/>
                <w:color w:val="auto"/>
              </w:rPr>
            </w:pPr>
            <w:r>
              <w:rPr>
                <w:rFonts w:ascii="Arial" w:cs="Arial" w:eastAsia="Arial" w:hAnsi="Arial"/>
                <w:sz w:val="14"/>
                <w:szCs w:val="14"/>
                <w:b w:val="1"/>
                <w:bCs w:val="1"/>
                <w:color w:val="auto"/>
              </w:rPr>
              <w:t>Year ended</w:t>
            </w: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560" w:type="dxa"/>
            <w:vAlign w:val="bottom"/>
            <w:gridSpan w:val="5"/>
          </w:tcPr>
          <w:p>
            <w:pPr>
              <w:jc w:val="right"/>
              <w:ind w:right="280"/>
              <w:spacing w:after="0"/>
              <w:rPr>
                <w:sz w:val="20"/>
                <w:szCs w:val="20"/>
                <w:color w:val="auto"/>
              </w:rPr>
            </w:pPr>
            <w:r>
              <w:rPr>
                <w:rFonts w:ascii="Arial" w:cs="Arial" w:eastAsia="Arial" w:hAnsi="Arial"/>
                <w:sz w:val="14"/>
                <w:szCs w:val="14"/>
                <w:b w:val="1"/>
                <w:bCs w:val="1"/>
                <w:color w:val="auto"/>
                <w:w w:val="96"/>
              </w:rPr>
              <w:t>Nine months ended</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64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1780" w:type="dxa"/>
            <w:vAlign w:val="bottom"/>
            <w:gridSpan w:val="5"/>
          </w:tcPr>
          <w:p>
            <w:pPr>
              <w:jc w:val="right"/>
              <w:ind w:right="620"/>
              <w:spacing w:after="0"/>
              <w:rPr>
                <w:sz w:val="20"/>
                <w:szCs w:val="20"/>
                <w:color w:val="auto"/>
              </w:rPr>
            </w:pPr>
            <w:r>
              <w:rPr>
                <w:rFonts w:ascii="Arial" w:cs="Arial" w:eastAsia="Arial" w:hAnsi="Arial"/>
                <w:sz w:val="14"/>
                <w:szCs w:val="14"/>
                <w:b w:val="1"/>
                <w:bCs w:val="1"/>
                <w:color w:val="auto"/>
              </w:rPr>
              <w:t>December 31,</w:t>
            </w: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560" w:type="dxa"/>
            <w:vAlign w:val="bottom"/>
            <w:gridSpan w:val="5"/>
          </w:tcPr>
          <w:p>
            <w:pPr>
              <w:jc w:val="right"/>
              <w:ind w:right="440"/>
              <w:spacing w:after="0"/>
              <w:rPr>
                <w:sz w:val="20"/>
                <w:szCs w:val="20"/>
                <w:color w:val="auto"/>
              </w:rPr>
            </w:pPr>
            <w:r>
              <w:rPr>
                <w:rFonts w:ascii="Arial" w:cs="Arial" w:eastAsia="Arial" w:hAnsi="Arial"/>
                <w:sz w:val="14"/>
                <w:szCs w:val="14"/>
                <w:b w:val="1"/>
                <w:bCs w:val="1"/>
                <w:color w:val="auto"/>
              </w:rPr>
              <w:t>September 30,</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640" w:type="dxa"/>
            <w:vAlign w:val="bottom"/>
          </w:tcPr>
          <w:p>
            <w:pPr>
              <w:spacing w:after="0"/>
              <w:rPr>
                <w:sz w:val="12"/>
                <w:szCs w:val="12"/>
                <w:color w:val="auto"/>
              </w:rPr>
            </w:pPr>
          </w:p>
        </w:tc>
        <w:tc>
          <w:tcPr>
            <w:tcW w:w="1700" w:type="dxa"/>
            <w:vAlign w:val="bottom"/>
          </w:tcPr>
          <w:p>
            <w:pPr>
              <w:spacing w:after="0"/>
              <w:rPr>
                <w:sz w:val="12"/>
                <w:szCs w:val="12"/>
                <w:color w:val="auto"/>
              </w:rPr>
            </w:pPr>
          </w:p>
        </w:tc>
        <w:tc>
          <w:tcPr>
            <w:tcW w:w="460" w:type="dxa"/>
            <w:vAlign w:val="bottom"/>
            <w:tcBorders>
              <w:top w:val="single" w:sz="8" w:color="auto"/>
              <w:bottom w:val="single" w:sz="8" w:color="auto"/>
            </w:tcBorders>
          </w:tcPr>
          <w:p>
            <w:pPr>
              <w:jc w:val="right"/>
              <w:ind w:right="4"/>
              <w:spacing w:after="0" w:line="142" w:lineRule="exact"/>
              <w:rPr>
                <w:sz w:val="20"/>
                <w:szCs w:val="20"/>
                <w:color w:val="auto"/>
              </w:rPr>
            </w:pPr>
            <w:r>
              <w:rPr>
                <w:rFonts w:ascii="Arial" w:cs="Arial" w:eastAsia="Arial" w:hAnsi="Arial"/>
                <w:sz w:val="14"/>
                <w:szCs w:val="14"/>
                <w:b w:val="1"/>
                <w:bCs w:val="1"/>
                <w:color w:val="auto"/>
              </w:rPr>
              <w:t>2015</w:t>
            </w:r>
          </w:p>
        </w:tc>
        <w:tc>
          <w:tcPr>
            <w:tcW w:w="280" w:type="dxa"/>
            <w:vAlign w:val="bottom"/>
            <w:tcBorders>
              <w:top w:val="single" w:sz="8" w:color="auto"/>
              <w:bottom w:val="single" w:sz="8" w:color="auto"/>
            </w:tcBorders>
          </w:tcPr>
          <w:p>
            <w:pPr>
              <w:spacing w:after="0"/>
              <w:rPr>
                <w:sz w:val="12"/>
                <w:szCs w:val="12"/>
                <w:color w:val="auto"/>
              </w:rPr>
            </w:pPr>
          </w:p>
        </w:tc>
        <w:tc>
          <w:tcPr>
            <w:tcW w:w="760" w:type="dxa"/>
            <w:vAlign w:val="bottom"/>
            <w:tcBorders>
              <w:top w:val="single" w:sz="8" w:color="auto"/>
              <w:bottom w:val="single" w:sz="8" w:color="auto"/>
            </w:tcBorders>
            <w:gridSpan w:val="2"/>
          </w:tcPr>
          <w:p>
            <w:pPr>
              <w:jc w:val="right"/>
              <w:ind w:right="48"/>
              <w:spacing w:after="0" w:line="142" w:lineRule="exact"/>
              <w:rPr>
                <w:sz w:val="20"/>
                <w:szCs w:val="20"/>
                <w:color w:val="auto"/>
              </w:rPr>
            </w:pPr>
            <w:r>
              <w:rPr>
                <w:rFonts w:ascii="Arial" w:cs="Arial" w:eastAsia="Arial" w:hAnsi="Arial"/>
                <w:sz w:val="14"/>
                <w:szCs w:val="14"/>
                <w:b w:val="1"/>
                <w:bCs w:val="1"/>
                <w:color w:val="auto"/>
              </w:rPr>
              <w:t>2016</w:t>
            </w:r>
          </w:p>
        </w:tc>
        <w:tc>
          <w:tcPr>
            <w:tcW w:w="280" w:type="dxa"/>
            <w:vAlign w:val="bottom"/>
            <w:tcBorders>
              <w:bottom w:val="single" w:sz="8" w:color="auto"/>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460" w:type="dxa"/>
            <w:vAlign w:val="bottom"/>
            <w:tcBorders>
              <w:top w:val="single" w:sz="8" w:color="auto"/>
              <w:bottom w:val="single" w:sz="8" w:color="auto"/>
            </w:tcBorders>
          </w:tcPr>
          <w:p>
            <w:pPr>
              <w:jc w:val="right"/>
              <w:ind w:right="39"/>
              <w:spacing w:after="0" w:line="142" w:lineRule="exact"/>
              <w:rPr>
                <w:sz w:val="20"/>
                <w:szCs w:val="20"/>
                <w:color w:val="auto"/>
              </w:rPr>
            </w:pPr>
            <w:r>
              <w:rPr>
                <w:rFonts w:ascii="Arial" w:cs="Arial" w:eastAsia="Arial" w:hAnsi="Arial"/>
                <w:sz w:val="14"/>
                <w:szCs w:val="14"/>
                <w:b w:val="1"/>
                <w:bCs w:val="1"/>
                <w:color w:val="auto"/>
              </w:rPr>
              <w:t>2016</w:t>
            </w:r>
          </w:p>
        </w:tc>
        <w:tc>
          <w:tcPr>
            <w:tcW w:w="280" w:type="dxa"/>
            <w:vAlign w:val="bottom"/>
            <w:tcBorders>
              <w:top w:val="single" w:sz="8" w:color="auto"/>
              <w:bottom w:val="single" w:sz="8" w:color="auto"/>
            </w:tcBorders>
          </w:tcPr>
          <w:p>
            <w:pPr>
              <w:spacing w:after="0"/>
              <w:rPr>
                <w:sz w:val="12"/>
                <w:szCs w:val="12"/>
                <w:color w:val="auto"/>
              </w:rPr>
            </w:pPr>
          </w:p>
        </w:tc>
        <w:tc>
          <w:tcPr>
            <w:tcW w:w="720" w:type="dxa"/>
            <w:vAlign w:val="bottom"/>
            <w:tcBorders>
              <w:top w:val="single" w:sz="8" w:color="auto"/>
              <w:bottom w:val="single" w:sz="8" w:color="auto"/>
            </w:tcBorders>
            <w:gridSpan w:val="2"/>
          </w:tcPr>
          <w:p>
            <w:pPr>
              <w:jc w:val="right"/>
              <w:ind w:right="120"/>
              <w:spacing w:after="0" w:line="142" w:lineRule="exact"/>
              <w:rPr>
                <w:sz w:val="20"/>
                <w:szCs w:val="20"/>
                <w:color w:val="auto"/>
              </w:rPr>
            </w:pPr>
            <w:r>
              <w:rPr>
                <w:rFonts w:ascii="Arial" w:cs="Arial" w:eastAsia="Arial" w:hAnsi="Arial"/>
                <w:sz w:val="14"/>
                <w:szCs w:val="14"/>
                <w:b w:val="1"/>
                <w:bCs w:val="1"/>
                <w:color w:val="auto"/>
              </w:rPr>
              <w:t>2017</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640" w:type="dxa"/>
            <w:vAlign w:val="bottom"/>
          </w:tcPr>
          <w:p>
            <w:pPr>
              <w:spacing w:after="0"/>
              <w:rPr>
                <w:sz w:val="12"/>
                <w:szCs w:val="12"/>
                <w:color w:val="auto"/>
              </w:rPr>
            </w:pPr>
          </w:p>
        </w:tc>
        <w:tc>
          <w:tcPr>
            <w:tcW w:w="17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860" w:type="dxa"/>
            <w:vAlign w:val="bottom"/>
            <w:gridSpan w:val="6"/>
          </w:tcPr>
          <w:p>
            <w:pPr>
              <w:jc w:val="right"/>
              <w:ind w:right="700"/>
              <w:spacing w:after="0" w:line="142" w:lineRule="exact"/>
              <w:rPr>
                <w:sz w:val="20"/>
                <w:szCs w:val="20"/>
                <w:color w:val="auto"/>
              </w:rPr>
            </w:pPr>
            <w:r>
              <w:rPr>
                <w:rFonts w:ascii="Arial" w:cs="Arial" w:eastAsia="Arial" w:hAnsi="Arial"/>
                <w:sz w:val="14"/>
                <w:szCs w:val="14"/>
                <w:i w:val="1"/>
                <w:iCs w:val="1"/>
                <w:color w:val="auto"/>
              </w:rPr>
              <w:t>(In millions)</w:t>
            </w:r>
          </w:p>
        </w:tc>
        <w:tc>
          <w:tcPr>
            <w:tcW w:w="2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40" w:type="dxa"/>
            <w:vAlign w:val="bottom"/>
            <w:shd w:val="clear" w:color="auto" w:fill="CCEEFF"/>
          </w:tcPr>
          <w:p>
            <w:pPr>
              <w:spacing w:after="0"/>
              <w:rPr>
                <w:sz w:val="20"/>
                <w:szCs w:val="20"/>
                <w:color w:val="auto"/>
              </w:rPr>
            </w:pPr>
            <w:r>
              <w:rPr>
                <w:rFonts w:ascii="Arial" w:cs="Arial" w:eastAsia="Arial" w:hAnsi="Arial"/>
                <w:sz w:val="18"/>
                <w:szCs w:val="18"/>
                <w:color w:val="auto"/>
              </w:rPr>
              <w:t>Net cash provided by operating activities</w:t>
            </w:r>
          </w:p>
        </w:tc>
        <w:tc>
          <w:tcPr>
            <w:tcW w:w="2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$ 14.8</w:t>
            </w:r>
          </w:p>
        </w:tc>
        <w:tc>
          <w:tcPr>
            <w:tcW w:w="2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$ 252.6</w:t>
            </w:r>
          </w:p>
        </w:tc>
        <w:tc>
          <w:tcPr>
            <w:tcW w:w="280" w:type="dxa"/>
            <w:vAlign w:val="bottom"/>
            <w:shd w:val="clear" w:color="auto" w:fill="CCEEFF"/>
          </w:tcPr>
          <w:p>
            <w:pPr>
              <w:spacing w:after="0"/>
              <w:rPr>
                <w:sz w:val="18"/>
                <w:szCs w:val="18"/>
                <w:color w:val="auto"/>
              </w:rPr>
            </w:pP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186.7</w:t>
            </w:r>
          </w:p>
        </w:tc>
        <w:tc>
          <w:tcPr>
            <w:tcW w:w="2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$259.2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40" w:type="dxa"/>
            <w:vAlign w:val="bottom"/>
          </w:tcPr>
          <w:p>
            <w:pPr>
              <w:spacing w:after="0"/>
              <w:rPr>
                <w:sz w:val="20"/>
                <w:szCs w:val="20"/>
                <w:color w:val="auto"/>
              </w:rPr>
            </w:pPr>
            <w:r>
              <w:rPr>
                <w:rFonts w:ascii="Arial" w:cs="Arial" w:eastAsia="Arial" w:hAnsi="Arial"/>
                <w:sz w:val="18"/>
                <w:szCs w:val="18"/>
                <w:color w:val="auto"/>
              </w:rPr>
              <w:t>Capital expenditures</w:t>
            </w:r>
          </w:p>
        </w:tc>
        <w:tc>
          <w:tcPr>
            <w:tcW w:w="1700" w:type="dxa"/>
            <w:vAlign w:val="bottom"/>
          </w:tcPr>
          <w:p>
            <w:pPr>
              <w:spacing w:after="0"/>
              <w:rPr>
                <w:sz w:val="18"/>
                <w:szCs w:val="18"/>
                <w:color w:val="auto"/>
              </w:rPr>
            </w:pPr>
          </w:p>
        </w:tc>
        <w:tc>
          <w:tcPr>
            <w:tcW w:w="740" w:type="dxa"/>
            <w:vAlign w:val="bottom"/>
            <w:gridSpan w:val="2"/>
          </w:tcPr>
          <w:p>
            <w:pPr>
              <w:jc w:val="right"/>
              <w:ind w:right="220"/>
              <w:spacing w:after="0"/>
              <w:rPr>
                <w:sz w:val="20"/>
                <w:szCs w:val="20"/>
                <w:color w:val="auto"/>
              </w:rPr>
            </w:pPr>
            <w:r>
              <w:rPr>
                <w:rFonts w:ascii="Arial" w:cs="Arial" w:eastAsia="Arial" w:hAnsi="Arial"/>
                <w:sz w:val="18"/>
                <w:szCs w:val="18"/>
                <w:color w:val="auto"/>
              </w:rPr>
              <w:t>(78.7)</w:t>
            </w:r>
          </w:p>
        </w:tc>
        <w:tc>
          <w:tcPr>
            <w:tcW w:w="1040" w:type="dxa"/>
            <w:vAlign w:val="bottom"/>
            <w:gridSpan w:val="3"/>
          </w:tcPr>
          <w:p>
            <w:pPr>
              <w:jc w:val="right"/>
              <w:ind w:right="220"/>
              <w:spacing w:after="0"/>
              <w:rPr>
                <w:sz w:val="20"/>
                <w:szCs w:val="20"/>
                <w:color w:val="auto"/>
              </w:rPr>
            </w:pPr>
            <w:r>
              <w:rPr>
                <w:rFonts w:ascii="Arial" w:cs="Arial" w:eastAsia="Arial" w:hAnsi="Arial"/>
                <w:sz w:val="18"/>
                <w:szCs w:val="18"/>
                <w:color w:val="auto"/>
              </w:rPr>
              <w:t>(115.2)</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gridSpan w:val="2"/>
          </w:tcPr>
          <w:p>
            <w:pPr>
              <w:jc w:val="right"/>
              <w:ind w:right="220"/>
              <w:spacing w:after="0"/>
              <w:rPr>
                <w:sz w:val="20"/>
                <w:szCs w:val="20"/>
                <w:color w:val="auto"/>
              </w:rPr>
            </w:pPr>
            <w:r>
              <w:rPr>
                <w:rFonts w:ascii="Arial" w:cs="Arial" w:eastAsia="Arial" w:hAnsi="Arial"/>
                <w:sz w:val="18"/>
                <w:szCs w:val="18"/>
                <w:color w:val="auto"/>
                <w:w w:val="87"/>
              </w:rPr>
              <w:t>(111.6)</w:t>
            </w:r>
          </w:p>
        </w:tc>
        <w:tc>
          <w:tcPr>
            <w:tcW w:w="820" w:type="dxa"/>
            <w:vAlign w:val="bottom"/>
            <w:gridSpan w:val="3"/>
          </w:tcPr>
          <w:p>
            <w:pPr>
              <w:jc w:val="right"/>
              <w:ind w:right="40"/>
              <w:spacing w:after="0"/>
              <w:rPr>
                <w:sz w:val="20"/>
                <w:szCs w:val="20"/>
                <w:color w:val="auto"/>
              </w:rPr>
            </w:pPr>
            <w:r>
              <w:rPr>
                <w:rFonts w:ascii="Arial" w:cs="Arial" w:eastAsia="Arial" w:hAnsi="Arial"/>
                <w:sz w:val="18"/>
                <w:szCs w:val="18"/>
                <w:color w:val="auto"/>
              </w:rPr>
              <w:t>(12.0)</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640" w:type="dxa"/>
            <w:vAlign w:val="bottom"/>
          </w:tcPr>
          <w:p>
            <w:pPr>
              <w:spacing w:after="0"/>
              <w:rPr>
                <w:sz w:val="2"/>
                <w:szCs w:val="2"/>
                <w:color w:val="auto"/>
              </w:rPr>
            </w:pPr>
          </w:p>
        </w:tc>
        <w:tc>
          <w:tcPr>
            <w:tcW w:w="1700" w:type="dxa"/>
            <w:vAlign w:val="bottom"/>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220" w:type="dxa"/>
            <w:vAlign w:val="bottom"/>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22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640" w:type="dxa"/>
            <w:vAlign w:val="bottom"/>
            <w:shd w:val="clear" w:color="auto" w:fill="CCEEFF"/>
          </w:tcPr>
          <w:p>
            <w:pPr>
              <w:spacing w:after="0"/>
              <w:rPr>
                <w:sz w:val="20"/>
                <w:szCs w:val="20"/>
                <w:color w:val="auto"/>
              </w:rPr>
            </w:pPr>
            <w:r>
              <w:rPr>
                <w:rFonts w:ascii="Arial" w:cs="Arial" w:eastAsia="Arial" w:hAnsi="Arial"/>
                <w:sz w:val="18"/>
                <w:szCs w:val="18"/>
                <w:color w:val="auto"/>
              </w:rPr>
              <w:t>Free cash flow</w:t>
            </w:r>
          </w:p>
        </w:tc>
        <w:tc>
          <w:tcPr>
            <w:tcW w:w="244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(63.9)</w:t>
            </w: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$ 137.4</w:t>
            </w:r>
          </w:p>
        </w:tc>
        <w:tc>
          <w:tcPr>
            <w:tcW w:w="280" w:type="dxa"/>
            <w:vAlign w:val="bottom"/>
            <w:shd w:val="clear" w:color="auto" w:fill="CCEEFF"/>
          </w:tcPr>
          <w:p>
            <w:pPr>
              <w:spacing w:after="0"/>
              <w:rPr>
                <w:sz w:val="18"/>
                <w:szCs w:val="18"/>
                <w:color w:val="auto"/>
              </w:rPr>
            </w:pP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75.1</w:t>
            </w:r>
          </w:p>
        </w:tc>
        <w:tc>
          <w:tcPr>
            <w:tcW w:w="2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247.2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64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left="200" w:right="160" w:firstLine="434"/>
        <w:spacing w:after="0" w:line="277" w:lineRule="auto"/>
        <w:rPr>
          <w:sz w:val="20"/>
          <w:szCs w:val="20"/>
          <w:color w:val="auto"/>
        </w:rPr>
      </w:pPr>
      <w:r>
        <w:rPr>
          <w:rFonts w:ascii="Arial" w:cs="Arial" w:eastAsia="Arial" w:hAnsi="Arial"/>
          <w:sz w:val="18"/>
          <w:szCs w:val="18"/>
          <w:color w:val="auto"/>
        </w:rPr>
        <w:t>See the section titled “Management’s Discussion and Analysis of Financial Condition and Results of Operations—Non-GAAP Financial Measure” for additional information.</w:t>
      </w: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0620"/>
          </w:cols>
          <w:pgMar w:left="320" w:top="459" w:right="959"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RISK FACTORS</w:t>
      </w:r>
    </w:p>
    <w:p>
      <w:pPr>
        <w:spacing w:after="0" w:line="229" w:lineRule="exact"/>
        <w:rPr>
          <w:sz w:val="20"/>
          <w:szCs w:val="20"/>
          <w:color w:val="auto"/>
        </w:rPr>
      </w:pPr>
    </w:p>
    <w:p>
      <w:pPr>
        <w:ind w:right="20" w:firstLine="449"/>
        <w:spacing w:after="0" w:line="254" w:lineRule="auto"/>
        <w:rPr>
          <w:sz w:val="20"/>
          <w:szCs w:val="20"/>
          <w:color w:val="auto"/>
        </w:rPr>
      </w:pPr>
      <w:r>
        <w:rPr>
          <w:rFonts w:ascii="Arial" w:cs="Arial" w:eastAsia="Arial" w:hAnsi="Arial"/>
          <w:sz w:val="18"/>
          <w:szCs w:val="18"/>
          <w:i w:val="1"/>
          <w:iCs w:val="1"/>
          <w:color w:val="auto"/>
        </w:rPr>
        <w:t>Investing in our Class A common stock involves a high degree of risk. You should consider carefully the risks and uncertainties described below, together with all of the other information in this prospectus, including the section titled “Management’s Discussion and Analysis of Financial Condition and Results of Operations” and our consolidated financial statements and related notes, before making a decision to invest in our Class A common stock. Our business, results of operations, financial condition, or prospects could also be harmed by risks and uncertainties that are not presently known to us or that we currently believe are not material. If any of the risks actually occur, our business, results of operations, financial condition, and prospects could be materially and adversely affected. In that event, the market price of our Class A common stock could decline, and you could lose all or part of your investment.</w:t>
      </w:r>
    </w:p>
    <w:p>
      <w:pPr>
        <w:spacing w:after="0" w:line="299"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Risks Related to Our Business and Our Industry</w:t>
      </w:r>
    </w:p>
    <w:p>
      <w:pPr>
        <w:spacing w:after="0" w:line="229"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b w:val="1"/>
          <w:bCs w:val="1"/>
          <w:i w:val="1"/>
          <w:iCs w:val="1"/>
          <w:color w:val="auto"/>
        </w:rPr>
        <w:t>Our business depends on our ability to retain and upgrade paying users, and any decline in renewals or upgrades could adversely affect our future results of operations.</w:t>
      </w:r>
    </w:p>
    <w:p>
      <w:pPr>
        <w:spacing w:after="0" w:line="62" w:lineRule="exact"/>
        <w:rPr>
          <w:sz w:val="20"/>
          <w:szCs w:val="20"/>
          <w:color w:val="auto"/>
        </w:rPr>
      </w:pPr>
    </w:p>
    <w:p>
      <w:pPr>
        <w:ind w:firstLine="449"/>
        <w:spacing w:after="0" w:line="255" w:lineRule="auto"/>
        <w:rPr>
          <w:sz w:val="20"/>
          <w:szCs w:val="20"/>
          <w:color w:val="auto"/>
        </w:rPr>
      </w:pPr>
      <w:r>
        <w:rPr>
          <w:rFonts w:ascii="Arial" w:cs="Arial" w:eastAsia="Arial" w:hAnsi="Arial"/>
          <w:sz w:val="18"/>
          <w:szCs w:val="18"/>
          <w:color w:val="auto"/>
        </w:rPr>
        <w:t>Our business depends upon our ability to maintain and expand our relationships with our users. Our business is subscription based, and paying users are not obligated to and may not renew their subscriptions after their existing subscriptions expire. As a result, we cannot provide assurance that paying users will renew their subscriptions utilizing the same tier of our products or upgrade to premium offerings. Renewals of subscriptions to our platform may decline or fluctuate because of several factors, such as dissatisfaction with our products and support, a user no longer having a need for our products, or the perception that competitive products provide better or less expensive options. In addition, some paying users downgrade or do not renew their subscriptions.</w:t>
      </w:r>
    </w:p>
    <w:p>
      <w:pPr>
        <w:spacing w:after="0" w:line="192" w:lineRule="exact"/>
        <w:rPr>
          <w:sz w:val="20"/>
          <w:szCs w:val="20"/>
          <w:color w:val="auto"/>
        </w:rPr>
      </w:pPr>
    </w:p>
    <w:p>
      <w:pPr>
        <w:ind w:right="440" w:firstLine="449"/>
        <w:spacing w:after="0" w:line="255" w:lineRule="auto"/>
        <w:rPr>
          <w:sz w:val="20"/>
          <w:szCs w:val="20"/>
          <w:color w:val="auto"/>
        </w:rPr>
      </w:pPr>
      <w:r>
        <w:rPr>
          <w:rFonts w:ascii="Arial" w:cs="Arial" w:eastAsia="Arial" w:hAnsi="Arial"/>
          <w:sz w:val="18"/>
          <w:szCs w:val="18"/>
          <w:color w:val="auto"/>
        </w:rPr>
        <w:t>We encourage paying users to upgrade to our premium offerings by recommending additional features and through in-product prompts and notifications. Additionally, we seek to expand within organizations through viral means by adding new users, having workplaces purchase additional products, or expanding the use of Dropbox into other departments within a workplace. We often see enterprise IT decision-makers deciding to adopt Dropbox after noticing substantial organic adoption by individuals and teams within the organization. If our paying users fail to renew or cancel their subscriptions, or if we fail to upgrade our paying users to premium offerings or expand within organizations, our business, results of operations, and financial condition may be harmed.</w:t>
      </w:r>
    </w:p>
    <w:p>
      <w:pPr>
        <w:spacing w:after="0" w:line="192" w:lineRule="exact"/>
        <w:rPr>
          <w:sz w:val="20"/>
          <w:szCs w:val="20"/>
          <w:color w:val="auto"/>
        </w:rPr>
      </w:pPr>
    </w:p>
    <w:p>
      <w:pPr>
        <w:ind w:right="120" w:firstLine="449"/>
        <w:spacing w:after="0" w:line="286" w:lineRule="auto"/>
        <w:rPr>
          <w:sz w:val="20"/>
          <w:szCs w:val="20"/>
          <w:color w:val="auto"/>
        </w:rPr>
      </w:pPr>
      <w:r>
        <w:rPr>
          <w:rFonts w:ascii="Arial" w:cs="Arial" w:eastAsia="Arial" w:hAnsi="Arial"/>
          <w:sz w:val="17"/>
          <w:szCs w:val="17"/>
          <w:color w:val="auto"/>
        </w:rPr>
        <w:t>Although it is important to our business that our users renew their subscriptions after their existing subscriptions expire and that we expand our commercial relationships with our users, given the volume of our users, we do not track the retention rates of our individual users. As a result, we may be unable to address any retention issues with specific users in a timely manner, which could harm our business.</w:t>
      </w:r>
    </w:p>
    <w:p>
      <w:pPr>
        <w:spacing w:after="0" w:line="2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future growth could be harmed if we fail to attract new users or convert registered users to paying users.</w:t>
      </w:r>
    </w:p>
    <w:p>
      <w:pPr>
        <w:spacing w:after="0" w:line="117" w:lineRule="exact"/>
        <w:rPr>
          <w:sz w:val="20"/>
          <w:szCs w:val="20"/>
          <w:color w:val="auto"/>
        </w:rPr>
      </w:pPr>
    </w:p>
    <w:p>
      <w:pPr>
        <w:ind w:right="40" w:firstLine="449"/>
        <w:spacing w:after="0" w:line="286" w:lineRule="auto"/>
        <w:rPr>
          <w:sz w:val="20"/>
          <w:szCs w:val="20"/>
          <w:color w:val="auto"/>
        </w:rPr>
      </w:pPr>
      <w:r>
        <w:rPr>
          <w:rFonts w:ascii="Arial" w:cs="Arial" w:eastAsia="Arial" w:hAnsi="Arial"/>
          <w:sz w:val="17"/>
          <w:szCs w:val="17"/>
          <w:color w:val="auto"/>
        </w:rPr>
        <w:t>We must continually add new users to grow our business beyond our current user base and to replace users who choose not to continue to use our platform. Historically, our revenue has been driven by our self-serve model, and we generate more than 90% of our revenue from self-serve channels. Any decrease in user satisfaction with our products or support could harm our brand, word-of-mouth referrals, and ability to grow.</w:t>
      </w:r>
    </w:p>
    <w:p>
      <w:pPr>
        <w:spacing w:after="0" w:line="165" w:lineRule="exact"/>
        <w:rPr>
          <w:sz w:val="20"/>
          <w:szCs w:val="20"/>
          <w:color w:val="auto"/>
        </w:rPr>
      </w:pPr>
    </w:p>
    <w:p>
      <w:pPr>
        <w:ind w:right="20" w:firstLine="449"/>
        <w:spacing w:after="0" w:line="255" w:lineRule="auto"/>
        <w:rPr>
          <w:sz w:val="20"/>
          <w:szCs w:val="20"/>
          <w:color w:val="auto"/>
        </w:rPr>
      </w:pPr>
      <w:r>
        <w:rPr>
          <w:rFonts w:ascii="Arial" w:cs="Arial" w:eastAsia="Arial" w:hAnsi="Arial"/>
          <w:sz w:val="18"/>
          <w:szCs w:val="18"/>
          <w:color w:val="auto"/>
        </w:rPr>
        <w:t>Additionally, many of our users initially access our platform free of charge. We strive to demonstrate the value of our platform to our registered users, thereby encouraging them to convert to paying users through in-product prompts and notifications, and time-limited trials of paid subscription plans. As of September 30, 2017, we served over 500 million registered users but only 10.4 million paying users. The actual number of unique users may also be lower than we report as one person may register more than once and therefore have more than one active license. As a result, we may have fewer opportunities to convert registered users to paying users than we expect. A majority of our registered users never convert to a paid subscription to our platform.</w:t>
      </w:r>
    </w:p>
    <w:p>
      <w:pPr>
        <w:spacing w:after="0" w:line="12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180"/>
          </w:cols>
          <w:pgMar w:left="320" w:top="459" w:right="399"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right="120" w:firstLine="449"/>
        <w:spacing w:after="0" w:line="286" w:lineRule="auto"/>
        <w:rPr>
          <w:sz w:val="20"/>
          <w:szCs w:val="20"/>
          <w:color w:val="auto"/>
        </w:rPr>
      </w:pPr>
      <w:r>
        <w:rPr>
          <w:rFonts w:ascii="Arial" w:cs="Arial" w:eastAsia="Arial" w:hAnsi="Arial"/>
          <w:sz w:val="17"/>
          <w:szCs w:val="17"/>
          <w:color w:val="auto"/>
        </w:rPr>
        <w:t>In addition, our user growth rate may slow in the future as our market penetration rates increase and we turn our focus to converting registered users to paying users rather than growing the total number of registered users. If we are not able to continue to expand our user base or fail to convert our registered users to paying users, demand for our paid services and our revenue may grow more slowly than expected or decline.</w:t>
      </w:r>
    </w:p>
    <w:p>
      <w:pPr>
        <w:spacing w:after="0" w:line="2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revenue growth rate has declined in recent periods and may continue to slow in the future.</w:t>
      </w:r>
    </w:p>
    <w:p>
      <w:pPr>
        <w:spacing w:after="0" w:line="117" w:lineRule="exact"/>
        <w:rPr>
          <w:sz w:val="20"/>
          <w:szCs w:val="20"/>
          <w:color w:val="auto"/>
        </w:rPr>
      </w:pPr>
    </w:p>
    <w:p>
      <w:pPr>
        <w:ind w:right="80" w:firstLine="449"/>
        <w:spacing w:after="0" w:line="255" w:lineRule="auto"/>
        <w:rPr>
          <w:sz w:val="20"/>
          <w:szCs w:val="20"/>
          <w:color w:val="auto"/>
        </w:rPr>
      </w:pPr>
      <w:r>
        <w:rPr>
          <w:rFonts w:ascii="Arial" w:cs="Arial" w:eastAsia="Arial" w:hAnsi="Arial"/>
          <w:sz w:val="18"/>
          <w:szCs w:val="18"/>
          <w:color w:val="auto"/>
        </w:rPr>
        <w:t>We have experienced significant revenue growth in prior periods. However, our rates of revenue growth are slowing and may continue to slow in the future. Many factors may contribute to declines in our growth rates, including higher market penetration, increased competition, slowing demand for our platform, a decrease in the growth of the overall content collaboration market, a failure by us to continue capitalizing on growth opportunities, and the maturation of our business, among others. You should not rely on the revenue growth of any prior quarterly or annual period as an indication of our future performance. If our growth rates decline, investors’ perceptions of our business and the trading price of our Class A common stock could be adversely affected.</w:t>
      </w:r>
    </w:p>
    <w:p>
      <w:pPr>
        <w:spacing w:after="0" w:line="300"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We have a history of net losses, we anticipate increasing expenses in the future, and we may not be able to achieve or maintain profitability.</w:t>
      </w:r>
    </w:p>
    <w:p>
      <w:pPr>
        <w:spacing w:after="0" w:line="140" w:lineRule="exact"/>
        <w:rPr>
          <w:sz w:val="20"/>
          <w:szCs w:val="20"/>
          <w:color w:val="auto"/>
        </w:rPr>
      </w:pPr>
    </w:p>
    <w:p>
      <w:pPr>
        <w:ind w:firstLine="449"/>
        <w:spacing w:after="0" w:line="287" w:lineRule="auto"/>
        <w:rPr>
          <w:sz w:val="20"/>
          <w:szCs w:val="20"/>
          <w:color w:val="auto"/>
        </w:rPr>
      </w:pPr>
      <w:r>
        <w:rPr>
          <w:rFonts w:ascii="Arial" w:cs="Arial" w:eastAsia="Arial" w:hAnsi="Arial"/>
          <w:sz w:val="16"/>
          <w:szCs w:val="16"/>
          <w:color w:val="auto"/>
        </w:rPr>
        <w:t>We have incurred net losses on an annual basis since our inception. We incurred net losses of $325.9 million and $210.2 million in 2015 and 2016, respectively, and $74.0 million for the nine months ended September 30, 2017, and we had an accumulated deficit of $1,012.0 million as of September 30, 2017. As we strive to grow our business, we expect expenses to increase in the near term, particularly as we continue to make investments to scale our business. For example, we will need an increasing amount of technical infrastructure to continue to satisfy the needs of our user base. We also expect our research and development expenses to increase as we plan to continue to hire employees for our engineering, product, and design teams to support these efforts. In addition, we will incur additional rent expense in connection with our move to our new corporate headquarters, and additional general and administrative expenses to support both the growth of the company as well as our transition to being a publicly traded company. These investments may not result in increased revenue or growth in our business. We may encounter unforeseen or unpredictable factors, including unforeseen operating expenses, complications, or delays, which may result in increased costs. Furthermore, it is difficult to predict the size and growth rate of our market, user demand for our platform, user adoption and renewal of our platform, the entry of competitive products and services, or the success of existing competitive products and services. As a result, we may not achieve or maintain profitability in future periods. If we fail to grow our revenue sufficiently to keep pace with our investments and other expenses, our results of operations and financial condition would be adversely affected.</w:t>
      </w:r>
    </w:p>
    <w:p>
      <w:pPr>
        <w:spacing w:after="0" w:line="276" w:lineRule="exact"/>
        <w:rPr>
          <w:sz w:val="20"/>
          <w:szCs w:val="20"/>
          <w:color w:val="auto"/>
        </w:rPr>
      </w:pPr>
    </w:p>
    <w:p>
      <w:pPr>
        <w:ind w:right="380"/>
        <w:spacing w:after="0" w:line="277" w:lineRule="auto"/>
        <w:rPr>
          <w:sz w:val="20"/>
          <w:szCs w:val="20"/>
          <w:color w:val="auto"/>
        </w:rPr>
      </w:pPr>
      <w:r>
        <w:rPr>
          <w:rFonts w:ascii="Arial" w:cs="Arial" w:eastAsia="Arial" w:hAnsi="Arial"/>
          <w:sz w:val="18"/>
          <w:szCs w:val="18"/>
          <w:b w:val="1"/>
          <w:bCs w:val="1"/>
          <w:i w:val="1"/>
          <w:iCs w:val="1"/>
          <w:color w:val="auto"/>
        </w:rPr>
        <w:t>Our business could be damaged, and we could be subject to liability if there is any unauthorized access to our data or our users’ content, including through privacy and data security breaches.</w:t>
      </w:r>
    </w:p>
    <w:p>
      <w:pPr>
        <w:spacing w:after="0" w:line="62" w:lineRule="exact"/>
        <w:rPr>
          <w:sz w:val="20"/>
          <w:szCs w:val="20"/>
          <w:color w:val="auto"/>
        </w:rPr>
      </w:pPr>
    </w:p>
    <w:p>
      <w:pPr>
        <w:ind w:right="20" w:firstLine="449"/>
        <w:spacing w:after="0" w:line="289" w:lineRule="auto"/>
        <w:rPr>
          <w:sz w:val="20"/>
          <w:szCs w:val="20"/>
          <w:color w:val="auto"/>
        </w:rPr>
      </w:pPr>
      <w:r>
        <w:rPr>
          <w:rFonts w:ascii="Arial" w:cs="Arial" w:eastAsia="Arial" w:hAnsi="Arial"/>
          <w:sz w:val="16"/>
          <w:szCs w:val="16"/>
          <w:color w:val="auto"/>
        </w:rPr>
        <w:t>The use of our platform involves the transmission, storage, and processing of user content, some of which may be considered personally identifiable, confidential, or sensitive. We face security threats from malicious third parties that could obtain unauthorized access to our systems and networks. We anticipate that these threats will continue to grow in scope and complexity over time. For example, in 2016, we learned that an old set of Dropbox user credentials for approximately 68 million accounts was released. These credentials consisted of email addresses and passwords protected by a cryptographic algorithm known as hashing and salting. We believe these Dropbox user credentials were obtained in 2012 and related to a security incident we disclosed to users. In response, we notified all existing users we believed to be affected and completed a password reset for anyone who had not updated their password since mid-2012. We have responded to this event by expanding our security team and data monitoring capabilities and continuing to work on features such as two-factor authentication to increase protection of user information. While we believe our corrective actions will reduce the likelihood of similar incidents occurring in the future, third parties might use techniques that we are unable to defend against</w:t>
      </w:r>
    </w:p>
    <w:p>
      <w:pPr>
        <w:spacing w:after="0" w:line="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240"/>
          </w:cols>
          <w:pgMar w:left="320" w:top="459" w:right="339"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right="60"/>
        <w:spacing w:after="0" w:line="296" w:lineRule="auto"/>
        <w:rPr>
          <w:sz w:val="20"/>
          <w:szCs w:val="20"/>
          <w:color w:val="auto"/>
        </w:rPr>
      </w:pPr>
      <w:r>
        <w:rPr>
          <w:rFonts w:ascii="Arial" w:cs="Arial" w:eastAsia="Arial" w:hAnsi="Arial"/>
          <w:sz w:val="16"/>
          <w:szCs w:val="16"/>
          <w:color w:val="auto"/>
        </w:rPr>
        <w:t>to compromise and infiltrate our systems and networks. We may fail to detect the existence of a breach of user content and be unable to prevent unauthorized access to user and company content. The techniques used to obtain unauthorized access, disable or degrade service, or sabotage systems change frequently and are often not recognized until launched against a target. They may originate from less regulated or remote areas around the world, or from state-sponsored actors. If our security measures are breached, or our users’ content is otherwise accessed through unauthorized means, or if any such actions are believed to occur, our platform may be perceived as insecure, and we may lose existing users or fail to attract and retain new users.</w:t>
      </w:r>
    </w:p>
    <w:p>
      <w:pPr>
        <w:spacing w:after="0" w:line="161" w:lineRule="exact"/>
        <w:rPr>
          <w:sz w:val="20"/>
          <w:szCs w:val="20"/>
          <w:color w:val="auto"/>
        </w:rPr>
      </w:pPr>
    </w:p>
    <w:p>
      <w:pPr>
        <w:ind w:right="200" w:firstLine="449"/>
        <w:spacing w:after="0" w:line="263" w:lineRule="auto"/>
        <w:rPr>
          <w:sz w:val="20"/>
          <w:szCs w:val="20"/>
          <w:color w:val="auto"/>
        </w:rPr>
      </w:pPr>
      <w:r>
        <w:rPr>
          <w:rFonts w:ascii="Arial" w:cs="Arial" w:eastAsia="Arial" w:hAnsi="Arial"/>
          <w:sz w:val="18"/>
          <w:szCs w:val="18"/>
          <w:color w:val="auto"/>
        </w:rPr>
        <w:t>We may rely on third parties when deploying our infrastructure, and in doing so, expose it to security risks outside of our direct control. We rely on outside vendors and contractors to perform services necessary for the operation of the business, and they may fail to adequately secure our user and company content.</w:t>
      </w:r>
    </w:p>
    <w:p>
      <w:pPr>
        <w:spacing w:after="0" w:line="184" w:lineRule="exact"/>
        <w:rPr>
          <w:sz w:val="20"/>
          <w:szCs w:val="20"/>
          <w:color w:val="auto"/>
        </w:rPr>
      </w:pPr>
    </w:p>
    <w:p>
      <w:pPr>
        <w:ind w:right="40" w:firstLine="449"/>
        <w:spacing w:after="0" w:line="259" w:lineRule="auto"/>
        <w:rPr>
          <w:sz w:val="20"/>
          <w:szCs w:val="20"/>
          <w:color w:val="auto"/>
        </w:rPr>
      </w:pPr>
      <w:r>
        <w:rPr>
          <w:rFonts w:ascii="Arial" w:cs="Arial" w:eastAsia="Arial" w:hAnsi="Arial"/>
          <w:sz w:val="18"/>
          <w:szCs w:val="18"/>
          <w:color w:val="auto"/>
        </w:rPr>
        <w:t>Third parties may attempt to compromise our employees and their privileged access into internal systems to gain access to accounts, our information, our networks, or our systems. Employee error, malfeasance, or other errors in the storage, use, or transmission of personal information could result in an actual or perceived breach of user privacy. Our users may also disclose or lose control of their passwords, or use the same or similar passwords on third parties’ systems, which could lead to unauthorized access to their accounts on our platform.</w:t>
      </w:r>
    </w:p>
    <w:p>
      <w:pPr>
        <w:spacing w:after="0" w:line="187" w:lineRule="exact"/>
        <w:rPr>
          <w:sz w:val="20"/>
          <w:szCs w:val="20"/>
          <w:color w:val="auto"/>
        </w:rPr>
      </w:pPr>
    </w:p>
    <w:p>
      <w:pPr>
        <w:ind w:firstLine="449"/>
        <w:spacing w:after="0" w:line="269" w:lineRule="auto"/>
        <w:rPr>
          <w:sz w:val="20"/>
          <w:szCs w:val="20"/>
          <w:color w:val="auto"/>
        </w:rPr>
      </w:pPr>
      <w:r>
        <w:rPr>
          <w:rFonts w:ascii="Arial" w:cs="Arial" w:eastAsia="Arial" w:hAnsi="Arial"/>
          <w:sz w:val="17"/>
          <w:szCs w:val="17"/>
          <w:color w:val="auto"/>
        </w:rPr>
        <w:t>Any unauthorized or inadvertent access to, or an actual or perceived security breach of, our systems or networks could result in an actual or perceived loss of, or unauthorized access to, our data or our users’ content, regulatory investigations and orders, litigation, indemnity obligations, damages, penalties, fines, and other costs in connection with actual and alleged contractual breaches, violations of applicable laws and regulations, and other liabilities. Any such incident could also materially damage our reputation and harm our business, results of operations, and financial condition, including reducing our revenue, causing us to issue credits to users, negatively impacting our ability to accept and process user payment information, eroding our users’ trust in our services and payment solutions, subjecting us to costly user notification or remediation, harming our ability to retain users, harming our brand, or increasing our cost of acquiring new users. We maintain errors, omissions, and cyber liability insurance policies covering certain security and privacy damages. However, we cannot be certain that our coverage will be adequate for liabilities actually incurred or that insurance will continue to be available to us on economically reasonable terms, or at all. Further, if a high profile security breach occurs with respect to another content collaboration solutions provider, our users and potential users could lose trust in the security of content collaboration solutions providers generally, which could adversely impact our ability to retain users or attract new ones.</w:t>
      </w:r>
    </w:p>
    <w:p>
      <w:pPr>
        <w:spacing w:after="0" w:line="29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business could be harmed by any significant disruption of service on our platform or loss of content.</w:t>
      </w:r>
    </w:p>
    <w:p>
      <w:pPr>
        <w:spacing w:after="0" w:line="117" w:lineRule="exact"/>
        <w:rPr>
          <w:sz w:val="20"/>
          <w:szCs w:val="20"/>
          <w:color w:val="auto"/>
        </w:rPr>
      </w:pPr>
    </w:p>
    <w:p>
      <w:pPr>
        <w:ind w:right="100" w:firstLine="449"/>
        <w:spacing w:after="0" w:line="275" w:lineRule="auto"/>
        <w:rPr>
          <w:sz w:val="20"/>
          <w:szCs w:val="20"/>
          <w:color w:val="auto"/>
        </w:rPr>
      </w:pPr>
      <w:r>
        <w:rPr>
          <w:rFonts w:ascii="Arial" w:cs="Arial" w:eastAsia="Arial" w:hAnsi="Arial"/>
          <w:sz w:val="17"/>
          <w:szCs w:val="17"/>
          <w:color w:val="auto"/>
        </w:rPr>
        <w:t>Our brand, reputation, and ability to attract, retain, and serve our users are dependent upon the reliable performance of our platform, including our underlying technical infrastructure. Our users rely on our platform to store digital copies of their valuable content, including financial records, business information, documents, photos, and other important content. Our technical infrastructure may not be adequately designed with sufficient reliability and redundancy to avoid performance delays or outages that could be harmful to our business. If our platform is unavailable when users attempt to access it, or if it does not load as quickly as they expect, users may not use our platform as often in the future, or at all.</w:t>
      </w:r>
    </w:p>
    <w:p>
      <w:pPr>
        <w:spacing w:after="0" w:line="176" w:lineRule="exact"/>
        <w:rPr>
          <w:sz w:val="20"/>
          <w:szCs w:val="20"/>
          <w:color w:val="auto"/>
        </w:rPr>
      </w:pPr>
    </w:p>
    <w:p>
      <w:pPr>
        <w:ind w:right="40" w:firstLine="449"/>
        <w:spacing w:after="0" w:line="259" w:lineRule="auto"/>
        <w:rPr>
          <w:sz w:val="20"/>
          <w:szCs w:val="20"/>
          <w:color w:val="auto"/>
        </w:rPr>
      </w:pPr>
      <w:r>
        <w:rPr>
          <w:rFonts w:ascii="Arial" w:cs="Arial" w:eastAsia="Arial" w:hAnsi="Arial"/>
          <w:sz w:val="18"/>
          <w:szCs w:val="18"/>
          <w:color w:val="auto"/>
        </w:rPr>
        <w:t>As our user base and the amount and types of information stored, synced, and shared on our platform continues to grow, we will need an increasing amount of technical infrastructure, including network capacity and computing power, to continue to satisfy the needs of our users. During 2015 and 2016, we migrated the vast majority of user content to our own custom-built infrastructure in co-location facilities. As we add to our infrastructure, we may move or transfer additional content.</w:t>
      </w:r>
    </w:p>
    <w:p>
      <w:pPr>
        <w:spacing w:after="0" w:line="187" w:lineRule="exact"/>
        <w:rPr>
          <w:sz w:val="20"/>
          <w:szCs w:val="20"/>
          <w:color w:val="auto"/>
        </w:rPr>
      </w:pPr>
    </w:p>
    <w:p>
      <w:pPr>
        <w:ind w:right="500" w:firstLine="449"/>
        <w:spacing w:after="0" w:line="277" w:lineRule="auto"/>
        <w:rPr>
          <w:sz w:val="20"/>
          <w:szCs w:val="20"/>
          <w:color w:val="auto"/>
        </w:rPr>
      </w:pPr>
      <w:r>
        <w:rPr>
          <w:rFonts w:ascii="Arial" w:cs="Arial" w:eastAsia="Arial" w:hAnsi="Arial"/>
          <w:sz w:val="18"/>
          <w:szCs w:val="18"/>
          <w:color w:val="auto"/>
        </w:rPr>
        <w:t>Further, as we continue to grow and scale our business to meet the needs of our users, we may overestimate or underestimate our infrastructure capacity requirements, which could adversely affect our results of operations.</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240"/>
          </w:cols>
          <w:pgMar w:left="320" w:top="459" w:right="339"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right="20"/>
        <w:spacing w:after="0" w:line="296" w:lineRule="auto"/>
        <w:rPr>
          <w:sz w:val="20"/>
          <w:szCs w:val="20"/>
          <w:color w:val="auto"/>
        </w:rPr>
      </w:pPr>
      <w:r>
        <w:rPr>
          <w:rFonts w:ascii="Arial" w:cs="Arial" w:eastAsia="Arial" w:hAnsi="Arial"/>
          <w:sz w:val="16"/>
          <w:szCs w:val="16"/>
          <w:color w:val="auto"/>
        </w:rPr>
        <w:t>The costs associated with leasing and maintaining our custom-built infrastructure in co-location facilities and third-party datacenters already constitute a significant portion of our capital and operating expenses. We continuously evaluate our short- and long-term infrastructure capacity requirements to ensure adequate capacity for new and existing users while minimizing unnecessary excess capacity costs. If we overestimate the demand for our platform and therefore secure excess infrastructure capacity, our operating margins could be reduced. If we underestimate our infrastructure capacity requirements, we may not be able to service the expanding needs of new and existing users, and our hosting facilities, network, or systems may fail.</w:t>
      </w:r>
    </w:p>
    <w:p>
      <w:pPr>
        <w:spacing w:after="0" w:line="161" w:lineRule="exact"/>
        <w:rPr>
          <w:sz w:val="20"/>
          <w:szCs w:val="20"/>
          <w:color w:val="auto"/>
        </w:rPr>
      </w:pPr>
    </w:p>
    <w:p>
      <w:pPr>
        <w:ind w:right="200" w:firstLine="449"/>
        <w:spacing w:after="0" w:line="296" w:lineRule="auto"/>
        <w:rPr>
          <w:sz w:val="20"/>
          <w:szCs w:val="20"/>
          <w:color w:val="auto"/>
        </w:rPr>
      </w:pPr>
      <w:r>
        <w:rPr>
          <w:rFonts w:ascii="Arial" w:cs="Arial" w:eastAsia="Arial" w:hAnsi="Arial"/>
          <w:sz w:val="16"/>
          <w:szCs w:val="16"/>
          <w:color w:val="auto"/>
        </w:rPr>
        <w:t>In addition, the datacenters that we use are vulnerable to damage or interruption from human error, intentional bad acts, earthquakes, floods, fires, war, terrorist attacks, power losses, hardware failures, systems failures, telecommunications failures, and similar events, any of which could disrupt our service, destroy user content, or prevent us from being able to continuously back up or record changes in our users’ content. In the event of significant physical damage to one of these datacenters, it may take a significant period of time to achieve full resumption of our services, and our disaster recovery planning may not account for all eventualities. Damage or interruptions to these datacenters could harm our platform and business.</w:t>
      </w:r>
    </w:p>
    <w:p>
      <w:pPr>
        <w:spacing w:after="0" w:line="269" w:lineRule="exact"/>
        <w:rPr>
          <w:sz w:val="20"/>
          <w:szCs w:val="20"/>
          <w:color w:val="auto"/>
        </w:rPr>
      </w:pPr>
    </w:p>
    <w:p>
      <w:pPr>
        <w:jc w:val="both"/>
        <w:ind w:right="60"/>
        <w:spacing w:after="0" w:line="277" w:lineRule="auto"/>
        <w:rPr>
          <w:sz w:val="20"/>
          <w:szCs w:val="20"/>
          <w:color w:val="auto"/>
        </w:rPr>
      </w:pPr>
      <w:r>
        <w:rPr>
          <w:rFonts w:ascii="Arial" w:cs="Arial" w:eastAsia="Arial" w:hAnsi="Arial"/>
          <w:sz w:val="18"/>
          <w:szCs w:val="18"/>
          <w:b w:val="1"/>
          <w:bCs w:val="1"/>
          <w:i w:val="1"/>
          <w:iCs w:val="1"/>
          <w:color w:val="auto"/>
        </w:rPr>
        <w:t>We generate revenue from sales of subscriptions to our platform, and any decline in demand for our platform or for content collaboration solutions in general could negatively impact our business.</w:t>
      </w:r>
    </w:p>
    <w:p>
      <w:pPr>
        <w:spacing w:after="0" w:line="62" w:lineRule="exact"/>
        <w:rPr>
          <w:sz w:val="20"/>
          <w:szCs w:val="20"/>
          <w:color w:val="auto"/>
        </w:rPr>
      </w:pPr>
    </w:p>
    <w:p>
      <w:pPr>
        <w:jc w:val="both"/>
        <w:ind w:right="60" w:firstLine="449"/>
        <w:spacing w:after="0" w:line="286" w:lineRule="auto"/>
        <w:rPr>
          <w:sz w:val="20"/>
          <w:szCs w:val="20"/>
          <w:color w:val="auto"/>
        </w:rPr>
      </w:pPr>
      <w:r>
        <w:rPr>
          <w:rFonts w:ascii="Arial" w:cs="Arial" w:eastAsia="Arial" w:hAnsi="Arial"/>
          <w:sz w:val="17"/>
          <w:szCs w:val="17"/>
          <w:color w:val="auto"/>
        </w:rPr>
        <w:t>We generate, and expect to continue to generate, revenue from the sale of subscriptions to our platform. As a result, widespread acceptance and use of content collaboration solutions in general, and our platform in particular, is critical to our future growth and success. If the content collaboration market fails to grow or grows more slowly than we currently anticipate, demand for our platform could be negatively affected.</w:t>
      </w:r>
    </w:p>
    <w:p>
      <w:pPr>
        <w:spacing w:after="0" w:line="165" w:lineRule="exact"/>
        <w:rPr>
          <w:sz w:val="20"/>
          <w:szCs w:val="20"/>
          <w:color w:val="auto"/>
        </w:rPr>
      </w:pPr>
    </w:p>
    <w:p>
      <w:pPr>
        <w:ind w:firstLine="449"/>
        <w:spacing w:after="0" w:line="263" w:lineRule="auto"/>
        <w:rPr>
          <w:sz w:val="20"/>
          <w:szCs w:val="20"/>
          <w:color w:val="auto"/>
        </w:rPr>
      </w:pPr>
      <w:r>
        <w:rPr>
          <w:rFonts w:ascii="Arial" w:cs="Arial" w:eastAsia="Arial" w:hAnsi="Arial"/>
          <w:sz w:val="18"/>
          <w:szCs w:val="18"/>
          <w:color w:val="auto"/>
        </w:rPr>
        <w:t>Changes in user preferences for content collaboration may have a disproportionately greater impact on us than if we offered multiple platforms or disparate products. Demand for content collaboration solutions in general, and our platform in particular, is affected by a number of factors, many of which are beyond our control. Some of these potential factors include:</w:t>
      </w:r>
    </w:p>
    <w:p>
      <w:pPr>
        <w:spacing w:after="0" w:line="89" w:lineRule="exact"/>
        <w:rPr>
          <w:sz w:val="20"/>
          <w:szCs w:val="20"/>
          <w:color w:val="auto"/>
        </w:rPr>
      </w:pPr>
    </w:p>
    <w:p>
      <w:pPr>
        <w:ind w:left="880" w:hanging="319"/>
        <w:spacing w:after="0"/>
        <w:tabs>
          <w:tab w:leader="none" w:pos="8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awareness of the content collaboration category generally;</w:t>
      </w:r>
    </w:p>
    <w:p>
      <w:pPr>
        <w:spacing w:after="0" w:line="130" w:lineRule="exact"/>
        <w:rPr>
          <w:rFonts w:ascii="Arial" w:cs="Arial" w:eastAsia="Arial" w:hAnsi="Arial"/>
          <w:sz w:val="18"/>
          <w:szCs w:val="18"/>
          <w:color w:val="auto"/>
        </w:rPr>
      </w:pPr>
    </w:p>
    <w:p>
      <w:pPr>
        <w:ind w:left="880" w:hanging="319"/>
        <w:spacing w:after="0"/>
        <w:tabs>
          <w:tab w:leader="none" w:pos="8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availability of products and services that compete with ours;</w:t>
      </w:r>
    </w:p>
    <w:p>
      <w:pPr>
        <w:spacing w:after="0" w:line="130" w:lineRule="exact"/>
        <w:rPr>
          <w:rFonts w:ascii="Arial" w:cs="Arial" w:eastAsia="Arial" w:hAnsi="Arial"/>
          <w:sz w:val="18"/>
          <w:szCs w:val="18"/>
          <w:color w:val="auto"/>
        </w:rPr>
      </w:pPr>
    </w:p>
    <w:p>
      <w:pPr>
        <w:ind w:left="880" w:hanging="319"/>
        <w:spacing w:after="0"/>
        <w:tabs>
          <w:tab w:leader="none" w:pos="8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ease of adoption and use;</w:t>
      </w:r>
    </w:p>
    <w:p>
      <w:pPr>
        <w:spacing w:after="0" w:line="130" w:lineRule="exact"/>
        <w:rPr>
          <w:rFonts w:ascii="Arial" w:cs="Arial" w:eastAsia="Arial" w:hAnsi="Arial"/>
          <w:sz w:val="18"/>
          <w:szCs w:val="18"/>
          <w:color w:val="auto"/>
        </w:rPr>
      </w:pPr>
    </w:p>
    <w:p>
      <w:pPr>
        <w:ind w:left="880" w:hanging="319"/>
        <w:spacing w:after="0"/>
        <w:tabs>
          <w:tab w:leader="none" w:pos="8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features and platform experience;</w:t>
      </w:r>
    </w:p>
    <w:p>
      <w:pPr>
        <w:spacing w:after="0" w:line="130" w:lineRule="exact"/>
        <w:rPr>
          <w:rFonts w:ascii="Arial" w:cs="Arial" w:eastAsia="Arial" w:hAnsi="Arial"/>
          <w:sz w:val="18"/>
          <w:szCs w:val="18"/>
          <w:color w:val="auto"/>
        </w:rPr>
      </w:pPr>
    </w:p>
    <w:p>
      <w:pPr>
        <w:ind w:left="880" w:hanging="319"/>
        <w:spacing w:after="0"/>
        <w:tabs>
          <w:tab w:leader="none" w:pos="8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performance;</w:t>
      </w:r>
    </w:p>
    <w:p>
      <w:pPr>
        <w:spacing w:after="0" w:line="130" w:lineRule="exact"/>
        <w:rPr>
          <w:rFonts w:ascii="Arial" w:cs="Arial" w:eastAsia="Arial" w:hAnsi="Arial"/>
          <w:sz w:val="18"/>
          <w:szCs w:val="18"/>
          <w:color w:val="auto"/>
        </w:rPr>
      </w:pPr>
    </w:p>
    <w:p>
      <w:pPr>
        <w:ind w:left="880" w:hanging="319"/>
        <w:spacing w:after="0"/>
        <w:tabs>
          <w:tab w:leader="none" w:pos="8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brand;</w:t>
      </w:r>
    </w:p>
    <w:p>
      <w:pPr>
        <w:spacing w:after="0" w:line="130" w:lineRule="exact"/>
        <w:rPr>
          <w:rFonts w:ascii="Arial" w:cs="Arial" w:eastAsia="Arial" w:hAnsi="Arial"/>
          <w:sz w:val="18"/>
          <w:szCs w:val="18"/>
          <w:color w:val="auto"/>
        </w:rPr>
      </w:pPr>
    </w:p>
    <w:p>
      <w:pPr>
        <w:ind w:left="880" w:hanging="319"/>
        <w:spacing w:after="0"/>
        <w:tabs>
          <w:tab w:leader="none" w:pos="8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security and privacy;</w:t>
      </w:r>
    </w:p>
    <w:p>
      <w:pPr>
        <w:spacing w:after="0" w:line="130" w:lineRule="exact"/>
        <w:rPr>
          <w:rFonts w:ascii="Arial" w:cs="Arial" w:eastAsia="Arial" w:hAnsi="Arial"/>
          <w:sz w:val="18"/>
          <w:szCs w:val="18"/>
          <w:color w:val="auto"/>
        </w:rPr>
      </w:pPr>
    </w:p>
    <w:p>
      <w:pPr>
        <w:ind w:left="880" w:hanging="319"/>
        <w:spacing w:after="0"/>
        <w:tabs>
          <w:tab w:leader="none" w:pos="8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customer support; and</w:t>
      </w:r>
    </w:p>
    <w:p>
      <w:pPr>
        <w:spacing w:after="0" w:line="130" w:lineRule="exact"/>
        <w:rPr>
          <w:rFonts w:ascii="Arial" w:cs="Arial" w:eastAsia="Arial" w:hAnsi="Arial"/>
          <w:sz w:val="18"/>
          <w:szCs w:val="18"/>
          <w:color w:val="auto"/>
        </w:rPr>
      </w:pPr>
    </w:p>
    <w:p>
      <w:pPr>
        <w:ind w:left="880" w:hanging="319"/>
        <w:spacing w:after="0"/>
        <w:tabs>
          <w:tab w:leader="none" w:pos="8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pricing.</w:t>
      </w:r>
    </w:p>
    <w:p>
      <w:pPr>
        <w:spacing w:after="0" w:line="225" w:lineRule="exact"/>
        <w:rPr>
          <w:sz w:val="20"/>
          <w:szCs w:val="20"/>
          <w:color w:val="auto"/>
        </w:rPr>
      </w:pPr>
    </w:p>
    <w:p>
      <w:pPr>
        <w:ind w:right="60" w:firstLine="449"/>
        <w:spacing w:after="0" w:line="263" w:lineRule="auto"/>
        <w:rPr>
          <w:sz w:val="20"/>
          <w:szCs w:val="20"/>
          <w:color w:val="auto"/>
        </w:rPr>
      </w:pPr>
      <w:r>
        <w:rPr>
          <w:rFonts w:ascii="Arial" w:cs="Arial" w:eastAsia="Arial" w:hAnsi="Arial"/>
          <w:sz w:val="18"/>
          <w:szCs w:val="18"/>
          <w:color w:val="auto"/>
        </w:rPr>
        <w:t>The content collaboration market is subject to rapidly changing user demand and trends in preferences. If we fail to successfully predict and address these changes and trends, meet user demands, or achieve more widespread market acceptance of our platform, our business, results of operations, and financial condition could be harmed.</w:t>
      </w:r>
    </w:p>
    <w:p>
      <w:pPr>
        <w:spacing w:after="0" w:line="292"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Our business depends upon the interoperability of our platform across devices, operating systems, and third-party applications that we do not control.</w:t>
      </w:r>
    </w:p>
    <w:p>
      <w:pPr>
        <w:spacing w:after="0" w:line="152" w:lineRule="exact"/>
        <w:rPr>
          <w:sz w:val="20"/>
          <w:szCs w:val="20"/>
          <w:color w:val="auto"/>
        </w:rPr>
      </w:pPr>
    </w:p>
    <w:p>
      <w:pPr>
        <w:ind w:right="240" w:firstLine="449"/>
        <w:spacing w:after="0" w:line="277" w:lineRule="auto"/>
        <w:rPr>
          <w:sz w:val="20"/>
          <w:szCs w:val="20"/>
          <w:color w:val="auto"/>
        </w:rPr>
      </w:pPr>
      <w:r>
        <w:rPr>
          <w:rFonts w:ascii="Arial" w:cs="Arial" w:eastAsia="Arial" w:hAnsi="Arial"/>
          <w:sz w:val="18"/>
          <w:szCs w:val="18"/>
          <w:color w:val="auto"/>
        </w:rPr>
        <w:t>One of the most important features of our platform is its broad interoperability with a range of diverse devices, operating systems, and third-party applications. Our platform is accessible from the web and from</w:t>
      </w:r>
    </w:p>
    <w:p>
      <w:pPr>
        <w:spacing w:after="0" w:line="10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180"/>
          </w:cols>
          <w:pgMar w:left="320" w:top="459" w:right="399"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right="140"/>
        <w:spacing w:after="0" w:line="291" w:lineRule="auto"/>
        <w:rPr>
          <w:sz w:val="20"/>
          <w:szCs w:val="20"/>
          <w:color w:val="auto"/>
        </w:rPr>
      </w:pPr>
      <w:r>
        <w:rPr>
          <w:rFonts w:ascii="Arial" w:cs="Arial" w:eastAsia="Arial" w:hAnsi="Arial"/>
          <w:sz w:val="16"/>
          <w:szCs w:val="16"/>
          <w:color w:val="auto"/>
        </w:rPr>
        <w:t>devices running Windows, Mac OS, iOS, Android, WindowsMobile, and Linux. We also have integrations with Microsoft, Adobe, Apple, Salesforce, Atlassian, Slack, IBM, Cisco, VMware, Okta, Symantec, Palo Alto Networks, and a variety of other productivity, collaboration, data management, and security vendors. We are dependent on the accessibility of our platform across these third-party operating systems and applications that we do not control. Several of our competitors own, develop, operate, or distribute operating systems, app stores, third-party datacenter services, and other software, and also have material business relationships with companies that own, develop, operate, or distribute operating systems, applications markets, third-party datacenter services, and other software that our platform requires in order to operate. Moreover, some of these competitors have inherent advantages developing products and services that more tightly integrate with their software and hardware platforms or those of their business partners.</w:t>
      </w:r>
    </w:p>
    <w:p>
      <w:pPr>
        <w:spacing w:after="0" w:line="166" w:lineRule="exact"/>
        <w:rPr>
          <w:sz w:val="20"/>
          <w:szCs w:val="20"/>
          <w:color w:val="auto"/>
        </w:rPr>
      </w:pPr>
    </w:p>
    <w:p>
      <w:pPr>
        <w:ind w:firstLine="449"/>
        <w:spacing w:after="0" w:line="271" w:lineRule="auto"/>
        <w:rPr>
          <w:sz w:val="20"/>
          <w:szCs w:val="20"/>
          <w:color w:val="auto"/>
        </w:rPr>
      </w:pPr>
      <w:r>
        <w:rPr>
          <w:rFonts w:ascii="Arial" w:cs="Arial" w:eastAsia="Arial" w:hAnsi="Arial"/>
          <w:sz w:val="17"/>
          <w:szCs w:val="17"/>
          <w:color w:val="auto"/>
        </w:rPr>
        <w:t>Third-party services and products are constantly evolving, and we may not be able to modify our platform to assure its compatibility with that of other third parties following development changes. In addition, some of our competitors may be able to disrupt the operations or compatibility of our platform with their products or services, or exert strong business influence on our ability to, and terms on which we, operate and distribute our platform. For example, we currently offer products that directly compete with several large technology companies that we rely on to ensure the interoperability of our platform with their products or services. As our respective products evolve, we expect this level of competition to increase. Should any of our competitors modify their products or standards in a manner that degrades the functionality of our platform or gives preferential treatment to competitive products or services, whether to enhance their competitive position or for any other reason, the interoperability of our platform with these products could decrease and our business, results of operations, and financial condition could be harmed.</w:t>
      </w:r>
    </w:p>
    <w:p>
      <w:pPr>
        <w:spacing w:after="0" w:line="2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operate in competitive markets, and we must continue to compete effectively.</w:t>
      </w:r>
    </w:p>
    <w:p>
      <w:pPr>
        <w:spacing w:after="0" w:line="117" w:lineRule="exact"/>
        <w:rPr>
          <w:sz w:val="20"/>
          <w:szCs w:val="20"/>
          <w:color w:val="auto"/>
        </w:rPr>
      </w:pPr>
    </w:p>
    <w:p>
      <w:pPr>
        <w:ind w:right="180" w:firstLine="449"/>
        <w:spacing w:after="0" w:line="257" w:lineRule="auto"/>
        <w:rPr>
          <w:sz w:val="20"/>
          <w:szCs w:val="20"/>
          <w:color w:val="auto"/>
        </w:rPr>
      </w:pPr>
      <w:r>
        <w:rPr>
          <w:rFonts w:ascii="Arial" w:cs="Arial" w:eastAsia="Arial" w:hAnsi="Arial"/>
          <w:sz w:val="18"/>
          <w:szCs w:val="18"/>
          <w:color w:val="auto"/>
        </w:rPr>
        <w:t>The market for content collaboration platforms is competitive and rapidly changing. Certain features of our platform compete in the cloud storage market with products offered by Amazon, Apple, Google, and Microsoft, and in the content collaboration market with products offered by Atlassian, Google, and Microsoft. We compete with Box on a more limited basis in the cloud storage market for deployments by large enterprises. We also compete with smaller private companies that offer point solutions in the cloud storage market or the content collaboration market. We believe the principal competitive factors in our markets include the following:</w:t>
      </w:r>
    </w:p>
    <w:p>
      <w:pPr>
        <w:spacing w:after="0" w:line="93" w:lineRule="exact"/>
        <w:rPr>
          <w:sz w:val="20"/>
          <w:szCs w:val="20"/>
          <w:color w:val="auto"/>
        </w:rPr>
      </w:pPr>
    </w:p>
    <w:p>
      <w:pPr>
        <w:ind w:left="880" w:hanging="319"/>
        <w:spacing w:after="0"/>
        <w:tabs>
          <w:tab w:leader="none" w:pos="8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user-centric design;</w:t>
      </w:r>
    </w:p>
    <w:p>
      <w:pPr>
        <w:spacing w:after="0" w:line="130" w:lineRule="exact"/>
        <w:rPr>
          <w:rFonts w:ascii="Arial" w:cs="Arial" w:eastAsia="Arial" w:hAnsi="Arial"/>
          <w:sz w:val="18"/>
          <w:szCs w:val="18"/>
          <w:color w:val="auto"/>
        </w:rPr>
      </w:pPr>
    </w:p>
    <w:p>
      <w:pPr>
        <w:ind w:left="880" w:hanging="319"/>
        <w:spacing w:after="0"/>
        <w:tabs>
          <w:tab w:leader="none" w:pos="8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ease of adoption and use;</w:t>
      </w:r>
    </w:p>
    <w:p>
      <w:pPr>
        <w:spacing w:after="0" w:line="130" w:lineRule="exact"/>
        <w:rPr>
          <w:rFonts w:ascii="Arial" w:cs="Arial" w:eastAsia="Arial" w:hAnsi="Arial"/>
          <w:sz w:val="18"/>
          <w:szCs w:val="18"/>
          <w:color w:val="auto"/>
        </w:rPr>
      </w:pPr>
    </w:p>
    <w:p>
      <w:pPr>
        <w:ind w:left="880" w:hanging="319"/>
        <w:spacing w:after="0"/>
        <w:tabs>
          <w:tab w:leader="none" w:pos="8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scale of user network;</w:t>
      </w:r>
    </w:p>
    <w:p>
      <w:pPr>
        <w:spacing w:after="0" w:line="130" w:lineRule="exact"/>
        <w:rPr>
          <w:rFonts w:ascii="Arial" w:cs="Arial" w:eastAsia="Arial" w:hAnsi="Arial"/>
          <w:sz w:val="18"/>
          <w:szCs w:val="18"/>
          <w:color w:val="auto"/>
        </w:rPr>
      </w:pPr>
    </w:p>
    <w:p>
      <w:pPr>
        <w:ind w:left="880" w:hanging="319"/>
        <w:spacing w:after="0"/>
        <w:tabs>
          <w:tab w:leader="none" w:pos="8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features and platform experience;</w:t>
      </w:r>
    </w:p>
    <w:p>
      <w:pPr>
        <w:spacing w:after="0" w:line="130" w:lineRule="exact"/>
        <w:rPr>
          <w:rFonts w:ascii="Arial" w:cs="Arial" w:eastAsia="Arial" w:hAnsi="Arial"/>
          <w:sz w:val="18"/>
          <w:szCs w:val="18"/>
          <w:color w:val="auto"/>
        </w:rPr>
      </w:pPr>
    </w:p>
    <w:p>
      <w:pPr>
        <w:ind w:left="880" w:hanging="319"/>
        <w:spacing w:after="0"/>
        <w:tabs>
          <w:tab w:leader="none" w:pos="8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performance;</w:t>
      </w:r>
    </w:p>
    <w:p>
      <w:pPr>
        <w:spacing w:after="0" w:line="130" w:lineRule="exact"/>
        <w:rPr>
          <w:rFonts w:ascii="Arial" w:cs="Arial" w:eastAsia="Arial" w:hAnsi="Arial"/>
          <w:sz w:val="18"/>
          <w:szCs w:val="18"/>
          <w:color w:val="auto"/>
        </w:rPr>
      </w:pPr>
    </w:p>
    <w:p>
      <w:pPr>
        <w:ind w:left="880" w:hanging="319"/>
        <w:spacing w:after="0"/>
        <w:tabs>
          <w:tab w:leader="none" w:pos="8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brand;</w:t>
      </w:r>
    </w:p>
    <w:p>
      <w:pPr>
        <w:spacing w:after="0" w:line="130" w:lineRule="exact"/>
        <w:rPr>
          <w:rFonts w:ascii="Arial" w:cs="Arial" w:eastAsia="Arial" w:hAnsi="Arial"/>
          <w:sz w:val="18"/>
          <w:szCs w:val="18"/>
          <w:color w:val="auto"/>
        </w:rPr>
      </w:pPr>
    </w:p>
    <w:p>
      <w:pPr>
        <w:ind w:left="880" w:hanging="319"/>
        <w:spacing w:after="0"/>
        <w:tabs>
          <w:tab w:leader="none" w:pos="8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security and privacy;</w:t>
      </w:r>
    </w:p>
    <w:p>
      <w:pPr>
        <w:spacing w:after="0" w:line="130" w:lineRule="exact"/>
        <w:rPr>
          <w:rFonts w:ascii="Arial" w:cs="Arial" w:eastAsia="Arial" w:hAnsi="Arial"/>
          <w:sz w:val="18"/>
          <w:szCs w:val="18"/>
          <w:color w:val="auto"/>
        </w:rPr>
      </w:pPr>
    </w:p>
    <w:p>
      <w:pPr>
        <w:ind w:left="880" w:hanging="319"/>
        <w:spacing w:after="0"/>
        <w:tabs>
          <w:tab w:leader="none" w:pos="8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accessibility across several devices, operating systems, and applications;</w:t>
      </w:r>
    </w:p>
    <w:p>
      <w:pPr>
        <w:spacing w:after="0" w:line="130" w:lineRule="exact"/>
        <w:rPr>
          <w:rFonts w:ascii="Arial" w:cs="Arial" w:eastAsia="Arial" w:hAnsi="Arial"/>
          <w:sz w:val="18"/>
          <w:szCs w:val="18"/>
          <w:color w:val="auto"/>
        </w:rPr>
      </w:pPr>
    </w:p>
    <w:p>
      <w:pPr>
        <w:ind w:left="880" w:hanging="319"/>
        <w:spacing w:after="0"/>
        <w:tabs>
          <w:tab w:leader="none" w:pos="8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third-party integration;</w:t>
      </w:r>
    </w:p>
    <w:p>
      <w:pPr>
        <w:spacing w:after="0" w:line="130" w:lineRule="exact"/>
        <w:rPr>
          <w:rFonts w:ascii="Arial" w:cs="Arial" w:eastAsia="Arial" w:hAnsi="Arial"/>
          <w:sz w:val="18"/>
          <w:szCs w:val="18"/>
          <w:color w:val="auto"/>
        </w:rPr>
      </w:pPr>
    </w:p>
    <w:p>
      <w:pPr>
        <w:ind w:left="880" w:hanging="319"/>
        <w:spacing w:after="0"/>
        <w:tabs>
          <w:tab w:leader="none" w:pos="8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customer support;</w:t>
      </w:r>
    </w:p>
    <w:p>
      <w:pPr>
        <w:spacing w:after="0" w:line="130" w:lineRule="exact"/>
        <w:rPr>
          <w:rFonts w:ascii="Arial" w:cs="Arial" w:eastAsia="Arial" w:hAnsi="Arial"/>
          <w:sz w:val="18"/>
          <w:szCs w:val="18"/>
          <w:color w:val="auto"/>
        </w:rPr>
      </w:pPr>
    </w:p>
    <w:p>
      <w:pPr>
        <w:ind w:left="880" w:hanging="319"/>
        <w:spacing w:after="0"/>
        <w:tabs>
          <w:tab w:leader="none" w:pos="8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continued innovation; and</w:t>
      </w:r>
    </w:p>
    <w:p>
      <w:pPr>
        <w:spacing w:after="0" w:line="130" w:lineRule="exact"/>
        <w:rPr>
          <w:rFonts w:ascii="Arial" w:cs="Arial" w:eastAsia="Arial" w:hAnsi="Arial"/>
          <w:sz w:val="18"/>
          <w:szCs w:val="18"/>
          <w:color w:val="auto"/>
        </w:rPr>
      </w:pPr>
    </w:p>
    <w:p>
      <w:pPr>
        <w:ind w:left="880" w:hanging="319"/>
        <w:spacing w:after="0"/>
        <w:tabs>
          <w:tab w:leader="none" w:pos="8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pricing.</w:t>
      </w:r>
    </w:p>
    <w:p>
      <w:pPr>
        <w:spacing w:after="0" w:line="225" w:lineRule="exact"/>
        <w:rPr>
          <w:sz w:val="20"/>
          <w:szCs w:val="20"/>
          <w:color w:val="auto"/>
        </w:rPr>
      </w:pPr>
    </w:p>
    <w:p>
      <w:pPr>
        <w:ind w:right="320" w:firstLine="449"/>
        <w:spacing w:after="0" w:line="277" w:lineRule="auto"/>
        <w:rPr>
          <w:sz w:val="20"/>
          <w:szCs w:val="20"/>
          <w:color w:val="auto"/>
        </w:rPr>
      </w:pPr>
      <w:r>
        <w:rPr>
          <w:rFonts w:ascii="Arial" w:cs="Arial" w:eastAsia="Arial" w:hAnsi="Arial"/>
          <w:sz w:val="18"/>
          <w:szCs w:val="18"/>
          <w:color w:val="auto"/>
        </w:rPr>
        <w:t>With the introduction of new technologies and market entrants, we expect competition to intensify in the future. Many of our actual and potential competitors benefit from competitive advantages over us, such as greater</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220"/>
          </w:cols>
          <w:pgMar w:left="320" w:top="459" w:right="359" w:bottom="1440" w:gutter="0" w:footer="0" w:header="0"/>
        </w:sectPr>
      </w:pPr>
    </w:p>
    <w:bookmarkStart w:id="22" w:name="page23"/>
    <w:bookmarkEnd w:id="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name recognition, longer operating histories, more varied products and services, larger marketing budgets, more established marketing relationships, access to larger user bases, major distribution agreements with hardware manufacturers and resellers, and greater financial, technical, and other resources. Some of our competitors may make acquisitions or enter into strategic relationships to offer a broader range of products and services than we do. These combinations may make it more difficult for us to compete effectively. We expect these trends to continue as competitors attempt to strengthen or maintain their market positions.</w:t>
      </w:r>
    </w:p>
    <w:p>
      <w:pPr>
        <w:spacing w:after="0" w:line="188" w:lineRule="exact"/>
        <w:rPr>
          <w:sz w:val="20"/>
          <w:szCs w:val="20"/>
          <w:color w:val="auto"/>
        </w:rPr>
      </w:pPr>
    </w:p>
    <w:p>
      <w:pPr>
        <w:ind w:right="60" w:firstLine="449"/>
        <w:spacing w:after="0" w:line="293" w:lineRule="auto"/>
        <w:rPr>
          <w:sz w:val="20"/>
          <w:szCs w:val="20"/>
          <w:color w:val="auto"/>
        </w:rPr>
      </w:pPr>
      <w:r>
        <w:rPr>
          <w:rFonts w:ascii="Arial" w:cs="Arial" w:eastAsia="Arial" w:hAnsi="Arial"/>
          <w:sz w:val="16"/>
          <w:szCs w:val="16"/>
          <w:color w:val="auto"/>
        </w:rPr>
        <w:t>Demand for our platform is also sensitive to price. Many factors, including our marketing, user acquisition and technology costs, and our current and future competitors’ pricing and marketing strategies, can significantly affect our pricing strategies. Certain of our competitors offer, or may in the future offer, lower-priced or free products or services that compete with our platform or may bundle and offer a broader range of products and services. Similarly, certain competitors may use marketing strategies that enable them to acquire users at a lower cost than us. There can be no assurance that we will not be forced to engage in price-cutting initiatives or to increase our marketing and other expenses to attract and retain users in response to competitive pressures, either of which could materially and adversely affect our business, results of operations, and financial condition.</w:t>
      </w:r>
    </w:p>
    <w:p>
      <w:pPr>
        <w:spacing w:after="0" w:line="27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not be able to respond to rapid technological changes, extend our platform, or develop new features.</w:t>
      </w:r>
    </w:p>
    <w:p>
      <w:pPr>
        <w:spacing w:after="0" w:line="117" w:lineRule="exact"/>
        <w:rPr>
          <w:sz w:val="20"/>
          <w:szCs w:val="20"/>
          <w:color w:val="auto"/>
        </w:rPr>
      </w:pPr>
    </w:p>
    <w:p>
      <w:pPr>
        <w:ind w:right="220" w:firstLine="449"/>
        <w:spacing w:after="0" w:line="289" w:lineRule="auto"/>
        <w:rPr>
          <w:sz w:val="20"/>
          <w:szCs w:val="20"/>
          <w:color w:val="auto"/>
        </w:rPr>
      </w:pPr>
      <w:r>
        <w:rPr>
          <w:rFonts w:ascii="Arial" w:cs="Arial" w:eastAsia="Arial" w:hAnsi="Arial"/>
          <w:sz w:val="16"/>
          <w:szCs w:val="16"/>
          <w:color w:val="auto"/>
        </w:rPr>
        <w:t>The content collaboration market is characterized by rapid technological change and frequent new product and service introductions. Our ability to grow our user base and increase revenue from existing users will depend heavily on our ability to enhance and improve our platform, introduce new features and products, and interoperate across an increasing range of devices, operating systems, and third-party applications. Users may require features and capabilities that our current platform does not have. We invest significantly in research and development, and our goal is to focus our spending on measures that improve quality and ease of adoption and create organic user demand for our platform. For example, we recently introduced Paper, a new collaborative product experience, and Smart Sync, a new advanced productivity feature, to add additional functionality to our platform. There is no assurance that our enhancements to our platform or our new product experiences, features, or capabilities will be compelling to our users or gain market acceptance. If our research and development investments do not accurately anticipate user demand, or if we fail to develop our platform in a manner that satisfies user preferences in a timely and cost-effective manner, we may fail to retain our existing users or increase demand for our platform.</w:t>
      </w:r>
    </w:p>
    <w:p>
      <w:pPr>
        <w:spacing w:after="0" w:line="166" w:lineRule="exact"/>
        <w:rPr>
          <w:sz w:val="20"/>
          <w:szCs w:val="20"/>
          <w:color w:val="auto"/>
        </w:rPr>
      </w:pPr>
    </w:p>
    <w:p>
      <w:pPr>
        <w:ind w:right="160" w:firstLine="449"/>
        <w:spacing w:after="0" w:line="269" w:lineRule="auto"/>
        <w:rPr>
          <w:sz w:val="20"/>
          <w:szCs w:val="20"/>
          <w:color w:val="auto"/>
        </w:rPr>
      </w:pPr>
      <w:r>
        <w:rPr>
          <w:rFonts w:ascii="Arial" w:cs="Arial" w:eastAsia="Arial" w:hAnsi="Arial"/>
          <w:sz w:val="17"/>
          <w:szCs w:val="17"/>
          <w:color w:val="auto"/>
        </w:rPr>
        <w:t>The introduction of new products and services by competitors or the development of entirely new technologies to replace existing offerings could make our platform obsolete or adversely affect our business, results of operations, and financial condition. We may experience difficulties with software development, design, or marketing that could delay or prevent our development, introduction, or implementation of new product experiences, features, or capabilities. We have in the past experienced delays in our internally planned release dates of new features and capabilities, and there can be no assurance that new product experiences, features, or capabilities will be released according to schedule. Any delays could result in adverse publicity, loss of revenue or market acceptance, or claims by users brought against us, all of which could have a material and adverse effect on our reputation, business, results of operations, and financial condition. Moreover, new productivity features to our platform, such as Smart Sync, may require substantial investment, and we have no assurance that such investments will be successful. If users do not widely adopt our new product experiences, features, and capabilities, we may not be able to realize a return on our investment. If we are unable to develop, license, or acquire new features and capabilities to our platform on a timely and cost-effective basis, or if such enhancements do not achieve market acceptance, our business, results of operations, and financial condition could be adversely affected.</w:t>
      </w:r>
    </w:p>
    <w:p>
      <w:pPr>
        <w:spacing w:after="0" w:line="29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not successfully manage our growth or plan for future growth.</w:t>
      </w:r>
    </w:p>
    <w:p>
      <w:pPr>
        <w:spacing w:after="0" w:line="117" w:lineRule="exact"/>
        <w:rPr>
          <w:sz w:val="20"/>
          <w:szCs w:val="20"/>
          <w:color w:val="auto"/>
        </w:rPr>
      </w:pPr>
    </w:p>
    <w:p>
      <w:pPr>
        <w:ind w:right="220" w:firstLine="449"/>
        <w:spacing w:after="0" w:line="277" w:lineRule="auto"/>
        <w:rPr>
          <w:sz w:val="20"/>
          <w:szCs w:val="20"/>
          <w:color w:val="auto"/>
        </w:rPr>
      </w:pPr>
      <w:r>
        <w:rPr>
          <w:rFonts w:ascii="Arial" w:cs="Arial" w:eastAsia="Arial" w:hAnsi="Arial"/>
          <w:sz w:val="18"/>
          <w:szCs w:val="18"/>
          <w:color w:val="auto"/>
        </w:rPr>
        <w:t>Since our founding in 2007, we have experienced rapid growth. For example, our headcount has grown from 1,420 employees as of September 30, 2015, to 1,864 employees as of September 30, 2017, with employees</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240"/>
          </w:cols>
          <w:pgMar w:left="320" w:top="459" w:right="339" w:bottom="1440" w:gutter="0" w:footer="0" w:header="0"/>
        </w:sectPr>
      </w:pPr>
    </w:p>
    <w:bookmarkStart w:id="23" w:name="page24"/>
    <w:bookmarkEnd w:id="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spacing w:after="0" w:line="293" w:lineRule="auto"/>
        <w:rPr>
          <w:sz w:val="20"/>
          <w:szCs w:val="20"/>
          <w:color w:val="auto"/>
        </w:rPr>
      </w:pPr>
      <w:r>
        <w:rPr>
          <w:rFonts w:ascii="Arial" w:cs="Arial" w:eastAsia="Arial" w:hAnsi="Arial"/>
          <w:sz w:val="16"/>
          <w:szCs w:val="16"/>
          <w:color w:val="auto"/>
        </w:rPr>
        <w:t>located both in the United States and internationally. The growth and expansion of our business places a continuous significant strain on our management, operational, and financial resources. Further growth of our operations to support our user base or our expanding third-party relationships, our information technology systems, and our internal controls and procedures may not be adequate to support our operations. In addition, as we continue to grow, we face challenges of integrating, developing, and motivating a rapidly growing employee base in various countries around the world. Certain members of our management have not previously worked together for an extended period of time and some do not have experience managing a public company, which may affect how they manage our growth. Managing our growth will also require significant expenditures and allocation of valuable management resources.</w:t>
      </w:r>
    </w:p>
    <w:p>
      <w:pPr>
        <w:spacing w:after="0" w:line="164" w:lineRule="exact"/>
        <w:rPr>
          <w:sz w:val="20"/>
          <w:szCs w:val="20"/>
          <w:color w:val="auto"/>
        </w:rPr>
      </w:pPr>
    </w:p>
    <w:p>
      <w:pPr>
        <w:ind w:right="120" w:firstLine="449"/>
        <w:spacing w:after="0" w:line="257" w:lineRule="auto"/>
        <w:rPr>
          <w:sz w:val="20"/>
          <w:szCs w:val="20"/>
          <w:color w:val="auto"/>
        </w:rPr>
      </w:pPr>
      <w:r>
        <w:rPr>
          <w:rFonts w:ascii="Arial" w:cs="Arial" w:eastAsia="Arial" w:hAnsi="Arial"/>
          <w:sz w:val="18"/>
          <w:szCs w:val="18"/>
          <w:color w:val="auto"/>
        </w:rPr>
        <w:t>In addition, our rapid growth may make it difficult to evaluate our future prospects. Our ability to forecast our future results of operations is subject to a number of uncertainties, including our ability to effectively plan for and model future growth. We have encountered in the past, and may encounter in the future, risks and uncertainties frequently experienced by growing companies in rapidly changing industries. If we fail to achieve the necessary level of efficiency in our organization as it grows, or if we are not able to accurately forecast future growth, our business, results of operations, and financial condition could be harmed.</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lack of a significant outbound salesforce may limit the potential growth of our business.</w:t>
      </w:r>
    </w:p>
    <w:p>
      <w:pPr>
        <w:spacing w:after="0" w:line="117" w:lineRule="exact"/>
        <w:rPr>
          <w:sz w:val="20"/>
          <w:szCs w:val="20"/>
          <w:color w:val="auto"/>
        </w:rPr>
      </w:pPr>
    </w:p>
    <w:p>
      <w:pPr>
        <w:ind w:right="20" w:firstLine="449"/>
        <w:spacing w:after="0" w:line="288" w:lineRule="auto"/>
        <w:rPr>
          <w:sz w:val="20"/>
          <w:szCs w:val="20"/>
          <w:color w:val="auto"/>
        </w:rPr>
      </w:pPr>
      <w:r>
        <w:rPr>
          <w:rFonts w:ascii="Arial" w:cs="Arial" w:eastAsia="Arial" w:hAnsi="Arial"/>
          <w:sz w:val="16"/>
          <w:szCs w:val="16"/>
          <w:color w:val="auto"/>
        </w:rPr>
        <w:t>Historically, our business model has been driven by organic adoption and viral growth, with more than 90% of our revenue generated from self-serve channels. As a result, we do not have a significant outbound salesforce, which has enabled us to be more efficient with our sales and marketing spend. Although we believe our business model can continue to scale without a large outbound salesforce, our word-of-mouth and user referral marketing model may not continue to be as successful as we anticipate, and our limited experience selling directly to large organizations through our outbound salesforce may impede our future growth. As we continue to scale our business, an enhanced sales infrastructure could assist in reaching larger organizations and growing our revenue. Identifying and recruiting additional qualified sales personnel and training them would require significant time, expense, and attention, and would significantly impact our business model. Further, adding more sales personnel would change our cost structure and results of operations, and we may have to reduce other expenses in order to accommodate a corresponding increase in sales and marketing expenses. If our limited experience selling and marketing to large organizations prevents us from reaching larger organizations and growing our revenue, and if we are unable to hire, develop, and retain talented sales personnel in the future, our business, results of operations, and financial condition could be adversely affected.</w:t>
      </w:r>
    </w:p>
    <w:p>
      <w:pPr>
        <w:spacing w:after="0" w:line="27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expand sales to large organizations, which could lengthen sales cycles and result in greater deployment challenges.</w:t>
      </w:r>
    </w:p>
    <w:p>
      <w:pPr>
        <w:spacing w:after="0" w:line="117" w:lineRule="exact"/>
        <w:rPr>
          <w:sz w:val="20"/>
          <w:szCs w:val="20"/>
          <w:color w:val="auto"/>
        </w:rPr>
      </w:pPr>
    </w:p>
    <w:p>
      <w:pPr>
        <w:jc w:val="both"/>
        <w:ind w:right="180" w:firstLine="449"/>
        <w:spacing w:after="0" w:line="255" w:lineRule="auto"/>
        <w:rPr>
          <w:sz w:val="20"/>
          <w:szCs w:val="20"/>
          <w:color w:val="auto"/>
        </w:rPr>
      </w:pPr>
      <w:r>
        <w:rPr>
          <w:rFonts w:ascii="Arial" w:cs="Arial" w:eastAsia="Arial" w:hAnsi="Arial"/>
          <w:sz w:val="18"/>
          <w:szCs w:val="18"/>
          <w:color w:val="auto"/>
        </w:rPr>
        <w:t>As our business evolves, we may need to invest more resources into sales to large organizations. Large organizations may undertake a significant evaluation and negotiation process, which can lengthen our sales cycle. We may also face unexpected deployment challenges with large organizations or more complicated deployment of our platform. Large organizations may demand more configuration and integration of our platform or require additional security management or control features. We may spend substantial time, effort, and money on sales efforts to large organizations without any assurance that our efforts will produce any sales. As a result, sales to large organizations may lead to greater unpredictability in our business, results of operations, and financial condition.</w:t>
      </w:r>
    </w:p>
    <w:p>
      <w:pPr>
        <w:spacing w:after="0" w:line="30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Any failure to offer high-quality customer support may harm our relationships with our users and our financial results.</w:t>
      </w:r>
    </w:p>
    <w:p>
      <w:pPr>
        <w:spacing w:after="0" w:line="117" w:lineRule="exact"/>
        <w:rPr>
          <w:sz w:val="20"/>
          <w:szCs w:val="20"/>
          <w:color w:val="auto"/>
        </w:rPr>
      </w:pPr>
    </w:p>
    <w:p>
      <w:pPr>
        <w:jc w:val="both"/>
        <w:ind w:right="80" w:firstLine="449"/>
        <w:spacing w:after="0" w:line="263" w:lineRule="auto"/>
        <w:rPr>
          <w:sz w:val="20"/>
          <w:szCs w:val="20"/>
          <w:color w:val="auto"/>
        </w:rPr>
      </w:pPr>
      <w:r>
        <w:rPr>
          <w:rFonts w:ascii="Arial" w:cs="Arial" w:eastAsia="Arial" w:hAnsi="Arial"/>
          <w:sz w:val="18"/>
          <w:szCs w:val="18"/>
          <w:color w:val="auto"/>
        </w:rPr>
        <w:t>We have designed our platform to be easy to adopt and use with minimal to no support necessary. Any increased user demand for customer support could increase costs and harm our results of operations. In addition, as we continue to grow our operations and support our global user base, we need to be able to continue to provide</w:t>
      </w:r>
    </w:p>
    <w:p>
      <w:pPr>
        <w:spacing w:after="0" w:line="11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220"/>
          </w:cols>
          <w:pgMar w:left="320" w:top="459" w:right="359" w:bottom="1440" w:gutter="0" w:footer="0" w:header="0"/>
        </w:sectPr>
      </w:pPr>
    </w:p>
    <w:bookmarkStart w:id="24" w:name="page25"/>
    <w:bookmarkEnd w:id="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efficient customer support that meets our customers’ needs globally at scale. Paying users receive additional customer support features and the number of our paying users has grown significantly, which will put additional pressure on our support organization. For example, the number of paying users has grown from 6.5 million as of December 31, 2015, to 10.4 million as of September 30, 2017. If we are unable to provide efficient customer support globally at scale, our ability to grow our operations may be harmed and we may need to hire additional support personnel, which could harm our results of operations. Our new user signups are highly dependent on our business reputation and on positive recommendations from our existing users. Any failure to maintain high-quality customer support, or a market perception that we do not maintain high-quality customer support, could harm our reputation, business, results of operations, and financial condition.</w:t>
      </w:r>
    </w:p>
    <w:p>
      <w:pPr>
        <w:spacing w:after="0" w:line="30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quarterly results may fluctuate significantly and may not fully reflect the underlying performance of our business.</w:t>
      </w:r>
    </w:p>
    <w:p>
      <w:pPr>
        <w:spacing w:after="0" w:line="117" w:lineRule="exact"/>
        <w:rPr>
          <w:sz w:val="20"/>
          <w:szCs w:val="20"/>
          <w:color w:val="auto"/>
        </w:rPr>
      </w:pPr>
    </w:p>
    <w:p>
      <w:pPr>
        <w:ind w:right="20" w:firstLine="449"/>
        <w:spacing w:after="0" w:line="255" w:lineRule="auto"/>
        <w:rPr>
          <w:sz w:val="20"/>
          <w:szCs w:val="20"/>
          <w:color w:val="auto"/>
        </w:rPr>
      </w:pPr>
      <w:r>
        <w:rPr>
          <w:rFonts w:ascii="Arial" w:cs="Arial" w:eastAsia="Arial" w:hAnsi="Arial"/>
          <w:sz w:val="18"/>
          <w:szCs w:val="18"/>
          <w:color w:val="auto"/>
        </w:rPr>
        <w:t>Our quarterly results of operations, including our revenue, gross margin, operating margin, profitability, cash flow from operations, and deferred revenue, may vary significantly in the future and period-to-period comparisons of our results of operations may not be meaningful. Accordingly, the results of any one quarter should not be relied upon as an indication of future performance. Our quarterly results of operations may fluctuate as a result of a variety of factors, many of which are outside of our control, and as a result, may not fully reflect the underlying performance of our business. Fluctuation in quarterly results may negatively impact the value of our securities. Factors that may cause fluctuations in our quarterly results of operations include, without limitation, those listed below:</w:t>
      </w:r>
    </w:p>
    <w:p>
      <w:pPr>
        <w:spacing w:after="0" w:line="98" w:lineRule="exact"/>
        <w:rPr>
          <w:sz w:val="20"/>
          <w:szCs w:val="20"/>
          <w:color w:val="auto"/>
        </w:rPr>
      </w:pPr>
    </w:p>
    <w:p>
      <w:pPr>
        <w:ind w:left="880" w:hanging="319"/>
        <w:spacing w:after="0"/>
        <w:tabs>
          <w:tab w:leader="none" w:pos="8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our ability to retain and upgrade paying users;</w:t>
      </w:r>
    </w:p>
    <w:p>
      <w:pPr>
        <w:spacing w:after="0" w:line="130" w:lineRule="exact"/>
        <w:rPr>
          <w:rFonts w:ascii="Arial" w:cs="Arial" w:eastAsia="Arial" w:hAnsi="Arial"/>
          <w:sz w:val="18"/>
          <w:szCs w:val="18"/>
          <w:color w:val="auto"/>
        </w:rPr>
      </w:pPr>
    </w:p>
    <w:p>
      <w:pPr>
        <w:ind w:left="880" w:hanging="319"/>
        <w:spacing w:after="0"/>
        <w:tabs>
          <w:tab w:leader="none" w:pos="8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our ability to attract new paying users and convert registered to paying users;</w:t>
      </w:r>
    </w:p>
    <w:p>
      <w:pPr>
        <w:spacing w:after="0" w:line="130" w:lineRule="exact"/>
        <w:rPr>
          <w:rFonts w:ascii="Arial" w:cs="Arial" w:eastAsia="Arial" w:hAnsi="Arial"/>
          <w:sz w:val="18"/>
          <w:szCs w:val="18"/>
          <w:color w:val="auto"/>
        </w:rPr>
      </w:pPr>
    </w:p>
    <w:p>
      <w:pPr>
        <w:ind w:left="880" w:hanging="319"/>
        <w:spacing w:after="0"/>
        <w:tabs>
          <w:tab w:leader="none" w:pos="8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timing of expenses and recognition of revenue;</w:t>
      </w:r>
    </w:p>
    <w:p>
      <w:pPr>
        <w:spacing w:after="0" w:line="130" w:lineRule="exact"/>
        <w:rPr>
          <w:rFonts w:ascii="Arial" w:cs="Arial" w:eastAsia="Arial" w:hAnsi="Arial"/>
          <w:sz w:val="18"/>
          <w:szCs w:val="18"/>
          <w:color w:val="auto"/>
        </w:rPr>
      </w:pPr>
    </w:p>
    <w:p>
      <w:pPr>
        <w:ind w:left="880" w:right="160" w:hanging="319"/>
        <w:spacing w:after="0" w:line="277" w:lineRule="auto"/>
        <w:tabs>
          <w:tab w:leader="none" w:pos="8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amount and timing of operating expenses related to the maintenance and expansion of our business, operations, and infrastructure, as well as entry into operating and capital leases;</w:t>
      </w:r>
    </w:p>
    <w:p>
      <w:pPr>
        <w:spacing w:after="0" w:line="75" w:lineRule="exact"/>
        <w:rPr>
          <w:rFonts w:ascii="Arial" w:cs="Arial" w:eastAsia="Arial" w:hAnsi="Arial"/>
          <w:sz w:val="18"/>
          <w:szCs w:val="18"/>
          <w:color w:val="auto"/>
        </w:rPr>
      </w:pPr>
    </w:p>
    <w:p>
      <w:pPr>
        <w:ind w:left="880" w:hanging="319"/>
        <w:spacing w:after="0"/>
        <w:tabs>
          <w:tab w:leader="none" w:pos="8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timing of expenses related to acquisitions;</w:t>
      </w:r>
    </w:p>
    <w:p>
      <w:pPr>
        <w:spacing w:after="0" w:line="130" w:lineRule="exact"/>
        <w:rPr>
          <w:rFonts w:ascii="Arial" w:cs="Arial" w:eastAsia="Arial" w:hAnsi="Arial"/>
          <w:sz w:val="18"/>
          <w:szCs w:val="18"/>
          <w:color w:val="auto"/>
        </w:rPr>
      </w:pPr>
    </w:p>
    <w:p>
      <w:pPr>
        <w:ind w:left="880" w:hanging="319"/>
        <w:spacing w:after="0"/>
        <w:tabs>
          <w:tab w:leader="none" w:pos="8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any large indemnification payments to our users or other third parties;</w:t>
      </w:r>
    </w:p>
    <w:p>
      <w:pPr>
        <w:spacing w:after="0" w:line="130" w:lineRule="exact"/>
        <w:rPr>
          <w:rFonts w:ascii="Arial" w:cs="Arial" w:eastAsia="Arial" w:hAnsi="Arial"/>
          <w:sz w:val="18"/>
          <w:szCs w:val="18"/>
          <w:color w:val="auto"/>
        </w:rPr>
      </w:pPr>
    </w:p>
    <w:p>
      <w:pPr>
        <w:ind w:left="880" w:hanging="319"/>
        <w:spacing w:after="0"/>
        <w:tabs>
          <w:tab w:leader="none" w:pos="8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changes in our pricing policies or those of our competitors;</w:t>
      </w:r>
    </w:p>
    <w:p>
      <w:pPr>
        <w:spacing w:after="0" w:line="130" w:lineRule="exact"/>
        <w:rPr>
          <w:rFonts w:ascii="Arial" w:cs="Arial" w:eastAsia="Arial" w:hAnsi="Arial"/>
          <w:sz w:val="18"/>
          <w:szCs w:val="18"/>
          <w:color w:val="auto"/>
        </w:rPr>
      </w:pPr>
    </w:p>
    <w:p>
      <w:pPr>
        <w:ind w:left="880" w:hanging="319"/>
        <w:spacing w:after="0"/>
        <w:tabs>
          <w:tab w:leader="none" w:pos="8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timing and success of new product feature and service introductions by us or our competitors;</w:t>
      </w:r>
    </w:p>
    <w:p>
      <w:pPr>
        <w:spacing w:after="0" w:line="130" w:lineRule="exact"/>
        <w:rPr>
          <w:rFonts w:ascii="Arial" w:cs="Arial" w:eastAsia="Arial" w:hAnsi="Arial"/>
          <w:sz w:val="18"/>
          <w:szCs w:val="18"/>
          <w:color w:val="auto"/>
        </w:rPr>
      </w:pPr>
    </w:p>
    <w:p>
      <w:pPr>
        <w:ind w:left="880" w:hanging="319"/>
        <w:spacing w:after="0"/>
        <w:tabs>
          <w:tab w:leader="none" w:pos="8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network outages or actual or perceived security breaches;</w:t>
      </w:r>
    </w:p>
    <w:p>
      <w:pPr>
        <w:spacing w:after="0" w:line="130" w:lineRule="exact"/>
        <w:rPr>
          <w:rFonts w:ascii="Arial" w:cs="Arial" w:eastAsia="Arial" w:hAnsi="Arial"/>
          <w:sz w:val="18"/>
          <w:szCs w:val="18"/>
          <w:color w:val="auto"/>
        </w:rPr>
      </w:pPr>
    </w:p>
    <w:p>
      <w:pPr>
        <w:ind w:left="880" w:hanging="319"/>
        <w:spacing w:after="0"/>
        <w:tabs>
          <w:tab w:leader="none" w:pos="8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changes in the competitive dynamics of our industry, including consolidation among competitors;</w:t>
      </w:r>
    </w:p>
    <w:p>
      <w:pPr>
        <w:spacing w:after="0" w:line="130" w:lineRule="exact"/>
        <w:rPr>
          <w:rFonts w:ascii="Arial" w:cs="Arial" w:eastAsia="Arial" w:hAnsi="Arial"/>
          <w:sz w:val="18"/>
          <w:szCs w:val="18"/>
          <w:color w:val="auto"/>
        </w:rPr>
      </w:pPr>
    </w:p>
    <w:p>
      <w:pPr>
        <w:ind w:left="880" w:hanging="319"/>
        <w:spacing w:after="0"/>
        <w:tabs>
          <w:tab w:leader="none" w:pos="8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changes in laws and regulations that impact our business; and</w:t>
      </w:r>
    </w:p>
    <w:p>
      <w:pPr>
        <w:spacing w:after="0" w:line="130" w:lineRule="exact"/>
        <w:rPr>
          <w:rFonts w:ascii="Arial" w:cs="Arial" w:eastAsia="Arial" w:hAnsi="Arial"/>
          <w:sz w:val="18"/>
          <w:szCs w:val="18"/>
          <w:color w:val="auto"/>
        </w:rPr>
      </w:pPr>
    </w:p>
    <w:p>
      <w:pPr>
        <w:ind w:left="880" w:hanging="319"/>
        <w:spacing w:after="0"/>
        <w:tabs>
          <w:tab w:leader="none" w:pos="8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general economic and market conditions.</w:t>
      </w:r>
    </w:p>
    <w:p>
      <w:pPr>
        <w:spacing w:after="0" w:line="333" w:lineRule="exact"/>
        <w:rPr>
          <w:sz w:val="20"/>
          <w:szCs w:val="20"/>
          <w:color w:val="auto"/>
        </w:rPr>
      </w:pPr>
    </w:p>
    <w:p>
      <w:pPr>
        <w:ind w:right="380"/>
        <w:spacing w:after="0" w:line="277" w:lineRule="auto"/>
        <w:rPr>
          <w:sz w:val="20"/>
          <w:szCs w:val="20"/>
          <w:color w:val="auto"/>
        </w:rPr>
      </w:pPr>
      <w:r>
        <w:rPr>
          <w:rFonts w:ascii="Arial" w:cs="Arial" w:eastAsia="Arial" w:hAnsi="Arial"/>
          <w:sz w:val="18"/>
          <w:szCs w:val="18"/>
          <w:b w:val="1"/>
          <w:bCs w:val="1"/>
          <w:i w:val="1"/>
          <w:iCs w:val="1"/>
          <w:color w:val="auto"/>
        </w:rPr>
        <w:t>Our results of operations may not immediately reflect downturns or upturns in sales because we recognize revenue from our users over the term of their subscriptions with us.</w:t>
      </w:r>
    </w:p>
    <w:p>
      <w:pPr>
        <w:spacing w:after="0" w:line="62" w:lineRule="exact"/>
        <w:rPr>
          <w:sz w:val="20"/>
          <w:szCs w:val="20"/>
          <w:color w:val="auto"/>
        </w:rPr>
      </w:pPr>
    </w:p>
    <w:p>
      <w:pPr>
        <w:ind w:right="360" w:firstLine="449"/>
        <w:spacing w:after="0" w:line="293" w:lineRule="auto"/>
        <w:rPr>
          <w:sz w:val="20"/>
          <w:szCs w:val="20"/>
          <w:color w:val="auto"/>
        </w:rPr>
      </w:pPr>
      <w:r>
        <w:rPr>
          <w:rFonts w:ascii="Arial" w:cs="Arial" w:eastAsia="Arial" w:hAnsi="Arial"/>
          <w:sz w:val="16"/>
          <w:szCs w:val="16"/>
          <w:color w:val="auto"/>
        </w:rPr>
        <w:t>We recognize revenue from subscriptions to our platform over the terms of these subscriptions. Our subscription arrangements generally have monthly or annual contractual terms, and we also have a small percentage of multi-year contractual terms. Amounts that have been billed are initially recorded as deferred revenue until the revenue is recognized. As a result, a large portion of our revenue for each quarter reflects deferred revenue from subscriptions entered into during previous quarters, and downturns or upturns in subscription sales, or renewals and potential changes in our pricing policies may not be reflected in our results of operations until later periods. Our subscription model also makes it difficult for us to rapidly increase our revenue through additional sales in any period, as subscription revenue from new users generally is recognized</w:t>
      </w:r>
    </w:p>
    <w:p>
      <w:pPr>
        <w:spacing w:after="0" w:line="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240"/>
          </w:cols>
          <w:pgMar w:left="320" w:top="459" w:right="339" w:bottom="1440" w:gutter="0" w:footer="0" w:header="0"/>
        </w:sectPr>
      </w:pPr>
    </w:p>
    <w:bookmarkStart w:id="25" w:name="page26"/>
    <w:bookmarkEnd w:id="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both"/>
        <w:ind w:right="140"/>
        <w:spacing w:after="0" w:line="286" w:lineRule="auto"/>
        <w:rPr>
          <w:sz w:val="20"/>
          <w:szCs w:val="20"/>
          <w:color w:val="auto"/>
        </w:rPr>
      </w:pPr>
      <w:r>
        <w:rPr>
          <w:rFonts w:ascii="Arial" w:cs="Arial" w:eastAsia="Arial" w:hAnsi="Arial"/>
          <w:sz w:val="17"/>
          <w:szCs w:val="17"/>
          <w:color w:val="auto"/>
        </w:rPr>
        <w:t>over the applicable subscription term. By contrast, a significant majority of our costs are expensed as incurred, which occurs as soon as a user starts using our platform. As a result, an increase in users could result in our recognition of more costs than revenue in the earlier portion of the subscription term. We may not attain sufficient revenue to maintain positive cash flow from operations or achieve profitability in any given period.</w:t>
      </w:r>
    </w:p>
    <w:p>
      <w:pPr>
        <w:spacing w:after="0" w:line="273"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b w:val="1"/>
          <w:bCs w:val="1"/>
          <w:i w:val="1"/>
          <w:iCs w:val="1"/>
          <w:color w:val="auto"/>
        </w:rPr>
        <w:t>We depend on our key personnel and other highly qualified personnel, and if we fail to attract, integrate, and retain our personnel, and maintain our unique corporate culture, our business could be harmed.</w:t>
      </w:r>
    </w:p>
    <w:p>
      <w:pPr>
        <w:spacing w:after="0" w:line="62" w:lineRule="exact"/>
        <w:rPr>
          <w:sz w:val="20"/>
          <w:szCs w:val="20"/>
          <w:color w:val="auto"/>
        </w:rPr>
      </w:pPr>
    </w:p>
    <w:p>
      <w:pPr>
        <w:ind w:right="40" w:firstLine="449"/>
        <w:spacing w:after="0" w:line="275" w:lineRule="auto"/>
        <w:rPr>
          <w:sz w:val="20"/>
          <w:szCs w:val="20"/>
          <w:color w:val="auto"/>
        </w:rPr>
      </w:pPr>
      <w:r>
        <w:rPr>
          <w:rFonts w:ascii="Arial" w:cs="Arial" w:eastAsia="Arial" w:hAnsi="Arial"/>
          <w:sz w:val="17"/>
          <w:szCs w:val="17"/>
          <w:color w:val="auto"/>
        </w:rPr>
        <w:t>We depend on the continued service and performance of our key personnel. In particular, Andrew W. Houston, our President and Chief Executive Officer and one of our co-founders, is critical to our vision, strategic direction, culture, and offerings. Some of our other key personnel have recently joined us and are still being integrated into our company. We may continue to make changes to our management team, which could make it difficult to execute on our business plans and strategies. New hires also require significant training and, in most cases, take significant time before they achieve full productivity. Our failure to successfully integrate these key personnel into our business could adversely affect our business.</w:t>
      </w:r>
    </w:p>
    <w:p>
      <w:pPr>
        <w:spacing w:after="0" w:line="176" w:lineRule="exact"/>
        <w:rPr>
          <w:sz w:val="20"/>
          <w:szCs w:val="20"/>
          <w:color w:val="auto"/>
        </w:rPr>
      </w:pPr>
    </w:p>
    <w:p>
      <w:pPr>
        <w:ind w:right="40" w:firstLine="449"/>
        <w:spacing w:after="0" w:line="259" w:lineRule="auto"/>
        <w:rPr>
          <w:sz w:val="20"/>
          <w:szCs w:val="20"/>
          <w:color w:val="auto"/>
        </w:rPr>
      </w:pPr>
      <w:r>
        <w:rPr>
          <w:rFonts w:ascii="Arial" w:cs="Arial" w:eastAsia="Arial" w:hAnsi="Arial"/>
          <w:sz w:val="18"/>
          <w:szCs w:val="18"/>
          <w:color w:val="auto"/>
        </w:rPr>
        <w:t>We do not have long-term employment agreements with any of our officers or key personnel. In addition, many of our key technologies and systems are custom-made for our business by our key personnel. The loss of key personnel, including key members of our management team, as well as certain of our key marketing, sales, product development, or technology personnel, could disrupt our operations and have an adverse effect on our ability to grow our business.</w:t>
      </w:r>
    </w:p>
    <w:p>
      <w:pPr>
        <w:spacing w:after="0" w:line="187" w:lineRule="exact"/>
        <w:rPr>
          <w:sz w:val="20"/>
          <w:szCs w:val="20"/>
          <w:color w:val="auto"/>
        </w:rPr>
      </w:pPr>
    </w:p>
    <w:p>
      <w:pPr>
        <w:ind w:firstLine="449"/>
        <w:spacing w:after="0" w:line="288" w:lineRule="auto"/>
        <w:rPr>
          <w:sz w:val="20"/>
          <w:szCs w:val="20"/>
          <w:color w:val="auto"/>
        </w:rPr>
      </w:pPr>
      <w:r>
        <w:rPr>
          <w:rFonts w:ascii="Arial" w:cs="Arial" w:eastAsia="Arial" w:hAnsi="Arial"/>
          <w:sz w:val="16"/>
          <w:szCs w:val="16"/>
          <w:color w:val="auto"/>
        </w:rPr>
        <w:t>To execute our growth plan, we must attract and retain highly qualified personnel. Competition for these employees is intense, particularly in the San Francisco Bay Area where our headquarters are located, and we may not be successful in attracting and retaining qualified personnel. We have from time to time in the past experienced, and we expect to continue to experience, difficulty in hiring and retaining highly skilled employees with appropriate qualifications. Our recent hires and planned hires may not become as productive as we expect, and we may be unable to hire, integrate, or retain sufficient numbers of qualified individuals. Many of the companies with which we compete for experienced personnel have greater resources than we have. In addition, in making employment decisions, particularly in the internet and high-technology industries, job candidates often consider the value of the equity they are to receive in connection with their employment. Employees may be more likely to leave us if the shares they own or the shares underlying their equity incentive awards have significantly appreciated or significantly reduced in value. Many of our employees may receive significant proceeds from sales of our equity in the public markets after this offering, which may reduce their motivation to continue to work for us. If we fail to attract new personnel, or fail to retain and motivate our current personnel, our business and growth prospects could be harmed.</w:t>
      </w:r>
    </w:p>
    <w:p>
      <w:pPr>
        <w:spacing w:after="0" w:line="168" w:lineRule="exact"/>
        <w:rPr>
          <w:sz w:val="20"/>
          <w:szCs w:val="20"/>
          <w:color w:val="auto"/>
        </w:rPr>
      </w:pPr>
    </w:p>
    <w:p>
      <w:pPr>
        <w:jc w:val="both"/>
        <w:ind w:right="480" w:firstLine="449"/>
        <w:spacing w:after="0" w:line="263" w:lineRule="auto"/>
        <w:rPr>
          <w:sz w:val="20"/>
          <w:szCs w:val="20"/>
          <w:color w:val="auto"/>
        </w:rPr>
      </w:pPr>
      <w:r>
        <w:rPr>
          <w:rFonts w:ascii="Arial" w:cs="Arial" w:eastAsia="Arial" w:hAnsi="Arial"/>
          <w:sz w:val="18"/>
          <w:szCs w:val="18"/>
          <w:color w:val="auto"/>
        </w:rPr>
        <w:t>Additionally, if we do not maintain and continue to develop our corporate culture as we grow and evolve, it could harm our ability to foster the innovation, creativity, and teamwork we believe that we need to support our growth. Additions of executive-level management and large numbers of employees could significantly and adversely impact our culture.</w:t>
      </w:r>
    </w:p>
    <w:p>
      <w:pPr>
        <w:spacing w:after="0" w:line="292" w:lineRule="exact"/>
        <w:rPr>
          <w:sz w:val="20"/>
          <w:szCs w:val="20"/>
          <w:color w:val="auto"/>
        </w:rPr>
      </w:pPr>
    </w:p>
    <w:p>
      <w:pPr>
        <w:ind w:right="380"/>
        <w:spacing w:after="0" w:line="277" w:lineRule="auto"/>
        <w:rPr>
          <w:sz w:val="20"/>
          <w:szCs w:val="20"/>
          <w:color w:val="auto"/>
        </w:rPr>
      </w:pPr>
      <w:r>
        <w:rPr>
          <w:rFonts w:ascii="Arial" w:cs="Arial" w:eastAsia="Arial" w:hAnsi="Arial"/>
          <w:sz w:val="18"/>
          <w:szCs w:val="18"/>
          <w:b w:val="1"/>
          <w:bCs w:val="1"/>
          <w:i w:val="1"/>
          <w:iCs w:val="1"/>
          <w:color w:val="auto"/>
        </w:rPr>
        <w:t>Our business depends on a strong brand, and if we are not able to maintain and enhance our brand, our ability to expand our base of users will be impaired and our business, results of operations, and financial condition will be harmed.</w:t>
      </w:r>
    </w:p>
    <w:p>
      <w:pPr>
        <w:spacing w:after="0" w:line="62" w:lineRule="exact"/>
        <w:rPr>
          <w:sz w:val="20"/>
          <w:szCs w:val="20"/>
          <w:color w:val="auto"/>
        </w:rPr>
      </w:pPr>
    </w:p>
    <w:p>
      <w:pPr>
        <w:ind w:right="160" w:firstLine="449"/>
        <w:spacing w:after="0" w:line="257" w:lineRule="auto"/>
        <w:rPr>
          <w:sz w:val="20"/>
          <w:szCs w:val="20"/>
          <w:color w:val="auto"/>
        </w:rPr>
      </w:pPr>
      <w:r>
        <w:rPr>
          <w:rFonts w:ascii="Arial" w:cs="Arial" w:eastAsia="Arial" w:hAnsi="Arial"/>
          <w:sz w:val="18"/>
          <w:szCs w:val="18"/>
          <w:color w:val="auto"/>
        </w:rPr>
        <w:t>We believe that our brand identity and awareness have contributed to our success and have helped fuel our efficient go-to-market strategy. We also believe that maintaining and enhancing the Dropbox brand is critical to expanding our base of users. We anticipate that, as our market becomes increasingly competitive, maintaining and enhancing our brand may become increasingly difficult and expensive. Any unfavorable publicity or consumer perception of our platform or the providers of content collaboration solutions generally could adversely affect our reputation and our ability to attract and retain users. Additionally, if we fail to promote and maintain</w:t>
      </w:r>
    </w:p>
    <w:p>
      <w:pPr>
        <w:spacing w:after="0" w:line="12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220"/>
          </w:cols>
          <w:pgMar w:left="320" w:top="459" w:right="359" w:bottom="1440" w:gutter="0" w:footer="0" w:header="0"/>
        </w:sectPr>
      </w:pPr>
    </w:p>
    <w:bookmarkStart w:id="26" w:name="page27"/>
    <w:bookmarkEnd w:id="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right="500"/>
        <w:spacing w:after="0" w:line="277" w:lineRule="auto"/>
        <w:rPr>
          <w:sz w:val="20"/>
          <w:szCs w:val="20"/>
          <w:color w:val="auto"/>
        </w:rPr>
      </w:pPr>
      <w:r>
        <w:rPr>
          <w:rFonts w:ascii="Arial" w:cs="Arial" w:eastAsia="Arial" w:hAnsi="Arial"/>
          <w:sz w:val="18"/>
          <w:szCs w:val="18"/>
          <w:color w:val="auto"/>
        </w:rPr>
        <w:t>the Dropbox brand, or if we incur excessive expenses in this effort, our business, results of operations, and financial condition will be materially and adversely affected.</w:t>
      </w:r>
    </w:p>
    <w:p>
      <w:pPr>
        <w:spacing w:after="0" w:line="278"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b w:val="1"/>
          <w:bCs w:val="1"/>
          <w:i w:val="1"/>
          <w:iCs w:val="1"/>
          <w:color w:val="auto"/>
        </w:rPr>
        <w:t>We are continuing to expand our operations outside the United States, where we may be subject to increased business and economic risks that could impact our results of operations.</w:t>
      </w:r>
    </w:p>
    <w:p>
      <w:pPr>
        <w:spacing w:after="0" w:line="62" w:lineRule="exact"/>
        <w:rPr>
          <w:sz w:val="20"/>
          <w:szCs w:val="20"/>
          <w:color w:val="auto"/>
        </w:rPr>
      </w:pPr>
    </w:p>
    <w:p>
      <w:pPr>
        <w:ind w:right="40" w:firstLine="449"/>
        <w:spacing w:after="0" w:line="270" w:lineRule="auto"/>
        <w:rPr>
          <w:sz w:val="20"/>
          <w:szCs w:val="20"/>
          <w:color w:val="auto"/>
        </w:rPr>
      </w:pPr>
      <w:r>
        <w:rPr>
          <w:rFonts w:ascii="Arial" w:cs="Arial" w:eastAsia="Arial" w:hAnsi="Arial"/>
          <w:sz w:val="17"/>
          <w:szCs w:val="17"/>
          <w:color w:val="auto"/>
        </w:rPr>
        <w:t>We have paying users across 180 countries and approximately half of our revenue in the nine months ended September 30, 2017 was generated from paying users outside the United States. We expect to continue to expand our international operations, which may include opening offices in new jurisdictions and providing our platform in additional languages. Any new markets or countries into which we attempt to sell subscriptions to our platform may not be receptive. For example, we may not be able to expand further in some markets if we are not able to satisfy certain government- and industry-specific requirements. In addition, our ability to manage our business and conduct our operations internationally requires considerable management attention and resources and is subject to the particular challenges of supporting a rapidly growing business in an environment of multiple languages, cultures, customs, legal and regulatory systems, alternative dispute systems, and commercial markets. International expansion has required, and will continue to require, investment of significant funds and other resources. Operating internationally subjects us to new risks and may increase risks that we currently face, including risks associated with:</w:t>
      </w:r>
    </w:p>
    <w:p>
      <w:pPr>
        <w:spacing w:after="0" w:line="86" w:lineRule="exact"/>
        <w:rPr>
          <w:sz w:val="20"/>
          <w:szCs w:val="20"/>
          <w:color w:val="auto"/>
        </w:rPr>
      </w:pPr>
    </w:p>
    <w:p>
      <w:pPr>
        <w:ind w:left="880" w:right="480" w:hanging="319"/>
        <w:spacing w:after="0" w:line="277" w:lineRule="auto"/>
        <w:tabs>
          <w:tab w:leader="none" w:pos="8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recruiting and retaining talented and capable employees outside the United States, and maintaining our company culture across all of our offices;</w:t>
      </w:r>
    </w:p>
    <w:p>
      <w:pPr>
        <w:spacing w:after="0" w:line="75" w:lineRule="exact"/>
        <w:rPr>
          <w:rFonts w:ascii="Arial" w:cs="Arial" w:eastAsia="Arial" w:hAnsi="Arial"/>
          <w:sz w:val="18"/>
          <w:szCs w:val="18"/>
          <w:color w:val="auto"/>
        </w:rPr>
      </w:pPr>
    </w:p>
    <w:p>
      <w:pPr>
        <w:ind w:left="880" w:right="100" w:hanging="319"/>
        <w:spacing w:after="0" w:line="342" w:lineRule="auto"/>
        <w:tabs>
          <w:tab w:leader="none" w:pos="880" w:val="left"/>
        </w:tabs>
        <w:numPr>
          <w:ilvl w:val="0"/>
          <w:numId w:val="21"/>
        </w:numPr>
        <w:rPr>
          <w:rFonts w:ascii="Arial" w:cs="Arial" w:eastAsia="Arial" w:hAnsi="Arial"/>
          <w:sz w:val="16"/>
          <w:szCs w:val="16"/>
          <w:color w:val="auto"/>
        </w:rPr>
      </w:pPr>
      <w:r>
        <w:rPr>
          <w:rFonts w:ascii="Arial" w:cs="Arial" w:eastAsia="Arial" w:hAnsi="Arial"/>
          <w:sz w:val="16"/>
          <w:szCs w:val="16"/>
          <w:color w:val="auto"/>
        </w:rPr>
        <w:t>providing our platform and operating our business across a significant distance, in different languages and among different cultures, including the potential need to modify our platform and features to ensure that they are culturally appropriate and relevant in different countries;</w:t>
      </w:r>
    </w:p>
    <w:p>
      <w:pPr>
        <w:spacing w:after="0" w:line="29" w:lineRule="exact"/>
        <w:rPr>
          <w:rFonts w:ascii="Arial" w:cs="Arial" w:eastAsia="Arial" w:hAnsi="Arial"/>
          <w:sz w:val="16"/>
          <w:szCs w:val="16"/>
          <w:color w:val="auto"/>
        </w:rPr>
      </w:pPr>
    </w:p>
    <w:p>
      <w:pPr>
        <w:ind w:left="880" w:right="120" w:hanging="319"/>
        <w:spacing w:after="0" w:line="263" w:lineRule="auto"/>
        <w:tabs>
          <w:tab w:leader="none" w:pos="8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compliance with applicable international laws and regulations, including laws and regulations with respect to privacy, data protection, consumer protection, and unsolicited email, and the risk of penalties to our users and individual members of management or employees if our practices are deemed to be out of compliance;</w:t>
      </w:r>
    </w:p>
    <w:p>
      <w:pPr>
        <w:spacing w:after="0" w:line="89" w:lineRule="exact"/>
        <w:rPr>
          <w:rFonts w:ascii="Arial" w:cs="Arial" w:eastAsia="Arial" w:hAnsi="Arial"/>
          <w:sz w:val="18"/>
          <w:szCs w:val="18"/>
          <w:color w:val="auto"/>
        </w:rPr>
      </w:pPr>
    </w:p>
    <w:p>
      <w:pPr>
        <w:ind w:left="880" w:hanging="319"/>
        <w:spacing w:after="0"/>
        <w:tabs>
          <w:tab w:leader="none" w:pos="880" w:val="left"/>
        </w:tabs>
        <w:numPr>
          <w:ilvl w:val="0"/>
          <w:numId w:val="21"/>
        </w:numPr>
        <w:rPr>
          <w:rFonts w:ascii="Arial" w:cs="Arial" w:eastAsia="Arial" w:hAnsi="Arial"/>
          <w:sz w:val="16"/>
          <w:szCs w:val="16"/>
          <w:color w:val="auto"/>
        </w:rPr>
      </w:pPr>
      <w:r>
        <w:rPr>
          <w:rFonts w:ascii="Arial" w:cs="Arial" w:eastAsia="Arial" w:hAnsi="Arial"/>
          <w:sz w:val="16"/>
          <w:szCs w:val="16"/>
          <w:color w:val="auto"/>
        </w:rPr>
        <w:t>management of an employee base in jurisdictions that may not give us the same employment and retention flexibility as does the United States;</w:t>
      </w:r>
    </w:p>
    <w:p>
      <w:pPr>
        <w:spacing w:after="0" w:line="153" w:lineRule="exact"/>
        <w:rPr>
          <w:rFonts w:ascii="Arial" w:cs="Arial" w:eastAsia="Arial" w:hAnsi="Arial"/>
          <w:sz w:val="16"/>
          <w:szCs w:val="16"/>
          <w:color w:val="auto"/>
        </w:rPr>
      </w:pPr>
    </w:p>
    <w:p>
      <w:pPr>
        <w:ind w:left="880" w:hanging="319"/>
        <w:spacing w:after="0"/>
        <w:tabs>
          <w:tab w:leader="none" w:pos="8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operating in jurisdictions that do not protect intellectual property rights to the same extent as does the United States;</w:t>
      </w:r>
    </w:p>
    <w:p>
      <w:pPr>
        <w:spacing w:after="0" w:line="130" w:lineRule="exact"/>
        <w:rPr>
          <w:rFonts w:ascii="Arial" w:cs="Arial" w:eastAsia="Arial" w:hAnsi="Arial"/>
          <w:sz w:val="18"/>
          <w:szCs w:val="18"/>
          <w:color w:val="auto"/>
        </w:rPr>
      </w:pPr>
    </w:p>
    <w:p>
      <w:pPr>
        <w:ind w:left="880" w:right="660" w:hanging="319"/>
        <w:spacing w:after="0" w:line="308" w:lineRule="auto"/>
        <w:tabs>
          <w:tab w:leader="none" w:pos="880" w:val="left"/>
        </w:tabs>
        <w:numPr>
          <w:ilvl w:val="0"/>
          <w:numId w:val="21"/>
        </w:numPr>
        <w:rPr>
          <w:rFonts w:ascii="Arial" w:cs="Arial" w:eastAsia="Arial" w:hAnsi="Arial"/>
          <w:sz w:val="17"/>
          <w:szCs w:val="17"/>
          <w:color w:val="auto"/>
        </w:rPr>
      </w:pPr>
      <w:r>
        <w:rPr>
          <w:rFonts w:ascii="Arial" w:cs="Arial" w:eastAsia="Arial" w:hAnsi="Arial"/>
          <w:sz w:val="17"/>
          <w:szCs w:val="17"/>
          <w:color w:val="auto"/>
        </w:rPr>
        <w:t>compliance by us and our business partners with anti-corruption laws, import and export control laws, tariffs, trade barriers, economic sanctions, and other regulatory limitations on our ability to provide our platform in certain international markets;</w:t>
      </w:r>
    </w:p>
    <w:p>
      <w:pPr>
        <w:spacing w:after="0" w:line="51" w:lineRule="exact"/>
        <w:rPr>
          <w:rFonts w:ascii="Arial" w:cs="Arial" w:eastAsia="Arial" w:hAnsi="Arial"/>
          <w:sz w:val="17"/>
          <w:szCs w:val="17"/>
          <w:color w:val="auto"/>
        </w:rPr>
      </w:pPr>
    </w:p>
    <w:p>
      <w:pPr>
        <w:ind w:left="880" w:hanging="319"/>
        <w:spacing w:after="0" w:line="277" w:lineRule="auto"/>
        <w:tabs>
          <w:tab w:leader="none" w:pos="8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foreign exchange controls that might require significant lead time in setting up operations in certain geographic territories and might prevent us from repatriating cash earned outside the United States;</w:t>
      </w:r>
    </w:p>
    <w:p>
      <w:pPr>
        <w:spacing w:after="0" w:line="75" w:lineRule="exact"/>
        <w:rPr>
          <w:rFonts w:ascii="Arial" w:cs="Arial" w:eastAsia="Arial" w:hAnsi="Arial"/>
          <w:sz w:val="18"/>
          <w:szCs w:val="18"/>
          <w:color w:val="auto"/>
        </w:rPr>
      </w:pPr>
    </w:p>
    <w:p>
      <w:pPr>
        <w:ind w:left="880" w:hanging="319"/>
        <w:spacing w:after="0"/>
        <w:tabs>
          <w:tab w:leader="none" w:pos="8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political and economic instability;</w:t>
      </w:r>
    </w:p>
    <w:p>
      <w:pPr>
        <w:spacing w:after="0" w:line="130" w:lineRule="exact"/>
        <w:rPr>
          <w:rFonts w:ascii="Arial" w:cs="Arial" w:eastAsia="Arial" w:hAnsi="Arial"/>
          <w:sz w:val="18"/>
          <w:szCs w:val="18"/>
          <w:color w:val="auto"/>
        </w:rPr>
      </w:pPr>
    </w:p>
    <w:p>
      <w:pPr>
        <w:ind w:left="880" w:right="140" w:hanging="319"/>
        <w:spacing w:after="0" w:line="277" w:lineRule="auto"/>
        <w:tabs>
          <w:tab w:leader="none" w:pos="8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double taxation of our international earnings and potentially adverse tax consequences due to changes in the income and other tax laws of the United States or the international jurisdictions in which we operate; and</w:t>
      </w:r>
    </w:p>
    <w:p>
      <w:pPr>
        <w:spacing w:after="0" w:line="75" w:lineRule="exact"/>
        <w:rPr>
          <w:rFonts w:ascii="Arial" w:cs="Arial" w:eastAsia="Arial" w:hAnsi="Arial"/>
          <w:sz w:val="18"/>
          <w:szCs w:val="18"/>
          <w:color w:val="auto"/>
        </w:rPr>
      </w:pPr>
    </w:p>
    <w:p>
      <w:pPr>
        <w:ind w:left="880" w:hanging="319"/>
        <w:spacing w:after="0"/>
        <w:tabs>
          <w:tab w:leader="none" w:pos="8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higher costs of doing business internationally, including increased accounting, travel, infrastructure, and legal compliance costs.</w:t>
      </w:r>
    </w:p>
    <w:p>
      <w:pPr>
        <w:spacing w:after="0" w:line="225" w:lineRule="exact"/>
        <w:rPr>
          <w:sz w:val="20"/>
          <w:szCs w:val="20"/>
          <w:color w:val="auto"/>
        </w:rPr>
      </w:pPr>
    </w:p>
    <w:p>
      <w:pPr>
        <w:jc w:val="both"/>
        <w:ind w:right="660" w:firstLine="449"/>
        <w:spacing w:after="0" w:line="311" w:lineRule="auto"/>
        <w:rPr>
          <w:sz w:val="20"/>
          <w:szCs w:val="20"/>
          <w:color w:val="auto"/>
        </w:rPr>
      </w:pPr>
      <w:r>
        <w:rPr>
          <w:rFonts w:ascii="Arial" w:cs="Arial" w:eastAsia="Arial" w:hAnsi="Arial"/>
          <w:sz w:val="16"/>
          <w:szCs w:val="16"/>
          <w:color w:val="auto"/>
        </w:rPr>
        <w:t>Compliance with laws and regulations applicable to our global operations substantially increases our cost of doing business in international jurisdictions. We may be unable to keep current with changes in laws and regulations as they change. Although we have implemented policies and procedures designed to support compliance with these laws and regulations, there can be no assurance that we will always maintain compliance</w:t>
      </w:r>
    </w:p>
    <w:p>
      <w:pPr>
        <w:spacing w:after="0" w:line="8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200"/>
          </w:cols>
          <w:pgMar w:left="320" w:top="459" w:right="379" w:bottom="1440" w:gutter="0" w:footer="0" w:header="0"/>
        </w:sectPr>
      </w:pPr>
    </w:p>
    <w:bookmarkStart w:id="27" w:name="page28"/>
    <w:bookmarkEnd w:id="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both"/>
        <w:ind w:right="360"/>
        <w:spacing w:after="0" w:line="286" w:lineRule="auto"/>
        <w:rPr>
          <w:sz w:val="20"/>
          <w:szCs w:val="20"/>
          <w:color w:val="auto"/>
        </w:rPr>
      </w:pPr>
      <w:r>
        <w:rPr>
          <w:rFonts w:ascii="Arial" w:cs="Arial" w:eastAsia="Arial" w:hAnsi="Arial"/>
          <w:sz w:val="17"/>
          <w:szCs w:val="17"/>
          <w:color w:val="auto"/>
        </w:rPr>
        <w:t>or that all of our employees, contractors, partners, and agents will comply. Any violations could result in enforcement actions, fines, civil and criminal penalties, damages, injunctions, or reputational harm. If we are unable comply with these laws and regulations or manage the complexity of our global operations successfully, our business, results of operations, and financial condition could be adversely affected.</w:t>
      </w:r>
    </w:p>
    <w:p>
      <w:pPr>
        <w:spacing w:after="0" w:line="273" w:lineRule="exact"/>
        <w:rPr>
          <w:sz w:val="20"/>
          <w:szCs w:val="20"/>
          <w:color w:val="auto"/>
        </w:rPr>
      </w:pPr>
    </w:p>
    <w:p>
      <w:pPr>
        <w:ind w:right="500"/>
        <w:spacing w:after="0" w:line="277" w:lineRule="auto"/>
        <w:rPr>
          <w:sz w:val="20"/>
          <w:szCs w:val="20"/>
          <w:color w:val="auto"/>
        </w:rPr>
      </w:pPr>
      <w:r>
        <w:rPr>
          <w:rFonts w:ascii="Arial" w:cs="Arial" w:eastAsia="Arial" w:hAnsi="Arial"/>
          <w:sz w:val="18"/>
          <w:szCs w:val="18"/>
          <w:b w:val="1"/>
          <w:bCs w:val="1"/>
          <w:i w:val="1"/>
          <w:iCs w:val="1"/>
          <w:color w:val="auto"/>
        </w:rPr>
        <w:t>Our results of operations, which are reported in U.S. dollars, could be adversely affected if currency exchange rates fluctuate substantially in the future.</w:t>
      </w:r>
    </w:p>
    <w:p>
      <w:pPr>
        <w:spacing w:after="0" w:line="62" w:lineRule="exact"/>
        <w:rPr>
          <w:sz w:val="20"/>
          <w:szCs w:val="20"/>
          <w:color w:val="auto"/>
        </w:rPr>
      </w:pPr>
    </w:p>
    <w:p>
      <w:pPr>
        <w:ind w:firstLine="449"/>
        <w:spacing w:after="0" w:line="290" w:lineRule="auto"/>
        <w:rPr>
          <w:sz w:val="20"/>
          <w:szCs w:val="20"/>
          <w:color w:val="auto"/>
        </w:rPr>
      </w:pPr>
      <w:r>
        <w:rPr>
          <w:rFonts w:ascii="Arial" w:cs="Arial" w:eastAsia="Arial" w:hAnsi="Arial"/>
          <w:sz w:val="16"/>
          <w:szCs w:val="16"/>
          <w:color w:val="auto"/>
        </w:rPr>
        <w:t>We conduct our business across 180 countries around the world. As we continue to expand our international operations, we will become more exposed to the effects of fluctuations in currency exchange rates. This exposure is the result of selling in multiple currencies and operating in foreign countries where the functional currency is the local currency. In 2016, 23% of our sales were denominated in currencies other than U.S. dollars. Our expenses, by contrast, are primarily denominated in U.S. dollars. As a result, any increase in the value of the U.S. dollar against these foreign currencies could cause our revenue to decline relative to our costs, thereby decreasing our gross margins. Our results of operations are primarily subject to fluctuations in the euro and British pound sterling. Because we conduct business in currencies other than U.S. dollars, but report our results of operations in U.S. dollars, we also face remeasurement exposure to fluctuations in currency exchange rates, which could hinder our ability to predict our future results and earnings and could materially impact our results of operations. We do not currently maintain a program to hedge exposures to non-U.S. dollar currencies.</w:t>
      </w:r>
    </w:p>
    <w:p>
      <w:pPr>
        <w:spacing w:after="0" w:line="273" w:lineRule="exact"/>
        <w:rPr>
          <w:sz w:val="20"/>
          <w:szCs w:val="20"/>
          <w:color w:val="auto"/>
        </w:rPr>
      </w:pPr>
    </w:p>
    <w:p>
      <w:pPr>
        <w:ind w:right="380"/>
        <w:spacing w:after="0" w:line="277" w:lineRule="auto"/>
        <w:rPr>
          <w:sz w:val="20"/>
          <w:szCs w:val="20"/>
          <w:color w:val="auto"/>
        </w:rPr>
      </w:pPr>
      <w:r>
        <w:rPr>
          <w:rFonts w:ascii="Arial" w:cs="Arial" w:eastAsia="Arial" w:hAnsi="Arial"/>
          <w:sz w:val="18"/>
          <w:szCs w:val="18"/>
          <w:b w:val="1"/>
          <w:bCs w:val="1"/>
          <w:i w:val="1"/>
          <w:iCs w:val="1"/>
          <w:color w:val="auto"/>
        </w:rPr>
        <w:t>We depend on our infrastructure and third-party datacenters, and any disruption in the operation of these facilities or failure to renew the services could adversely affect our business.</w:t>
      </w:r>
    </w:p>
    <w:p>
      <w:pPr>
        <w:spacing w:after="0" w:line="62" w:lineRule="exact"/>
        <w:rPr>
          <w:sz w:val="20"/>
          <w:szCs w:val="20"/>
          <w:color w:val="auto"/>
        </w:rPr>
      </w:pPr>
    </w:p>
    <w:p>
      <w:pPr>
        <w:ind w:right="140" w:firstLine="449"/>
        <w:spacing w:after="0" w:line="257" w:lineRule="auto"/>
        <w:rPr>
          <w:sz w:val="20"/>
          <w:szCs w:val="20"/>
          <w:color w:val="auto"/>
        </w:rPr>
      </w:pPr>
      <w:r>
        <w:rPr>
          <w:rFonts w:ascii="Arial" w:cs="Arial" w:eastAsia="Arial" w:hAnsi="Arial"/>
          <w:sz w:val="18"/>
          <w:szCs w:val="18"/>
          <w:color w:val="auto"/>
        </w:rPr>
        <w:t>We host our services and serve all of our users using a combination of our own custom-built infrastructure that we lease and operate in co-location facilities and third-party datacenter services such as Amazon Web Services. While we typically control and have access to the servers we operate in co-location facilities and the components of our custom-built infrastructure that are located in those co-location facilities, we control neither the operation of these facilities nor our third-party service providers. Furthermore, we have no physical access or control over the services provided by Amazon Web Services.</w:t>
      </w:r>
    </w:p>
    <w:p>
      <w:pPr>
        <w:spacing w:after="0" w:line="188" w:lineRule="exact"/>
        <w:rPr>
          <w:sz w:val="20"/>
          <w:szCs w:val="20"/>
          <w:color w:val="auto"/>
        </w:rPr>
      </w:pPr>
    </w:p>
    <w:p>
      <w:pPr>
        <w:ind w:right="80" w:firstLine="449"/>
        <w:spacing w:after="0" w:line="272" w:lineRule="auto"/>
        <w:rPr>
          <w:sz w:val="20"/>
          <w:szCs w:val="20"/>
          <w:color w:val="auto"/>
        </w:rPr>
      </w:pPr>
      <w:r>
        <w:rPr>
          <w:rFonts w:ascii="Arial" w:cs="Arial" w:eastAsia="Arial" w:hAnsi="Arial"/>
          <w:sz w:val="17"/>
          <w:szCs w:val="17"/>
          <w:color w:val="auto"/>
        </w:rPr>
        <w:t>Datacenter leases and agreements with the providers of datacenter services expire at various times. The owners of these datacenters and providers of these datacenter services may have no obligation to renew their agreements with us on commercially reasonable terms, or at all. Problems faced by datacenters, with our third-party datacenter service providers, with the telecommunications network providers with whom we or they contract, or with the systems by which our telecommunications providers allocate capacity among their users, including us, could adversely affect the experience of our users. Our third-party datacenter operators could decide to close their facilities or cease providing services without adequate notice. In addition, any financial difficulties, such as bankruptcy, faced by our third-party datacenters operators or any of the service providers with whom we or they contract may have negative effects on our business, the nature and extent of which are difficult to predict.</w:t>
      </w:r>
    </w:p>
    <w:p>
      <w:pPr>
        <w:spacing w:after="0" w:line="177" w:lineRule="exact"/>
        <w:rPr>
          <w:sz w:val="20"/>
          <w:szCs w:val="20"/>
          <w:color w:val="auto"/>
        </w:rPr>
      </w:pPr>
    </w:p>
    <w:p>
      <w:pPr>
        <w:ind w:right="20" w:firstLine="449"/>
        <w:spacing w:after="0" w:line="293" w:lineRule="auto"/>
        <w:rPr>
          <w:sz w:val="20"/>
          <w:szCs w:val="20"/>
          <w:color w:val="auto"/>
        </w:rPr>
      </w:pPr>
      <w:r>
        <w:rPr>
          <w:rFonts w:ascii="Arial" w:cs="Arial" w:eastAsia="Arial" w:hAnsi="Arial"/>
          <w:sz w:val="16"/>
          <w:szCs w:val="16"/>
          <w:color w:val="auto"/>
        </w:rPr>
        <w:t>If the datacenters and service providers that we use are unable to keep up with our growing needs for capacity, or if we are unable to renew our agreements with datacenters, and service providers on commercially reasonable terms, we may be required to transfer servers or content to new datacenters or engage new service providers, and we may incur significant costs, and possible service interruption in connection with doing so. Any changes in third-party service levels at datacenters or any real or perceived errors, defects, disruptions, or other performance problems with our platform could harm our reputation and may result in damage to, or loss or compromise of, our users’ content. Interruptions in our platform might, among other things, reduce our revenue, cause us to issue refunds to users, subject us to potential liability, harm our reputation, or decrease our renewal rates.</w:t>
      </w:r>
    </w:p>
    <w:p>
      <w:pPr>
        <w:spacing w:after="0" w:line="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220"/>
          </w:cols>
          <w:pgMar w:left="320" w:top="459" w:right="359" w:bottom="1440" w:gutter="0" w:footer="0" w:header="0"/>
        </w:sectPr>
      </w:pPr>
    </w:p>
    <w:bookmarkStart w:id="28" w:name="page29"/>
    <w:bookmarkEnd w:id="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spacing w:after="0" w:line="277" w:lineRule="auto"/>
        <w:rPr>
          <w:sz w:val="20"/>
          <w:szCs w:val="20"/>
          <w:color w:val="auto"/>
        </w:rPr>
      </w:pPr>
      <w:r>
        <w:rPr>
          <w:rFonts w:ascii="Arial" w:cs="Arial" w:eastAsia="Arial" w:hAnsi="Arial"/>
          <w:sz w:val="18"/>
          <w:szCs w:val="18"/>
          <w:b w:val="1"/>
          <w:bCs w:val="1"/>
          <w:i w:val="1"/>
          <w:iCs w:val="1"/>
          <w:color w:val="auto"/>
        </w:rPr>
        <w:t>We have relationships with third parties to provide, develop, and create applications that integrate with our platform, and our business could be harmed if we are not able to continue these relationships.</w:t>
      </w:r>
    </w:p>
    <w:p>
      <w:pPr>
        <w:spacing w:after="0" w:line="62" w:lineRule="exact"/>
        <w:rPr>
          <w:sz w:val="20"/>
          <w:szCs w:val="20"/>
          <w:color w:val="auto"/>
        </w:rPr>
      </w:pPr>
    </w:p>
    <w:p>
      <w:pPr>
        <w:ind w:right="100" w:firstLine="449"/>
        <w:spacing w:after="0" w:line="273" w:lineRule="auto"/>
        <w:rPr>
          <w:sz w:val="20"/>
          <w:szCs w:val="20"/>
          <w:color w:val="auto"/>
        </w:rPr>
      </w:pPr>
      <w:r>
        <w:rPr>
          <w:rFonts w:ascii="Arial" w:cs="Arial" w:eastAsia="Arial" w:hAnsi="Arial"/>
          <w:sz w:val="17"/>
          <w:szCs w:val="17"/>
          <w:color w:val="auto"/>
        </w:rPr>
        <w:t>We use software and services licensed and procured from third parties to develop and offer our platform. We may need to obtain future licenses and services from third parties to use intellectual property and technology associated with the development of our platform, which might not be available to us on acceptable terms, or at all. Any loss of the right to use any software or services required for the development and maintenance of our platform could result in delays in the provision of our platform until equivalent technology is either developed by us, or, if available from others, is identified, obtained, and integrated, which could harm our platform and business. Any errors or defects in third-party software or services could result in errors or a failure of our platform, which could harm our business, results of operations, and financial condition.</w:t>
      </w:r>
    </w:p>
    <w:p>
      <w:pPr>
        <w:spacing w:after="0" w:line="178" w:lineRule="exact"/>
        <w:rPr>
          <w:sz w:val="20"/>
          <w:szCs w:val="20"/>
          <w:color w:val="auto"/>
        </w:rPr>
      </w:pPr>
    </w:p>
    <w:p>
      <w:pPr>
        <w:ind w:right="40" w:firstLine="449"/>
        <w:spacing w:after="0" w:line="255" w:lineRule="auto"/>
        <w:rPr>
          <w:sz w:val="20"/>
          <w:szCs w:val="20"/>
          <w:color w:val="auto"/>
        </w:rPr>
      </w:pPr>
      <w:r>
        <w:rPr>
          <w:rFonts w:ascii="Arial" w:cs="Arial" w:eastAsia="Arial" w:hAnsi="Arial"/>
          <w:sz w:val="18"/>
          <w:szCs w:val="18"/>
          <w:color w:val="auto"/>
        </w:rPr>
        <w:t>We also depend on our ecosystem of developers to create applications that will integrate with our platform. As of September 30, 2017, Dropbox was receiving over 50 billion API calls per month, and more than 500,000 developers had registered and built applications on our platform. Our reliance on this ecosystem of developers creates certain business risks relating to the quality of the applications built using our APIs, service interruptions of our platform from these applications, lack of service support for these applications, and possession of intellectual property rights associated with these applications. We may not have the ability to control or prevent these risks. As a result, issues relating to these applications could adversely affect our business, brand, and reputation.</w:t>
      </w:r>
    </w:p>
    <w:p>
      <w:pPr>
        <w:spacing w:after="0" w:line="300" w:lineRule="exact"/>
        <w:rPr>
          <w:sz w:val="20"/>
          <w:szCs w:val="20"/>
          <w:color w:val="auto"/>
        </w:rPr>
      </w:pPr>
    </w:p>
    <w:p>
      <w:pPr>
        <w:ind w:right="80"/>
        <w:spacing w:after="0" w:line="263" w:lineRule="auto"/>
        <w:rPr>
          <w:sz w:val="20"/>
          <w:szCs w:val="20"/>
          <w:color w:val="auto"/>
        </w:rPr>
      </w:pPr>
      <w:r>
        <w:rPr>
          <w:rFonts w:ascii="Arial" w:cs="Arial" w:eastAsia="Arial" w:hAnsi="Arial"/>
          <w:sz w:val="18"/>
          <w:szCs w:val="18"/>
          <w:b w:val="1"/>
          <w:bCs w:val="1"/>
          <w:i w:val="1"/>
          <w:iCs w:val="1"/>
          <w:color w:val="auto"/>
        </w:rPr>
        <w:t>We are subject to a variety of U.S. and international laws that could subject us to claims, increase the cost of operations, or otherwise harm our business due to changes in the laws, changes in the interpretations of the laws, greater enforcement of the laws, or investigations into compliance with the laws.</w:t>
      </w:r>
    </w:p>
    <w:p>
      <w:pPr>
        <w:spacing w:after="0" w:line="76" w:lineRule="exact"/>
        <w:rPr>
          <w:sz w:val="20"/>
          <w:szCs w:val="20"/>
          <w:color w:val="auto"/>
        </w:rPr>
      </w:pPr>
    </w:p>
    <w:p>
      <w:pPr>
        <w:ind w:firstLine="449"/>
        <w:spacing w:after="0" w:line="272" w:lineRule="auto"/>
        <w:rPr>
          <w:sz w:val="20"/>
          <w:szCs w:val="20"/>
          <w:color w:val="auto"/>
        </w:rPr>
      </w:pPr>
      <w:r>
        <w:rPr>
          <w:rFonts w:ascii="Arial" w:cs="Arial" w:eastAsia="Arial" w:hAnsi="Arial"/>
          <w:sz w:val="17"/>
          <w:szCs w:val="17"/>
          <w:color w:val="auto"/>
        </w:rPr>
        <w:t>We are subject to compliance with various laws, including those covering copyright, indecent content, child protection, consumer protection, and similar matters. There have been instances where improper or illegal content has been stored on our platform without our knowledge. As a service provider, we do not regularly monitor our platform to evaluate the legality of content stored on it. While to date we have not been subject to material legal or administrative actions as result of this content, the laws in this area are currently in a state of flux and vary widely between jurisdictions. Accordingly, it may be possible that in the future we and our competitors may be subject to legal actions, along with the users who uploaded such content. In addition, regardless of any legal liability we may face, our reputation could be harmed should there be an incident generating extensive negative publicity about the content stored on our platform. Such publicity could harm our business and results of operations.</w:t>
      </w:r>
    </w:p>
    <w:p>
      <w:pPr>
        <w:spacing w:after="0" w:line="177" w:lineRule="exact"/>
        <w:rPr>
          <w:sz w:val="20"/>
          <w:szCs w:val="20"/>
          <w:color w:val="auto"/>
        </w:rPr>
      </w:pPr>
    </w:p>
    <w:p>
      <w:pPr>
        <w:ind w:right="60" w:firstLine="449"/>
        <w:spacing w:after="0" w:line="263" w:lineRule="auto"/>
        <w:rPr>
          <w:sz w:val="20"/>
          <w:szCs w:val="20"/>
          <w:color w:val="auto"/>
        </w:rPr>
      </w:pPr>
      <w:r>
        <w:rPr>
          <w:rFonts w:ascii="Arial" w:cs="Arial" w:eastAsia="Arial" w:hAnsi="Arial"/>
          <w:sz w:val="18"/>
          <w:szCs w:val="18"/>
          <w:color w:val="auto"/>
        </w:rPr>
        <w:t>We are also subject to consumer protection laws that may impact our sales and marketing efforts, including laws related to subscriptions, billing, and auto-renewal. These laws, as well as any changes in these laws, could adversely affect our self-serve model and make it more difficult for us to retain and upgrade paying users and attract new ones.</w:t>
      </w:r>
    </w:p>
    <w:p>
      <w:pPr>
        <w:spacing w:after="0" w:line="184" w:lineRule="exact"/>
        <w:rPr>
          <w:sz w:val="20"/>
          <w:szCs w:val="20"/>
          <w:color w:val="auto"/>
        </w:rPr>
      </w:pPr>
    </w:p>
    <w:p>
      <w:pPr>
        <w:ind w:right="80" w:firstLine="449"/>
        <w:spacing w:after="0" w:line="311" w:lineRule="auto"/>
        <w:rPr>
          <w:sz w:val="20"/>
          <w:szCs w:val="20"/>
          <w:color w:val="auto"/>
        </w:rPr>
      </w:pPr>
      <w:r>
        <w:rPr>
          <w:rFonts w:ascii="Arial" w:cs="Arial" w:eastAsia="Arial" w:hAnsi="Arial"/>
          <w:sz w:val="16"/>
          <w:szCs w:val="16"/>
          <w:color w:val="auto"/>
        </w:rPr>
        <w:t>Our platform depends on the ability of our users to access the internet and our platform has been blocked or restricted in some countries for various reasons. For example, our platform is blocked in the People’s Republic of China. If we fail to anticipate developments in the law, or fail for any reason to comply with relevant law, our platform could be further blocked or restricted and we could be exposed to significant liability that could harm our business.</w:t>
      </w:r>
    </w:p>
    <w:p>
      <w:pPr>
        <w:spacing w:after="0" w:line="149" w:lineRule="exact"/>
        <w:rPr>
          <w:sz w:val="20"/>
          <w:szCs w:val="20"/>
          <w:color w:val="auto"/>
        </w:rPr>
      </w:pPr>
    </w:p>
    <w:p>
      <w:pPr>
        <w:ind w:right="20" w:firstLine="449"/>
        <w:spacing w:after="0" w:line="275" w:lineRule="auto"/>
        <w:rPr>
          <w:sz w:val="20"/>
          <w:szCs w:val="20"/>
          <w:color w:val="auto"/>
        </w:rPr>
      </w:pPr>
      <w:r>
        <w:rPr>
          <w:rFonts w:ascii="Arial" w:cs="Arial" w:eastAsia="Arial" w:hAnsi="Arial"/>
          <w:sz w:val="17"/>
          <w:szCs w:val="17"/>
          <w:color w:val="auto"/>
        </w:rPr>
        <w:t>We are also subject to various U.S. and international anti-corruption laws, such as the U.S. Foreign Corrupt Practices Act and the U.K. Bribery Act, as well as other similar anti-bribery and anti-kickback laws and regulations. These laws and regulations generally prohibit companies and their employees and intermediaries from authorizing, offering, or providing improper payments or benefits to officials and other recipients for improper purposes. Although we take precautions to prevent violations of these laws, our exposure for violating these laws increases as we continue to expand our international presence and any failure to comply with such laws could harm our reputation and our business.</w:t>
      </w:r>
    </w:p>
    <w:p>
      <w:pPr>
        <w:spacing w:after="0" w:line="10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220"/>
          </w:cols>
          <w:pgMar w:left="320" w:top="459" w:right="359" w:bottom="1440" w:gutter="0" w:footer="0" w:header="0"/>
        </w:sectPr>
      </w:pPr>
    </w:p>
    <w:bookmarkStart w:id="29" w:name="page30"/>
    <w:bookmarkEnd w:id="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right="420"/>
        <w:spacing w:after="0" w:line="277" w:lineRule="auto"/>
        <w:rPr>
          <w:sz w:val="20"/>
          <w:szCs w:val="20"/>
          <w:color w:val="auto"/>
        </w:rPr>
      </w:pPr>
      <w:r>
        <w:rPr>
          <w:rFonts w:ascii="Arial" w:cs="Arial" w:eastAsia="Arial" w:hAnsi="Arial"/>
          <w:sz w:val="18"/>
          <w:szCs w:val="18"/>
          <w:b w:val="1"/>
          <w:bCs w:val="1"/>
          <w:i w:val="1"/>
          <w:iCs w:val="1"/>
          <w:color w:val="auto"/>
        </w:rPr>
        <w:t>We are subject to export and import control laws and regulations that could impair our ability to compete in international markets or subject us to liability if we violate such laws and regulations.</w:t>
      </w:r>
    </w:p>
    <w:p>
      <w:pPr>
        <w:spacing w:after="0" w:line="62" w:lineRule="exact"/>
        <w:rPr>
          <w:sz w:val="20"/>
          <w:szCs w:val="20"/>
          <w:color w:val="auto"/>
        </w:rPr>
      </w:pPr>
    </w:p>
    <w:p>
      <w:pPr>
        <w:ind w:right="20" w:firstLine="449"/>
        <w:spacing w:after="0" w:line="269" w:lineRule="auto"/>
        <w:rPr>
          <w:sz w:val="20"/>
          <w:szCs w:val="20"/>
          <w:color w:val="auto"/>
        </w:rPr>
      </w:pPr>
      <w:r>
        <w:rPr>
          <w:rFonts w:ascii="Arial" w:cs="Arial" w:eastAsia="Arial" w:hAnsi="Arial"/>
          <w:sz w:val="17"/>
          <w:szCs w:val="17"/>
          <w:color w:val="auto"/>
        </w:rPr>
        <w:t>We are subject to U.S. export controls and sanctions regulations that prohibit the shipment or provision of certain products and services to certain countries, governments, and persons targeted by U.S. sanctions. While we take precautions to prevent our products and services from being exported in violation of these laws, including implementing IP address blocking, we cannot guarantee that the precautions we take will prevent violations of export control and sanctions laws. For example, in 2011, we provided certain downloadable portions of our software to international users that, prior to export, required either a one-time product review or application for an encryption registration number in lieu of such product review. These exports were likely made in violation of U.S. export control and sanction laws. In March 2011, we filed a Final Voluntary Self Disclosure with the U.S. Department of Commerce’s Bureau of Industry and Security, or BIS, concerning these potential violations. In June 2012, BIS notified us that it had completed its review of these matters and closed its review with the issuance of a Warning Letter. No monetary penalties were assessed against us by BIS with respect to the 2011 filing. In addition, in 2017, we discovered that our platform has been accessed by certain users in countries that are the subject of United States sanctions. We filed an Initial Voluntary Self Disclosure in October 2017 with the Office of Foreign Assets Control, or OFAC. We are in the process of preparing the Final Voluntary Disclosure for submission to OFAC. If we are found to be in violation of U.S. sanctions or export control laws, it could result in substantial fines and penalties for us and for the individuals working for us.</w:t>
      </w:r>
    </w:p>
    <w:p>
      <w:pPr>
        <w:spacing w:after="0" w:line="179" w:lineRule="exact"/>
        <w:rPr>
          <w:sz w:val="20"/>
          <w:szCs w:val="20"/>
          <w:color w:val="auto"/>
        </w:rPr>
      </w:pPr>
    </w:p>
    <w:p>
      <w:pPr>
        <w:ind w:right="60" w:firstLine="449"/>
        <w:spacing w:after="0" w:line="290" w:lineRule="auto"/>
        <w:rPr>
          <w:sz w:val="20"/>
          <w:szCs w:val="20"/>
          <w:color w:val="auto"/>
        </w:rPr>
      </w:pPr>
      <w:r>
        <w:rPr>
          <w:rFonts w:ascii="Arial" w:cs="Arial" w:eastAsia="Arial" w:hAnsi="Arial"/>
          <w:sz w:val="16"/>
          <w:szCs w:val="16"/>
          <w:color w:val="auto"/>
        </w:rPr>
        <w:t>In addition, various countries regulate the import and export of certain encryption and other technology, including import and export permitting and licensing requirements, and have enacted laws that could limit our ability to distribute our products or could limit our users’ ability to access our platform in those countries. Changes in our platform or client-side software, or future changes in export and import regulations may prevent our users with international operations from deploying our platform globally or, in some cases, prevent the export or import of our platform to certain countries, governments, or persons altogether. Any change in export or import regulations, economic sanctions or related legislation, or change in the countries, governments, persons or technologies targeted by such regulations, could result in decreased use of our platform by, or in our decreased ability to export or sell subscriptions to our platform to, existing or potential users with international operations. Any decreased use of our platform or limitation on our ability to export or sell our products would likely adversely affect our business, results of operations, and financial results.</w:t>
      </w:r>
    </w:p>
    <w:p>
      <w:pPr>
        <w:spacing w:after="0" w:line="273" w:lineRule="exact"/>
        <w:rPr>
          <w:sz w:val="20"/>
          <w:szCs w:val="20"/>
          <w:color w:val="auto"/>
        </w:rPr>
      </w:pPr>
    </w:p>
    <w:p>
      <w:pPr>
        <w:ind w:right="340"/>
        <w:spacing w:after="0" w:line="277" w:lineRule="auto"/>
        <w:rPr>
          <w:sz w:val="20"/>
          <w:szCs w:val="20"/>
          <w:color w:val="auto"/>
        </w:rPr>
      </w:pPr>
      <w:r>
        <w:rPr>
          <w:rFonts w:ascii="Arial" w:cs="Arial" w:eastAsia="Arial" w:hAnsi="Arial"/>
          <w:sz w:val="18"/>
          <w:szCs w:val="18"/>
          <w:b w:val="1"/>
          <w:bCs w:val="1"/>
          <w:i w:val="1"/>
          <w:iCs w:val="1"/>
          <w:color w:val="auto"/>
        </w:rPr>
        <w:t>Our actual or perceived failure to comply with privacy, data protection, and information security laws, regulations, and obligations could harm our business.</w:t>
      </w:r>
    </w:p>
    <w:p>
      <w:pPr>
        <w:spacing w:after="0" w:line="62" w:lineRule="exact"/>
        <w:rPr>
          <w:sz w:val="20"/>
          <w:szCs w:val="20"/>
          <w:color w:val="auto"/>
        </w:rPr>
      </w:pPr>
    </w:p>
    <w:p>
      <w:pPr>
        <w:ind w:firstLine="449"/>
        <w:spacing w:after="0" w:line="271" w:lineRule="auto"/>
        <w:rPr>
          <w:sz w:val="20"/>
          <w:szCs w:val="20"/>
          <w:color w:val="auto"/>
        </w:rPr>
      </w:pPr>
      <w:r>
        <w:rPr>
          <w:rFonts w:ascii="Arial" w:cs="Arial" w:eastAsia="Arial" w:hAnsi="Arial"/>
          <w:sz w:val="17"/>
          <w:szCs w:val="17"/>
          <w:color w:val="auto"/>
        </w:rPr>
        <w:t>We receive, store, process, and use personal information and other user content. There are numerous federal, state, local, and international laws and regulations regarding privacy, data protection, information security, and the storing, sharing, use, processing, transfer, disclosure, and protection of personal information and other content, the scope of which are changing, subject to differing interpretations, and may be inconsistent among countries, or conflict with other rules. We are also subject to the terms of our privacy policies and obligations to third parties related to privacy, data protection, and information security. We strive to comply with applicable laws, regulations, policies, and other legal obligations relating to privacy, data protection, and information security to the extent possible. However, the regulatory framework for privacy and data protection worldwide is, and is likely to remain, uncertain for the foreseeable future, and it is possible that these or other actual or alleged obligations may be interpreted and applied in a manner that is inconsistent from one jurisdiction to another and may conflict with other rules or our practices.</w:t>
      </w:r>
    </w:p>
    <w:p>
      <w:pPr>
        <w:spacing w:after="0" w:line="178" w:lineRule="exact"/>
        <w:rPr>
          <w:sz w:val="20"/>
          <w:szCs w:val="20"/>
          <w:color w:val="auto"/>
        </w:rPr>
      </w:pPr>
    </w:p>
    <w:p>
      <w:pPr>
        <w:ind w:right="240" w:firstLine="449"/>
        <w:spacing w:after="0" w:line="279" w:lineRule="auto"/>
        <w:rPr>
          <w:sz w:val="20"/>
          <w:szCs w:val="20"/>
          <w:color w:val="auto"/>
        </w:rPr>
      </w:pPr>
      <w:r>
        <w:rPr>
          <w:rFonts w:ascii="Arial" w:cs="Arial" w:eastAsia="Arial" w:hAnsi="Arial"/>
          <w:sz w:val="17"/>
          <w:szCs w:val="17"/>
          <w:color w:val="auto"/>
        </w:rPr>
        <w:t>We also expect that there will continue to be new laws, regulations, and industry standards concerning privacy, data protection, and information security proposed and enacted in various jurisdictions. For example, European legislators have adopted a General Data Protection Regulation, or GDPR, that will, when effective in May 2018, supersede current European Union, or EU, data protection legislation, impose more stringent EU data protection requirements, and provide for greater penalties for noncompliance. Further, following a referendum in</w:t>
      </w:r>
    </w:p>
    <w:p>
      <w:pPr>
        <w:spacing w:after="0" w:line="10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220"/>
          </w:cols>
          <w:pgMar w:left="320" w:top="459" w:right="359" w:bottom="1440" w:gutter="0" w:footer="0" w:header="0"/>
        </w:sectPr>
      </w:pPr>
    </w:p>
    <w:bookmarkStart w:id="30" w:name="page31"/>
    <w:bookmarkEnd w:id="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right="40"/>
        <w:spacing w:after="0" w:line="254" w:lineRule="auto"/>
        <w:rPr>
          <w:sz w:val="20"/>
          <w:szCs w:val="20"/>
          <w:color w:val="auto"/>
        </w:rPr>
      </w:pPr>
      <w:r>
        <w:rPr>
          <w:rFonts w:ascii="Arial" w:cs="Arial" w:eastAsia="Arial" w:hAnsi="Arial"/>
          <w:sz w:val="18"/>
          <w:szCs w:val="18"/>
          <w:color w:val="auto"/>
        </w:rPr>
        <w:t>June 2016 in which voters in the United Kingdom approved an exit from the EU, the United Kingdom government has initiated a process to leave the EU, or Brexit. Brexit has created uncertainty with regard to the regulation of data protection in the United Kingdom. In particular, it is unclear whether the United Kingdom will enact data protection laws or regulations designed to be consistent with the pending EU General Data Protection Regulation and how data transfers to and from the United Kingdom will be regulated. Additionally, although we have self-certified under the U.S.-EU and U.S.-Swiss Privacy Shield Frameworks with regard to our transfer of certain personal data from the EU and Switzerland to the United States, some regulatory uncertainty remains surrounding the future of data transfers from the EU and Switzerland to the United States, and we are closely monitoring regulatory developments in this area.</w:t>
      </w:r>
    </w:p>
    <w:p>
      <w:pPr>
        <w:spacing w:after="0" w:line="195" w:lineRule="exact"/>
        <w:rPr>
          <w:sz w:val="20"/>
          <w:szCs w:val="20"/>
          <w:color w:val="auto"/>
        </w:rPr>
      </w:pPr>
    </w:p>
    <w:p>
      <w:pPr>
        <w:ind w:firstLine="449"/>
        <w:spacing w:after="0" w:line="255" w:lineRule="auto"/>
        <w:rPr>
          <w:sz w:val="20"/>
          <w:szCs w:val="20"/>
          <w:color w:val="auto"/>
        </w:rPr>
      </w:pPr>
      <w:r>
        <w:rPr>
          <w:rFonts w:ascii="Arial" w:cs="Arial" w:eastAsia="Arial" w:hAnsi="Arial"/>
          <w:sz w:val="18"/>
          <w:szCs w:val="18"/>
          <w:color w:val="auto"/>
        </w:rPr>
        <w:t>Any failure or perceived failure by us to comply with our privacy policies, our privacy-related obligations to users or other third parties, or any of our other legal obligations relating to privacy, data protection, or information security may result in governmental investigations or enforcement actions, litigation, claims, or public statements against us by consumer advocacy groups or others and could result in significant liability or cause our users to lose trust in us, which could have an adverse effect on our reputation and business. Furthermore, the costs of compliance with, and other burdens imposed by, the laws, regulations, and policies that are applicable to the businesses of our users may limit the adoption and use of, and reduce the overall demand for, our services.</w:t>
      </w:r>
    </w:p>
    <w:p>
      <w:pPr>
        <w:spacing w:after="0" w:line="192" w:lineRule="exact"/>
        <w:rPr>
          <w:sz w:val="20"/>
          <w:szCs w:val="20"/>
          <w:color w:val="auto"/>
        </w:rPr>
      </w:pPr>
    </w:p>
    <w:p>
      <w:pPr>
        <w:ind w:right="80" w:firstLine="449"/>
        <w:spacing w:after="0" w:line="255" w:lineRule="auto"/>
        <w:rPr>
          <w:sz w:val="20"/>
          <w:szCs w:val="20"/>
          <w:color w:val="auto"/>
        </w:rPr>
      </w:pPr>
      <w:r>
        <w:rPr>
          <w:rFonts w:ascii="Arial" w:cs="Arial" w:eastAsia="Arial" w:hAnsi="Arial"/>
          <w:sz w:val="18"/>
          <w:szCs w:val="18"/>
          <w:color w:val="auto"/>
        </w:rPr>
        <w:t>Additionally, if third parties we work with, such as vendors or developers, violate applicable laws or regulations or our policies, such violations may also put our users’ content at risk and could in turn have an adverse effect on our business. Any significant change to applicable laws, regulations, or industry practices regarding the collection, use, retention, security, or disclosure of our users’ content, or regarding the manner in which the express or implied consent of users for the collection, use, retention, or disclosure of such content is obtained, could increase our costs and require us to modify our services and features, possibly in a material manner, which we may be unable to complete, and may limit our ability to store and process user data or develop new services and features.</w:t>
      </w:r>
    </w:p>
    <w:p>
      <w:pPr>
        <w:spacing w:after="0" w:line="30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business could be adversely impacted by changes in internet access for our users or laws specifically governing the internet.</w:t>
      </w:r>
    </w:p>
    <w:p>
      <w:pPr>
        <w:spacing w:after="0" w:line="117" w:lineRule="exact"/>
        <w:rPr>
          <w:sz w:val="20"/>
          <w:szCs w:val="20"/>
          <w:color w:val="auto"/>
        </w:rPr>
      </w:pPr>
    </w:p>
    <w:p>
      <w:pPr>
        <w:ind w:right="60" w:firstLine="449"/>
        <w:spacing w:after="0" w:line="259" w:lineRule="auto"/>
        <w:rPr>
          <w:sz w:val="20"/>
          <w:szCs w:val="20"/>
          <w:color w:val="auto"/>
        </w:rPr>
      </w:pPr>
      <w:r>
        <w:rPr>
          <w:rFonts w:ascii="Arial" w:cs="Arial" w:eastAsia="Arial" w:hAnsi="Arial"/>
          <w:sz w:val="18"/>
          <w:szCs w:val="18"/>
          <w:color w:val="auto"/>
        </w:rPr>
        <w:t>Our platform depends on the quality of our users’ access to the internet. Certain features of our platform require significant bandwidth and fidelity to work effectively. Internet access is frequently provided by companies that have significant market power that could take actions that degrade, disrupt or increase the cost of user access to our platform, which would negatively impact our business. We could incur greater operating expenses and our user acquisition and retention could be negatively impacted if network operators:</w:t>
      </w:r>
    </w:p>
    <w:p>
      <w:pPr>
        <w:spacing w:after="0" w:line="92" w:lineRule="exact"/>
        <w:rPr>
          <w:sz w:val="20"/>
          <w:szCs w:val="20"/>
          <w:color w:val="auto"/>
        </w:rPr>
      </w:pPr>
    </w:p>
    <w:p>
      <w:pPr>
        <w:ind w:left="880" w:hanging="319"/>
        <w:spacing w:after="0"/>
        <w:tabs>
          <w:tab w:leader="none" w:pos="8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implement usage-based pricing;</w:t>
      </w:r>
    </w:p>
    <w:p>
      <w:pPr>
        <w:spacing w:after="0" w:line="130" w:lineRule="exact"/>
        <w:rPr>
          <w:rFonts w:ascii="Arial" w:cs="Arial" w:eastAsia="Arial" w:hAnsi="Arial"/>
          <w:sz w:val="18"/>
          <w:szCs w:val="18"/>
          <w:color w:val="auto"/>
        </w:rPr>
      </w:pPr>
    </w:p>
    <w:p>
      <w:pPr>
        <w:ind w:left="880" w:hanging="319"/>
        <w:spacing w:after="0"/>
        <w:tabs>
          <w:tab w:leader="none" w:pos="8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discount pricing for competitive products;</w:t>
      </w:r>
    </w:p>
    <w:p>
      <w:pPr>
        <w:spacing w:after="0" w:line="130" w:lineRule="exact"/>
        <w:rPr>
          <w:rFonts w:ascii="Arial" w:cs="Arial" w:eastAsia="Arial" w:hAnsi="Arial"/>
          <w:sz w:val="18"/>
          <w:szCs w:val="18"/>
          <w:color w:val="auto"/>
        </w:rPr>
      </w:pPr>
    </w:p>
    <w:p>
      <w:pPr>
        <w:ind w:left="880" w:hanging="319"/>
        <w:spacing w:after="0"/>
        <w:tabs>
          <w:tab w:leader="none" w:pos="8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otherwise materially change their pricing rates or schemes;</w:t>
      </w:r>
    </w:p>
    <w:p>
      <w:pPr>
        <w:spacing w:after="0" w:line="130" w:lineRule="exact"/>
        <w:rPr>
          <w:rFonts w:ascii="Arial" w:cs="Arial" w:eastAsia="Arial" w:hAnsi="Arial"/>
          <w:sz w:val="18"/>
          <w:szCs w:val="18"/>
          <w:color w:val="auto"/>
        </w:rPr>
      </w:pPr>
    </w:p>
    <w:p>
      <w:pPr>
        <w:ind w:left="880" w:hanging="319"/>
        <w:spacing w:after="0"/>
        <w:tabs>
          <w:tab w:leader="none" w:pos="8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charge us to deliver our traffic at certain levels or at all;</w:t>
      </w:r>
    </w:p>
    <w:p>
      <w:pPr>
        <w:spacing w:after="0" w:line="130" w:lineRule="exact"/>
        <w:rPr>
          <w:rFonts w:ascii="Arial" w:cs="Arial" w:eastAsia="Arial" w:hAnsi="Arial"/>
          <w:sz w:val="18"/>
          <w:szCs w:val="18"/>
          <w:color w:val="auto"/>
        </w:rPr>
      </w:pPr>
    </w:p>
    <w:p>
      <w:pPr>
        <w:ind w:left="880" w:hanging="319"/>
        <w:spacing w:after="0"/>
        <w:tabs>
          <w:tab w:leader="none" w:pos="8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throttle traffic based on its source or type;</w:t>
      </w:r>
    </w:p>
    <w:p>
      <w:pPr>
        <w:spacing w:after="0" w:line="130" w:lineRule="exact"/>
        <w:rPr>
          <w:rFonts w:ascii="Arial" w:cs="Arial" w:eastAsia="Arial" w:hAnsi="Arial"/>
          <w:sz w:val="18"/>
          <w:szCs w:val="18"/>
          <w:color w:val="auto"/>
        </w:rPr>
      </w:pPr>
    </w:p>
    <w:p>
      <w:pPr>
        <w:ind w:left="880" w:hanging="319"/>
        <w:spacing w:after="0"/>
        <w:tabs>
          <w:tab w:leader="none" w:pos="8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implement bandwidth caps or other usage restrictions; or</w:t>
      </w:r>
    </w:p>
    <w:p>
      <w:pPr>
        <w:spacing w:after="0" w:line="130" w:lineRule="exact"/>
        <w:rPr>
          <w:rFonts w:ascii="Arial" w:cs="Arial" w:eastAsia="Arial" w:hAnsi="Arial"/>
          <w:sz w:val="18"/>
          <w:szCs w:val="18"/>
          <w:color w:val="auto"/>
        </w:rPr>
      </w:pPr>
    </w:p>
    <w:p>
      <w:pPr>
        <w:ind w:left="880" w:hanging="319"/>
        <w:spacing w:after="0"/>
        <w:tabs>
          <w:tab w:leader="none" w:pos="8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otherwise try to monetize or control access to their networks.</w:t>
      </w:r>
    </w:p>
    <w:p>
      <w:pPr>
        <w:spacing w:after="0" w:line="225" w:lineRule="exact"/>
        <w:rPr>
          <w:sz w:val="20"/>
          <w:szCs w:val="20"/>
          <w:color w:val="auto"/>
        </w:rPr>
      </w:pPr>
    </w:p>
    <w:p>
      <w:pPr>
        <w:ind w:firstLine="449"/>
        <w:spacing w:after="0" w:line="259" w:lineRule="auto"/>
        <w:rPr>
          <w:sz w:val="20"/>
          <w:szCs w:val="20"/>
          <w:color w:val="auto"/>
        </w:rPr>
      </w:pPr>
      <w:r>
        <w:rPr>
          <w:rFonts w:ascii="Arial" w:cs="Arial" w:eastAsia="Arial" w:hAnsi="Arial"/>
          <w:sz w:val="18"/>
          <w:szCs w:val="18"/>
          <w:color w:val="auto"/>
        </w:rPr>
        <w:t>The Federal Communications Commission has recently announced its intention to seek to revise the “net neutrality” rules, which is expected to occur later this year. The rules were designed to ensure that all online content is treated the same by internet service providers and other companies that provide broadband services. Should the net neutrality rules be relaxed or eliminated, we could incur greater operating expenses, which could harm our results of operations.</w:t>
      </w:r>
    </w:p>
    <w:p>
      <w:pPr>
        <w:spacing w:after="0" w:line="1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220"/>
          </w:cols>
          <w:pgMar w:left="320" w:top="459" w:right="359" w:bottom="1440" w:gutter="0" w:footer="0" w:header="0"/>
        </w:sectPr>
      </w:pPr>
    </w:p>
    <w:bookmarkStart w:id="31" w:name="page32"/>
    <w:bookmarkEnd w:id="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both"/>
        <w:ind w:right="240" w:firstLine="449"/>
        <w:spacing w:after="0" w:line="286" w:lineRule="auto"/>
        <w:rPr>
          <w:sz w:val="20"/>
          <w:szCs w:val="20"/>
          <w:color w:val="auto"/>
        </w:rPr>
      </w:pPr>
      <w:r>
        <w:rPr>
          <w:rFonts w:ascii="Arial" w:cs="Arial" w:eastAsia="Arial" w:hAnsi="Arial"/>
          <w:sz w:val="17"/>
          <w:szCs w:val="17"/>
          <w:color w:val="auto"/>
        </w:rPr>
        <w:t>As the internet continues to experience growth in the number of users, frequency of use, and amount of data transmitted, the internet infrastructure that we and our users rely on may be unable to support the demands placed upon it. The failure of the internet infrastructure that we or our users rely on, even for a short period of time, could undermine our operations and harm our results of operations.</w:t>
      </w:r>
    </w:p>
    <w:p>
      <w:pPr>
        <w:spacing w:after="0" w:line="165" w:lineRule="exact"/>
        <w:rPr>
          <w:sz w:val="20"/>
          <w:szCs w:val="20"/>
          <w:color w:val="auto"/>
        </w:rPr>
      </w:pPr>
    </w:p>
    <w:p>
      <w:pPr>
        <w:ind w:right="20" w:firstLine="449"/>
        <w:spacing w:after="0" w:line="293" w:lineRule="auto"/>
        <w:rPr>
          <w:sz w:val="20"/>
          <w:szCs w:val="20"/>
          <w:color w:val="auto"/>
        </w:rPr>
      </w:pPr>
      <w:r>
        <w:rPr>
          <w:rFonts w:ascii="Arial" w:cs="Arial" w:eastAsia="Arial" w:hAnsi="Arial"/>
          <w:sz w:val="16"/>
          <w:szCs w:val="16"/>
          <w:color w:val="auto"/>
        </w:rPr>
        <w:t>In addition, there are various laws and regulations that could impede the growth of the internet or other online services, and new laws and regulations may be adopted in the future. These laws and regulations could, in addition to limiting internet neutrality, involve taxation, tariffs, privacy, data protection, content, copyrights, distribution, electronic contracts and other communications, consumer protection, and the characteristics and quality of services, any of which could decrease the demand for, or the usage of, our platform. Legislators and regulators may make legal and regulatory changes, or interpret and apply existing laws, in ways that require us to incur substantial costs, expose us to unanticipated civil or criminal liability, or cause us to change our business practices. These changes or increased costs could materially harm our business, results of operations, and financial condition.</w:t>
      </w:r>
    </w:p>
    <w:p>
      <w:pPr>
        <w:spacing w:after="0" w:line="272"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b w:val="1"/>
          <w:bCs w:val="1"/>
          <w:i w:val="1"/>
          <w:iCs w:val="1"/>
          <w:color w:val="auto"/>
        </w:rPr>
        <w:t>We are currently, and may be in the future, party to intellectual property rights claims and other litigation matters and, if resolved adversely, they could have a significant impact on our business, results of operations, or financial condition.</w:t>
      </w:r>
    </w:p>
    <w:p>
      <w:pPr>
        <w:spacing w:after="0" w:line="62" w:lineRule="exact"/>
        <w:rPr>
          <w:sz w:val="20"/>
          <w:szCs w:val="20"/>
          <w:color w:val="auto"/>
        </w:rPr>
      </w:pPr>
    </w:p>
    <w:p>
      <w:pPr>
        <w:ind w:firstLine="449"/>
        <w:spacing w:after="0" w:line="287" w:lineRule="auto"/>
        <w:rPr>
          <w:sz w:val="20"/>
          <w:szCs w:val="20"/>
          <w:color w:val="auto"/>
        </w:rPr>
      </w:pPr>
      <w:r>
        <w:rPr>
          <w:rFonts w:ascii="Arial" w:cs="Arial" w:eastAsia="Arial" w:hAnsi="Arial"/>
          <w:sz w:val="16"/>
          <w:szCs w:val="16"/>
          <w:color w:val="auto"/>
        </w:rPr>
        <w:t>We own a large number of patents, copyrights, trademarks, domain names, and trade secrets and, from time to time, are subject to litigation based on allegations of infringement, misappropriation or other violations of intellectual property, or other rights. As we face increasing competition and gain an increasingly high profile, the possibility of intellectual property rights claims against us grows. From time to time, we are party to litigation and disputes related to our intellectual property and our platform. The costs of supporting litigation and dispute resolution proceedings are considerable, and there can be no assurances that a favorable outcome will be obtained. We may need to settle litigation and disputes on terms that are unfavorable to us, or we may be subject to an unfavorable judgment that may not be reversible upon appeal. The terms of any settlement or judgment may require us to cease some or all of our operations or pay substantial amounts to the other party. With respect to any intellectual property rights claim, we may have to seek a license to continue practices found to be in violation of third-party rights, which may not be available on reasonable terms and may significantly increase our operating expenses. A license to continue such practices may not be available to us at all, and we may be required to develop alternative non-infringing technology or practices or discontinue the practices. The development of alternative, non-infringing technology or practices could require significant effort and expense. Our business, results of operations, and financial condition could be materially and adversely affected as a result.</w:t>
      </w:r>
    </w:p>
    <w:p>
      <w:pPr>
        <w:spacing w:after="0" w:line="280"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Our failure to protect our intellectual property rights and proprietary information could diminish our brand and other intangible assets.</w:t>
      </w:r>
    </w:p>
    <w:p>
      <w:pPr>
        <w:spacing w:after="0" w:line="129" w:lineRule="exact"/>
        <w:rPr>
          <w:sz w:val="20"/>
          <w:szCs w:val="20"/>
          <w:color w:val="auto"/>
        </w:rPr>
      </w:pPr>
    </w:p>
    <w:p>
      <w:pPr>
        <w:ind w:right="40" w:firstLine="449"/>
        <w:spacing w:after="0" w:line="288" w:lineRule="auto"/>
        <w:rPr>
          <w:sz w:val="20"/>
          <w:szCs w:val="20"/>
          <w:color w:val="auto"/>
        </w:rPr>
      </w:pPr>
      <w:r>
        <w:rPr>
          <w:rFonts w:ascii="Arial" w:cs="Arial" w:eastAsia="Arial" w:hAnsi="Arial"/>
          <w:sz w:val="16"/>
          <w:szCs w:val="16"/>
          <w:color w:val="auto"/>
        </w:rPr>
        <w:t>We rely and expect to continue to rely on a combination of patent, patent licenses, trade secret, and domain name protection, trademark, and copyright laws, as well as confidentiality and license agreements with our employees, consultants, and third parties, to protect our intellectual property and proprietary rights. In the United States and abroad, we have over 550 issued patents and more than 550 pending patent applications. However, third parties may knowingly or unknowingly infringe our proprietary rights, third parties may challenge our proprietary rights, pending and future patent, trademark, and copyright applications may not be approved, and we may not be able to prevent infringement without incurring substantial expense. We have also devoted substantial resources to the development of our proprietary technologies and related processes. In order to protect our proprietary technologies and processes, we rely in part on trade secret laws and confidentiality agreements with our employees, consultants, and third parties. These agreements may not effectively prevent disclosure of confidential information and may not provide an adequate remedy in the event of unauthorized disclosure of confidential information. In addition, others may independently discover our trade secrets, in which case we would not be able to assert trade secret rights, or develop similar technologies and processes. Further, laws in certain jurisdictions may afford little or no trade secret protection, and any changes in, or unexpected</w:t>
      </w:r>
    </w:p>
    <w:p>
      <w:pPr>
        <w:spacing w:after="0" w:line="10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240"/>
          </w:cols>
          <w:pgMar w:left="320" w:top="459" w:right="339" w:bottom="1440" w:gutter="0" w:footer="0" w:header="0"/>
        </w:sectPr>
      </w:pPr>
    </w:p>
    <w:bookmarkStart w:id="32" w:name="page33"/>
    <w:bookmarkEnd w:id="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right="100"/>
        <w:spacing w:after="0" w:line="257" w:lineRule="auto"/>
        <w:rPr>
          <w:sz w:val="20"/>
          <w:szCs w:val="20"/>
          <w:color w:val="auto"/>
        </w:rPr>
      </w:pPr>
      <w:r>
        <w:rPr>
          <w:rFonts w:ascii="Arial" w:cs="Arial" w:eastAsia="Arial" w:hAnsi="Arial"/>
          <w:sz w:val="18"/>
          <w:szCs w:val="18"/>
          <w:color w:val="auto"/>
        </w:rPr>
        <w:t>interpretations of, the intellectual property laws in any country in which we operate may compromise our ability to enforce our intellectual property rights. Costly and time-consuming litigation could be necessary to enforce and determine the scope of our proprietary rights. If the protection of our proprietary rights is inadequate to prevent use or appropriation by third parties, the value of our platform, brand, and other intangible assets may be diminished and competitors may be able to more effectively replicate our platform and its features. Any of these events could materially and adversely affect our business, results of operations, and financial condition.</w:t>
      </w:r>
    </w:p>
    <w:p>
      <w:pPr>
        <w:spacing w:after="0" w:line="296"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Our use of open source software could negatively affect our ability to offer and sell subscriptions to our platform and subject us to possible litigation.</w:t>
      </w:r>
    </w:p>
    <w:p>
      <w:pPr>
        <w:spacing w:after="0" w:line="152" w:lineRule="exact"/>
        <w:rPr>
          <w:sz w:val="20"/>
          <w:szCs w:val="20"/>
          <w:color w:val="auto"/>
        </w:rPr>
      </w:pPr>
    </w:p>
    <w:p>
      <w:pPr>
        <w:ind w:firstLine="449"/>
        <w:spacing w:after="0" w:line="288" w:lineRule="auto"/>
        <w:rPr>
          <w:sz w:val="20"/>
          <w:szCs w:val="20"/>
          <w:color w:val="auto"/>
        </w:rPr>
      </w:pPr>
      <w:r>
        <w:rPr>
          <w:rFonts w:ascii="Arial" w:cs="Arial" w:eastAsia="Arial" w:hAnsi="Arial"/>
          <w:sz w:val="16"/>
          <w:szCs w:val="16"/>
          <w:color w:val="auto"/>
        </w:rPr>
        <w:t>A portion of the technologies we use incorporates open source software, and we may incorporate open source software in the future. Open source software is generally licensed by its authors or other third parties under open source licenses. These licenses may subject us to certain unfavorable conditions, including requirements that we offer our platform that incorporates the open source software for no cost, that we make publicly available source code for modifications or derivative works we create based upon, incorporating or using the open source software, and/or that we license such modifications or derivative works under the terms of the particular open source license. Additionally, if a third-party software provider has incorporated open source software into software that we license from such provider, we could be required to disclose any of our source code that incorporates or is a modification of our licensed software. If an author or other third party that distributes open source software that we use or license were to allege that we had not complied with the conditions of the applicable license, we could be required to incur significant legal expenses defending against those allegations and could be subject to significant damages, enjoined from offering or selling our solutions that contained the open source software, and required to comply with the foregoing conditions. Any of the foregoing could disrupt and harm our business, results of operations, and financial condition.</w:t>
      </w:r>
    </w:p>
    <w:p>
      <w:pPr>
        <w:spacing w:after="0" w:line="27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ability to sell subscriptions to our platform could be harmed by real or perceived material defects or errors in our platform.</w:t>
      </w:r>
    </w:p>
    <w:p>
      <w:pPr>
        <w:spacing w:after="0" w:line="117" w:lineRule="exact"/>
        <w:rPr>
          <w:sz w:val="20"/>
          <w:szCs w:val="20"/>
          <w:color w:val="auto"/>
        </w:rPr>
      </w:pPr>
    </w:p>
    <w:p>
      <w:pPr>
        <w:ind w:right="20" w:firstLine="449"/>
        <w:spacing w:after="0" w:line="291" w:lineRule="auto"/>
        <w:rPr>
          <w:sz w:val="20"/>
          <w:szCs w:val="20"/>
          <w:color w:val="auto"/>
        </w:rPr>
      </w:pPr>
      <w:r>
        <w:rPr>
          <w:rFonts w:ascii="Arial" w:cs="Arial" w:eastAsia="Arial" w:hAnsi="Arial"/>
          <w:sz w:val="16"/>
          <w:szCs w:val="16"/>
          <w:color w:val="auto"/>
        </w:rPr>
        <w:t>The software technology underlying our platform is inherently complex and may contain material defects or errors, particularly when first introduced or when new features or capabilities are released. We have from time to time found defects or errors in our platform, and new defects or errors in our existing platform or new software may be detected in the future by us or our users. There can be no assurance that our existing platform and new software will not contain defects. Any real or perceived errors, failures, vulnerabilities, or bugs in our platform could result in negative publicity or lead to data security, access, retention, or other performance issues, all of which could harm our business. The costs incurred in correcting such defects or errors may be substantial and could harm our results of operations and financial condition. Moreover, the harm to our reputation and legal liability related to such defects or errors may be substantial and could harm our business, results of operations, and financial condition.</w:t>
      </w:r>
    </w:p>
    <w:p>
      <w:pPr>
        <w:spacing w:after="0" w:line="166" w:lineRule="exact"/>
        <w:rPr>
          <w:sz w:val="20"/>
          <w:szCs w:val="20"/>
          <w:color w:val="auto"/>
        </w:rPr>
      </w:pPr>
    </w:p>
    <w:p>
      <w:pPr>
        <w:ind w:right="180" w:firstLine="449"/>
        <w:spacing w:after="0" w:line="263" w:lineRule="auto"/>
        <w:rPr>
          <w:sz w:val="20"/>
          <w:szCs w:val="20"/>
          <w:color w:val="auto"/>
        </w:rPr>
      </w:pPr>
      <w:r>
        <w:rPr>
          <w:rFonts w:ascii="Arial" w:cs="Arial" w:eastAsia="Arial" w:hAnsi="Arial"/>
          <w:sz w:val="18"/>
          <w:szCs w:val="18"/>
          <w:color w:val="auto"/>
        </w:rPr>
        <w:t>We also utilize hardware purchased or leased and software and services licensed from third parties to offer our platform. Any defects in, or unavailability of, our or third-party software, services, or hardware that cause interruptions to the availability of our services, loss of data, or performance issues could, among other things:</w:t>
      </w:r>
    </w:p>
    <w:p>
      <w:pPr>
        <w:spacing w:after="0" w:line="89" w:lineRule="exact"/>
        <w:rPr>
          <w:sz w:val="20"/>
          <w:szCs w:val="20"/>
          <w:color w:val="auto"/>
        </w:rPr>
      </w:pPr>
    </w:p>
    <w:p>
      <w:pPr>
        <w:ind w:left="880" w:hanging="319"/>
        <w:spacing w:after="0"/>
        <w:tabs>
          <w:tab w:leader="none" w:pos="8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cause a reduction in revenue or delay in market acceptance of our platform;</w:t>
      </w:r>
    </w:p>
    <w:p>
      <w:pPr>
        <w:spacing w:after="0" w:line="130" w:lineRule="exact"/>
        <w:rPr>
          <w:rFonts w:ascii="Arial" w:cs="Arial" w:eastAsia="Arial" w:hAnsi="Arial"/>
          <w:sz w:val="18"/>
          <w:szCs w:val="18"/>
          <w:color w:val="auto"/>
        </w:rPr>
      </w:pPr>
    </w:p>
    <w:p>
      <w:pPr>
        <w:ind w:left="880" w:hanging="319"/>
        <w:spacing w:after="0"/>
        <w:tabs>
          <w:tab w:leader="none" w:pos="8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require us to issue refunds to our users or expose us to claims for damages;</w:t>
      </w:r>
    </w:p>
    <w:p>
      <w:pPr>
        <w:spacing w:after="0" w:line="130" w:lineRule="exact"/>
        <w:rPr>
          <w:rFonts w:ascii="Arial" w:cs="Arial" w:eastAsia="Arial" w:hAnsi="Arial"/>
          <w:sz w:val="18"/>
          <w:szCs w:val="18"/>
          <w:color w:val="auto"/>
        </w:rPr>
      </w:pPr>
    </w:p>
    <w:p>
      <w:pPr>
        <w:ind w:left="880" w:hanging="319"/>
        <w:spacing w:after="0"/>
        <w:tabs>
          <w:tab w:leader="none" w:pos="8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cause us to lose existing users and make it more difficult to attract new users;</w:t>
      </w:r>
    </w:p>
    <w:p>
      <w:pPr>
        <w:spacing w:after="0" w:line="130" w:lineRule="exact"/>
        <w:rPr>
          <w:rFonts w:ascii="Arial" w:cs="Arial" w:eastAsia="Arial" w:hAnsi="Arial"/>
          <w:sz w:val="18"/>
          <w:szCs w:val="18"/>
          <w:color w:val="auto"/>
        </w:rPr>
      </w:pPr>
    </w:p>
    <w:p>
      <w:pPr>
        <w:ind w:left="880" w:hanging="319"/>
        <w:spacing w:after="0"/>
        <w:tabs>
          <w:tab w:leader="none" w:pos="8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divert our development resources or require us to make extensive changes to our platform, which would increase our expenses;</w:t>
      </w:r>
    </w:p>
    <w:p>
      <w:pPr>
        <w:spacing w:after="0" w:line="130" w:lineRule="exact"/>
        <w:rPr>
          <w:rFonts w:ascii="Arial" w:cs="Arial" w:eastAsia="Arial" w:hAnsi="Arial"/>
          <w:sz w:val="18"/>
          <w:szCs w:val="18"/>
          <w:color w:val="auto"/>
        </w:rPr>
      </w:pPr>
    </w:p>
    <w:p>
      <w:pPr>
        <w:ind w:left="880" w:hanging="319"/>
        <w:spacing w:after="0"/>
        <w:tabs>
          <w:tab w:leader="none" w:pos="8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increase our technical support costs; and</w:t>
      </w:r>
    </w:p>
    <w:p>
      <w:pPr>
        <w:spacing w:after="0" w:line="130" w:lineRule="exact"/>
        <w:rPr>
          <w:rFonts w:ascii="Arial" w:cs="Arial" w:eastAsia="Arial" w:hAnsi="Arial"/>
          <w:sz w:val="18"/>
          <w:szCs w:val="18"/>
          <w:color w:val="auto"/>
        </w:rPr>
      </w:pPr>
    </w:p>
    <w:p>
      <w:pPr>
        <w:ind w:left="880" w:hanging="319"/>
        <w:spacing w:after="0"/>
        <w:tabs>
          <w:tab w:leader="none" w:pos="8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harm our reputation and brand.</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240"/>
          </w:cols>
          <w:pgMar w:left="320" w:top="459" w:right="339" w:bottom="1440" w:gutter="0" w:footer="0" w:header="0"/>
        </w:sectPr>
      </w:pPr>
    </w:p>
    <w:bookmarkStart w:id="33" w:name="page34"/>
    <w:bookmarkEnd w:id="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b w:val="1"/>
          <w:bCs w:val="1"/>
          <w:i w:val="1"/>
          <w:iCs w:val="1"/>
          <w:color w:val="auto"/>
        </w:rPr>
        <w:t>We may acquire other businesses or receive offers to be acquired, which could require significant management attention, disrupt our business, or dilute stockholder value.</w:t>
      </w:r>
    </w:p>
    <w:p>
      <w:pPr>
        <w:spacing w:after="0" w:line="62" w:lineRule="exact"/>
        <w:rPr>
          <w:sz w:val="20"/>
          <w:szCs w:val="20"/>
          <w:color w:val="auto"/>
        </w:rPr>
      </w:pPr>
    </w:p>
    <w:p>
      <w:pPr>
        <w:ind w:firstLine="449"/>
        <w:spacing w:after="0" w:line="289" w:lineRule="auto"/>
        <w:rPr>
          <w:sz w:val="20"/>
          <w:szCs w:val="20"/>
          <w:color w:val="auto"/>
        </w:rPr>
      </w:pPr>
      <w:r>
        <w:rPr>
          <w:rFonts w:ascii="Arial" w:cs="Arial" w:eastAsia="Arial" w:hAnsi="Arial"/>
          <w:sz w:val="16"/>
          <w:szCs w:val="16"/>
          <w:color w:val="auto"/>
        </w:rPr>
        <w:t>Part of our business strategy is to make acquisitions of other companies, products, and technologies. We have limited experience in acquisitions. We may not be able to find suitable acquisition candidates and we may not be able to complete acquisitions on favorable terms, if at all. If we do complete acquisitions, we may not ultimately strengthen our competitive position or achieve our goals, and any acquisitions we complete could be viewed negatively by users, developers, or investors. In addition, we may not be able to integrate acquired businesses successfully or effectively manage the combined company following an acquisition. If we fail to successfully integrate our acquisitions, or the people or technologies associated with those acquisitions, into our company, the results of operations of the combined company could be adversely affected. Any integration process will require significant time and resources, require significant attention from management, and disrupt the ordinary functioning of our business, and we may not be able to manage the process successfully, which could adversely affect our business, results of operations, and financial condition. In addition, we may not successfully evaluate or utilize the acquired technology and accurately forecast the financial impact of an acquisition transaction, including accounting charges.</w:t>
      </w:r>
    </w:p>
    <w:p>
      <w:pPr>
        <w:spacing w:after="0" w:line="166" w:lineRule="exact"/>
        <w:rPr>
          <w:sz w:val="20"/>
          <w:szCs w:val="20"/>
          <w:color w:val="auto"/>
        </w:rPr>
      </w:pPr>
    </w:p>
    <w:p>
      <w:pPr>
        <w:ind w:right="100" w:firstLine="449"/>
        <w:spacing w:after="0" w:line="259" w:lineRule="auto"/>
        <w:rPr>
          <w:sz w:val="20"/>
          <w:szCs w:val="20"/>
          <w:color w:val="auto"/>
        </w:rPr>
      </w:pPr>
      <w:r>
        <w:rPr>
          <w:rFonts w:ascii="Arial" w:cs="Arial" w:eastAsia="Arial" w:hAnsi="Arial"/>
          <w:sz w:val="18"/>
          <w:szCs w:val="18"/>
          <w:color w:val="auto"/>
        </w:rPr>
        <w:t>We may have to pay cash, incur debt, or issue equity securities to pay for any such acquisition, each of which could affect our financial condition or the value of our capital stock. The sale of equity to finance any such acquisitions could result in dilution to our stockholders. If we incur more debt, it would result in increased fixed obligations and could also subject us to covenants or other restrictions that would impede our ability to flexibly operate our business.</w:t>
      </w:r>
    </w:p>
    <w:p>
      <w:pPr>
        <w:spacing w:after="0" w:line="295"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Our business may be significantly impacted by a change in the economy, including any resulting effect on consumer or business spending.</w:t>
      </w:r>
    </w:p>
    <w:p>
      <w:pPr>
        <w:spacing w:after="0" w:line="140" w:lineRule="exact"/>
        <w:rPr>
          <w:sz w:val="20"/>
          <w:szCs w:val="20"/>
          <w:color w:val="auto"/>
        </w:rPr>
      </w:pPr>
    </w:p>
    <w:p>
      <w:pPr>
        <w:ind w:right="160" w:firstLine="449"/>
        <w:spacing w:after="0" w:line="257" w:lineRule="auto"/>
        <w:rPr>
          <w:sz w:val="20"/>
          <w:szCs w:val="20"/>
          <w:color w:val="auto"/>
        </w:rPr>
      </w:pPr>
      <w:r>
        <w:rPr>
          <w:rFonts w:ascii="Arial" w:cs="Arial" w:eastAsia="Arial" w:hAnsi="Arial"/>
          <w:sz w:val="18"/>
          <w:szCs w:val="18"/>
          <w:color w:val="auto"/>
        </w:rPr>
        <w:t>Our business may be affected by changes in the economy generally, including any resulting effect on spending by our business and consumer users. Some of our users may view a subscription to our platform as a discretionary purchase, and our paying users may reduce their discretionary spending on our platform during an economic downturn. If an economic downturn were to occur, we may experience such a reduction in the future, especially in the event of a prolonged recessionary period. As a result, our business, results of operations, and financial condition may be significantly affected by changes in the economy generally.</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business could be disrupted by catastrophic events.</w:t>
      </w:r>
    </w:p>
    <w:p>
      <w:pPr>
        <w:spacing w:after="0" w:line="117" w:lineRule="exact"/>
        <w:rPr>
          <w:sz w:val="20"/>
          <w:szCs w:val="20"/>
          <w:color w:val="auto"/>
        </w:rPr>
      </w:pPr>
    </w:p>
    <w:p>
      <w:pPr>
        <w:ind w:right="120" w:firstLine="449"/>
        <w:spacing w:after="0" w:line="270" w:lineRule="auto"/>
        <w:rPr>
          <w:sz w:val="20"/>
          <w:szCs w:val="20"/>
          <w:color w:val="auto"/>
        </w:rPr>
      </w:pPr>
      <w:r>
        <w:rPr>
          <w:rFonts w:ascii="Arial" w:cs="Arial" w:eastAsia="Arial" w:hAnsi="Arial"/>
          <w:sz w:val="17"/>
          <w:szCs w:val="17"/>
          <w:color w:val="auto"/>
        </w:rPr>
        <w:t>Occurrence of any catastrophic event, including earthquake, fire, flood, tsunami, or other weather event, power loss, telecommunications failure, software or hardware malfunctions, cyber-attack, war, or terrorist attack, could result in lengthy interruptions in our service. In particular, our U.S. headquarters and some of the datacenters we utilize are located in the San Francisco Bay Area, a region known for seismic activity, and our insurance coverage may not compensate us for losses that may occur in the event of an earthquake or other significant natural disaster. In addition, acts of terrorism could cause disruptions to the internet or the economy as a whole. Even with our disaster recovery arrangements, our service could be interrupted. If our systems were to fail or be negatively impacted as a result of a natural disaster or other event, our ability to deliver products to our users would be impaired or we could lose critical data. If we are unable to develop adequate plans to ensure that our business functions continue to operate during and after a disaster, and successfully execute on those plans in the event of a disaster or emergency, our business, results of operations, financial condition, and reputation would be harmed.</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have exposure to greater than anticipated tax liabilities, which could adversely impact our results of operations.</w:t>
      </w:r>
    </w:p>
    <w:p>
      <w:pPr>
        <w:spacing w:after="0" w:line="117" w:lineRule="exact"/>
        <w:rPr>
          <w:sz w:val="20"/>
          <w:szCs w:val="20"/>
          <w:color w:val="auto"/>
        </w:rPr>
      </w:pPr>
    </w:p>
    <w:p>
      <w:pPr>
        <w:ind w:right="560" w:firstLine="449"/>
        <w:spacing w:after="0" w:line="277" w:lineRule="auto"/>
        <w:rPr>
          <w:sz w:val="20"/>
          <w:szCs w:val="20"/>
          <w:color w:val="auto"/>
        </w:rPr>
      </w:pPr>
      <w:r>
        <w:rPr>
          <w:rFonts w:ascii="Arial" w:cs="Arial" w:eastAsia="Arial" w:hAnsi="Arial"/>
          <w:sz w:val="18"/>
          <w:szCs w:val="18"/>
          <w:color w:val="auto"/>
        </w:rPr>
        <w:t>While to date we have not incurred significant income taxes in operating our business, we are subject to income taxes in the United States and various jurisdictions outside of the United States. Our effective tax rate</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240"/>
          </w:cols>
          <w:pgMar w:left="320" w:top="459" w:right="339" w:bottom="1440" w:gutter="0" w:footer="0" w:header="0"/>
        </w:sectPr>
      </w:pPr>
    </w:p>
    <w:bookmarkStart w:id="34" w:name="page35"/>
    <w:bookmarkEnd w:id="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right="180"/>
        <w:spacing w:after="0" w:line="286" w:lineRule="auto"/>
        <w:rPr>
          <w:sz w:val="20"/>
          <w:szCs w:val="20"/>
          <w:color w:val="auto"/>
        </w:rPr>
      </w:pPr>
      <w:r>
        <w:rPr>
          <w:rFonts w:ascii="Arial" w:cs="Arial" w:eastAsia="Arial" w:hAnsi="Arial"/>
          <w:sz w:val="17"/>
          <w:szCs w:val="17"/>
          <w:color w:val="auto"/>
        </w:rPr>
        <w:t>could fluctuate due to changes in the mix of earnings and losses in countries with differing statutory tax rates. Our tax expense could also be impacted by changes in non-deductible expenses, changes in excess tax benefits of stock-based compensation, changes in the valuation of deferred tax assets and liabilities and our ability to utilize them, the applicability of withholding taxes and effects from acquisitions.</w:t>
      </w:r>
    </w:p>
    <w:p>
      <w:pPr>
        <w:spacing w:after="0" w:line="165" w:lineRule="exact"/>
        <w:rPr>
          <w:sz w:val="20"/>
          <w:szCs w:val="20"/>
          <w:color w:val="auto"/>
        </w:rPr>
      </w:pPr>
    </w:p>
    <w:p>
      <w:pPr>
        <w:ind w:right="160" w:firstLine="449"/>
        <w:spacing w:after="0" w:line="255" w:lineRule="auto"/>
        <w:rPr>
          <w:sz w:val="20"/>
          <w:szCs w:val="20"/>
          <w:color w:val="auto"/>
        </w:rPr>
      </w:pPr>
      <w:r>
        <w:rPr>
          <w:rFonts w:ascii="Arial" w:cs="Arial" w:eastAsia="Arial" w:hAnsi="Arial"/>
          <w:sz w:val="18"/>
          <w:szCs w:val="18"/>
          <w:color w:val="auto"/>
        </w:rPr>
        <w:t>Our tax provision could also be impacted by changes in accounting principles, changes in U.S. federal, state, or international tax laws applicable to corporate multinationals such as the recent legislation enacted in the United Kingdom and Australia, other fundamental law changes currently being considered by many countries, including the United States, and changes in taxing jurisdictions’ administrative interpretations, decisions, policies, and positions. Additionally, in October 2015, the Organization for Economic Co-Operation and Development released final guidance covering various topics, including transfer pricing, country-by-country reporting, and definitional changes to permanent establishment that could ultimately impact our tax liabilities.</w:t>
      </w:r>
    </w:p>
    <w:p>
      <w:pPr>
        <w:spacing w:after="0" w:line="192" w:lineRule="exact"/>
        <w:rPr>
          <w:sz w:val="20"/>
          <w:szCs w:val="20"/>
          <w:color w:val="auto"/>
        </w:rPr>
      </w:pPr>
    </w:p>
    <w:p>
      <w:pPr>
        <w:ind w:right="180" w:firstLine="449"/>
        <w:spacing w:after="0" w:line="273" w:lineRule="auto"/>
        <w:rPr>
          <w:sz w:val="20"/>
          <w:szCs w:val="20"/>
          <w:color w:val="auto"/>
        </w:rPr>
      </w:pPr>
      <w:r>
        <w:rPr>
          <w:rFonts w:ascii="Arial" w:cs="Arial" w:eastAsia="Arial" w:hAnsi="Arial"/>
          <w:sz w:val="17"/>
          <w:szCs w:val="17"/>
          <w:color w:val="auto"/>
        </w:rPr>
        <w:t>We are subject to review and audit by U.S. federal, state, local, and foreign tax authorities. Such tax authorities may disagree with tax positions we take and if any such tax authority were to successfully challenge any such position, our financial results and operations could be materially and adversely affected. We may also be subject to additional tax liabilities due to changes in non-income based taxes resulting from changes in federal, state, or international tax laws, changes in taxing jurisdictions’ administrative interpretations, decisions, policies, and positions, results of tax examinations, settlements or judicial decisions, changes in accounting principles, changes to the business operations, including acquisitions, as well as the evaluation of new information that results in a change to a tax position taken in a prior period.</w:t>
      </w:r>
    </w:p>
    <w:p>
      <w:pPr>
        <w:spacing w:after="0" w:line="2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ability to use our net operating loss carryforwards and certain other tax attributes may be limited.</w:t>
      </w:r>
    </w:p>
    <w:p>
      <w:pPr>
        <w:spacing w:after="0" w:line="117" w:lineRule="exact"/>
        <w:rPr>
          <w:sz w:val="20"/>
          <w:szCs w:val="20"/>
          <w:color w:val="auto"/>
        </w:rPr>
      </w:pPr>
    </w:p>
    <w:p>
      <w:pPr>
        <w:ind w:firstLine="449"/>
        <w:spacing w:after="0" w:line="287" w:lineRule="auto"/>
        <w:rPr>
          <w:sz w:val="20"/>
          <w:szCs w:val="20"/>
          <w:color w:val="auto"/>
        </w:rPr>
      </w:pPr>
      <w:r>
        <w:rPr>
          <w:rFonts w:ascii="Arial" w:cs="Arial" w:eastAsia="Arial" w:hAnsi="Arial"/>
          <w:sz w:val="16"/>
          <w:szCs w:val="16"/>
          <w:color w:val="auto"/>
        </w:rPr>
        <w:t>As of December 31, 2016, we had $254.8 million of federal and $94.9 million of state net operating loss carryforwards available to reduce future taxable income, which will begin to expire in 2031 for federal and 2030 for state tax purposes. As of December 31, 2016, we also had $247.9 million of foreign net operating loss carryforwards available to reduce future taxable income, which will carryforward indefinitely. In addition, we had $22.9 million of foreign acquired net operating losses, which will carryforward indefinitely. It is possible that we will not generate taxable income in time to use these net operating loss carryforwards before their expiration or at all. Under Sections 382 and 383 of the Internal Revenue Code of 1986, as amended, or the Code, if a corporation undergoes an “ownership change,” the corporation’s ability to use its pre-change net operating loss carryforwards and other pre-change attributes, such as research tax credits, to offset its post-change income may be limited. In general, an “ownership change” will occur if there is a cumulative change in our ownership by “5-percent shareholders” that exceeds 50 percentage points over a rolling three-year period. Similar rules may apply under state tax laws. We performed a study for the period through June 30, 2017, and determined that no ownership changes exceeding 50 percentage points had occurred. Our ability to use net operating loss and tax credit carryforwards to reduce future taxable income and liabilities may be subject to annual limitations as a result of ownership changes from July 1, 2017, and subsequent years or as a result of this offering.</w:t>
      </w:r>
    </w:p>
    <w:p>
      <w:pPr>
        <w:spacing w:after="0" w:line="280"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b w:val="1"/>
          <w:bCs w:val="1"/>
          <w:i w:val="1"/>
          <w:iCs w:val="1"/>
          <w:color w:val="auto"/>
        </w:rPr>
        <w:t>Our operating results may be harmed if we are required to collect sales or other related taxes for our subscription services in jurisdictions where we have not historically done so.</w:t>
      </w:r>
    </w:p>
    <w:p>
      <w:pPr>
        <w:spacing w:after="0" w:line="62" w:lineRule="exact"/>
        <w:rPr>
          <w:sz w:val="20"/>
          <w:szCs w:val="20"/>
          <w:color w:val="auto"/>
        </w:rPr>
      </w:pPr>
    </w:p>
    <w:p>
      <w:pPr>
        <w:ind w:right="40" w:firstLine="449"/>
        <w:spacing w:after="0" w:line="275" w:lineRule="auto"/>
        <w:rPr>
          <w:sz w:val="20"/>
          <w:szCs w:val="20"/>
          <w:color w:val="auto"/>
        </w:rPr>
      </w:pPr>
      <w:r>
        <w:rPr>
          <w:rFonts w:ascii="Arial" w:cs="Arial" w:eastAsia="Arial" w:hAnsi="Arial"/>
          <w:sz w:val="17"/>
          <w:szCs w:val="17"/>
          <w:color w:val="auto"/>
        </w:rPr>
        <w:t>We collect sales and value-added tax as part of our subscription agreements in a number of jurisdictions. One or more states or countries may seek to impose incremental or new sales, use, or other tax collection obligations on us, including for past sales by us or our resellers and other partners. A successful assertion by a state, country, or other jurisdiction that we should have been or should be collecting additional sales, use, or other taxes on our services could, among other things, result in substantial tax liabilities for past sales, create significant administrative burdens for us, discourage users from purchasing our platform, or otherwise harm our business, results of operations, and financial condition.</w:t>
      </w:r>
    </w:p>
    <w:p>
      <w:pPr>
        <w:spacing w:after="0" w:line="10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220"/>
          </w:cols>
          <w:pgMar w:left="320" w:top="459" w:right="359" w:bottom="1440" w:gutter="0" w:footer="0" w:header="0"/>
        </w:sectPr>
      </w:pPr>
    </w:p>
    <w:bookmarkStart w:id="35" w:name="page36"/>
    <w:bookmarkEnd w:id="3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right="500"/>
        <w:spacing w:after="0" w:line="277" w:lineRule="auto"/>
        <w:rPr>
          <w:sz w:val="20"/>
          <w:szCs w:val="20"/>
          <w:color w:val="auto"/>
        </w:rPr>
      </w:pPr>
      <w:r>
        <w:rPr>
          <w:rFonts w:ascii="Arial" w:cs="Arial" w:eastAsia="Arial" w:hAnsi="Arial"/>
          <w:sz w:val="18"/>
          <w:szCs w:val="18"/>
          <w:b w:val="1"/>
          <w:bCs w:val="1"/>
          <w:i w:val="1"/>
          <w:iCs w:val="1"/>
          <w:color w:val="auto"/>
        </w:rPr>
        <w:t>Our financial position and results of operations could be materially affected by the enactment of legislation implementing changes in the U.S. or foreign taxation of international business activities or the adoption of other tax reform policies.</w:t>
      </w:r>
    </w:p>
    <w:p>
      <w:pPr>
        <w:spacing w:after="0" w:line="62" w:lineRule="exact"/>
        <w:rPr>
          <w:sz w:val="20"/>
          <w:szCs w:val="20"/>
          <w:color w:val="auto"/>
        </w:rPr>
      </w:pPr>
    </w:p>
    <w:p>
      <w:pPr>
        <w:ind w:firstLine="449"/>
        <w:spacing w:after="0" w:line="296" w:lineRule="auto"/>
        <w:rPr>
          <w:sz w:val="20"/>
          <w:szCs w:val="20"/>
          <w:color w:val="auto"/>
        </w:rPr>
      </w:pPr>
      <w:r>
        <w:rPr>
          <w:rFonts w:ascii="Arial" w:cs="Arial" w:eastAsia="Arial" w:hAnsi="Arial"/>
          <w:sz w:val="16"/>
          <w:szCs w:val="16"/>
          <w:color w:val="auto"/>
        </w:rPr>
        <w:t>The current President of the United States and his administration have made public statements indicating that they have made tax reform a priority, and key members of the U.S. Congress have conducted hearings and proposed a wide variety of potential changes. There is significant uncertainty regarding the future of the tax treatment of our foreign earnings as well as the treatment of cash and cash equivalent balances we currently maintain outside of the United States. As we move towards expanding the scale of our international business activities, any changes in the U.S. or foreign taxation of such activities may increase our worldwide effective tax rate and harm our business, results of operations, and financial condition.</w:t>
      </w:r>
    </w:p>
    <w:p>
      <w:pPr>
        <w:spacing w:after="0" w:line="161"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b w:val="1"/>
          <w:bCs w:val="1"/>
          <w:i w:val="1"/>
          <w:iCs w:val="1"/>
          <w:color w:val="auto"/>
        </w:rPr>
        <w:t>If we fail to maintain an effective system of disclosure controls and internal control over financial reporting, our ability to produce timely and accurate financial statements or comply with applicable regulations could be impaired.</w:t>
      </w:r>
    </w:p>
    <w:p>
      <w:pPr>
        <w:spacing w:after="0" w:line="62" w:lineRule="exact"/>
        <w:rPr>
          <w:sz w:val="20"/>
          <w:szCs w:val="20"/>
          <w:color w:val="auto"/>
        </w:rPr>
      </w:pPr>
    </w:p>
    <w:p>
      <w:pPr>
        <w:ind w:left="460"/>
        <w:spacing w:after="0"/>
        <w:rPr>
          <w:sz w:val="20"/>
          <w:szCs w:val="20"/>
          <w:color w:val="auto"/>
        </w:rPr>
      </w:pPr>
      <w:r>
        <w:rPr>
          <w:rFonts w:ascii="Arial" w:cs="Arial" w:eastAsia="Arial" w:hAnsi="Arial"/>
          <w:sz w:val="16"/>
          <w:szCs w:val="16"/>
          <w:color w:val="auto"/>
        </w:rPr>
        <w:t>As a public company, we will be subject to the reporting requirements of the Securities Exchange Act of 1934, as amended, or the Exchange Act, the</w:t>
      </w:r>
    </w:p>
    <w:p>
      <w:pPr>
        <w:spacing w:after="0" w:line="46"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Sarbanes-Oxley Act of 2002, or the Sarbanes-Oxley Act, and the rules and regulations of the applicable listing standards of the . We expect that the requirements of these rules and regulations will continue to increase our legal, accounting, and financial compliance costs, make some activities more difficult, time-consuming and costly, and place significant strain on our personnel, systems, and resources.</w:t>
      </w:r>
    </w:p>
    <w:p>
      <w:pPr>
        <w:spacing w:after="0" w:line="190" w:lineRule="exact"/>
        <w:rPr>
          <w:sz w:val="20"/>
          <w:szCs w:val="20"/>
          <w:color w:val="auto"/>
        </w:rPr>
      </w:pPr>
    </w:p>
    <w:p>
      <w:pPr>
        <w:ind w:right="20" w:firstLine="449"/>
        <w:spacing w:after="0" w:line="291" w:lineRule="auto"/>
        <w:rPr>
          <w:sz w:val="20"/>
          <w:szCs w:val="20"/>
          <w:color w:val="auto"/>
        </w:rPr>
      </w:pPr>
      <w:r>
        <w:rPr>
          <w:rFonts w:ascii="Arial" w:cs="Arial" w:eastAsia="Arial" w:hAnsi="Arial"/>
          <w:sz w:val="16"/>
          <w:szCs w:val="16"/>
          <w:color w:val="auto"/>
        </w:rPr>
        <w:t>The Sarbanes-Oxley Act requires, among other things, that we maintain effective disclosure controls and procedures and internal control over financial reporting. We are continuing to develop and refine our disclosure controls and other procedures that are designed to ensure that information required to be disclosed by us in the reports that we will file with the SEC is recorded, processed, summarized, and reported within the time periods specified in SEC rules and forms and that information required to be disclosed in reports under the Exchange Act is accumulated and communicated to our principal executive and financial officers. We are also continuing to improve our internal control over financial reporting. In order to maintain and improve the effectiveness of our disclosure controls and procedures and internal control over financial reporting, we have expended, and anticipate that we will continue to expend, significant resources, including accounting-related costs and significant management oversight.</w:t>
      </w:r>
    </w:p>
    <w:p>
      <w:pPr>
        <w:spacing w:after="0" w:line="166" w:lineRule="exact"/>
        <w:rPr>
          <w:sz w:val="20"/>
          <w:szCs w:val="20"/>
          <w:color w:val="auto"/>
        </w:rPr>
      </w:pPr>
    </w:p>
    <w:p>
      <w:pPr>
        <w:ind w:right="20" w:firstLine="449"/>
        <w:spacing w:after="0" w:line="284" w:lineRule="auto"/>
        <w:rPr>
          <w:sz w:val="20"/>
          <w:szCs w:val="20"/>
          <w:color w:val="auto"/>
        </w:rPr>
      </w:pPr>
      <w:r>
        <w:rPr>
          <w:rFonts w:ascii="Arial" w:cs="Arial" w:eastAsia="Arial" w:hAnsi="Arial"/>
          <w:sz w:val="16"/>
          <w:szCs w:val="16"/>
          <w:color w:val="auto"/>
        </w:rPr>
        <w:t>Our current controls and any new controls that we develop may become inadequate because of changes in conditions in our business. Further, weaknesses in our disclosure controls and internal control over financial reporting may be discovered in the future. Any failure to develop or maintain effective controls or any difficulties encountered in their implementation or improvement could harm our results of operations or cause us to fail to meet our reporting obligations and may result in a restatement of our financial statements for prior periods. Any failure to implement and maintain effective internal control over financial reporting also could adversely affect the results of periodic management evaluations and annual independent registered public accounting firm attestation reports regarding the effectiveness of our internal control over financial reporting that we will eventually be required to include in our periodic reports that will be filed with the SEC. Ineffective disclosure controls and procedures and internal control over financial reporting could also cause investors to lose confidence in our reported financial and other information, which would likely have a negative effect on the trading price</w:t>
      </w:r>
    </w:p>
    <w:p>
      <w:pPr>
        <w:spacing w:after="0" w:line="1" w:lineRule="exact"/>
        <w:rPr>
          <w:sz w:val="20"/>
          <w:szCs w:val="20"/>
          <w:color w:val="auto"/>
        </w:rPr>
      </w:pPr>
    </w:p>
    <w:p>
      <w:pPr>
        <w:ind w:right="20"/>
        <w:spacing w:after="0" w:line="295" w:lineRule="auto"/>
        <w:rPr>
          <w:sz w:val="20"/>
          <w:szCs w:val="20"/>
          <w:color w:val="auto"/>
        </w:rPr>
      </w:pPr>
      <w:r>
        <w:rPr>
          <w:rFonts w:ascii="Arial" w:cs="Arial" w:eastAsia="Arial" w:hAnsi="Arial"/>
          <w:sz w:val="16"/>
          <w:szCs w:val="16"/>
          <w:color w:val="auto"/>
        </w:rPr>
        <w:t>of our Class A common stock. In addition, if we are unable to continue to meet these requirements, we may not be able to remain listed on . We are not currently required to comply with the SEC rules that implement Section 404 of the Sarbanes-Oxley Act and are therefore not required to make a formal assessment of the effectiveness of our internal control over financial reporting for that purpose. As a public company, we will be required to provide an annual management report on the effectiveness of our internal control over financial reporting commencing with our second annual report on Form 10-K.</w:t>
      </w:r>
    </w:p>
    <w:p>
      <w:pPr>
        <w:spacing w:after="0" w:line="161" w:lineRule="exact"/>
        <w:rPr>
          <w:sz w:val="20"/>
          <w:szCs w:val="20"/>
          <w:color w:val="auto"/>
        </w:rPr>
      </w:pPr>
    </w:p>
    <w:p>
      <w:pPr>
        <w:ind w:right="640" w:firstLine="449"/>
        <w:spacing w:after="0" w:line="277" w:lineRule="auto"/>
        <w:rPr>
          <w:sz w:val="20"/>
          <w:szCs w:val="20"/>
          <w:color w:val="auto"/>
        </w:rPr>
      </w:pPr>
      <w:r>
        <w:rPr>
          <w:rFonts w:ascii="Arial" w:cs="Arial" w:eastAsia="Arial" w:hAnsi="Arial"/>
          <w:sz w:val="18"/>
          <w:szCs w:val="18"/>
          <w:color w:val="auto"/>
        </w:rPr>
        <w:t>Our independent registered public accounting firm is not required to formally attest to the effectiveness of our internal control over financial reporting until after we are no longer an “emerging growth company” as</w:t>
      </w:r>
    </w:p>
    <w:p>
      <w:pPr>
        <w:spacing w:after="0" w:line="10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200"/>
          </w:cols>
          <w:pgMar w:left="320" w:top="459" w:right="379" w:bottom="1440" w:gutter="0" w:footer="0" w:header="0"/>
        </w:sectPr>
      </w:pPr>
    </w:p>
    <w:bookmarkStart w:id="36" w:name="page37"/>
    <w:bookmarkEnd w:id="3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right="40"/>
        <w:spacing w:after="0" w:line="279" w:lineRule="auto"/>
        <w:rPr>
          <w:sz w:val="20"/>
          <w:szCs w:val="20"/>
          <w:color w:val="auto"/>
        </w:rPr>
      </w:pPr>
      <w:r>
        <w:rPr>
          <w:rFonts w:ascii="Arial" w:cs="Arial" w:eastAsia="Arial" w:hAnsi="Arial"/>
          <w:sz w:val="17"/>
          <w:szCs w:val="17"/>
          <w:color w:val="auto"/>
        </w:rPr>
        <w:t>defined in the Jumpstart Our Businesses Act of 2012, or the JOBS Act. At such time, our independent registered public accounting firm may issue a report that is adverse in the event it is not satisfied with the level at which our internal control over financial reporting is documented, designed, or operating. Any failure to maintain effective disclosure controls and internal control over financial reporting could materially and adversely affect our business, results of operations, and financial condition and could cause a decline in the trading price of our Class A common stock.</w:t>
      </w:r>
    </w:p>
    <w:p>
      <w:pPr>
        <w:spacing w:after="0" w:line="279"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b w:val="1"/>
          <w:bCs w:val="1"/>
          <w:i w:val="1"/>
          <w:iCs w:val="1"/>
          <w:color w:val="auto"/>
        </w:rPr>
        <w:t>We are an “emerging growth company” and we cannot be certain if the reduced disclosure requirements applicable to emerging growth companies will make our Class A common stock less attractive to investors.</w:t>
      </w:r>
    </w:p>
    <w:p>
      <w:pPr>
        <w:spacing w:after="0" w:line="62" w:lineRule="exact"/>
        <w:rPr>
          <w:sz w:val="20"/>
          <w:szCs w:val="20"/>
          <w:color w:val="auto"/>
        </w:rPr>
      </w:pPr>
    </w:p>
    <w:p>
      <w:pPr>
        <w:ind w:firstLine="449"/>
        <w:spacing w:after="0" w:line="287" w:lineRule="auto"/>
        <w:rPr>
          <w:sz w:val="20"/>
          <w:szCs w:val="20"/>
          <w:color w:val="auto"/>
        </w:rPr>
      </w:pPr>
      <w:r>
        <w:rPr>
          <w:rFonts w:ascii="Arial" w:cs="Arial" w:eastAsia="Arial" w:hAnsi="Arial"/>
          <w:sz w:val="16"/>
          <w:szCs w:val="16"/>
          <w:color w:val="auto"/>
        </w:rPr>
        <w:t>We are an “emerging growth company,” as defined in the JOBS Act, and we intend to take advantage of certain exemptions from various reporting requirements that are applicable to other public companies that are not “emerging growth companies,” including not being required to comply with the auditor attestation requirements of Section 404 of the Sarbanes-Oxley Act, reduced disclosure obligations regarding executive compensation in our periodic reports and proxy statements, and exemptions from the requirements of holding a nonbinding advisory vote on executive compensation and stockholder approval of any golden parachute payments not previously approved. We may take advantage of these exemptions for so long as we are an “emerging growth company,” which could be as long as five years following the completion of this offering but we expect not to be an “emerging growth company” sooner. Our status as an “emerging growth company” will end on the last day of the fiscal year in which we have $1.07 billion or more in annual revenue. However, if we achieve the $1.07 billion revenue threshold prior to the completion of this offering, we will continue to be treated as an “emerging growth company” for certain purposes until the earlier of the date on which we complete this offering or the end of the one-year period beginning on the date we ceased to be an “emerging growth company.” We cannot predict if investors will find our Class A common stock less attractive because we will rely on these exemptions. If some investors find our Class A common stock less attractive as a result, there may be a less active trading market for our Class A common stock and the trading price of our Class A common stock may be more volatile.</w:t>
      </w:r>
    </w:p>
    <w:p>
      <w:pPr>
        <w:spacing w:after="0" w:line="276"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Our reported results of operations may be adversely affected by changes in accounting principles generally accepted in the United States.</w:t>
      </w:r>
    </w:p>
    <w:p>
      <w:pPr>
        <w:spacing w:after="0" w:line="129" w:lineRule="exact"/>
        <w:rPr>
          <w:sz w:val="20"/>
          <w:szCs w:val="20"/>
          <w:color w:val="auto"/>
        </w:rPr>
      </w:pPr>
    </w:p>
    <w:p>
      <w:pPr>
        <w:ind w:right="60" w:firstLine="449"/>
        <w:spacing w:after="0" w:line="289" w:lineRule="auto"/>
        <w:rPr>
          <w:sz w:val="20"/>
          <w:szCs w:val="20"/>
          <w:color w:val="auto"/>
        </w:rPr>
      </w:pPr>
      <w:r>
        <w:rPr>
          <w:rFonts w:ascii="Arial" w:cs="Arial" w:eastAsia="Arial" w:hAnsi="Arial"/>
          <w:sz w:val="16"/>
          <w:szCs w:val="16"/>
          <w:color w:val="auto"/>
        </w:rPr>
        <w:t xml:space="preserve">Generally accepted accounting principles in the United States are subject to interpretation by the Financial Accounting Standards Board, or FASB, the SEC, and various bodies formed to promulgate and interpret appropriate accounting principles. A change in these principles or interpretations could have a significant effect on our reported results of operations, and may even affect the reporting of transactions completed before the announcement or effectiveness of a change. For example, in May 2014, the FASB issued Accounting Standards Update, or ASU, No. 2014-09, </w:t>
      </w:r>
      <w:r>
        <w:rPr>
          <w:rFonts w:ascii="Arial" w:cs="Arial" w:eastAsia="Arial" w:hAnsi="Arial"/>
          <w:sz w:val="16"/>
          <w:szCs w:val="16"/>
          <w:i w:val="1"/>
          <w:iCs w:val="1"/>
          <w:color w:val="auto"/>
        </w:rPr>
        <w:t>Revenue from Contracts with</w:t>
      </w:r>
      <w:r>
        <w:rPr>
          <w:rFonts w:ascii="Arial" w:cs="Arial" w:eastAsia="Arial" w:hAnsi="Arial"/>
          <w:sz w:val="16"/>
          <w:szCs w:val="16"/>
          <w:color w:val="auto"/>
        </w:rPr>
        <w:t xml:space="preserve"> </w:t>
      </w:r>
      <w:r>
        <w:rPr>
          <w:rFonts w:ascii="Arial" w:cs="Arial" w:eastAsia="Arial" w:hAnsi="Arial"/>
          <w:sz w:val="16"/>
          <w:szCs w:val="16"/>
          <w:i w:val="1"/>
          <w:iCs w:val="1"/>
          <w:color w:val="auto"/>
        </w:rPr>
        <w:t>Customers (Topic 606)</w:t>
      </w:r>
      <w:r>
        <w:rPr>
          <w:rFonts w:ascii="Arial" w:cs="Arial" w:eastAsia="Arial" w:hAnsi="Arial"/>
          <w:sz w:val="16"/>
          <w:szCs w:val="16"/>
          <w:color w:val="auto"/>
        </w:rPr>
        <w:t>, or Topic 606, which superseded nearly all existing revenue recognition guidance. We adopted the requirements of Topic 606 as of</w:t>
      </w:r>
      <w:r>
        <w:rPr>
          <w:rFonts w:ascii="Arial" w:cs="Arial" w:eastAsia="Arial" w:hAnsi="Arial"/>
          <w:sz w:val="16"/>
          <w:szCs w:val="16"/>
          <w:i w:val="1"/>
          <w:iCs w:val="1"/>
          <w:color w:val="auto"/>
        </w:rPr>
        <w:t xml:space="preserve"> </w:t>
      </w:r>
      <w:r>
        <w:rPr>
          <w:rFonts w:ascii="Arial" w:cs="Arial" w:eastAsia="Arial" w:hAnsi="Arial"/>
          <w:sz w:val="16"/>
          <w:szCs w:val="16"/>
          <w:color w:val="auto"/>
        </w:rPr>
        <w:t>January 1, 2017, utilizing the full retrospective method of transition. As such, Topic 606 is reflected in our financial results for all periods presented in this prospectus. The adoption of Topic 606 primarily resulted in changes to our accounting policies for revenue recognition and deferred commissions, which we believe to be critical accounting policies. While the impact of adopting Topic 606 on our revenue was not material, it is difficult to predict the impact of future changes to accounting principles or our accounting policies, any of which could negatively affect our results of operations.</w:t>
      </w:r>
    </w:p>
    <w:p>
      <w:pPr>
        <w:spacing w:after="0" w:line="274" w:lineRule="exact"/>
        <w:rPr>
          <w:sz w:val="20"/>
          <w:szCs w:val="20"/>
          <w:color w:val="auto"/>
        </w:rPr>
      </w:pPr>
    </w:p>
    <w:p>
      <w:pPr>
        <w:ind w:right="260"/>
        <w:spacing w:after="0" w:line="263" w:lineRule="auto"/>
        <w:rPr>
          <w:sz w:val="20"/>
          <w:szCs w:val="20"/>
          <w:color w:val="auto"/>
        </w:rPr>
      </w:pPr>
      <w:r>
        <w:rPr>
          <w:rFonts w:ascii="Arial" w:cs="Arial" w:eastAsia="Arial" w:hAnsi="Arial"/>
          <w:sz w:val="18"/>
          <w:szCs w:val="18"/>
          <w:b w:val="1"/>
          <w:bCs w:val="1"/>
          <w:i w:val="1"/>
          <w:iCs w:val="1"/>
          <w:color w:val="auto"/>
        </w:rPr>
        <w:t>We recently implemented a new enterprise resource planning system, and if this new system proves ineffective or if we experience issues with the transition, we may be unable to timely or accurately prepare financial reports, make payments to our suppliers and employees, or invoice and collect from our users.</w:t>
      </w:r>
    </w:p>
    <w:p>
      <w:pPr>
        <w:spacing w:after="0" w:line="76" w:lineRule="exact"/>
        <w:rPr>
          <w:sz w:val="20"/>
          <w:szCs w:val="20"/>
          <w:color w:val="auto"/>
        </w:rPr>
      </w:pPr>
    </w:p>
    <w:p>
      <w:pPr>
        <w:ind w:right="20" w:firstLine="449"/>
        <w:spacing w:after="0" w:line="311" w:lineRule="auto"/>
        <w:rPr>
          <w:sz w:val="20"/>
          <w:szCs w:val="20"/>
          <w:color w:val="auto"/>
        </w:rPr>
      </w:pPr>
      <w:r>
        <w:rPr>
          <w:rFonts w:ascii="Arial" w:cs="Arial" w:eastAsia="Arial" w:hAnsi="Arial"/>
          <w:sz w:val="16"/>
          <w:szCs w:val="16"/>
          <w:color w:val="auto"/>
        </w:rPr>
        <w:t>In 2017, we implemented a new enterprise resource planning, or ERP, system, including our systems for tracking revenue recognition. Our ERP system is critical to our ability to accurately maintain books and records and to prepare our financial statements. The transition to our new ERP system may be disruptive to our business if the ERP system does not work as planned or if we experience issues relating to the implementation. Such</w:t>
      </w:r>
    </w:p>
    <w:p>
      <w:pPr>
        <w:spacing w:after="0" w:line="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240"/>
          </w:cols>
          <w:pgMar w:left="320" w:top="459" w:right="339" w:bottom="1440" w:gutter="0" w:footer="0" w:header="0"/>
        </w:sectPr>
      </w:pPr>
    </w:p>
    <w:bookmarkStart w:id="37" w:name="page38"/>
    <w:bookmarkEnd w:id="3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spacing w:after="0" w:line="275" w:lineRule="auto"/>
        <w:rPr>
          <w:sz w:val="20"/>
          <w:szCs w:val="20"/>
          <w:color w:val="auto"/>
        </w:rPr>
      </w:pPr>
      <w:r>
        <w:rPr>
          <w:rFonts w:ascii="Arial" w:cs="Arial" w:eastAsia="Arial" w:hAnsi="Arial"/>
          <w:sz w:val="17"/>
          <w:szCs w:val="17"/>
          <w:color w:val="auto"/>
        </w:rPr>
        <w:t>disruptions could impact our ability to timely or accurately make payments to our suppliers and employees, and could also inhibit our ability to invoice, and collect from our users. Data integrity problems or other issues may be discovered which, if not corrected, could impact our business or financial results. In addition, we may experience periodic or prolonged disruption of our financial functions arising out of this conversion, general use of such system, other periodic upgrades or updates, or other external factors that are outside of our control. If we encounter unforeseen problems with our ERP system or other related systems and infrastructure, our business, results of operations, and financial condition could be adversely affected.</w:t>
      </w:r>
    </w:p>
    <w:p>
      <w:pPr>
        <w:spacing w:after="0" w:line="284"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b w:val="1"/>
          <w:bCs w:val="1"/>
          <w:i w:val="1"/>
          <w:iCs w:val="1"/>
          <w:color w:val="auto"/>
        </w:rPr>
        <w:t>Certain of our market opportunity estimates, growth forecasts, and key metrics included in this prospectus could prove to be inaccurate, and any real or perceived inaccuracies may harm our reputation and negatively affect our business.</w:t>
      </w:r>
    </w:p>
    <w:p>
      <w:pPr>
        <w:spacing w:after="0" w:line="62" w:lineRule="exact"/>
        <w:rPr>
          <w:sz w:val="20"/>
          <w:szCs w:val="20"/>
          <w:color w:val="auto"/>
        </w:rPr>
      </w:pPr>
    </w:p>
    <w:p>
      <w:pPr>
        <w:ind w:right="100" w:firstLine="449"/>
        <w:spacing w:after="0" w:line="271" w:lineRule="auto"/>
        <w:rPr>
          <w:sz w:val="20"/>
          <w:szCs w:val="20"/>
          <w:color w:val="auto"/>
        </w:rPr>
      </w:pPr>
      <w:r>
        <w:rPr>
          <w:rFonts w:ascii="Arial" w:cs="Arial" w:eastAsia="Arial" w:hAnsi="Arial"/>
          <w:sz w:val="17"/>
          <w:szCs w:val="17"/>
          <w:color w:val="auto"/>
        </w:rPr>
        <w:t>Market opportunity estimates and growth forecasts are subject to significant uncertainty and are based on assumptions and estimates that may not prove to be accurate. The estimates and forecasts in this prospectus relating to the size and expected growth of our target market may prove to be inaccurate. Even if the markets in which we compete meet the size estimates and growth forecasted in this prospectus, our business could fail to grow at similar rates, if at all. We also rely on assumptions and estimates to calculate certain of our key metrics, such as paying users, average revenue per paying user, and free cash flow. We regularly review and may adjust our processes for calculating our key metrics to improve their accuracy. Our key metrics may differ from estimates published by third parties or from similarly titled metrics of our competitors due to differences in methodology. If investors or analysts do not perceive our metrics to be accurate representations of our business, or if we discover material inaccuracies in our metrics, our reputation, business, results of operations, and financial condition would be harmed.</w:t>
      </w:r>
    </w:p>
    <w:p>
      <w:pPr>
        <w:spacing w:after="0" w:line="286" w:lineRule="exact"/>
        <w:rPr>
          <w:sz w:val="20"/>
          <w:szCs w:val="20"/>
          <w:color w:val="auto"/>
        </w:rPr>
      </w:pPr>
    </w:p>
    <w:p>
      <w:pPr>
        <w:ind w:right="20"/>
        <w:spacing w:after="0" w:line="263" w:lineRule="auto"/>
        <w:rPr>
          <w:sz w:val="20"/>
          <w:szCs w:val="20"/>
          <w:color w:val="auto"/>
        </w:rPr>
      </w:pPr>
      <w:r>
        <w:rPr>
          <w:rFonts w:ascii="Arial" w:cs="Arial" w:eastAsia="Arial" w:hAnsi="Arial"/>
          <w:sz w:val="18"/>
          <w:szCs w:val="18"/>
          <w:b w:val="1"/>
          <w:bCs w:val="1"/>
          <w:i w:val="1"/>
          <w:iCs w:val="1"/>
          <w:color w:val="auto"/>
        </w:rPr>
        <w:t>Our revolving credit facility provides our lenders with a first-priority lien against substantially all of our intellectual property and certain other assets, and contains financial covenants and other restrictions on our actions that may limit our operational flexibility or otherwise adversely affect our results of operations.</w:t>
      </w:r>
    </w:p>
    <w:p>
      <w:pPr>
        <w:spacing w:after="0" w:line="76" w:lineRule="exact"/>
        <w:rPr>
          <w:sz w:val="20"/>
          <w:szCs w:val="20"/>
          <w:color w:val="auto"/>
        </w:rPr>
      </w:pPr>
    </w:p>
    <w:p>
      <w:pPr>
        <w:ind w:firstLine="449"/>
        <w:spacing w:after="0" w:line="272" w:lineRule="auto"/>
        <w:rPr>
          <w:sz w:val="20"/>
          <w:szCs w:val="20"/>
          <w:color w:val="auto"/>
        </w:rPr>
      </w:pPr>
      <w:r>
        <w:rPr>
          <w:rFonts w:ascii="Arial" w:cs="Arial" w:eastAsia="Arial" w:hAnsi="Arial"/>
          <w:sz w:val="17"/>
          <w:szCs w:val="17"/>
          <w:color w:val="auto"/>
        </w:rPr>
        <w:t>We are party to a revolving credit and guarantee agreement, which contains a number of covenants that limit our ability and our subsidiaries’ ability to, among other things, incur additional indebtedness, pay dividends, make redemptions and repurchases of stock, make investments, loans and acquisitions, create liens, engage in transactions with affiliates, merge or consolidate with other companies, or sell substantially all of our assets. We are also required to maintain certain financial covenants, including a maximum consolidated leverage ratio and a minimum liquidity balance. The terms of our revolving credit facility may restrict our current and future operations and could adversely affect our ability to finance our future operations or capital needs or to execute preferred business strategies. In addition, complying with these covenants may make it more difficult for us to successfully execute our business strategy and compete against companies who are not subject to such restrictions.</w:t>
      </w:r>
    </w:p>
    <w:p>
      <w:pPr>
        <w:spacing w:after="0" w:line="177" w:lineRule="exact"/>
        <w:rPr>
          <w:sz w:val="20"/>
          <w:szCs w:val="20"/>
          <w:color w:val="auto"/>
        </w:rPr>
      </w:pPr>
    </w:p>
    <w:p>
      <w:pPr>
        <w:ind w:right="100" w:firstLine="449"/>
        <w:spacing w:after="0" w:line="291" w:lineRule="auto"/>
        <w:rPr>
          <w:sz w:val="20"/>
          <w:szCs w:val="20"/>
          <w:color w:val="auto"/>
        </w:rPr>
      </w:pPr>
      <w:r>
        <w:rPr>
          <w:rFonts w:ascii="Arial" w:cs="Arial" w:eastAsia="Arial" w:hAnsi="Arial"/>
          <w:sz w:val="16"/>
          <w:szCs w:val="16"/>
          <w:color w:val="auto"/>
        </w:rPr>
        <w:t>A failure by us to comply with the covenants or payment requirements specified in our credit agreement could result in an event of default under the agreement, which would give the lenders the right to terminate their commitments to provide additional loans under our revolving credit facility and to declare all borrowings outstanding, together with accrued and unpaid interest and fees, to be immediately due and payable. In addition, the lenders would have the right to proceed against the collateral we granted to them, which consists of substantially all our intellectual property and certain other assets. If the debt under our revolving credit facility were to be accelerated, we may not have sufficient cash or be able to borrow sufficient funds to refinance the debt or sell sufficient assets to repay the debt, which could immediately materially and adversely affect our business, cash flows, results of operations, and financial condition. Even if we were able to obtain new financing, it may not be on commercially reasonable terms or on terms that are acceptable to us.</w:t>
      </w:r>
    </w:p>
    <w:p>
      <w:pPr>
        <w:spacing w:after="0" w:line="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240"/>
          </w:cols>
          <w:pgMar w:left="320" w:top="459" w:right="339" w:bottom="1440" w:gutter="0" w:footer="0" w:header="0"/>
        </w:sectPr>
      </w:pPr>
    </w:p>
    <w:bookmarkStart w:id="38" w:name="page39"/>
    <w:bookmarkEnd w:id="3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right="360"/>
        <w:spacing w:after="0" w:line="277" w:lineRule="auto"/>
        <w:rPr>
          <w:sz w:val="20"/>
          <w:szCs w:val="20"/>
          <w:color w:val="auto"/>
        </w:rPr>
      </w:pPr>
      <w:r>
        <w:rPr>
          <w:rFonts w:ascii="Arial" w:cs="Arial" w:eastAsia="Arial" w:hAnsi="Arial"/>
          <w:sz w:val="18"/>
          <w:szCs w:val="18"/>
          <w:b w:val="1"/>
          <w:bCs w:val="1"/>
          <w:i w:val="1"/>
          <w:iCs w:val="1"/>
          <w:color w:val="auto"/>
        </w:rPr>
        <w:t>Our operations may be interrupted and our business, results of operations, and financial condition could be adversely affected if we default on our leasing or credit obligations.</w:t>
      </w:r>
    </w:p>
    <w:p>
      <w:pPr>
        <w:spacing w:after="0" w:line="62" w:lineRule="exact"/>
        <w:rPr>
          <w:sz w:val="20"/>
          <w:szCs w:val="20"/>
          <w:color w:val="auto"/>
        </w:rPr>
      </w:pPr>
    </w:p>
    <w:p>
      <w:pPr>
        <w:ind w:firstLine="449"/>
        <w:spacing w:after="0" w:line="255" w:lineRule="auto"/>
        <w:rPr>
          <w:sz w:val="20"/>
          <w:szCs w:val="20"/>
          <w:color w:val="auto"/>
        </w:rPr>
      </w:pPr>
      <w:r>
        <w:rPr>
          <w:rFonts w:ascii="Arial" w:cs="Arial" w:eastAsia="Arial" w:hAnsi="Arial"/>
          <w:sz w:val="18"/>
          <w:szCs w:val="18"/>
          <w:color w:val="auto"/>
        </w:rPr>
        <w:t>We finance a significant portion of our expenditures through leasing arrangements, some of which are not required to be reflected on our balance sheet, and we may enter into additional similar arrangements in the future. As of December 31, 2016, we had an aggregate of $903.9 million of commitments to settle contractual obligations. In particular, we have used these types of arrangements to finance some of our equipment and datacenters. In addition, we may draw upon our revolving credit facility to finance our operations or for other corporate purposes, such as funding our tax withholding and remittance obligations in connection with the settlement of restricted stock units, or RSUs. If we default on these leasing or credit obligations, our leasing partners and lenders may, among other things:</w:t>
      </w:r>
    </w:p>
    <w:p>
      <w:pPr>
        <w:spacing w:after="0" w:line="98" w:lineRule="exact"/>
        <w:rPr>
          <w:sz w:val="20"/>
          <w:szCs w:val="20"/>
          <w:color w:val="auto"/>
        </w:rPr>
      </w:pPr>
    </w:p>
    <w:p>
      <w:pPr>
        <w:ind w:left="880" w:hanging="319"/>
        <w:spacing w:after="0"/>
        <w:tabs>
          <w:tab w:leader="none" w:pos="8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require repayment of any outstanding lease obligations;</w:t>
      </w:r>
    </w:p>
    <w:p>
      <w:pPr>
        <w:spacing w:after="0" w:line="130" w:lineRule="exact"/>
        <w:rPr>
          <w:rFonts w:ascii="Arial" w:cs="Arial" w:eastAsia="Arial" w:hAnsi="Arial"/>
          <w:sz w:val="18"/>
          <w:szCs w:val="18"/>
          <w:color w:val="auto"/>
        </w:rPr>
      </w:pPr>
    </w:p>
    <w:p>
      <w:pPr>
        <w:ind w:left="880" w:hanging="319"/>
        <w:spacing w:after="0"/>
        <w:tabs>
          <w:tab w:leader="none" w:pos="8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terminate our leasing arrangements;</w:t>
      </w:r>
    </w:p>
    <w:p>
      <w:pPr>
        <w:spacing w:after="0" w:line="130" w:lineRule="exact"/>
        <w:rPr>
          <w:rFonts w:ascii="Arial" w:cs="Arial" w:eastAsia="Arial" w:hAnsi="Arial"/>
          <w:sz w:val="18"/>
          <w:szCs w:val="18"/>
          <w:color w:val="auto"/>
        </w:rPr>
      </w:pPr>
    </w:p>
    <w:p>
      <w:pPr>
        <w:ind w:left="880" w:hanging="319"/>
        <w:spacing w:after="0"/>
        <w:tabs>
          <w:tab w:leader="none" w:pos="8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terminate our access to the leased datacenters we utilize;</w:t>
      </w:r>
    </w:p>
    <w:p>
      <w:pPr>
        <w:spacing w:after="0" w:line="130" w:lineRule="exact"/>
        <w:rPr>
          <w:rFonts w:ascii="Arial" w:cs="Arial" w:eastAsia="Arial" w:hAnsi="Arial"/>
          <w:sz w:val="18"/>
          <w:szCs w:val="18"/>
          <w:color w:val="auto"/>
        </w:rPr>
      </w:pPr>
    </w:p>
    <w:p>
      <w:pPr>
        <w:ind w:left="880" w:hanging="319"/>
        <w:spacing w:after="0"/>
        <w:tabs>
          <w:tab w:leader="none" w:pos="8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stop delivery of ordered equipment;</w:t>
      </w:r>
    </w:p>
    <w:p>
      <w:pPr>
        <w:spacing w:after="0" w:line="130" w:lineRule="exact"/>
        <w:rPr>
          <w:rFonts w:ascii="Arial" w:cs="Arial" w:eastAsia="Arial" w:hAnsi="Arial"/>
          <w:sz w:val="18"/>
          <w:szCs w:val="18"/>
          <w:color w:val="auto"/>
        </w:rPr>
      </w:pPr>
    </w:p>
    <w:p>
      <w:pPr>
        <w:ind w:left="880" w:hanging="319"/>
        <w:spacing w:after="0"/>
        <w:tabs>
          <w:tab w:leader="none" w:pos="8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sell or require us to return our leased equipment;</w:t>
      </w:r>
    </w:p>
    <w:p>
      <w:pPr>
        <w:spacing w:after="0" w:line="130" w:lineRule="exact"/>
        <w:rPr>
          <w:rFonts w:ascii="Arial" w:cs="Arial" w:eastAsia="Arial" w:hAnsi="Arial"/>
          <w:sz w:val="18"/>
          <w:szCs w:val="18"/>
          <w:color w:val="auto"/>
        </w:rPr>
      </w:pPr>
    </w:p>
    <w:p>
      <w:pPr>
        <w:ind w:left="880" w:hanging="319"/>
        <w:spacing w:after="0"/>
        <w:tabs>
          <w:tab w:leader="none" w:pos="8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require repayment of any outstanding amounts drawn on our revolving credit facility;</w:t>
      </w:r>
    </w:p>
    <w:p>
      <w:pPr>
        <w:spacing w:after="0" w:line="130" w:lineRule="exact"/>
        <w:rPr>
          <w:rFonts w:ascii="Arial" w:cs="Arial" w:eastAsia="Arial" w:hAnsi="Arial"/>
          <w:sz w:val="18"/>
          <w:szCs w:val="18"/>
          <w:color w:val="auto"/>
        </w:rPr>
      </w:pPr>
    </w:p>
    <w:p>
      <w:pPr>
        <w:ind w:left="880" w:hanging="319"/>
        <w:spacing w:after="0"/>
        <w:tabs>
          <w:tab w:leader="none" w:pos="8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terminate our revolving credit facility; or</w:t>
      </w:r>
    </w:p>
    <w:p>
      <w:pPr>
        <w:spacing w:after="0" w:line="130" w:lineRule="exact"/>
        <w:rPr>
          <w:rFonts w:ascii="Arial" w:cs="Arial" w:eastAsia="Arial" w:hAnsi="Arial"/>
          <w:sz w:val="18"/>
          <w:szCs w:val="18"/>
          <w:color w:val="auto"/>
        </w:rPr>
      </w:pPr>
    </w:p>
    <w:p>
      <w:pPr>
        <w:ind w:left="880" w:hanging="319"/>
        <w:spacing w:after="0"/>
        <w:tabs>
          <w:tab w:leader="none" w:pos="8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require us to pay significant fees, penalties, or damages.</w:t>
      </w:r>
    </w:p>
    <w:p>
      <w:pPr>
        <w:spacing w:after="0" w:line="225" w:lineRule="exact"/>
        <w:rPr>
          <w:sz w:val="20"/>
          <w:szCs w:val="20"/>
          <w:color w:val="auto"/>
        </w:rPr>
      </w:pPr>
    </w:p>
    <w:p>
      <w:pPr>
        <w:ind w:firstLine="449"/>
        <w:spacing w:after="0" w:line="272" w:lineRule="auto"/>
        <w:rPr>
          <w:sz w:val="20"/>
          <w:szCs w:val="20"/>
          <w:color w:val="auto"/>
        </w:rPr>
      </w:pPr>
      <w:r>
        <w:rPr>
          <w:rFonts w:ascii="Arial" w:cs="Arial" w:eastAsia="Arial" w:hAnsi="Arial"/>
          <w:sz w:val="17"/>
          <w:szCs w:val="17"/>
          <w:color w:val="auto"/>
        </w:rPr>
        <w:t>In addition to the contractual obligations described above, in October 2017, we entered into a new lease agreement to rent office space in San Francisco, California, to serve as our new corporate headquarters. The total minimum obligations under this lease agreement are expected to be approximately $827.0 million. Before moving to our new corporate headquarters, we will continue to operate in our current corporate headquarters, during which time we will be incurring rent expense on both our current and new corporate headquarters. After moving to our new corporate headquarters, we plan to vacate our current corporate headquarters with the intention of subleasing the space to a third-party for the remainder of the lease term, which terminates in the third quarter of 2027. If we are unable to find sublessors for all or a portion of our current corporate headquarters, our results of operations will be adversely impacted as a result of this additional rent expense through 2027.</w:t>
      </w:r>
    </w:p>
    <w:p>
      <w:pPr>
        <w:spacing w:after="0" w:line="177" w:lineRule="exact"/>
        <w:rPr>
          <w:sz w:val="20"/>
          <w:szCs w:val="20"/>
          <w:color w:val="auto"/>
        </w:rPr>
      </w:pPr>
    </w:p>
    <w:p>
      <w:pPr>
        <w:ind w:right="300" w:firstLine="449"/>
        <w:spacing w:after="0" w:line="277" w:lineRule="auto"/>
        <w:rPr>
          <w:sz w:val="20"/>
          <w:szCs w:val="20"/>
          <w:color w:val="auto"/>
        </w:rPr>
      </w:pPr>
      <w:r>
        <w:rPr>
          <w:rFonts w:ascii="Arial" w:cs="Arial" w:eastAsia="Arial" w:hAnsi="Arial"/>
          <w:sz w:val="18"/>
          <w:szCs w:val="18"/>
          <w:color w:val="auto"/>
        </w:rPr>
        <w:t>If some or all of these events were to occur, our operations may be interrupted and our ability to fund our operations or obligations, as well as our business, results of operations, and financial condition, could be adversely affected.</w:t>
      </w: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need additional capital, and we cannot be certain that additional financing will be available on favorable terms, or at all.</w:t>
      </w:r>
    </w:p>
    <w:p>
      <w:pPr>
        <w:spacing w:after="0" w:line="117" w:lineRule="exact"/>
        <w:rPr>
          <w:sz w:val="20"/>
          <w:szCs w:val="20"/>
          <w:color w:val="auto"/>
        </w:rPr>
      </w:pPr>
    </w:p>
    <w:p>
      <w:pPr>
        <w:ind w:right="40" w:firstLine="449"/>
        <w:spacing w:after="0" w:line="254" w:lineRule="auto"/>
        <w:rPr>
          <w:sz w:val="20"/>
          <w:szCs w:val="20"/>
          <w:color w:val="auto"/>
        </w:rPr>
      </w:pPr>
      <w:r>
        <w:rPr>
          <w:rFonts w:ascii="Arial" w:cs="Arial" w:eastAsia="Arial" w:hAnsi="Arial"/>
          <w:sz w:val="18"/>
          <w:szCs w:val="18"/>
          <w:color w:val="auto"/>
        </w:rPr>
        <w:t>Historically, we have funded our operations and capital expenditures primarily through equity issuances, cash generated from our operations, and debt financing for capital purchases. Although we currently anticipate that our existing cash and cash equivalents, amounts available under our existing credit facilities, and cash flow from operations will be sufficient to meet our cash needs for the foreseeable future, we may require additional financing. We evaluate financing opportunities from time to time, and our ability to obtain financing will depend, among other things, on our development efforts, business plans, operating performance, and condition of the capital markets at the time we seek financing. We cannot assure you that additional financing will be available to us on favorable terms when required, or at all. If we raise additional funds through the issuance of equity or equity-linked or debt securities, those securities may have rights, preferences or privileges senior to the rights of our Class A common stock, and our stockholders may experience dilution.</w:t>
      </w:r>
    </w:p>
    <w:p>
      <w:pPr>
        <w:spacing w:after="0" w:line="1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220"/>
          </w:cols>
          <w:pgMar w:left="320" w:top="459" w:right="359" w:bottom="1440" w:gutter="0" w:footer="0" w:header="0"/>
        </w:sectPr>
      </w:pPr>
    </w:p>
    <w:bookmarkStart w:id="39" w:name="page40"/>
    <w:bookmarkEnd w:id="3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3340"/>
        <w:spacing w:after="0"/>
        <w:rPr>
          <w:sz w:val="20"/>
          <w:szCs w:val="20"/>
          <w:color w:val="auto"/>
        </w:rPr>
      </w:pPr>
      <w:r>
        <w:rPr>
          <w:rFonts w:ascii="Arial" w:cs="Arial" w:eastAsia="Arial" w:hAnsi="Arial"/>
          <w:sz w:val="18"/>
          <w:szCs w:val="18"/>
          <w:b w:val="1"/>
          <w:bCs w:val="1"/>
          <w:color w:val="auto"/>
        </w:rPr>
        <w:t>Risks Related to Ownership of Our Class A Common Stock</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An active trading market for our Class A common stock may never develop or be sustained.</w:t>
      </w:r>
    </w:p>
    <w:p>
      <w:pPr>
        <w:spacing w:after="0" w:line="117" w:lineRule="exact"/>
        <w:rPr>
          <w:sz w:val="20"/>
          <w:szCs w:val="20"/>
          <w:color w:val="auto"/>
        </w:rPr>
      </w:pPr>
    </w:p>
    <w:p>
      <w:pPr>
        <w:ind w:right="160" w:firstLine="449"/>
        <w:spacing w:after="0" w:line="279" w:lineRule="auto"/>
        <w:rPr>
          <w:sz w:val="20"/>
          <w:szCs w:val="20"/>
          <w:color w:val="auto"/>
        </w:rPr>
      </w:pPr>
      <w:r>
        <w:rPr>
          <w:rFonts w:ascii="Arial" w:cs="Arial" w:eastAsia="Arial" w:hAnsi="Arial"/>
          <w:sz w:val="17"/>
          <w:szCs w:val="17"/>
          <w:color w:val="auto"/>
        </w:rPr>
        <w:t>We have applied to list our Class A common stock on the under the symbol “DBX.” However, we cannot assure you that an active trading market for our Class A common stock will develop on that exchange or elsewhere or, if developed, that any market will be sustained. Accordingly, we cannot assure you of the likelihood that an active trading market for our Class A common stock will develop or be maintained, the liquidity of any trading market, your ability to sell your shares of our Class A common stock when desired or the prices that you may obtain for your shares.</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trading price of our Class A common stock may be volatile, and you could lose all or part of your investment.</w:t>
      </w:r>
    </w:p>
    <w:p>
      <w:pPr>
        <w:spacing w:after="0" w:line="117" w:lineRule="exact"/>
        <w:rPr>
          <w:sz w:val="20"/>
          <w:szCs w:val="20"/>
          <w:color w:val="auto"/>
        </w:rPr>
      </w:pPr>
    </w:p>
    <w:p>
      <w:pPr>
        <w:ind w:firstLine="449"/>
        <w:spacing w:after="0" w:line="254" w:lineRule="auto"/>
        <w:rPr>
          <w:sz w:val="20"/>
          <w:szCs w:val="20"/>
          <w:color w:val="auto"/>
        </w:rPr>
      </w:pPr>
      <w:r>
        <w:rPr>
          <w:rFonts w:ascii="Arial" w:cs="Arial" w:eastAsia="Arial" w:hAnsi="Arial"/>
          <w:sz w:val="18"/>
          <w:szCs w:val="18"/>
          <w:color w:val="auto"/>
        </w:rPr>
        <w:t>Prior to this offering, there has been no public market for shares of our Class A common stock. The initial public offering price of our Class A common stock was determined through negotiation among us, the selling stockholders, and the underwriters. This price does not necessarily reflect the price at which investors in the market will be willing to buy and sell shares of our Class A common stock following this offering. In addition, the trading price of our Class A common stock following this offering is likely to be volatile and could be subject to fluctuations in response to various factors, some of which are beyond our control. These fluctuations could cause you to lose all or part of your investment in our Class A common stock since you might be unable to sell your shares at or above the price you paid in this offering. Factors that could cause fluctuations in the trading price of our Class A common stock include the following:</w:t>
      </w:r>
    </w:p>
    <w:p>
      <w:pPr>
        <w:spacing w:after="0" w:line="100" w:lineRule="exact"/>
        <w:rPr>
          <w:sz w:val="20"/>
          <w:szCs w:val="20"/>
          <w:color w:val="auto"/>
        </w:rPr>
      </w:pPr>
    </w:p>
    <w:p>
      <w:pPr>
        <w:ind w:left="880" w:hanging="319"/>
        <w:spacing w:after="0"/>
        <w:tabs>
          <w:tab w:leader="none" w:pos="8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price and volume fluctuations in the overall stock market from time to time;</w:t>
      </w:r>
    </w:p>
    <w:p>
      <w:pPr>
        <w:spacing w:after="0" w:line="130" w:lineRule="exact"/>
        <w:rPr>
          <w:rFonts w:ascii="Arial" w:cs="Arial" w:eastAsia="Arial" w:hAnsi="Arial"/>
          <w:sz w:val="18"/>
          <w:szCs w:val="18"/>
          <w:color w:val="auto"/>
        </w:rPr>
      </w:pPr>
    </w:p>
    <w:p>
      <w:pPr>
        <w:ind w:left="880" w:hanging="319"/>
        <w:spacing w:after="0"/>
        <w:tabs>
          <w:tab w:leader="none" w:pos="8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volatility in the trading prices and trading volumes of technology stocks;</w:t>
      </w:r>
    </w:p>
    <w:p>
      <w:pPr>
        <w:spacing w:after="0" w:line="130" w:lineRule="exact"/>
        <w:rPr>
          <w:rFonts w:ascii="Arial" w:cs="Arial" w:eastAsia="Arial" w:hAnsi="Arial"/>
          <w:sz w:val="18"/>
          <w:szCs w:val="18"/>
          <w:color w:val="auto"/>
        </w:rPr>
      </w:pPr>
    </w:p>
    <w:p>
      <w:pPr>
        <w:ind w:left="880" w:hanging="319"/>
        <w:spacing w:after="0"/>
        <w:tabs>
          <w:tab w:leader="none" w:pos="880" w:val="left"/>
        </w:tabs>
        <w:numPr>
          <w:ilvl w:val="0"/>
          <w:numId w:val="25"/>
        </w:numPr>
        <w:rPr>
          <w:rFonts w:ascii="Arial" w:cs="Arial" w:eastAsia="Arial" w:hAnsi="Arial"/>
          <w:sz w:val="16"/>
          <w:szCs w:val="16"/>
          <w:color w:val="auto"/>
        </w:rPr>
      </w:pPr>
      <w:r>
        <w:rPr>
          <w:rFonts w:ascii="Arial" w:cs="Arial" w:eastAsia="Arial" w:hAnsi="Arial"/>
          <w:sz w:val="16"/>
          <w:szCs w:val="16"/>
          <w:color w:val="auto"/>
        </w:rPr>
        <w:t>changes in operating performance and stock market valuations of other technology companies generally, or those in our industry in particular;</w:t>
      </w:r>
    </w:p>
    <w:p>
      <w:pPr>
        <w:spacing w:after="0" w:line="153" w:lineRule="exact"/>
        <w:rPr>
          <w:rFonts w:ascii="Arial" w:cs="Arial" w:eastAsia="Arial" w:hAnsi="Arial"/>
          <w:sz w:val="16"/>
          <w:szCs w:val="16"/>
          <w:color w:val="auto"/>
        </w:rPr>
      </w:pPr>
    </w:p>
    <w:p>
      <w:pPr>
        <w:ind w:left="880" w:hanging="319"/>
        <w:spacing w:after="0"/>
        <w:tabs>
          <w:tab w:leader="none" w:pos="8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sales of shares of our Class A common stock by us or our stockholders;</w:t>
      </w:r>
    </w:p>
    <w:p>
      <w:pPr>
        <w:spacing w:after="0" w:line="130" w:lineRule="exact"/>
        <w:rPr>
          <w:rFonts w:ascii="Arial" w:cs="Arial" w:eastAsia="Arial" w:hAnsi="Arial"/>
          <w:sz w:val="18"/>
          <w:szCs w:val="18"/>
          <w:color w:val="auto"/>
        </w:rPr>
      </w:pPr>
    </w:p>
    <w:p>
      <w:pPr>
        <w:ind w:left="880" w:right="200" w:hanging="319"/>
        <w:spacing w:after="0" w:line="277" w:lineRule="auto"/>
        <w:tabs>
          <w:tab w:leader="none" w:pos="8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failure of securities analysts to maintain coverage of us, changes in financial estimates by securities analysts who follow our company, or our failure to meet these estimates or the expectations of investors;</w:t>
      </w:r>
    </w:p>
    <w:p>
      <w:pPr>
        <w:spacing w:after="0" w:line="75" w:lineRule="exact"/>
        <w:rPr>
          <w:rFonts w:ascii="Arial" w:cs="Arial" w:eastAsia="Arial" w:hAnsi="Arial"/>
          <w:sz w:val="18"/>
          <w:szCs w:val="18"/>
          <w:color w:val="auto"/>
        </w:rPr>
      </w:pPr>
    </w:p>
    <w:p>
      <w:pPr>
        <w:ind w:left="880" w:hanging="319"/>
        <w:spacing w:after="0"/>
        <w:tabs>
          <w:tab w:leader="none" w:pos="8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financial projections we may provide to the public, any changes in those projections, or our failure to meet those projections;</w:t>
      </w:r>
    </w:p>
    <w:p>
      <w:pPr>
        <w:spacing w:after="0" w:line="130" w:lineRule="exact"/>
        <w:rPr>
          <w:rFonts w:ascii="Arial" w:cs="Arial" w:eastAsia="Arial" w:hAnsi="Arial"/>
          <w:sz w:val="18"/>
          <w:szCs w:val="18"/>
          <w:color w:val="auto"/>
        </w:rPr>
      </w:pPr>
    </w:p>
    <w:p>
      <w:pPr>
        <w:ind w:left="880" w:hanging="319"/>
        <w:spacing w:after="0"/>
        <w:tabs>
          <w:tab w:leader="none" w:pos="8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announcements by us or our competitors of new products, features, or services;</w:t>
      </w:r>
    </w:p>
    <w:p>
      <w:pPr>
        <w:spacing w:after="0" w:line="130" w:lineRule="exact"/>
        <w:rPr>
          <w:rFonts w:ascii="Arial" w:cs="Arial" w:eastAsia="Arial" w:hAnsi="Arial"/>
          <w:sz w:val="18"/>
          <w:szCs w:val="18"/>
          <w:color w:val="auto"/>
        </w:rPr>
      </w:pPr>
    </w:p>
    <w:p>
      <w:pPr>
        <w:ind w:left="880" w:hanging="319"/>
        <w:spacing w:after="0"/>
        <w:tabs>
          <w:tab w:leader="none" w:pos="8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public’s reaction to our press releases, other public announcements, and filings with the SEC;</w:t>
      </w:r>
    </w:p>
    <w:p>
      <w:pPr>
        <w:spacing w:after="0" w:line="130" w:lineRule="exact"/>
        <w:rPr>
          <w:rFonts w:ascii="Arial" w:cs="Arial" w:eastAsia="Arial" w:hAnsi="Arial"/>
          <w:sz w:val="18"/>
          <w:szCs w:val="18"/>
          <w:color w:val="auto"/>
        </w:rPr>
      </w:pPr>
    </w:p>
    <w:p>
      <w:pPr>
        <w:ind w:left="880" w:hanging="319"/>
        <w:spacing w:after="0"/>
        <w:tabs>
          <w:tab w:leader="none" w:pos="8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rumors and market speculation involving us or other companies in our industry;</w:t>
      </w:r>
    </w:p>
    <w:p>
      <w:pPr>
        <w:spacing w:after="0" w:line="130" w:lineRule="exact"/>
        <w:rPr>
          <w:rFonts w:ascii="Arial" w:cs="Arial" w:eastAsia="Arial" w:hAnsi="Arial"/>
          <w:sz w:val="18"/>
          <w:szCs w:val="18"/>
          <w:color w:val="auto"/>
        </w:rPr>
      </w:pPr>
    </w:p>
    <w:p>
      <w:pPr>
        <w:ind w:left="880" w:hanging="319"/>
        <w:spacing w:after="0"/>
        <w:tabs>
          <w:tab w:leader="none" w:pos="8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actual or anticipated changes in our results of operations or fluctuations in our results of operations;</w:t>
      </w:r>
    </w:p>
    <w:p>
      <w:pPr>
        <w:spacing w:after="0" w:line="130" w:lineRule="exact"/>
        <w:rPr>
          <w:rFonts w:ascii="Arial" w:cs="Arial" w:eastAsia="Arial" w:hAnsi="Arial"/>
          <w:sz w:val="18"/>
          <w:szCs w:val="18"/>
          <w:color w:val="auto"/>
        </w:rPr>
      </w:pPr>
    </w:p>
    <w:p>
      <w:pPr>
        <w:ind w:left="880" w:hanging="319"/>
        <w:spacing w:after="0"/>
        <w:tabs>
          <w:tab w:leader="none" w:pos="8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actual or anticipated developments in our business, our competitors’ businesses or the competitive landscape generally;</w:t>
      </w:r>
    </w:p>
    <w:p>
      <w:pPr>
        <w:spacing w:after="0" w:line="130" w:lineRule="exact"/>
        <w:rPr>
          <w:rFonts w:ascii="Arial" w:cs="Arial" w:eastAsia="Arial" w:hAnsi="Arial"/>
          <w:sz w:val="18"/>
          <w:szCs w:val="18"/>
          <w:color w:val="auto"/>
        </w:rPr>
      </w:pPr>
    </w:p>
    <w:p>
      <w:pPr>
        <w:ind w:left="880" w:hanging="319"/>
        <w:spacing w:after="0"/>
        <w:tabs>
          <w:tab w:leader="none" w:pos="8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litigation involving us, our industry, or both, or investigations by regulators into our operations or those of our competitors;</w:t>
      </w:r>
    </w:p>
    <w:p>
      <w:pPr>
        <w:spacing w:after="0" w:line="130" w:lineRule="exact"/>
        <w:rPr>
          <w:rFonts w:ascii="Arial" w:cs="Arial" w:eastAsia="Arial" w:hAnsi="Arial"/>
          <w:sz w:val="18"/>
          <w:szCs w:val="18"/>
          <w:color w:val="auto"/>
        </w:rPr>
      </w:pPr>
    </w:p>
    <w:p>
      <w:pPr>
        <w:ind w:left="880" w:hanging="319"/>
        <w:spacing w:after="0"/>
        <w:tabs>
          <w:tab w:leader="none" w:pos="8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developments or disputes concerning our intellectual property or other proprietary rights;</w:t>
      </w:r>
    </w:p>
    <w:p>
      <w:pPr>
        <w:spacing w:after="0" w:line="130" w:lineRule="exact"/>
        <w:rPr>
          <w:rFonts w:ascii="Arial" w:cs="Arial" w:eastAsia="Arial" w:hAnsi="Arial"/>
          <w:sz w:val="18"/>
          <w:szCs w:val="18"/>
          <w:color w:val="auto"/>
        </w:rPr>
      </w:pPr>
    </w:p>
    <w:p>
      <w:pPr>
        <w:ind w:left="880" w:hanging="319"/>
        <w:spacing w:after="0"/>
        <w:tabs>
          <w:tab w:leader="none" w:pos="8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announced or completed acquisitions of businesses, products, services, or technologies by us or our competitors;</w:t>
      </w:r>
    </w:p>
    <w:p>
      <w:pPr>
        <w:spacing w:after="0" w:line="130" w:lineRule="exact"/>
        <w:rPr>
          <w:rFonts w:ascii="Arial" w:cs="Arial" w:eastAsia="Arial" w:hAnsi="Arial"/>
          <w:sz w:val="18"/>
          <w:szCs w:val="18"/>
          <w:color w:val="auto"/>
        </w:rPr>
      </w:pPr>
    </w:p>
    <w:p>
      <w:pPr>
        <w:ind w:left="880" w:hanging="319"/>
        <w:spacing w:after="0"/>
        <w:tabs>
          <w:tab w:leader="none" w:pos="8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new laws or regulations or new interpretations of existing laws or regulations applicable to our business;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240"/>
          </w:cols>
          <w:pgMar w:left="320" w:top="459" w:right="339" w:bottom="1440" w:gutter="0" w:footer="0" w:header="0"/>
        </w:sectPr>
      </w:pPr>
    </w:p>
    <w:bookmarkStart w:id="40" w:name="page41"/>
    <w:bookmarkEnd w:id="4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880" w:hanging="319"/>
        <w:spacing w:after="0"/>
        <w:tabs>
          <w:tab w:leader="none" w:pos="8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changes in accounting standards, policies, guidelines, interpretations, or principles;</w:t>
      </w:r>
    </w:p>
    <w:p>
      <w:pPr>
        <w:spacing w:after="0" w:line="130" w:lineRule="exact"/>
        <w:rPr>
          <w:rFonts w:ascii="Arial" w:cs="Arial" w:eastAsia="Arial" w:hAnsi="Arial"/>
          <w:sz w:val="18"/>
          <w:szCs w:val="18"/>
          <w:color w:val="auto"/>
        </w:rPr>
      </w:pPr>
    </w:p>
    <w:p>
      <w:pPr>
        <w:ind w:left="880" w:hanging="319"/>
        <w:spacing w:after="0"/>
        <w:tabs>
          <w:tab w:leader="none" w:pos="8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any significant change in our management; and</w:t>
      </w:r>
    </w:p>
    <w:p>
      <w:pPr>
        <w:spacing w:after="0" w:line="130" w:lineRule="exact"/>
        <w:rPr>
          <w:rFonts w:ascii="Arial" w:cs="Arial" w:eastAsia="Arial" w:hAnsi="Arial"/>
          <w:sz w:val="18"/>
          <w:szCs w:val="18"/>
          <w:color w:val="auto"/>
        </w:rPr>
      </w:pPr>
    </w:p>
    <w:p>
      <w:pPr>
        <w:ind w:left="880" w:hanging="319"/>
        <w:spacing w:after="0"/>
        <w:tabs>
          <w:tab w:leader="none" w:pos="8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general economic conditions and slow or negative growth of our markets.</w:t>
      </w:r>
    </w:p>
    <w:p>
      <w:pPr>
        <w:spacing w:after="0" w:line="225" w:lineRule="exact"/>
        <w:rPr>
          <w:sz w:val="20"/>
          <w:szCs w:val="20"/>
          <w:color w:val="auto"/>
        </w:rPr>
      </w:pPr>
    </w:p>
    <w:p>
      <w:pPr>
        <w:jc w:val="both"/>
        <w:ind w:right="60" w:firstLine="449"/>
        <w:spacing w:after="0" w:line="263" w:lineRule="auto"/>
        <w:rPr>
          <w:sz w:val="20"/>
          <w:szCs w:val="20"/>
          <w:color w:val="auto"/>
        </w:rPr>
      </w:pPr>
      <w:r>
        <w:rPr>
          <w:rFonts w:ascii="Arial" w:cs="Arial" w:eastAsia="Arial" w:hAnsi="Arial"/>
          <w:sz w:val="18"/>
          <w:szCs w:val="18"/>
          <w:color w:val="auto"/>
        </w:rPr>
        <w:t>In addition, in the past, following periods of volatility in the overall market and the market price of a particular company’s securities, securities class action litigation has often been instituted against these companies. This litigation, if instituted against us, could result in substantial costs and a diversion of our management’s attention and resources.</w:t>
      </w:r>
    </w:p>
    <w:p>
      <w:pPr>
        <w:spacing w:after="0" w:line="292" w:lineRule="exact"/>
        <w:rPr>
          <w:sz w:val="20"/>
          <w:szCs w:val="20"/>
          <w:color w:val="auto"/>
        </w:rPr>
      </w:pPr>
    </w:p>
    <w:p>
      <w:pPr>
        <w:ind w:right="280"/>
        <w:spacing w:after="0" w:line="308" w:lineRule="auto"/>
        <w:rPr>
          <w:sz w:val="20"/>
          <w:szCs w:val="20"/>
          <w:color w:val="auto"/>
        </w:rPr>
      </w:pPr>
      <w:r>
        <w:rPr>
          <w:rFonts w:ascii="Arial" w:cs="Arial" w:eastAsia="Arial" w:hAnsi="Arial"/>
          <w:sz w:val="17"/>
          <w:szCs w:val="17"/>
          <w:b w:val="1"/>
          <w:bCs w:val="1"/>
          <w:i w:val="1"/>
          <w:iCs w:val="1"/>
          <w:color w:val="auto"/>
        </w:rPr>
        <w:t>The dual class structure of our common stock will have the effect of concentrating voting control with those stockholders who held our capital stock prior to the completion of this offering, and it may depress the trading price of our Class A common stock.</w:t>
      </w:r>
    </w:p>
    <w:p>
      <w:pPr>
        <w:spacing w:after="0" w:line="38" w:lineRule="exact"/>
        <w:rPr>
          <w:sz w:val="20"/>
          <w:szCs w:val="20"/>
          <w:color w:val="auto"/>
        </w:rPr>
      </w:pPr>
    </w:p>
    <w:p>
      <w:pPr>
        <w:ind w:right="80" w:firstLine="449"/>
        <w:spacing w:after="0" w:line="291" w:lineRule="auto"/>
        <w:rPr>
          <w:sz w:val="20"/>
          <w:szCs w:val="20"/>
          <w:color w:val="auto"/>
        </w:rPr>
      </w:pPr>
      <w:r>
        <w:rPr>
          <w:rFonts w:ascii="Arial" w:cs="Arial" w:eastAsia="Arial" w:hAnsi="Arial"/>
          <w:sz w:val="16"/>
          <w:szCs w:val="16"/>
          <w:color w:val="auto"/>
        </w:rPr>
        <w:t>Our Class B common stock has votes per share and our Class A common stock, which is the stock we are offering in this offering, has one vote per share. Following this offering, our directors, executive officers and holders of more than 5% of our common stock, and their respective affiliates, will</w:t>
      </w:r>
    </w:p>
    <w:p>
      <w:pPr>
        <w:ind w:right="40"/>
        <w:spacing w:after="0" w:line="290" w:lineRule="auto"/>
        <w:rPr>
          <w:sz w:val="20"/>
          <w:szCs w:val="20"/>
          <w:color w:val="auto"/>
        </w:rPr>
      </w:pPr>
      <w:r>
        <w:rPr>
          <w:rFonts w:ascii="Arial" w:cs="Arial" w:eastAsia="Arial" w:hAnsi="Arial"/>
          <w:sz w:val="16"/>
          <w:szCs w:val="16"/>
          <w:color w:val="auto"/>
        </w:rPr>
        <w:t>hold in the aggregate % of the voting power of our capital stock. Because of the -to-one voting ratio between our Class B and Class A common stock, the holders of our Class B common stock collectively will continue to control a majority of the combined voting power of our common stock and therefore be able to control all matters submitted to our stockholders for approval. This concentrated control will limit or preclude your ability to influence corporate matters for the foreseeable future, including the election of directors, amendments of our organizational documents and any merger, consolidation, sale of all or substantially all of our assets, or other major corporate transaction requiring stockholder approval. In addition, this may prevent or discourage unsolicited acquisition proposals or offers for our capital stock that you may feel are in your best interest as one of our stockholders.</w:t>
      </w:r>
    </w:p>
    <w:p>
      <w:pPr>
        <w:spacing w:after="0" w:line="164" w:lineRule="exact"/>
        <w:rPr>
          <w:sz w:val="20"/>
          <w:szCs w:val="20"/>
          <w:color w:val="auto"/>
        </w:rPr>
      </w:pPr>
    </w:p>
    <w:p>
      <w:pPr>
        <w:ind w:firstLine="449"/>
        <w:spacing w:after="0" w:line="279" w:lineRule="auto"/>
        <w:rPr>
          <w:sz w:val="20"/>
          <w:szCs w:val="20"/>
          <w:color w:val="auto"/>
        </w:rPr>
      </w:pPr>
      <w:r>
        <w:rPr>
          <w:rFonts w:ascii="Arial" w:cs="Arial" w:eastAsia="Arial" w:hAnsi="Arial"/>
          <w:sz w:val="17"/>
          <w:szCs w:val="17"/>
          <w:color w:val="auto"/>
        </w:rPr>
        <w:t>Future transfers by holders of Class B common stock will generally result in those shares converting to Class A common stock, subject to limited exceptions, such as certain transfers effected for estate planning purposes. The conversion of Class B common stock to Class A common stock will have the effect, over time, of increasing the relative voting power of those individual holders of Class B common stock who retain their shares in the long term. See the section titled “Description of Capital Stock—Anti-Takeover Provisions” for additional information.</w:t>
      </w:r>
    </w:p>
    <w:p>
      <w:pPr>
        <w:spacing w:after="0" w:line="171" w:lineRule="exact"/>
        <w:rPr>
          <w:sz w:val="20"/>
          <w:szCs w:val="20"/>
          <w:color w:val="auto"/>
        </w:rPr>
      </w:pPr>
    </w:p>
    <w:p>
      <w:pPr>
        <w:ind w:firstLine="449"/>
        <w:spacing w:after="0" w:line="254" w:lineRule="auto"/>
        <w:rPr>
          <w:sz w:val="20"/>
          <w:szCs w:val="20"/>
          <w:color w:val="auto"/>
        </w:rPr>
      </w:pPr>
      <w:r>
        <w:rPr>
          <w:rFonts w:ascii="Arial" w:cs="Arial" w:eastAsia="Arial" w:hAnsi="Arial"/>
          <w:sz w:val="18"/>
          <w:szCs w:val="18"/>
          <w:color w:val="auto"/>
        </w:rPr>
        <w:t>In addition, in July 2017, FTSE Russell and Standard &amp; Poor’s announced that they would cease to allow most newly public companies utilizing dual or multi-class capital structures to be included in their indices. Affected indices include the Russell 2000 and the S&amp;P 500, S&amp;P MidCap 400, and S&amp;P SmallCap 600, which together make up the S&amp;P Composite 1500. Under the announced policies, our dual class capital structure would make us ineligible for inclusion in any of these indices, and as a result, mutual funds, exchange-traded funds, and other investment vehicles that attempt to passively track these indices will not be investing in our stock. These policies are very new and it is as of yet unclear what effect, if any, they will have on the valuations of publicly traded companies excluded from the indices, but it is possible that they may depress these valuations compared to those of other similar companies that are included.</w:t>
      </w:r>
    </w:p>
    <w:p>
      <w:pPr>
        <w:spacing w:after="0" w:line="303" w:lineRule="exact"/>
        <w:rPr>
          <w:sz w:val="20"/>
          <w:szCs w:val="20"/>
          <w:color w:val="auto"/>
        </w:rPr>
      </w:pPr>
    </w:p>
    <w:p>
      <w:pPr>
        <w:ind w:right="320"/>
        <w:spacing w:after="0" w:line="311" w:lineRule="auto"/>
        <w:rPr>
          <w:sz w:val="20"/>
          <w:szCs w:val="20"/>
          <w:color w:val="auto"/>
        </w:rPr>
      </w:pPr>
      <w:r>
        <w:rPr>
          <w:rFonts w:ascii="Arial" w:cs="Arial" w:eastAsia="Arial" w:hAnsi="Arial"/>
          <w:sz w:val="16"/>
          <w:szCs w:val="16"/>
          <w:b w:val="1"/>
          <w:bCs w:val="1"/>
          <w:i w:val="1"/>
          <w:iCs w:val="1"/>
          <w:color w:val="auto"/>
        </w:rPr>
        <w:t>A substantial portion of the outstanding shares of our Class A common stock and Class B common stock after this offering will be restricted from immediate resale, but may be sold on a stock exchange in the near future. The large number of shares of our capital stock eligible for public sale or subject to rights requiring us to register them for public sale could depress the market price of our Class A common stock.</w:t>
      </w:r>
    </w:p>
    <w:p>
      <w:pPr>
        <w:spacing w:after="0" w:line="41" w:lineRule="exact"/>
        <w:rPr>
          <w:sz w:val="20"/>
          <w:szCs w:val="20"/>
          <w:color w:val="auto"/>
        </w:rPr>
      </w:pPr>
    </w:p>
    <w:p>
      <w:pPr>
        <w:ind w:right="380" w:firstLine="449"/>
        <w:spacing w:after="0" w:line="311" w:lineRule="auto"/>
        <w:rPr>
          <w:sz w:val="20"/>
          <w:szCs w:val="20"/>
          <w:color w:val="auto"/>
        </w:rPr>
      </w:pPr>
      <w:r>
        <w:rPr>
          <w:rFonts w:ascii="Arial" w:cs="Arial" w:eastAsia="Arial" w:hAnsi="Arial"/>
          <w:sz w:val="16"/>
          <w:szCs w:val="16"/>
          <w:color w:val="auto"/>
        </w:rPr>
        <w:t>The market price of our Class A common stock could decline as a result of sales of a large number of shares of our Class A common stock in the market after this offering, and the perception that these sales could occur may also depress the market price of our Class A common stock. Based on 13,892,885 shares of our Class A common stock (including the Capital Stock Conversions) and 538,851,747 shares of our Class B common stock</w:t>
      </w:r>
    </w:p>
    <w:p>
      <w:pPr>
        <w:spacing w:after="0" w:line="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240"/>
          </w:cols>
          <w:pgMar w:left="320" w:top="459" w:right="339" w:bottom="1440" w:gutter="0" w:footer="0" w:header="0"/>
        </w:sectPr>
      </w:pPr>
    </w:p>
    <w:bookmarkStart w:id="41" w:name="page42"/>
    <w:bookmarkEnd w:id="4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right="160"/>
        <w:spacing w:after="0" w:line="274" w:lineRule="auto"/>
        <w:rPr>
          <w:sz w:val="20"/>
          <w:szCs w:val="20"/>
          <w:color w:val="auto"/>
        </w:rPr>
      </w:pPr>
      <w:r>
        <w:rPr>
          <w:rFonts w:ascii="Arial" w:cs="Arial" w:eastAsia="Arial" w:hAnsi="Arial"/>
          <w:sz w:val="17"/>
          <w:szCs w:val="17"/>
          <w:color w:val="auto"/>
        </w:rPr>
        <w:t>(including the Capital Stock Conversions and the RSU Settlement) outstanding as of September 30, 2017, we will have shares of our Class A common stock and shares Class B common stock outstanding after this offering. Our executive officers, directors, and the holders of substantially</w:t>
      </w:r>
    </w:p>
    <w:p>
      <w:pPr>
        <w:ind w:right="40"/>
        <w:spacing w:after="0" w:line="268" w:lineRule="auto"/>
        <w:rPr>
          <w:sz w:val="20"/>
          <w:szCs w:val="20"/>
          <w:color w:val="auto"/>
        </w:rPr>
      </w:pPr>
      <w:r>
        <w:rPr>
          <w:rFonts w:ascii="Arial" w:cs="Arial" w:eastAsia="Arial" w:hAnsi="Arial"/>
          <w:sz w:val="17"/>
          <w:szCs w:val="17"/>
          <w:color w:val="auto"/>
        </w:rPr>
        <w:t>all of our capital stock and securities convertible into or exchangeable for our capital stock have entered into market standoff agreements with us or have entered or will enter into lock-up agreements with the underwriters under which they have agreed or will agree, subject to specific exceptions, not to sell any of our stock for 180 days following the date of this prospectus. We refer to such period as the lock-up period. Pursuant to the lock-up agreements with the underwriters, if (i) at least 120 days have elapsed since the date of this prospectus, (ii) we have publicly released our earnings results for the quarterly period during which this offering occurred, and (iii) such lock-up period is scheduled to end during or within five trading days prior to a broadly applicable period during which trading in our securities would not be permitted under our insider trading policy, or a blackout period, such lock-up period will end ten trading days prior to the commencement of such blackout period. We and the underwriters may release certain stockholders from the market standoff agreements or lock-up agreements prior to the end of the lock-up period.</w:t>
      </w:r>
    </w:p>
    <w:p>
      <w:pPr>
        <w:spacing w:after="0" w:line="183" w:lineRule="exact"/>
        <w:rPr>
          <w:sz w:val="20"/>
          <w:szCs w:val="20"/>
          <w:color w:val="auto"/>
        </w:rPr>
      </w:pPr>
    </w:p>
    <w:p>
      <w:pPr>
        <w:ind w:right="180" w:firstLine="449"/>
        <w:spacing w:after="0" w:line="263" w:lineRule="auto"/>
        <w:rPr>
          <w:sz w:val="20"/>
          <w:szCs w:val="20"/>
          <w:color w:val="auto"/>
        </w:rPr>
      </w:pPr>
      <w:r>
        <w:rPr>
          <w:rFonts w:ascii="Arial" w:cs="Arial" w:eastAsia="Arial" w:hAnsi="Arial"/>
          <w:sz w:val="18"/>
          <w:szCs w:val="18"/>
          <w:color w:val="auto"/>
        </w:rPr>
        <w:t>As a result of these agreements and the provisions of our investors’ rights agreement described further in the section titled “Description of Capital Stock—Registration Rights,” and subject to the provisions of Rule 144 or Rule 701, shares of our Class A common stock and Class B common stock will be available for sale in the public market as follows:</w:t>
      </w:r>
    </w:p>
    <w:p>
      <w:pPr>
        <w:spacing w:after="0" w:line="89" w:lineRule="exact"/>
        <w:rPr>
          <w:sz w:val="20"/>
          <w:szCs w:val="20"/>
          <w:color w:val="auto"/>
        </w:rPr>
      </w:pPr>
    </w:p>
    <w:p>
      <w:pPr>
        <w:ind w:left="880" w:right="140" w:hanging="319"/>
        <w:spacing w:after="0" w:line="277" w:lineRule="auto"/>
        <w:tabs>
          <w:tab w:leader="none" w:pos="8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beginning on the date of this prospectus, all shares of our Class A common stock sold in this offering will be immediately available for sale in the public market; and</w:t>
      </w:r>
    </w:p>
    <w:p>
      <w:pPr>
        <w:spacing w:after="0" w:line="75" w:lineRule="exact"/>
        <w:rPr>
          <w:rFonts w:ascii="Arial" w:cs="Arial" w:eastAsia="Arial" w:hAnsi="Arial"/>
          <w:sz w:val="18"/>
          <w:szCs w:val="18"/>
          <w:color w:val="auto"/>
        </w:rPr>
      </w:pPr>
    </w:p>
    <w:p>
      <w:pPr>
        <w:ind w:left="880" w:right="60" w:hanging="319"/>
        <w:spacing w:after="0" w:line="286" w:lineRule="auto"/>
        <w:tabs>
          <w:tab w:leader="none" w:pos="880" w:val="left"/>
        </w:tabs>
        <w:numPr>
          <w:ilvl w:val="0"/>
          <w:numId w:val="27"/>
        </w:numPr>
        <w:rPr>
          <w:rFonts w:ascii="Arial" w:cs="Arial" w:eastAsia="Arial" w:hAnsi="Arial"/>
          <w:sz w:val="17"/>
          <w:szCs w:val="17"/>
          <w:color w:val="auto"/>
        </w:rPr>
      </w:pPr>
      <w:r>
        <w:rPr>
          <w:rFonts w:ascii="Arial" w:cs="Arial" w:eastAsia="Arial" w:hAnsi="Arial"/>
          <w:sz w:val="17"/>
          <w:szCs w:val="17"/>
          <w:color w:val="auto"/>
        </w:rPr>
        <w:t>beginning 181 days after the date of this prospectus (subject to the terms of the lock-up agreements and market standoff agreements described above), the remainder of the shares of our Class A common stock and Class B common stock will be eligible for sale in the public market from time to time thereafter, subject in some cases to the volume and other restrictions of Rule 144, as described below.</w:t>
      </w:r>
    </w:p>
    <w:p>
      <w:pPr>
        <w:spacing w:after="0" w:line="165" w:lineRule="exact"/>
        <w:rPr>
          <w:sz w:val="20"/>
          <w:szCs w:val="20"/>
          <w:color w:val="auto"/>
        </w:rPr>
      </w:pPr>
    </w:p>
    <w:p>
      <w:pPr>
        <w:ind w:right="60" w:firstLine="449"/>
        <w:spacing w:after="0" w:line="296" w:lineRule="auto"/>
        <w:rPr>
          <w:sz w:val="20"/>
          <w:szCs w:val="20"/>
          <w:color w:val="auto"/>
        </w:rPr>
      </w:pPr>
      <w:r>
        <w:rPr>
          <w:rFonts w:ascii="Arial" w:cs="Arial" w:eastAsia="Arial" w:hAnsi="Arial"/>
          <w:sz w:val="16"/>
          <w:szCs w:val="16"/>
          <w:color w:val="auto"/>
        </w:rPr>
        <w:t>Upon completion of this offering, stockholders owning an aggregate of up to shares will be entitled, under our investors’ rights agreement, to require us to register shares owned by them for public sale in the United States. In addition, we intend to file a registration statement to register shares reserved for future issuance under our equity compensation plans. Upon effectiveness of that registration statement, subject to the satisfaction of applicable exercise periods and the expiration or waiver of the market standoff agreements and lock-up agreements referred to above, the shares issued upon exercise of outstanding stock options or upon settlement of outstanding RSU awards will be available for immediate resale in the United States in the open market.</w:t>
      </w:r>
    </w:p>
    <w:p>
      <w:pPr>
        <w:spacing w:after="0" w:line="161" w:lineRule="exact"/>
        <w:rPr>
          <w:sz w:val="20"/>
          <w:szCs w:val="20"/>
          <w:color w:val="auto"/>
        </w:rPr>
      </w:pPr>
    </w:p>
    <w:p>
      <w:pPr>
        <w:ind w:firstLine="449"/>
        <w:spacing w:after="0" w:line="263" w:lineRule="auto"/>
        <w:rPr>
          <w:sz w:val="20"/>
          <w:szCs w:val="20"/>
          <w:color w:val="auto"/>
        </w:rPr>
      </w:pPr>
      <w:r>
        <w:rPr>
          <w:rFonts w:ascii="Arial" w:cs="Arial" w:eastAsia="Arial" w:hAnsi="Arial"/>
          <w:sz w:val="18"/>
          <w:szCs w:val="18"/>
          <w:color w:val="auto"/>
        </w:rPr>
        <w:t>Sales of our shares as restrictions end or pursuant to registration rights may make it more difficult for us to sell equity securities in the future at a time and at a price that we deem appropriate. These sales also could cause the trading price of our Class A common stock to fall and make it more difficult for you to sell shares of our Class A common stock.</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If you purchase our Class A common stock in this offering, you will incur immediate and substantial dilution.</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7"/>
          <w:szCs w:val="17"/>
          <w:color w:val="auto"/>
        </w:rPr>
        <w:t>The initial public offering price is substantially higher than the pro forma net tangible book value per share of our outstanding common stock of</w:t>
      </w:r>
    </w:p>
    <w:p>
      <w:pPr>
        <w:spacing w:after="0" w:line="35" w:lineRule="exact"/>
        <w:rPr>
          <w:sz w:val="20"/>
          <w:szCs w:val="20"/>
          <w:color w:val="auto"/>
        </w:rPr>
      </w:pPr>
    </w:p>
    <w:p>
      <w:pPr>
        <w:ind w:left="500" w:hanging="492"/>
        <w:spacing w:after="0"/>
        <w:tabs>
          <w:tab w:leader="none" w:pos="500" w:val="left"/>
        </w:tabs>
        <w:numPr>
          <w:ilvl w:val="0"/>
          <w:numId w:val="28"/>
        </w:numPr>
        <w:rPr>
          <w:rFonts w:ascii="Arial" w:cs="Arial" w:eastAsia="Arial" w:hAnsi="Arial"/>
          <w:sz w:val="17"/>
          <w:szCs w:val="17"/>
          <w:color w:val="auto"/>
        </w:rPr>
      </w:pPr>
      <w:r>
        <w:rPr>
          <w:rFonts w:ascii="Arial" w:cs="Arial" w:eastAsia="Arial" w:hAnsi="Arial"/>
          <w:sz w:val="17"/>
          <w:szCs w:val="17"/>
          <w:color w:val="auto"/>
        </w:rPr>
        <w:t>per share as of September 30, 2017. Investors purchasing shares of our Class A common stock in this offering will pay a price per share that</w:t>
      </w:r>
    </w:p>
    <w:p>
      <w:pPr>
        <w:spacing w:after="0" w:line="20" w:lineRule="exact"/>
        <w:rPr>
          <w:rFonts w:ascii="Arial" w:cs="Arial" w:eastAsia="Arial" w:hAnsi="Arial"/>
          <w:sz w:val="17"/>
          <w:szCs w:val="17"/>
          <w:color w:val="auto"/>
        </w:rPr>
      </w:pPr>
    </w:p>
    <w:p>
      <w:pPr>
        <w:spacing w:after="0"/>
        <w:rPr>
          <w:rFonts w:ascii="Arial" w:cs="Arial" w:eastAsia="Arial" w:hAnsi="Arial"/>
          <w:sz w:val="17"/>
          <w:szCs w:val="17"/>
          <w:color w:val="auto"/>
        </w:rPr>
      </w:pPr>
      <w:r>
        <w:rPr>
          <w:rFonts w:ascii="Arial" w:cs="Arial" w:eastAsia="Arial" w:hAnsi="Arial"/>
          <w:sz w:val="16"/>
          <w:szCs w:val="16"/>
          <w:color w:val="auto"/>
        </w:rPr>
        <w:t>substantially exceeds the book value of our tangible assets after subtracting our liabilities. As a result, investors purchasing Class A common stock in this</w:t>
      </w:r>
    </w:p>
    <w:p>
      <w:pPr>
        <w:spacing w:after="0" w:line="222"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offering will incur immediate dilution of $ per share, based on the assumed initial public offering price of $ per share, which is the midpoint of the estimated offering price range set forth on the cover page of this prospectus.</w:t>
      </w:r>
    </w:p>
    <w:p>
      <w:pPr>
        <w:spacing w:after="0" w:line="170" w:lineRule="exact"/>
        <w:rPr>
          <w:sz w:val="20"/>
          <w:szCs w:val="20"/>
          <w:color w:val="auto"/>
        </w:rPr>
      </w:pPr>
    </w:p>
    <w:p>
      <w:pPr>
        <w:ind w:right="80" w:firstLine="449"/>
        <w:spacing w:after="0" w:line="277" w:lineRule="auto"/>
        <w:rPr>
          <w:sz w:val="20"/>
          <w:szCs w:val="20"/>
          <w:color w:val="auto"/>
        </w:rPr>
      </w:pPr>
      <w:r>
        <w:rPr>
          <w:rFonts w:ascii="Arial" w:cs="Arial" w:eastAsia="Arial" w:hAnsi="Arial"/>
          <w:sz w:val="18"/>
          <w:szCs w:val="18"/>
          <w:color w:val="auto"/>
        </w:rPr>
        <w:t>This dilution is due to the substantially lower price paid by our investors who purchased shares prior to this offering as compared to the price offered to the public in this offering, and any previous exercise of stock options</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240"/>
          </w:cols>
          <w:pgMar w:left="320" w:top="459" w:right="339" w:bottom="1440" w:gutter="0" w:footer="0" w:header="0"/>
        </w:sectPr>
      </w:pPr>
    </w:p>
    <w:bookmarkStart w:id="42" w:name="page43"/>
    <w:bookmarkEnd w:id="4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right="60"/>
        <w:spacing w:after="0" w:line="254" w:lineRule="auto"/>
        <w:rPr>
          <w:sz w:val="20"/>
          <w:szCs w:val="20"/>
          <w:color w:val="auto"/>
        </w:rPr>
      </w:pPr>
      <w:r>
        <w:rPr>
          <w:rFonts w:ascii="Arial" w:cs="Arial" w:eastAsia="Arial" w:hAnsi="Arial"/>
          <w:sz w:val="18"/>
          <w:szCs w:val="18"/>
          <w:color w:val="auto"/>
        </w:rPr>
        <w:t>granted to our service providers. In addition, as of September 30, 2017, options to purchase 7,484,830 shares of our Class B common stock with a weighted-average exercise price of approximately $7.03 per share were outstanding as well as 22,883,109 shares of our Class A common stock and 61,577,921 shares of our Class B common stock subject to RSUs. The exercise of any of these options and settlement of any of these RSUs would result in additional dilution. Our Board of Directors intends to accelerate the Performance Vesting Condition for 38,172,093 RSUs for which the service condition was satisfied as of September 30, 2017, to occur upon the effectiveness of our registration statement related to this offering. As a result of the dilution to investors purchasing shares in this offering, investors may receive less than the purchase price paid in this offering, if anything, in the event of our liquidation.</w:t>
      </w:r>
    </w:p>
    <w:p>
      <w:pPr>
        <w:spacing w:after="0" w:line="30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have broad discretion over the use of the net proceeds from this offering and we may not use them effectively.</w:t>
      </w:r>
    </w:p>
    <w:p>
      <w:pPr>
        <w:spacing w:after="0" w:line="117" w:lineRule="exact"/>
        <w:rPr>
          <w:sz w:val="20"/>
          <w:szCs w:val="20"/>
          <w:color w:val="auto"/>
        </w:rPr>
      </w:pPr>
    </w:p>
    <w:p>
      <w:pPr>
        <w:ind w:firstLine="449"/>
        <w:spacing w:after="0" w:line="272" w:lineRule="auto"/>
        <w:rPr>
          <w:sz w:val="20"/>
          <w:szCs w:val="20"/>
          <w:color w:val="auto"/>
        </w:rPr>
      </w:pPr>
      <w:r>
        <w:rPr>
          <w:rFonts w:ascii="Arial" w:cs="Arial" w:eastAsia="Arial" w:hAnsi="Arial"/>
          <w:sz w:val="17"/>
          <w:szCs w:val="17"/>
          <w:color w:val="auto"/>
        </w:rPr>
        <w:t>We cannot specify with any certainty the particular uses of the net proceeds that we will receive from this offering. Our management will have broad discretion in the application of the net proceeds from this offering, including for any of the purposes described in “Use of Proceeds,” and you will not have the opportunity as part of your investment decision to assess whether the net proceeds are being used appropriately. Because of the number and variability of factors that will determine our use of the net proceeds from this offering, their ultimate use may vary substantially from their currently intended use. The failure by our management to apply these proceeds effectively could adversely affect our business, results of operations, and financial condition. Pending their use, we may invest our proceeds in a manner that does not produce income or that loses value. Our investments may not yield a favorable return to our investors and may negatively impact the price of our Class A common stock.</w:t>
      </w:r>
    </w:p>
    <w:p>
      <w:pPr>
        <w:spacing w:after="0" w:line="285" w:lineRule="exact"/>
        <w:rPr>
          <w:sz w:val="20"/>
          <w:szCs w:val="20"/>
          <w:color w:val="auto"/>
        </w:rPr>
      </w:pPr>
    </w:p>
    <w:p>
      <w:pPr>
        <w:ind w:right="600"/>
        <w:spacing w:after="0" w:line="277" w:lineRule="auto"/>
        <w:rPr>
          <w:sz w:val="20"/>
          <w:szCs w:val="20"/>
          <w:color w:val="auto"/>
        </w:rPr>
      </w:pPr>
      <w:r>
        <w:rPr>
          <w:rFonts w:ascii="Arial" w:cs="Arial" w:eastAsia="Arial" w:hAnsi="Arial"/>
          <w:sz w:val="18"/>
          <w:szCs w:val="18"/>
          <w:b w:val="1"/>
          <w:bCs w:val="1"/>
          <w:i w:val="1"/>
          <w:iCs w:val="1"/>
          <w:color w:val="auto"/>
        </w:rPr>
        <w:t>Delaware law and provisions in our restated certificate of incorporation and restated bylaws could make a merger, tender offer, or proxy contest difficult, thereby depressing the market price of our Class A common stock.</w:t>
      </w:r>
    </w:p>
    <w:p>
      <w:pPr>
        <w:spacing w:after="0" w:line="62" w:lineRule="exact"/>
        <w:rPr>
          <w:sz w:val="20"/>
          <w:szCs w:val="20"/>
          <w:color w:val="auto"/>
        </w:rPr>
      </w:pPr>
    </w:p>
    <w:p>
      <w:pPr>
        <w:ind w:right="80" w:firstLine="449"/>
        <w:spacing w:after="0" w:line="301" w:lineRule="auto"/>
        <w:rPr>
          <w:sz w:val="20"/>
          <w:szCs w:val="20"/>
          <w:color w:val="auto"/>
        </w:rPr>
      </w:pPr>
      <w:r>
        <w:rPr>
          <w:rFonts w:ascii="Arial" w:cs="Arial" w:eastAsia="Arial" w:hAnsi="Arial"/>
          <w:sz w:val="16"/>
          <w:szCs w:val="16"/>
          <w:color w:val="auto"/>
        </w:rPr>
        <w:t>Our status as a Delaware corporation and the anti-takeover provisions of the Delaware General Corporation Law may discourage, delay, or prevent a change in control by prohibiting us from engaging in a business combination with an interested stockholder for a period of three years after the person becomes an interested stockholder, even if a change of control would be beneficial to our existing stockholders. In addition, our restated certificate of incorporation and restated bylaws contain provisions that may make the acquisition of our company more difficult, including the following:</w:t>
      </w:r>
    </w:p>
    <w:p>
      <w:pPr>
        <w:spacing w:after="0" w:line="63" w:lineRule="exact"/>
        <w:rPr>
          <w:sz w:val="20"/>
          <w:szCs w:val="20"/>
          <w:color w:val="auto"/>
        </w:rPr>
      </w:pPr>
    </w:p>
    <w:p>
      <w:pPr>
        <w:ind w:left="880" w:right="40" w:hanging="319"/>
        <w:spacing w:after="0" w:line="277" w:lineRule="auto"/>
        <w:tabs>
          <w:tab w:leader="none" w:pos="8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any transaction that would result in a change in control of our company requires the approval of a majority of our outstanding Class B common stock voting as a separate class;</w:t>
      </w:r>
    </w:p>
    <w:p>
      <w:pPr>
        <w:spacing w:after="0" w:line="75" w:lineRule="exact"/>
        <w:rPr>
          <w:rFonts w:ascii="Arial" w:cs="Arial" w:eastAsia="Arial" w:hAnsi="Arial"/>
          <w:sz w:val="18"/>
          <w:szCs w:val="18"/>
          <w:color w:val="auto"/>
        </w:rPr>
      </w:pPr>
    </w:p>
    <w:p>
      <w:pPr>
        <w:ind w:left="880" w:right="120" w:hanging="319"/>
        <w:spacing w:after="0" w:line="263" w:lineRule="auto"/>
        <w:tabs>
          <w:tab w:leader="none" w:pos="8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our dual class common stock structure, which provides our co-founders with the ability to significantly influence the outcome of matters requiring stockholder approval, even if they own significantly less than a majority of the shares of our outstanding Class A common stock and Class B common stock;</w:t>
      </w:r>
    </w:p>
    <w:p>
      <w:pPr>
        <w:spacing w:after="0" w:line="89" w:lineRule="exact"/>
        <w:rPr>
          <w:rFonts w:ascii="Arial" w:cs="Arial" w:eastAsia="Arial" w:hAnsi="Arial"/>
          <w:sz w:val="18"/>
          <w:szCs w:val="18"/>
          <w:color w:val="auto"/>
        </w:rPr>
      </w:pPr>
    </w:p>
    <w:p>
      <w:pPr>
        <w:ind w:left="880" w:right="340" w:hanging="319"/>
        <w:spacing w:after="0" w:line="277" w:lineRule="auto"/>
        <w:tabs>
          <w:tab w:leader="none" w:pos="8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our Board of Directors is classified into three classes of directors with staggered three-year terms and directors are only able to be removed from office for cause;</w:t>
      </w:r>
    </w:p>
    <w:p>
      <w:pPr>
        <w:spacing w:after="0" w:line="75" w:lineRule="exact"/>
        <w:rPr>
          <w:rFonts w:ascii="Arial" w:cs="Arial" w:eastAsia="Arial" w:hAnsi="Arial"/>
          <w:sz w:val="18"/>
          <w:szCs w:val="18"/>
          <w:color w:val="auto"/>
        </w:rPr>
      </w:pPr>
    </w:p>
    <w:p>
      <w:pPr>
        <w:ind w:left="880" w:hanging="319"/>
        <w:spacing w:after="0"/>
        <w:tabs>
          <w:tab w:leader="none" w:pos="880" w:val="left"/>
        </w:tabs>
        <w:numPr>
          <w:ilvl w:val="0"/>
          <w:numId w:val="29"/>
        </w:numPr>
        <w:rPr>
          <w:rFonts w:ascii="Arial" w:cs="Arial" w:eastAsia="Arial" w:hAnsi="Arial"/>
          <w:sz w:val="17"/>
          <w:szCs w:val="17"/>
          <w:color w:val="auto"/>
        </w:rPr>
      </w:pPr>
      <w:r>
        <w:rPr>
          <w:rFonts w:ascii="Arial" w:cs="Arial" w:eastAsia="Arial" w:hAnsi="Arial"/>
          <w:sz w:val="17"/>
          <w:szCs w:val="17"/>
          <w:color w:val="auto"/>
        </w:rPr>
        <w:t>when the outstanding shares of our Class B common stock represent less than a majority of the combined voting power of common stock:</w:t>
      </w:r>
    </w:p>
    <w:p>
      <w:pPr>
        <w:spacing w:after="0" w:line="142" w:lineRule="exact"/>
        <w:rPr>
          <w:rFonts w:ascii="Arial" w:cs="Arial" w:eastAsia="Arial" w:hAnsi="Arial"/>
          <w:sz w:val="17"/>
          <w:szCs w:val="17"/>
          <w:color w:val="auto"/>
        </w:rPr>
      </w:pPr>
    </w:p>
    <w:p>
      <w:pPr>
        <w:ind w:left="1440" w:right="700" w:hanging="433"/>
        <w:spacing w:after="0" w:line="277" w:lineRule="auto"/>
        <w:tabs>
          <w:tab w:leader="none" w:pos="1440" w:val="left"/>
        </w:tabs>
        <w:numPr>
          <w:ilvl w:val="1"/>
          <w:numId w:val="29"/>
        </w:numPr>
        <w:rPr>
          <w:rFonts w:ascii="Arial" w:cs="Arial" w:eastAsia="Arial" w:hAnsi="Arial"/>
          <w:sz w:val="18"/>
          <w:szCs w:val="18"/>
          <w:color w:val="auto"/>
        </w:rPr>
      </w:pPr>
      <w:r>
        <w:rPr>
          <w:rFonts w:ascii="Arial" w:cs="Arial" w:eastAsia="Arial" w:hAnsi="Arial"/>
          <w:sz w:val="18"/>
          <w:szCs w:val="18"/>
          <w:color w:val="auto"/>
        </w:rPr>
        <w:t>certain amendments to our restated certificate of incorporation or restated bylaws will require the approval of two-thirds of the combined vote of our then-outstanding shares of Class A common stock and Class B common stock;</w:t>
      </w:r>
    </w:p>
    <w:p>
      <w:pPr>
        <w:spacing w:after="0" w:line="75" w:lineRule="exact"/>
        <w:rPr>
          <w:rFonts w:ascii="Arial" w:cs="Arial" w:eastAsia="Arial" w:hAnsi="Arial"/>
          <w:sz w:val="18"/>
          <w:szCs w:val="18"/>
          <w:color w:val="auto"/>
        </w:rPr>
      </w:pPr>
    </w:p>
    <w:p>
      <w:pPr>
        <w:ind w:left="1440" w:hanging="433"/>
        <w:spacing w:after="0"/>
        <w:tabs>
          <w:tab w:leader="none" w:pos="1440" w:val="left"/>
        </w:tabs>
        <w:numPr>
          <w:ilvl w:val="1"/>
          <w:numId w:val="29"/>
        </w:numPr>
        <w:rPr>
          <w:rFonts w:ascii="Arial" w:cs="Arial" w:eastAsia="Arial" w:hAnsi="Arial"/>
          <w:sz w:val="18"/>
          <w:szCs w:val="18"/>
          <w:color w:val="auto"/>
        </w:rPr>
      </w:pPr>
      <w:r>
        <w:rPr>
          <w:rFonts w:ascii="Arial" w:cs="Arial" w:eastAsia="Arial" w:hAnsi="Arial"/>
          <w:sz w:val="18"/>
          <w:szCs w:val="18"/>
          <w:color w:val="auto"/>
        </w:rPr>
        <w:t>our stockholders will only be able to take action at a meeting of stockholders and not by written consent; and</w:t>
      </w:r>
    </w:p>
    <w:p>
      <w:pPr>
        <w:spacing w:after="0" w:line="130" w:lineRule="exact"/>
        <w:rPr>
          <w:rFonts w:ascii="Arial" w:cs="Arial" w:eastAsia="Arial" w:hAnsi="Arial"/>
          <w:sz w:val="18"/>
          <w:szCs w:val="18"/>
          <w:color w:val="auto"/>
        </w:rPr>
      </w:pPr>
    </w:p>
    <w:p>
      <w:pPr>
        <w:ind w:left="1440" w:hanging="433"/>
        <w:spacing w:after="0"/>
        <w:tabs>
          <w:tab w:leader="none" w:pos="1440" w:val="left"/>
        </w:tabs>
        <w:numPr>
          <w:ilvl w:val="1"/>
          <w:numId w:val="29"/>
        </w:numPr>
        <w:rPr>
          <w:rFonts w:ascii="Arial" w:cs="Arial" w:eastAsia="Arial" w:hAnsi="Arial"/>
          <w:sz w:val="18"/>
          <w:szCs w:val="18"/>
          <w:color w:val="auto"/>
        </w:rPr>
      </w:pPr>
      <w:r>
        <w:rPr>
          <w:rFonts w:ascii="Arial" w:cs="Arial" w:eastAsia="Arial" w:hAnsi="Arial"/>
          <w:sz w:val="18"/>
          <w:szCs w:val="18"/>
          <w:color w:val="auto"/>
        </w:rPr>
        <w:t>vacancies on our Board of Directors will be able to be filled only by our Board of Directors and not by stockholders;</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240"/>
          </w:cols>
          <w:pgMar w:left="320" w:top="459" w:right="339" w:bottom="1440" w:gutter="0" w:footer="0" w:header="0"/>
        </w:sectPr>
      </w:pPr>
    </w:p>
    <w:bookmarkStart w:id="43" w:name="page44"/>
    <w:bookmarkEnd w:id="4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880" w:hanging="319"/>
        <w:spacing w:after="0" w:line="277" w:lineRule="auto"/>
        <w:tabs>
          <w:tab w:leader="none" w:pos="8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only our chairman of the Board of Directors, chief executive officer, or a majority of Board of Directors are authorized to call a special meeting of stockholders;</w:t>
      </w:r>
    </w:p>
    <w:p>
      <w:pPr>
        <w:spacing w:after="0" w:line="75" w:lineRule="exact"/>
        <w:rPr>
          <w:rFonts w:ascii="Arial" w:cs="Arial" w:eastAsia="Arial" w:hAnsi="Arial"/>
          <w:sz w:val="18"/>
          <w:szCs w:val="18"/>
          <w:color w:val="auto"/>
        </w:rPr>
      </w:pPr>
    </w:p>
    <w:p>
      <w:pPr>
        <w:ind w:left="880" w:hanging="319"/>
        <w:spacing w:after="0"/>
        <w:tabs>
          <w:tab w:leader="none" w:pos="8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certain litigation against us can only be brought in Delaware;</w:t>
      </w:r>
    </w:p>
    <w:p>
      <w:pPr>
        <w:spacing w:after="0" w:line="130" w:lineRule="exact"/>
        <w:rPr>
          <w:rFonts w:ascii="Arial" w:cs="Arial" w:eastAsia="Arial" w:hAnsi="Arial"/>
          <w:sz w:val="18"/>
          <w:szCs w:val="18"/>
          <w:color w:val="auto"/>
        </w:rPr>
      </w:pPr>
    </w:p>
    <w:p>
      <w:pPr>
        <w:ind w:left="880" w:right="280" w:hanging="319"/>
        <w:spacing w:after="0" w:line="277" w:lineRule="auto"/>
        <w:tabs>
          <w:tab w:leader="none" w:pos="8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our restated certificate of incorporation authorizes undesignated preferred stock, the terms of which may be established and shares of which may be issued, without the approval of the holders of Class A common stock; and</w:t>
      </w:r>
    </w:p>
    <w:p>
      <w:pPr>
        <w:spacing w:after="0" w:line="75" w:lineRule="exact"/>
        <w:rPr>
          <w:rFonts w:ascii="Arial" w:cs="Arial" w:eastAsia="Arial" w:hAnsi="Arial"/>
          <w:sz w:val="18"/>
          <w:szCs w:val="18"/>
          <w:color w:val="auto"/>
        </w:rPr>
      </w:pPr>
    </w:p>
    <w:p>
      <w:pPr>
        <w:ind w:left="880" w:right="80" w:hanging="319"/>
        <w:spacing w:after="0" w:line="277" w:lineRule="auto"/>
        <w:tabs>
          <w:tab w:leader="none" w:pos="8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advance notice procedures apply for stockholders to nominate candidates for election as directors or to bring matters before an annual meeting of stockholders.</w:t>
      </w:r>
    </w:p>
    <w:p>
      <w:pPr>
        <w:spacing w:after="0" w:line="170" w:lineRule="exact"/>
        <w:rPr>
          <w:sz w:val="20"/>
          <w:szCs w:val="20"/>
          <w:color w:val="auto"/>
        </w:rPr>
      </w:pPr>
    </w:p>
    <w:p>
      <w:pPr>
        <w:jc w:val="both"/>
        <w:ind w:firstLine="449"/>
        <w:spacing w:after="0" w:line="279" w:lineRule="auto"/>
        <w:rPr>
          <w:sz w:val="20"/>
          <w:szCs w:val="20"/>
          <w:color w:val="auto"/>
        </w:rPr>
      </w:pPr>
      <w:r>
        <w:rPr>
          <w:rFonts w:ascii="Arial" w:cs="Arial" w:eastAsia="Arial" w:hAnsi="Arial"/>
          <w:sz w:val="17"/>
          <w:szCs w:val="17"/>
          <w:color w:val="auto"/>
        </w:rPr>
        <w:t>These anti-takeover defenses could discourage, delay, or prevent a transaction involving a change in control of our company. These provisions could also discourage proxy contests and make it more difficult for stockholders to elect directors of their choosing and to cause us to take other corporate actions they desire, any of which, under certain circumstances, could limit the opportunity for our stockholders to receive a premium for their shares of our capital stock, and could also affect the price that some investors are willing to pay for our Class A common stock.</w:t>
      </w:r>
    </w:p>
    <w:p>
      <w:pPr>
        <w:spacing w:after="0" w:line="279" w:lineRule="exact"/>
        <w:rPr>
          <w:sz w:val="20"/>
          <w:szCs w:val="20"/>
          <w:color w:val="auto"/>
        </w:rPr>
      </w:pPr>
    </w:p>
    <w:p>
      <w:pPr>
        <w:spacing w:after="0" w:line="259" w:lineRule="auto"/>
        <w:rPr>
          <w:sz w:val="20"/>
          <w:szCs w:val="20"/>
          <w:color w:val="auto"/>
        </w:rPr>
      </w:pPr>
      <w:r>
        <w:rPr>
          <w:rFonts w:ascii="Arial" w:cs="Arial" w:eastAsia="Arial" w:hAnsi="Arial"/>
          <w:sz w:val="18"/>
          <w:szCs w:val="18"/>
          <w:b w:val="1"/>
          <w:bCs w:val="1"/>
          <w:i w:val="1"/>
          <w:iCs w:val="1"/>
          <w:color w:val="auto"/>
        </w:rPr>
        <w:t>Our amended and restated bylaws will designate a state or federal court located within the State of Delaware as the exclusive forum for substantially all disputes between us and our stockholders, and also provide that the federal district courts will be the exclusive forum for resolving any complaint asserting a cause of action arising under the Securities Act, each of which could limit our stockholders’ ability to choose the judicial forum for disputes with us or our directors, officers, or employees.</w:t>
      </w:r>
    </w:p>
    <w:p>
      <w:pPr>
        <w:spacing w:after="0" w:line="79" w:lineRule="exact"/>
        <w:rPr>
          <w:sz w:val="20"/>
          <w:szCs w:val="20"/>
          <w:color w:val="auto"/>
        </w:rPr>
      </w:pPr>
    </w:p>
    <w:p>
      <w:pPr>
        <w:ind w:right="160" w:firstLine="449"/>
        <w:spacing w:after="0" w:line="291" w:lineRule="auto"/>
        <w:rPr>
          <w:sz w:val="20"/>
          <w:szCs w:val="20"/>
          <w:color w:val="auto"/>
        </w:rPr>
      </w:pPr>
      <w:r>
        <w:rPr>
          <w:rFonts w:ascii="Arial" w:cs="Arial" w:eastAsia="Arial" w:hAnsi="Arial"/>
          <w:sz w:val="16"/>
          <w:szCs w:val="16"/>
          <w:color w:val="auto"/>
        </w:rPr>
        <w:t>Our amended and restated bylaws, which will become effective immediately prior to the completion of this offering, will provide that, unless we consent in writing to the selection of an alternative forum, the sole and exclusive forum for (1) any derivative action or proceeding brought on our behalf,</w:t>
      </w:r>
    </w:p>
    <w:p>
      <w:pPr>
        <w:ind w:right="40" w:firstLine="8"/>
        <w:spacing w:after="0" w:line="273" w:lineRule="auto"/>
        <w:tabs>
          <w:tab w:leader="none" w:pos="255" w:val="left"/>
        </w:tabs>
        <w:numPr>
          <w:ilvl w:val="0"/>
          <w:numId w:val="31"/>
        </w:numPr>
        <w:rPr>
          <w:rFonts w:ascii="Arial" w:cs="Arial" w:eastAsia="Arial" w:hAnsi="Arial"/>
          <w:sz w:val="17"/>
          <w:szCs w:val="17"/>
          <w:color w:val="auto"/>
        </w:rPr>
      </w:pPr>
      <w:r>
        <w:rPr>
          <w:rFonts w:ascii="Arial" w:cs="Arial" w:eastAsia="Arial" w:hAnsi="Arial"/>
          <w:sz w:val="17"/>
          <w:szCs w:val="17"/>
          <w:color w:val="auto"/>
        </w:rPr>
        <w:t>any action asserting a claim of breach of a fiduciary duty owed by any of our directors, officers, or other employees to us or our stockholders, (3) any action asserting a claim against the company or any director or officer of the company arising pursuant to any provision of the Delaware General Corporation Law, or (4) any other action asserting a claim that is governed by the internal affairs doctrine shall be a state or federal court located within the State of Delaware, in all cases subject to the court’s having jurisdiction over indispensable parties named as defendants.</w:t>
      </w:r>
    </w:p>
    <w:p>
      <w:pPr>
        <w:spacing w:after="0" w:line="176" w:lineRule="exact"/>
        <w:rPr>
          <w:sz w:val="20"/>
          <w:szCs w:val="20"/>
          <w:color w:val="auto"/>
        </w:rPr>
      </w:pPr>
    </w:p>
    <w:p>
      <w:pPr>
        <w:ind w:right="320" w:firstLine="449"/>
        <w:spacing w:after="0" w:line="277" w:lineRule="auto"/>
        <w:rPr>
          <w:sz w:val="20"/>
          <w:szCs w:val="20"/>
          <w:color w:val="auto"/>
        </w:rPr>
      </w:pPr>
      <w:r>
        <w:rPr>
          <w:rFonts w:ascii="Arial" w:cs="Arial" w:eastAsia="Arial" w:hAnsi="Arial"/>
          <w:sz w:val="18"/>
          <w:szCs w:val="18"/>
          <w:color w:val="auto"/>
        </w:rPr>
        <w:t>Our amended and restated bylaws will also provide that the federal district courts of the United States of America will be the exclusive forum for resolving any complaint asserting a cause of action arising under the Securities Act.</w:t>
      </w:r>
    </w:p>
    <w:p>
      <w:pPr>
        <w:spacing w:after="0" w:line="170" w:lineRule="exact"/>
        <w:rPr>
          <w:sz w:val="20"/>
          <w:szCs w:val="20"/>
          <w:color w:val="auto"/>
        </w:rPr>
      </w:pPr>
    </w:p>
    <w:p>
      <w:pPr>
        <w:ind w:firstLine="449"/>
        <w:spacing w:after="0" w:line="275" w:lineRule="auto"/>
        <w:rPr>
          <w:sz w:val="20"/>
          <w:szCs w:val="20"/>
          <w:color w:val="auto"/>
        </w:rPr>
      </w:pPr>
      <w:r>
        <w:rPr>
          <w:rFonts w:ascii="Arial" w:cs="Arial" w:eastAsia="Arial" w:hAnsi="Arial"/>
          <w:sz w:val="17"/>
          <w:szCs w:val="17"/>
          <w:color w:val="auto"/>
        </w:rPr>
        <w:t>Any person or entity purchasing or otherwise acquiring any interest in shares of our Class A common stock shall be deemed to have notice of and consented to this provision. These exclusive-forum provisions may limit a stockholder’s ability to bring a claim in a judicial forum of its choosing for disputes with us or our directors, officers, or other employees, which may discourage lawsuits against us and our directors, officers, and other employees. If a court were to find either exclusive-forum provision in our amended and restated bylaws to be inapplicable or unenforceable in an action, we may incur additional costs associated with resolving the dispute in other jurisdictions, which could harm our results of operations.</w:t>
      </w:r>
    </w:p>
    <w:p>
      <w:pPr>
        <w:spacing w:after="0" w:line="284" w:lineRule="exact"/>
        <w:rPr>
          <w:sz w:val="20"/>
          <w:szCs w:val="20"/>
          <w:color w:val="auto"/>
        </w:rPr>
      </w:pPr>
    </w:p>
    <w:p>
      <w:pPr>
        <w:ind w:right="400"/>
        <w:spacing w:after="0" w:line="277" w:lineRule="auto"/>
        <w:rPr>
          <w:sz w:val="20"/>
          <w:szCs w:val="20"/>
          <w:color w:val="auto"/>
        </w:rPr>
      </w:pPr>
      <w:r>
        <w:rPr>
          <w:rFonts w:ascii="Arial" w:cs="Arial" w:eastAsia="Arial" w:hAnsi="Arial"/>
          <w:sz w:val="18"/>
          <w:szCs w:val="18"/>
          <w:b w:val="1"/>
          <w:bCs w:val="1"/>
          <w:i w:val="1"/>
          <w:iCs w:val="1"/>
          <w:color w:val="auto"/>
        </w:rPr>
        <w:t>Affiliates of two of the underwriters in this offering will receive at least 5% of the net proceeds of this offering and have an interest in this offering beyond customary underwriting discounts and commissions.</w:t>
      </w:r>
    </w:p>
    <w:p>
      <w:pPr>
        <w:spacing w:after="0" w:line="62" w:lineRule="exact"/>
        <w:rPr>
          <w:sz w:val="20"/>
          <w:szCs w:val="20"/>
          <w:color w:val="auto"/>
        </w:rPr>
      </w:pPr>
    </w:p>
    <w:p>
      <w:pPr>
        <w:ind w:left="460"/>
        <w:spacing w:after="0"/>
        <w:rPr>
          <w:sz w:val="20"/>
          <w:szCs w:val="20"/>
          <w:color w:val="auto"/>
        </w:rPr>
      </w:pPr>
      <w:r>
        <w:rPr>
          <w:rFonts w:ascii="Arial" w:cs="Arial" w:eastAsia="Arial" w:hAnsi="Arial"/>
          <w:sz w:val="16"/>
          <w:szCs w:val="16"/>
          <w:color w:val="auto"/>
        </w:rPr>
        <w:t>Goldman Sachs &amp; Co. LLC and J.P. Morgan Securities LLC are underwriters in this offering and their affiliates will receive at least 5% of the net</w:t>
      </w:r>
    </w:p>
    <w:p>
      <w:pPr>
        <w:spacing w:after="0" w:line="46" w:lineRule="exact"/>
        <w:rPr>
          <w:sz w:val="20"/>
          <w:szCs w:val="20"/>
          <w:color w:val="auto"/>
        </w:rPr>
      </w:pPr>
    </w:p>
    <w:p>
      <w:pPr>
        <w:ind w:right="240"/>
        <w:spacing w:after="0" w:line="260" w:lineRule="auto"/>
        <w:rPr>
          <w:sz w:val="20"/>
          <w:szCs w:val="20"/>
          <w:color w:val="auto"/>
        </w:rPr>
      </w:pPr>
      <w:r>
        <w:rPr>
          <w:rFonts w:ascii="Arial" w:cs="Arial" w:eastAsia="Arial" w:hAnsi="Arial"/>
          <w:sz w:val="18"/>
          <w:szCs w:val="18"/>
          <w:color w:val="auto"/>
        </w:rPr>
        <w:t>proceeds of this offering in connection with our repayment of $ that is expected to be outstanding under our revolving credit facility immediately prior to the completion of this offering. As such, Goldman Sachs &amp; Co. LLC and J.P. Morgan Securities LLC are each</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220"/>
          </w:cols>
          <w:pgMar w:left="320" w:top="459" w:right="359" w:bottom="1440" w:gutter="0" w:footer="0" w:header="0"/>
        </w:sectPr>
      </w:pPr>
    </w:p>
    <w:bookmarkStart w:id="44" w:name="page45"/>
    <w:bookmarkEnd w:id="4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right="120"/>
        <w:spacing w:after="0" w:line="291" w:lineRule="auto"/>
        <w:rPr>
          <w:sz w:val="20"/>
          <w:szCs w:val="20"/>
          <w:color w:val="auto"/>
        </w:rPr>
      </w:pPr>
      <w:r>
        <w:rPr>
          <w:rFonts w:ascii="Arial" w:cs="Arial" w:eastAsia="Arial" w:hAnsi="Arial"/>
          <w:sz w:val="16"/>
          <w:szCs w:val="16"/>
          <w:color w:val="auto"/>
        </w:rPr>
        <w:t>deemed to have a “conflict of interest” under Rule 5121 of the Financial Industry Regulatory Authority Inc., or Rule 5121. Accordingly, this offering will be made in compliance with the applicable provisions of Rule 5121. This rule requires, among other things, that a “qualified independent underwriter” has</w:t>
      </w:r>
    </w:p>
    <w:p>
      <w:pPr>
        <w:ind w:right="100"/>
        <w:spacing w:after="0" w:line="281" w:lineRule="auto"/>
        <w:rPr>
          <w:sz w:val="20"/>
          <w:szCs w:val="20"/>
          <w:color w:val="auto"/>
        </w:rPr>
      </w:pPr>
      <w:r>
        <w:rPr>
          <w:rFonts w:ascii="Arial" w:cs="Arial" w:eastAsia="Arial" w:hAnsi="Arial"/>
          <w:sz w:val="16"/>
          <w:szCs w:val="16"/>
          <w:color w:val="auto"/>
        </w:rPr>
        <w:t>participated in the preparation of, and has exercised the usual standards of “due diligence” with respect to, the registration statement. has agreed to act as qualified independent underwriter for this offering and to undertake the legal responsibilities and liabilities of an underwriter under the Securities</w:t>
      </w:r>
    </w:p>
    <w:p>
      <w:pPr>
        <w:spacing w:after="0" w:line="1" w:lineRule="exact"/>
        <w:rPr>
          <w:sz w:val="20"/>
          <w:szCs w:val="20"/>
          <w:color w:val="auto"/>
        </w:rPr>
      </w:pPr>
    </w:p>
    <w:p>
      <w:pPr>
        <w:spacing w:after="0"/>
        <w:tabs>
          <w:tab w:leader="none" w:pos="920" w:val="left"/>
          <w:tab w:leader="none" w:pos="10680" w:val="left"/>
        </w:tabs>
        <w:rPr>
          <w:sz w:val="20"/>
          <w:szCs w:val="20"/>
          <w:color w:val="auto"/>
        </w:rPr>
      </w:pPr>
      <w:r>
        <w:rPr>
          <w:rFonts w:ascii="Arial" w:cs="Arial" w:eastAsia="Arial" w:hAnsi="Arial"/>
          <w:sz w:val="18"/>
          <w:szCs w:val="18"/>
          <w:color w:val="auto"/>
        </w:rPr>
        <w:t>Act.</w:t>
      </w:r>
      <w:r>
        <w:rPr>
          <w:sz w:val="20"/>
          <w:szCs w:val="20"/>
          <w:color w:val="auto"/>
        </w:rPr>
        <w:tab/>
      </w:r>
      <w:r>
        <w:rPr>
          <w:rFonts w:ascii="Arial" w:cs="Arial" w:eastAsia="Arial" w:hAnsi="Arial"/>
          <w:sz w:val="18"/>
          <w:szCs w:val="18"/>
          <w:color w:val="auto"/>
        </w:rPr>
        <w:t>will not receive any additional fees for serving as qualified independent underwriter in connection with this offering. Although</w:t>
      </w:r>
      <w:r>
        <w:rPr>
          <w:sz w:val="20"/>
          <w:szCs w:val="20"/>
          <w:color w:val="auto"/>
        </w:rPr>
        <w:tab/>
      </w:r>
      <w:r>
        <w:rPr>
          <w:rFonts w:ascii="Arial" w:cs="Arial" w:eastAsia="Arial" w:hAnsi="Arial"/>
          <w:sz w:val="15"/>
          <w:szCs w:val="15"/>
          <w:color w:val="auto"/>
        </w:rPr>
        <w:t>has, in</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its capacity as qualified independent underwriter, participated in due diligence and the preparation of this prospectus and the registration statement of which</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this prospectus forms a part, we cannot assure you that this will adequately address all potential conflicts of interest. We have agreed to indemnify</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against liabilities incurred in connection with acting as qualified independent underwriter, including liabilities under the Securities Act. Pursuant to FINRA</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Rule 5121, Goldman Sachs &amp; Co. LLC and J.P. Morgan Securities LLC will not confirm sales of securities to any account over which it exercises</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discretionary authority without the prior written approval of the customer. See “Underwriting (Conflicts of Interest)” for additional information.</w:t>
      </w:r>
    </w:p>
    <w:p>
      <w:pPr>
        <w:spacing w:after="0" w:line="319" w:lineRule="exact"/>
        <w:rPr>
          <w:sz w:val="20"/>
          <w:szCs w:val="20"/>
          <w:color w:val="auto"/>
        </w:rPr>
      </w:pPr>
    </w:p>
    <w:p>
      <w:pPr>
        <w:ind w:right="720"/>
        <w:spacing w:after="0" w:line="277" w:lineRule="auto"/>
        <w:rPr>
          <w:sz w:val="20"/>
          <w:szCs w:val="20"/>
          <w:color w:val="auto"/>
        </w:rPr>
      </w:pPr>
      <w:r>
        <w:rPr>
          <w:rFonts w:ascii="Arial" w:cs="Arial" w:eastAsia="Arial" w:hAnsi="Arial"/>
          <w:sz w:val="18"/>
          <w:szCs w:val="18"/>
          <w:b w:val="1"/>
          <w:bCs w:val="1"/>
          <w:i w:val="1"/>
          <w:iCs w:val="1"/>
          <w:color w:val="auto"/>
        </w:rPr>
        <w:t>Our Class A common stock market price and trading volume could decline if securities or industry analysts do not publish research or publish inaccurate or unfavorable research about our business.</w:t>
      </w:r>
    </w:p>
    <w:p>
      <w:pPr>
        <w:spacing w:after="0" w:line="62" w:lineRule="exact"/>
        <w:rPr>
          <w:sz w:val="20"/>
          <w:szCs w:val="20"/>
          <w:color w:val="auto"/>
        </w:rPr>
      </w:pPr>
    </w:p>
    <w:p>
      <w:pPr>
        <w:ind w:right="60" w:firstLine="449"/>
        <w:spacing w:after="0" w:line="296" w:lineRule="auto"/>
        <w:rPr>
          <w:sz w:val="20"/>
          <w:szCs w:val="20"/>
          <w:color w:val="auto"/>
        </w:rPr>
      </w:pPr>
      <w:r>
        <w:rPr>
          <w:rFonts w:ascii="Arial" w:cs="Arial" w:eastAsia="Arial" w:hAnsi="Arial"/>
          <w:sz w:val="16"/>
          <w:szCs w:val="16"/>
          <w:color w:val="auto"/>
        </w:rPr>
        <w:t>The trading market for our Class A common stock will depend in part on the research and reports that securities or industry analysts publish about us or our business. The analysts’ estimates are based upon their own opinions and are often different from our estimates or expectations. If one or more of the analysts who cover us downgrade our Class A common stock or publish inaccurate or unfavorable research about our business, the price of our securities would likely decline. If few securities analysts commence coverage of us, or if one or more of these analysts cease coverage of us or fail to publish reports on us regularly, demand for our securities could decrease, which might cause the price and trading volume of our Class A common stock to decline.</w:t>
      </w: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do not intend to pay dividends for the foreseeable future.</w:t>
      </w:r>
    </w:p>
    <w:p>
      <w:pPr>
        <w:spacing w:after="0" w:line="117" w:lineRule="exact"/>
        <w:rPr>
          <w:sz w:val="20"/>
          <w:szCs w:val="20"/>
          <w:color w:val="auto"/>
        </w:rPr>
      </w:pPr>
    </w:p>
    <w:p>
      <w:pPr>
        <w:ind w:right="20" w:firstLine="449"/>
        <w:spacing w:after="0" w:line="259" w:lineRule="auto"/>
        <w:rPr>
          <w:sz w:val="20"/>
          <w:szCs w:val="20"/>
          <w:color w:val="auto"/>
        </w:rPr>
      </w:pPr>
      <w:r>
        <w:rPr>
          <w:rFonts w:ascii="Arial" w:cs="Arial" w:eastAsia="Arial" w:hAnsi="Arial"/>
          <w:sz w:val="18"/>
          <w:szCs w:val="18"/>
          <w:color w:val="auto"/>
        </w:rPr>
        <w:t>We have never declared nor paid cash dividends on our capital stock. We currently intend to retain any future earnings to finance the operation and expansion of our business, and we do not expect to declare or pay any dividends in the foreseeable future. As a result, stockholders must rely on sales of their Class A common stock after price appreciation as the only way to realize any future gains on their investment. In addition, our revolving credit facility contains restrictions on our ability to pay dividends.</w:t>
      </w:r>
    </w:p>
    <w:p>
      <w:pPr>
        <w:spacing w:after="0" w:line="1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240"/>
          </w:cols>
          <w:pgMar w:left="320" w:top="459" w:right="339" w:bottom="1440" w:gutter="0" w:footer="0" w:header="0"/>
        </w:sectPr>
      </w:pPr>
    </w:p>
    <w:bookmarkStart w:id="45" w:name="page46"/>
    <w:bookmarkEnd w:id="4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SPECIAL NOTE REGARDING FORWARD-LOOKING STATEMENTS</w:t>
      </w:r>
    </w:p>
    <w:p>
      <w:pPr>
        <w:spacing w:after="0" w:line="229" w:lineRule="exact"/>
        <w:rPr>
          <w:sz w:val="20"/>
          <w:szCs w:val="20"/>
          <w:color w:val="auto"/>
        </w:rPr>
      </w:pPr>
    </w:p>
    <w:p>
      <w:pPr>
        <w:ind w:right="20" w:firstLine="449"/>
        <w:spacing w:after="0" w:line="255" w:lineRule="auto"/>
        <w:rPr>
          <w:sz w:val="20"/>
          <w:szCs w:val="20"/>
          <w:color w:val="auto"/>
        </w:rPr>
      </w:pPr>
      <w:r>
        <w:rPr>
          <w:rFonts w:ascii="Arial" w:cs="Arial" w:eastAsia="Arial" w:hAnsi="Arial"/>
          <w:sz w:val="18"/>
          <w:szCs w:val="18"/>
          <w:color w:val="auto"/>
        </w:rPr>
        <w:t>This prospectus contains forward-looking statements within the meaning of the federal securities laws, which statements involve substantial risks and uncertainties. Forward-looking statements generally relate to future events or our future financial or operating performance. In some cases, you can identify forward-looking statements because they contain words such as “may,” “will,” “should,” “expects,” “plans,” “anticipates,” “could,” “intends,” “target,” “projects,” “contemplates,” “believes,” “estimates,” “predicts,” “potential,” or “continue” or the negative of these words or other similar terms or expressions that concern our expectations, strategy, plans, or intentions. Forward-looking statements contained in this prospectus include, but are not limited to, statements about:</w:t>
      </w:r>
    </w:p>
    <w:p>
      <w:pPr>
        <w:spacing w:after="0" w:line="98" w:lineRule="exact"/>
        <w:rPr>
          <w:sz w:val="20"/>
          <w:szCs w:val="20"/>
          <w:color w:val="auto"/>
        </w:rPr>
      </w:pPr>
    </w:p>
    <w:p>
      <w:pPr>
        <w:ind w:left="880" w:hanging="319"/>
        <w:spacing w:after="0"/>
        <w:tabs>
          <w:tab w:leader="none" w:pos="8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our ability to retain and upgrade paying users;</w:t>
      </w:r>
    </w:p>
    <w:p>
      <w:pPr>
        <w:spacing w:after="0" w:line="130" w:lineRule="exact"/>
        <w:rPr>
          <w:rFonts w:ascii="Arial" w:cs="Arial" w:eastAsia="Arial" w:hAnsi="Arial"/>
          <w:sz w:val="18"/>
          <w:szCs w:val="18"/>
          <w:color w:val="auto"/>
        </w:rPr>
      </w:pPr>
    </w:p>
    <w:p>
      <w:pPr>
        <w:ind w:left="880" w:hanging="319"/>
        <w:spacing w:after="0"/>
        <w:tabs>
          <w:tab w:leader="none" w:pos="8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our ability to attract new users or convert registered users to paying users;</w:t>
      </w:r>
    </w:p>
    <w:p>
      <w:pPr>
        <w:spacing w:after="0" w:line="130" w:lineRule="exact"/>
        <w:rPr>
          <w:rFonts w:ascii="Arial" w:cs="Arial" w:eastAsia="Arial" w:hAnsi="Arial"/>
          <w:sz w:val="18"/>
          <w:szCs w:val="18"/>
          <w:color w:val="auto"/>
        </w:rPr>
      </w:pPr>
    </w:p>
    <w:p>
      <w:pPr>
        <w:ind w:left="880" w:right="100" w:hanging="319"/>
        <w:spacing w:after="0" w:line="277" w:lineRule="auto"/>
        <w:tabs>
          <w:tab w:leader="none" w:pos="8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our future financial performance, including trends in revenue, costs of revenue, gross profit or gross margin, operating expenses, paying users, and free cash flow;</w:t>
      </w:r>
    </w:p>
    <w:p>
      <w:pPr>
        <w:spacing w:after="0" w:line="75" w:lineRule="exact"/>
        <w:rPr>
          <w:rFonts w:ascii="Arial" w:cs="Arial" w:eastAsia="Arial" w:hAnsi="Arial"/>
          <w:sz w:val="18"/>
          <w:szCs w:val="18"/>
          <w:color w:val="auto"/>
        </w:rPr>
      </w:pPr>
    </w:p>
    <w:p>
      <w:pPr>
        <w:ind w:left="880" w:hanging="319"/>
        <w:spacing w:after="0"/>
        <w:tabs>
          <w:tab w:leader="none" w:pos="8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our ability to achieve or maintain profitability;</w:t>
      </w:r>
    </w:p>
    <w:p>
      <w:pPr>
        <w:spacing w:after="0" w:line="130" w:lineRule="exact"/>
        <w:rPr>
          <w:rFonts w:ascii="Arial" w:cs="Arial" w:eastAsia="Arial" w:hAnsi="Arial"/>
          <w:sz w:val="18"/>
          <w:szCs w:val="18"/>
          <w:color w:val="auto"/>
        </w:rPr>
      </w:pPr>
    </w:p>
    <w:p>
      <w:pPr>
        <w:ind w:left="880" w:hanging="319"/>
        <w:spacing w:after="0"/>
        <w:tabs>
          <w:tab w:leader="none" w:pos="8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demand for our platform or for content collaboration solutions in general;</w:t>
      </w:r>
    </w:p>
    <w:p>
      <w:pPr>
        <w:spacing w:after="0" w:line="130" w:lineRule="exact"/>
        <w:rPr>
          <w:rFonts w:ascii="Arial" w:cs="Arial" w:eastAsia="Arial" w:hAnsi="Arial"/>
          <w:sz w:val="18"/>
          <w:szCs w:val="18"/>
          <w:color w:val="auto"/>
        </w:rPr>
      </w:pPr>
    </w:p>
    <w:p>
      <w:pPr>
        <w:ind w:left="880" w:hanging="319"/>
        <w:spacing w:after="0"/>
        <w:tabs>
          <w:tab w:leader="none" w:pos="8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possible harm caused by significant disruption of service or loss or unauthorized access to users’ content;</w:t>
      </w:r>
    </w:p>
    <w:p>
      <w:pPr>
        <w:spacing w:after="0" w:line="130" w:lineRule="exact"/>
        <w:rPr>
          <w:rFonts w:ascii="Arial" w:cs="Arial" w:eastAsia="Arial" w:hAnsi="Arial"/>
          <w:sz w:val="18"/>
          <w:szCs w:val="18"/>
          <w:color w:val="auto"/>
        </w:rPr>
      </w:pPr>
    </w:p>
    <w:p>
      <w:pPr>
        <w:ind w:left="880" w:hanging="319"/>
        <w:spacing w:after="0"/>
        <w:tabs>
          <w:tab w:leader="none" w:pos="8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our ability to effectively integrate our platform with others;</w:t>
      </w:r>
    </w:p>
    <w:p>
      <w:pPr>
        <w:spacing w:after="0" w:line="130" w:lineRule="exact"/>
        <w:rPr>
          <w:rFonts w:ascii="Arial" w:cs="Arial" w:eastAsia="Arial" w:hAnsi="Arial"/>
          <w:sz w:val="18"/>
          <w:szCs w:val="18"/>
          <w:color w:val="auto"/>
        </w:rPr>
      </w:pPr>
    </w:p>
    <w:p>
      <w:pPr>
        <w:ind w:left="880" w:hanging="319"/>
        <w:spacing w:after="0"/>
        <w:tabs>
          <w:tab w:leader="none" w:pos="8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our ability to compete successfully in competitive markets;</w:t>
      </w:r>
    </w:p>
    <w:p>
      <w:pPr>
        <w:spacing w:after="0" w:line="130" w:lineRule="exact"/>
        <w:rPr>
          <w:rFonts w:ascii="Arial" w:cs="Arial" w:eastAsia="Arial" w:hAnsi="Arial"/>
          <w:sz w:val="18"/>
          <w:szCs w:val="18"/>
          <w:color w:val="auto"/>
        </w:rPr>
      </w:pPr>
    </w:p>
    <w:p>
      <w:pPr>
        <w:ind w:left="880" w:hanging="319"/>
        <w:spacing w:after="0"/>
        <w:tabs>
          <w:tab w:leader="none" w:pos="8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our ability to respond to rapid technological changes;</w:t>
      </w:r>
    </w:p>
    <w:p>
      <w:pPr>
        <w:spacing w:after="0" w:line="130" w:lineRule="exact"/>
        <w:rPr>
          <w:rFonts w:ascii="Arial" w:cs="Arial" w:eastAsia="Arial" w:hAnsi="Arial"/>
          <w:sz w:val="18"/>
          <w:szCs w:val="18"/>
          <w:color w:val="auto"/>
        </w:rPr>
      </w:pPr>
    </w:p>
    <w:p>
      <w:pPr>
        <w:ind w:left="880" w:hanging="319"/>
        <w:spacing w:after="0"/>
        <w:tabs>
          <w:tab w:leader="none" w:pos="8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our expectations and management of future growth;</w:t>
      </w:r>
    </w:p>
    <w:p>
      <w:pPr>
        <w:spacing w:after="0" w:line="130" w:lineRule="exact"/>
        <w:rPr>
          <w:rFonts w:ascii="Arial" w:cs="Arial" w:eastAsia="Arial" w:hAnsi="Arial"/>
          <w:sz w:val="18"/>
          <w:szCs w:val="18"/>
          <w:color w:val="auto"/>
        </w:rPr>
      </w:pPr>
    </w:p>
    <w:p>
      <w:pPr>
        <w:ind w:left="880" w:hanging="319"/>
        <w:spacing w:after="0"/>
        <w:tabs>
          <w:tab w:leader="none" w:pos="8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our ability to grow due to our lack of a significant outbound salesforce;</w:t>
      </w:r>
    </w:p>
    <w:p>
      <w:pPr>
        <w:spacing w:after="0" w:line="130" w:lineRule="exact"/>
        <w:rPr>
          <w:rFonts w:ascii="Arial" w:cs="Arial" w:eastAsia="Arial" w:hAnsi="Arial"/>
          <w:sz w:val="18"/>
          <w:szCs w:val="18"/>
          <w:color w:val="auto"/>
        </w:rPr>
      </w:pPr>
    </w:p>
    <w:p>
      <w:pPr>
        <w:ind w:left="880" w:hanging="319"/>
        <w:spacing w:after="0"/>
        <w:tabs>
          <w:tab w:leader="none" w:pos="8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our ability to attract large organizations as users;</w:t>
      </w:r>
    </w:p>
    <w:p>
      <w:pPr>
        <w:spacing w:after="0" w:line="130" w:lineRule="exact"/>
        <w:rPr>
          <w:rFonts w:ascii="Arial" w:cs="Arial" w:eastAsia="Arial" w:hAnsi="Arial"/>
          <w:sz w:val="18"/>
          <w:szCs w:val="18"/>
          <w:color w:val="auto"/>
        </w:rPr>
      </w:pPr>
    </w:p>
    <w:p>
      <w:pPr>
        <w:ind w:left="880" w:hanging="319"/>
        <w:spacing w:after="0"/>
        <w:tabs>
          <w:tab w:leader="none" w:pos="8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our ability to offer high-quality customer support;</w:t>
      </w:r>
    </w:p>
    <w:p>
      <w:pPr>
        <w:spacing w:after="0" w:line="130" w:lineRule="exact"/>
        <w:rPr>
          <w:rFonts w:ascii="Arial" w:cs="Arial" w:eastAsia="Arial" w:hAnsi="Arial"/>
          <w:sz w:val="18"/>
          <w:szCs w:val="18"/>
          <w:color w:val="auto"/>
        </w:rPr>
      </w:pPr>
    </w:p>
    <w:p>
      <w:pPr>
        <w:ind w:left="880" w:hanging="319"/>
        <w:spacing w:after="0"/>
        <w:tabs>
          <w:tab w:leader="none" w:pos="8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our ability to manage our international expansion;</w:t>
      </w:r>
    </w:p>
    <w:p>
      <w:pPr>
        <w:spacing w:after="0" w:line="130" w:lineRule="exact"/>
        <w:rPr>
          <w:rFonts w:ascii="Arial" w:cs="Arial" w:eastAsia="Arial" w:hAnsi="Arial"/>
          <w:sz w:val="18"/>
          <w:szCs w:val="18"/>
          <w:color w:val="auto"/>
        </w:rPr>
      </w:pPr>
    </w:p>
    <w:p>
      <w:pPr>
        <w:ind w:left="880" w:hanging="319"/>
        <w:spacing w:after="0"/>
        <w:tabs>
          <w:tab w:leader="none" w:pos="8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our ability to attract and retain key personnel and highly qualified personnel;</w:t>
      </w:r>
    </w:p>
    <w:p>
      <w:pPr>
        <w:spacing w:after="0" w:line="130" w:lineRule="exact"/>
        <w:rPr>
          <w:rFonts w:ascii="Arial" w:cs="Arial" w:eastAsia="Arial" w:hAnsi="Arial"/>
          <w:sz w:val="18"/>
          <w:szCs w:val="18"/>
          <w:color w:val="auto"/>
        </w:rPr>
      </w:pPr>
    </w:p>
    <w:p>
      <w:pPr>
        <w:ind w:left="880" w:hanging="319"/>
        <w:spacing w:after="0"/>
        <w:tabs>
          <w:tab w:leader="none" w:pos="8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our ability to protect our brand;</w:t>
      </w:r>
    </w:p>
    <w:p>
      <w:pPr>
        <w:spacing w:after="0" w:line="130" w:lineRule="exact"/>
        <w:rPr>
          <w:rFonts w:ascii="Arial" w:cs="Arial" w:eastAsia="Arial" w:hAnsi="Arial"/>
          <w:sz w:val="18"/>
          <w:szCs w:val="18"/>
          <w:color w:val="auto"/>
        </w:rPr>
      </w:pPr>
    </w:p>
    <w:p>
      <w:pPr>
        <w:ind w:left="880" w:hanging="319"/>
        <w:spacing w:after="0"/>
        <w:tabs>
          <w:tab w:leader="none" w:pos="8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our ability to prevent serious errors or defects in our platform;</w:t>
      </w:r>
    </w:p>
    <w:p>
      <w:pPr>
        <w:spacing w:after="0" w:line="130" w:lineRule="exact"/>
        <w:rPr>
          <w:rFonts w:ascii="Arial" w:cs="Arial" w:eastAsia="Arial" w:hAnsi="Arial"/>
          <w:sz w:val="18"/>
          <w:szCs w:val="18"/>
          <w:color w:val="auto"/>
        </w:rPr>
      </w:pPr>
    </w:p>
    <w:p>
      <w:pPr>
        <w:ind w:left="880" w:hanging="319"/>
        <w:spacing w:after="0"/>
        <w:tabs>
          <w:tab w:leader="none" w:pos="8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our ability to maintain, protect, and enhance our intellectual property;</w:t>
      </w:r>
    </w:p>
    <w:p>
      <w:pPr>
        <w:spacing w:after="0" w:line="130" w:lineRule="exact"/>
        <w:rPr>
          <w:rFonts w:ascii="Arial" w:cs="Arial" w:eastAsia="Arial" w:hAnsi="Arial"/>
          <w:sz w:val="18"/>
          <w:szCs w:val="18"/>
          <w:color w:val="auto"/>
        </w:rPr>
      </w:pPr>
    </w:p>
    <w:p>
      <w:pPr>
        <w:ind w:left="880" w:hanging="319"/>
        <w:spacing w:after="0"/>
        <w:tabs>
          <w:tab w:leader="none" w:pos="8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our ability to successfully identify, acquire, and integrate companies and assets;</w:t>
      </w:r>
    </w:p>
    <w:p>
      <w:pPr>
        <w:spacing w:after="0" w:line="130" w:lineRule="exact"/>
        <w:rPr>
          <w:rFonts w:ascii="Arial" w:cs="Arial" w:eastAsia="Arial" w:hAnsi="Arial"/>
          <w:sz w:val="18"/>
          <w:szCs w:val="18"/>
          <w:color w:val="auto"/>
        </w:rPr>
      </w:pPr>
    </w:p>
    <w:p>
      <w:pPr>
        <w:ind w:left="880" w:hanging="319"/>
        <w:spacing w:after="0"/>
        <w:tabs>
          <w:tab w:leader="none" w:pos="8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increased expenses associated with being a public company; and</w:t>
      </w:r>
    </w:p>
    <w:p>
      <w:pPr>
        <w:spacing w:after="0" w:line="130" w:lineRule="exact"/>
        <w:rPr>
          <w:rFonts w:ascii="Arial" w:cs="Arial" w:eastAsia="Arial" w:hAnsi="Arial"/>
          <w:sz w:val="18"/>
          <w:szCs w:val="18"/>
          <w:color w:val="auto"/>
        </w:rPr>
      </w:pPr>
    </w:p>
    <w:p>
      <w:pPr>
        <w:ind w:left="880" w:hanging="319"/>
        <w:spacing w:after="0"/>
        <w:tabs>
          <w:tab w:leader="none" w:pos="8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our anticipated uses of net proceeds from this offering.</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caution you that the foregoing list may not contain all of the forward-looking statements made in this prospectus.</w:t>
      </w:r>
    </w:p>
    <w:p>
      <w:pPr>
        <w:spacing w:after="0" w:line="225" w:lineRule="exact"/>
        <w:rPr>
          <w:sz w:val="20"/>
          <w:szCs w:val="20"/>
          <w:color w:val="auto"/>
        </w:rPr>
      </w:pPr>
    </w:p>
    <w:p>
      <w:pPr>
        <w:jc w:val="both"/>
        <w:ind w:firstLine="449"/>
        <w:spacing w:after="0" w:line="286" w:lineRule="auto"/>
        <w:rPr>
          <w:sz w:val="20"/>
          <w:szCs w:val="20"/>
          <w:color w:val="auto"/>
        </w:rPr>
      </w:pPr>
      <w:r>
        <w:rPr>
          <w:rFonts w:ascii="Arial" w:cs="Arial" w:eastAsia="Arial" w:hAnsi="Arial"/>
          <w:sz w:val="17"/>
          <w:szCs w:val="17"/>
          <w:color w:val="auto"/>
        </w:rPr>
        <w:t>You should not rely upon forward-looking statements as predictions of future events. We have based the forward-looking statements contained in this prospectus primarily on our current expectations and projections about future events and trends that we believe may affect our business, financial condition, results of operations, and prospects. The outcome of the events described in these forward-looking statements is subject to risks,</w:t>
      </w:r>
    </w:p>
    <w:p>
      <w:pPr>
        <w:spacing w:after="0" w:line="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240"/>
          </w:cols>
          <w:pgMar w:left="320" w:top="459" w:right="339" w:bottom="1440" w:gutter="0" w:footer="0" w:header="0"/>
        </w:sectPr>
      </w:pPr>
    </w:p>
    <w:bookmarkStart w:id="46" w:name="page47"/>
    <w:bookmarkEnd w:id="4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uncertainties and other factors described in the section titled “Risk Factors” and elsewhere in this prospectus. Moreover, we operate in a very competitive and rapidly changing environment. New risks and uncertainties emerge from time to time, and it is not possible for us to predict all risks and uncertainties that could have an impact on the forward-looking statements contained in this prospectus. We cannot assure you that the results, events, and circumstances reflected in the forward-looking statements will be achieved or occur, and actual results, events, or circumstances could differ materially from those described in the forward-looking statements.</w:t>
      </w:r>
    </w:p>
    <w:p>
      <w:pPr>
        <w:spacing w:after="0" w:line="188" w:lineRule="exact"/>
        <w:rPr>
          <w:sz w:val="20"/>
          <w:szCs w:val="20"/>
          <w:color w:val="auto"/>
        </w:rPr>
      </w:pPr>
    </w:p>
    <w:p>
      <w:pPr>
        <w:ind w:right="40" w:firstLine="449"/>
        <w:spacing w:after="0" w:line="296" w:lineRule="auto"/>
        <w:rPr>
          <w:sz w:val="20"/>
          <w:szCs w:val="20"/>
          <w:color w:val="auto"/>
        </w:rPr>
      </w:pPr>
      <w:r>
        <w:rPr>
          <w:rFonts w:ascii="Arial" w:cs="Arial" w:eastAsia="Arial" w:hAnsi="Arial"/>
          <w:sz w:val="16"/>
          <w:szCs w:val="16"/>
          <w:color w:val="auto"/>
        </w:rPr>
        <w:t>The forward-looking statements made in this prospectus relate only to events as of the date on which the statements are made. We undertake no obligation to update any forward-looking statements made in this prospectus to reflect events or circumstances after the date of this prospectus or to reflect new information or the occurrence of unanticipated events, except as required by law. We may not actually achieve the plans, intentions, or expectations disclosed in our forward-looking statements, and you should not place undue reliance on our forward-looking statements. Our forward-looking statements do not reflect the potential impact of any future acquisitions, mergers, dispositions, joint ventures, or investments we may make.</w:t>
      </w:r>
    </w:p>
    <w:p>
      <w:pPr>
        <w:spacing w:after="0" w:line="161" w:lineRule="exact"/>
        <w:rPr>
          <w:sz w:val="20"/>
          <w:szCs w:val="20"/>
          <w:color w:val="auto"/>
        </w:rPr>
      </w:pPr>
    </w:p>
    <w:p>
      <w:pPr>
        <w:ind w:firstLine="449"/>
        <w:spacing w:after="0" w:line="257" w:lineRule="auto"/>
        <w:rPr>
          <w:sz w:val="20"/>
          <w:szCs w:val="20"/>
          <w:color w:val="auto"/>
        </w:rPr>
      </w:pPr>
      <w:r>
        <w:rPr>
          <w:rFonts w:ascii="Arial" w:cs="Arial" w:eastAsia="Arial" w:hAnsi="Arial"/>
          <w:sz w:val="18"/>
          <w:szCs w:val="18"/>
          <w:color w:val="auto"/>
        </w:rPr>
        <w:t>In addition, statements that “we believe” and similar statements reflect our beliefs and opinions on the relevant subject. These statements are based upon information available to us as of the date of this prospectus, and while we believe such information forms a reasonable basis for such statements, such information may be limited or incomplete, and our statements should not be read to indicate that we have conducted an exhaustive inquiry into, or review of, all potentially available relevant information. These statements are inherently uncertain and investors are cautioned not to unduly rely upon these statements.</w:t>
      </w:r>
    </w:p>
    <w:p>
      <w:pPr>
        <w:spacing w:after="0" w:line="12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200"/>
          </w:cols>
          <w:pgMar w:left="320" w:top="459" w:right="379" w:bottom="1440" w:gutter="0" w:footer="0" w:header="0"/>
        </w:sectPr>
      </w:pPr>
    </w:p>
    <w:bookmarkStart w:id="47" w:name="page48"/>
    <w:bookmarkEnd w:id="4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INDUSTRY AND MARKET DATA</w:t>
      </w:r>
    </w:p>
    <w:p>
      <w:pPr>
        <w:spacing w:after="0" w:line="229" w:lineRule="exact"/>
        <w:rPr>
          <w:sz w:val="20"/>
          <w:szCs w:val="20"/>
          <w:color w:val="auto"/>
        </w:rPr>
      </w:pPr>
    </w:p>
    <w:p>
      <w:pPr>
        <w:ind w:firstLine="449"/>
        <w:spacing w:after="0" w:line="296" w:lineRule="auto"/>
        <w:rPr>
          <w:sz w:val="20"/>
          <w:szCs w:val="20"/>
          <w:color w:val="auto"/>
        </w:rPr>
      </w:pPr>
      <w:r>
        <w:rPr>
          <w:rFonts w:ascii="Arial" w:cs="Arial" w:eastAsia="Arial" w:hAnsi="Arial"/>
          <w:sz w:val="16"/>
          <w:szCs w:val="16"/>
          <w:color w:val="auto"/>
        </w:rPr>
        <w:t>This prospectus contains estimates and information concerning our industry, including market size of the markets in which we participate, that are based on industry publications and reports. This information involves a number of assumptions and limitations, and you are cautioned not to give undue weight to these estimates. We have not independently verified the accuracy or completeness of the data contained in these industry publications and reports. The markets in which we operate are subject to a high degree of uncertainty and risk due to a variety of factors, including those described in the section titled “Risk Factors.” These and other factors could cause results to differ materially from those expressed in these publications and reports.</w:t>
      </w:r>
    </w:p>
    <w:p>
      <w:pPr>
        <w:spacing w:after="0" w:line="161" w:lineRule="exact"/>
        <w:rPr>
          <w:sz w:val="20"/>
          <w:szCs w:val="20"/>
          <w:color w:val="auto"/>
        </w:rPr>
      </w:pPr>
    </w:p>
    <w:p>
      <w:pPr>
        <w:ind w:right="420" w:firstLine="449"/>
        <w:spacing w:after="0" w:line="277" w:lineRule="auto"/>
        <w:rPr>
          <w:sz w:val="20"/>
          <w:szCs w:val="20"/>
          <w:color w:val="auto"/>
        </w:rPr>
      </w:pPr>
      <w:r>
        <w:rPr>
          <w:rFonts w:ascii="Arial" w:cs="Arial" w:eastAsia="Arial" w:hAnsi="Arial"/>
          <w:sz w:val="18"/>
          <w:szCs w:val="18"/>
          <w:color w:val="auto"/>
        </w:rPr>
        <w:t>The source of certain statistical data, estimates and forecasts contained in this prospectus are the following independent industry publications or reports:</w:t>
      </w:r>
    </w:p>
    <w:p>
      <w:pPr>
        <w:spacing w:after="0" w:line="76" w:lineRule="exact"/>
        <w:rPr>
          <w:sz w:val="20"/>
          <w:szCs w:val="20"/>
          <w:color w:val="auto"/>
        </w:rPr>
      </w:pPr>
    </w:p>
    <w:p>
      <w:pPr>
        <w:ind w:left="880" w:hanging="319"/>
        <w:spacing w:after="0"/>
        <w:tabs>
          <w:tab w:leader="none" w:pos="880" w:val="left"/>
        </w:tabs>
        <w:numPr>
          <w:ilvl w:val="1"/>
          <w:numId w:val="33"/>
        </w:numPr>
        <w:rPr>
          <w:rFonts w:ascii="Arial" w:cs="Arial" w:eastAsia="Arial" w:hAnsi="Arial"/>
          <w:sz w:val="18"/>
          <w:szCs w:val="18"/>
          <w:color w:val="auto"/>
        </w:rPr>
      </w:pPr>
      <w:r>
        <w:rPr>
          <w:rFonts w:ascii="Arial" w:cs="Arial" w:eastAsia="Arial" w:hAnsi="Arial"/>
          <w:sz w:val="18"/>
          <w:szCs w:val="18"/>
          <w:color w:val="auto"/>
        </w:rPr>
        <w:t>Gartner, Inc., Magic Quadrant for Content Collaboration Platforms, July 2017.</w:t>
      </w:r>
      <w:r>
        <w:rPr>
          <w:rFonts w:ascii="Arial" w:cs="Arial" w:eastAsia="Arial" w:hAnsi="Arial"/>
          <w:sz w:val="15"/>
          <w:szCs w:val="15"/>
          <w:color w:val="auto"/>
        </w:rPr>
        <w:t>*</w:t>
      </w:r>
    </w:p>
    <w:p>
      <w:pPr>
        <w:spacing w:after="0" w:line="130" w:lineRule="exact"/>
        <w:rPr>
          <w:rFonts w:ascii="Arial" w:cs="Arial" w:eastAsia="Arial" w:hAnsi="Arial"/>
          <w:sz w:val="18"/>
          <w:szCs w:val="18"/>
          <w:color w:val="auto"/>
        </w:rPr>
      </w:pPr>
    </w:p>
    <w:p>
      <w:pPr>
        <w:ind w:left="880" w:right="440" w:hanging="319"/>
        <w:spacing w:after="0" w:line="277" w:lineRule="auto"/>
        <w:tabs>
          <w:tab w:leader="none" w:pos="880" w:val="left"/>
        </w:tabs>
        <w:numPr>
          <w:ilvl w:val="1"/>
          <w:numId w:val="33"/>
        </w:numPr>
        <w:rPr>
          <w:rFonts w:ascii="Arial" w:cs="Arial" w:eastAsia="Arial" w:hAnsi="Arial"/>
          <w:sz w:val="18"/>
          <w:szCs w:val="18"/>
          <w:color w:val="auto"/>
        </w:rPr>
      </w:pPr>
      <w:r>
        <w:rPr>
          <w:rFonts w:ascii="Arial" w:cs="Arial" w:eastAsia="Arial" w:hAnsi="Arial"/>
          <w:sz w:val="18"/>
          <w:szCs w:val="18"/>
          <w:color w:val="auto"/>
        </w:rPr>
        <w:t>International Data Corporation, Inc., Market Forecast: Worldwide Collaborative Applications Forecast, 2017-2021: Creating Productivity Growth with Customer Experience, July 2017.</w:t>
      </w:r>
    </w:p>
    <w:p>
      <w:pPr>
        <w:spacing w:after="0" w:line="75" w:lineRule="exact"/>
        <w:rPr>
          <w:rFonts w:ascii="Arial" w:cs="Arial" w:eastAsia="Arial" w:hAnsi="Arial"/>
          <w:sz w:val="18"/>
          <w:szCs w:val="18"/>
          <w:color w:val="auto"/>
        </w:rPr>
      </w:pPr>
    </w:p>
    <w:p>
      <w:pPr>
        <w:ind w:left="880" w:right="140" w:hanging="319"/>
        <w:spacing w:after="0" w:line="277" w:lineRule="auto"/>
        <w:tabs>
          <w:tab w:leader="none" w:pos="880" w:val="left"/>
        </w:tabs>
        <w:numPr>
          <w:ilvl w:val="1"/>
          <w:numId w:val="33"/>
        </w:numPr>
        <w:rPr>
          <w:rFonts w:ascii="Arial" w:cs="Arial" w:eastAsia="Arial" w:hAnsi="Arial"/>
          <w:sz w:val="18"/>
          <w:szCs w:val="18"/>
          <w:color w:val="auto"/>
        </w:rPr>
      </w:pPr>
      <w:r>
        <w:rPr>
          <w:rFonts w:ascii="Arial" w:cs="Arial" w:eastAsia="Arial" w:hAnsi="Arial"/>
          <w:sz w:val="18"/>
          <w:szCs w:val="18"/>
          <w:color w:val="auto"/>
        </w:rPr>
        <w:t>International Data Corporation, Inc., Market Forecast: Worldwide Project and Portfolio Management Forecast, 2017-2021: Agile Governance in the Cloud Drives Market, June 2017.</w:t>
      </w:r>
    </w:p>
    <w:p>
      <w:pPr>
        <w:spacing w:after="0" w:line="75" w:lineRule="exact"/>
        <w:rPr>
          <w:rFonts w:ascii="Arial" w:cs="Arial" w:eastAsia="Arial" w:hAnsi="Arial"/>
          <w:sz w:val="18"/>
          <w:szCs w:val="18"/>
          <w:color w:val="auto"/>
        </w:rPr>
      </w:pPr>
    </w:p>
    <w:p>
      <w:pPr>
        <w:ind w:left="880" w:hanging="319"/>
        <w:spacing w:after="0"/>
        <w:tabs>
          <w:tab w:leader="none" w:pos="880" w:val="left"/>
        </w:tabs>
        <w:numPr>
          <w:ilvl w:val="1"/>
          <w:numId w:val="33"/>
        </w:numPr>
        <w:rPr>
          <w:rFonts w:ascii="Arial" w:cs="Arial" w:eastAsia="Arial" w:hAnsi="Arial"/>
          <w:sz w:val="16"/>
          <w:szCs w:val="16"/>
          <w:color w:val="auto"/>
        </w:rPr>
      </w:pPr>
      <w:r>
        <w:rPr>
          <w:rFonts w:ascii="Arial" w:cs="Arial" w:eastAsia="Arial" w:hAnsi="Arial"/>
          <w:sz w:val="16"/>
          <w:szCs w:val="16"/>
          <w:color w:val="auto"/>
        </w:rPr>
        <w:t>International Data Corporation, Inc., Market Forecast: Worldwide Enterprise Content Management Software Forecast, 2017-2021, May 2017.</w:t>
      </w:r>
    </w:p>
    <w:p>
      <w:pPr>
        <w:spacing w:after="0" w:line="153" w:lineRule="exact"/>
        <w:rPr>
          <w:rFonts w:ascii="Arial" w:cs="Arial" w:eastAsia="Arial" w:hAnsi="Arial"/>
          <w:sz w:val="16"/>
          <w:szCs w:val="16"/>
          <w:color w:val="auto"/>
        </w:rPr>
      </w:pPr>
    </w:p>
    <w:p>
      <w:pPr>
        <w:ind w:left="880" w:right="220" w:hanging="319"/>
        <w:spacing w:after="0" w:line="277" w:lineRule="auto"/>
        <w:tabs>
          <w:tab w:leader="none" w:pos="880" w:val="left"/>
        </w:tabs>
        <w:numPr>
          <w:ilvl w:val="1"/>
          <w:numId w:val="33"/>
        </w:numPr>
        <w:rPr>
          <w:rFonts w:ascii="Arial" w:cs="Arial" w:eastAsia="Arial" w:hAnsi="Arial"/>
          <w:sz w:val="18"/>
          <w:szCs w:val="18"/>
          <w:color w:val="auto"/>
        </w:rPr>
      </w:pPr>
      <w:r>
        <w:rPr>
          <w:rFonts w:ascii="Arial" w:cs="Arial" w:eastAsia="Arial" w:hAnsi="Arial"/>
          <w:sz w:val="18"/>
          <w:szCs w:val="18"/>
          <w:color w:val="auto"/>
        </w:rPr>
        <w:t>International Data Corporation, Inc., IDC’s Forecast Scenario Assumptions for the ICT Markets and Historical Market Values and Exchange Rates, Version 1, March 2017.</w:t>
      </w:r>
    </w:p>
    <w:p>
      <w:pPr>
        <w:spacing w:after="0" w:line="75" w:lineRule="exact"/>
        <w:rPr>
          <w:rFonts w:ascii="Arial" w:cs="Arial" w:eastAsia="Arial" w:hAnsi="Arial"/>
          <w:sz w:val="18"/>
          <w:szCs w:val="18"/>
          <w:color w:val="auto"/>
        </w:rPr>
      </w:pPr>
    </w:p>
    <w:p>
      <w:pPr>
        <w:ind w:left="880" w:hanging="319"/>
        <w:spacing w:after="0"/>
        <w:tabs>
          <w:tab w:leader="none" w:pos="880" w:val="left"/>
        </w:tabs>
        <w:numPr>
          <w:ilvl w:val="1"/>
          <w:numId w:val="33"/>
        </w:numPr>
        <w:rPr>
          <w:rFonts w:ascii="Arial" w:cs="Arial" w:eastAsia="Arial" w:hAnsi="Arial"/>
          <w:sz w:val="16"/>
          <w:szCs w:val="16"/>
          <w:color w:val="auto"/>
        </w:rPr>
      </w:pPr>
      <w:r>
        <w:rPr>
          <w:rFonts w:ascii="Arial" w:cs="Arial" w:eastAsia="Arial" w:hAnsi="Arial"/>
          <w:sz w:val="16"/>
          <w:szCs w:val="16"/>
          <w:color w:val="auto"/>
        </w:rPr>
        <w:t>International Data Corporation, Inc., Market Forecast: Worldwide Storage for Public and Private Cloud Forecast 2016-2020, December 2016.</w:t>
      </w:r>
    </w:p>
    <w:p>
      <w:pPr>
        <w:spacing w:after="0" w:line="153" w:lineRule="exact"/>
        <w:rPr>
          <w:rFonts w:ascii="Arial" w:cs="Arial" w:eastAsia="Arial" w:hAnsi="Arial"/>
          <w:sz w:val="16"/>
          <w:szCs w:val="16"/>
          <w:color w:val="auto"/>
        </w:rPr>
      </w:pPr>
    </w:p>
    <w:p>
      <w:pPr>
        <w:ind w:left="880" w:hanging="319"/>
        <w:spacing w:after="0"/>
        <w:tabs>
          <w:tab w:leader="none" w:pos="880" w:val="left"/>
        </w:tabs>
        <w:numPr>
          <w:ilvl w:val="1"/>
          <w:numId w:val="33"/>
        </w:numPr>
        <w:rPr>
          <w:rFonts w:ascii="Arial" w:cs="Arial" w:eastAsia="Arial" w:hAnsi="Arial"/>
          <w:sz w:val="18"/>
          <w:szCs w:val="18"/>
          <w:color w:val="auto"/>
        </w:rPr>
      </w:pPr>
      <w:r>
        <w:rPr>
          <w:rFonts w:ascii="Arial" w:cs="Arial" w:eastAsia="Arial" w:hAnsi="Arial"/>
          <w:sz w:val="18"/>
          <w:szCs w:val="18"/>
          <w:color w:val="auto"/>
        </w:rPr>
        <w:t>International Data Corporation, Inc., EFSS Evaluation Guide: Dropbox Sync Performance, July 2016.</w:t>
      </w:r>
    </w:p>
    <w:p>
      <w:pPr>
        <w:spacing w:after="0" w:line="130" w:lineRule="exact"/>
        <w:rPr>
          <w:rFonts w:ascii="Arial" w:cs="Arial" w:eastAsia="Arial" w:hAnsi="Arial"/>
          <w:sz w:val="18"/>
          <w:szCs w:val="18"/>
          <w:color w:val="auto"/>
        </w:rPr>
      </w:pPr>
    </w:p>
    <w:p>
      <w:pPr>
        <w:ind w:left="880" w:hanging="319"/>
        <w:spacing w:after="0"/>
        <w:tabs>
          <w:tab w:leader="none" w:pos="880" w:val="left"/>
        </w:tabs>
        <w:numPr>
          <w:ilvl w:val="1"/>
          <w:numId w:val="33"/>
        </w:numPr>
        <w:rPr>
          <w:rFonts w:ascii="Arial" w:cs="Arial" w:eastAsia="Arial" w:hAnsi="Arial"/>
          <w:sz w:val="18"/>
          <w:szCs w:val="18"/>
          <w:color w:val="auto"/>
        </w:rPr>
      </w:pPr>
      <w:r>
        <w:rPr>
          <w:rFonts w:ascii="Arial" w:cs="Arial" w:eastAsia="Arial" w:hAnsi="Arial"/>
          <w:sz w:val="18"/>
          <w:szCs w:val="18"/>
          <w:color w:val="auto"/>
        </w:rPr>
        <w:t>International Data Corporation, Inc., Knowledge Worker Outlook on Content Managed Systems, June 2016.</w:t>
      </w:r>
    </w:p>
    <w:p>
      <w:pPr>
        <w:spacing w:after="0" w:line="130" w:lineRule="exact"/>
        <w:rPr>
          <w:rFonts w:ascii="Arial" w:cs="Arial" w:eastAsia="Arial" w:hAnsi="Arial"/>
          <w:sz w:val="18"/>
          <w:szCs w:val="18"/>
          <w:color w:val="auto"/>
        </w:rPr>
      </w:pPr>
    </w:p>
    <w:p>
      <w:pPr>
        <w:ind w:left="880" w:hanging="319"/>
        <w:spacing w:after="0"/>
        <w:tabs>
          <w:tab w:leader="none" w:pos="880" w:val="left"/>
        </w:tabs>
        <w:numPr>
          <w:ilvl w:val="1"/>
          <w:numId w:val="33"/>
        </w:numPr>
        <w:rPr>
          <w:rFonts w:ascii="Arial" w:cs="Arial" w:eastAsia="Arial" w:hAnsi="Arial"/>
          <w:sz w:val="18"/>
          <w:szCs w:val="18"/>
          <w:color w:val="auto"/>
        </w:rPr>
      </w:pPr>
      <w:r>
        <w:rPr>
          <w:rFonts w:ascii="Arial" w:cs="Arial" w:eastAsia="Arial" w:hAnsi="Arial"/>
          <w:sz w:val="18"/>
          <w:szCs w:val="18"/>
          <w:color w:val="auto"/>
        </w:rPr>
        <w:t>McKinsey Global Institute, The Social Economy: Unlocking Value and Productivity Through Social Technologies, July 2012.</w:t>
      </w:r>
    </w:p>
    <w:p>
      <w:pPr>
        <w:spacing w:after="0" w:line="130" w:lineRule="exact"/>
        <w:rPr>
          <w:rFonts w:ascii="Arial" w:cs="Arial" w:eastAsia="Arial" w:hAnsi="Arial"/>
          <w:sz w:val="18"/>
          <w:szCs w:val="18"/>
          <w:color w:val="auto"/>
        </w:rPr>
      </w:pPr>
    </w:p>
    <w:p>
      <w:pPr>
        <w:ind w:left="880" w:right="120" w:hanging="319"/>
        <w:spacing w:after="0" w:line="277" w:lineRule="auto"/>
        <w:tabs>
          <w:tab w:leader="none" w:pos="880" w:val="left"/>
        </w:tabs>
        <w:numPr>
          <w:ilvl w:val="1"/>
          <w:numId w:val="33"/>
        </w:numPr>
        <w:rPr>
          <w:rFonts w:ascii="Arial" w:cs="Arial" w:eastAsia="Arial" w:hAnsi="Arial"/>
          <w:sz w:val="18"/>
          <w:szCs w:val="18"/>
          <w:color w:val="auto"/>
        </w:rPr>
      </w:pPr>
      <w:r>
        <w:rPr>
          <w:rFonts w:ascii="Arial" w:cs="Arial" w:eastAsia="Arial" w:hAnsi="Arial"/>
          <w:sz w:val="18"/>
          <w:szCs w:val="18"/>
          <w:color w:val="auto"/>
        </w:rPr>
        <w:t>Deloitte Consulting LLP, Transitioning to the Future of Work and the Workplace: Embracing Digital Culture, Tools and Approaches, A White Paper on the Future of Work Research Study, 2016.</w:t>
      </w:r>
    </w:p>
    <w:p>
      <w:pPr>
        <w:spacing w:after="0" w:line="138" w:lineRule="exact"/>
        <w:rPr>
          <w:rFonts w:ascii="Arial" w:cs="Arial" w:eastAsia="Arial" w:hAnsi="Arial"/>
          <w:sz w:val="18"/>
          <w:szCs w:val="18"/>
          <w:color w:val="auto"/>
        </w:rPr>
      </w:pPr>
    </w:p>
    <w:p>
      <w:pPr>
        <w:ind w:left="120" w:right="160" w:hanging="108"/>
        <w:spacing w:after="0" w:line="229" w:lineRule="auto"/>
        <w:rPr>
          <w:rFonts w:ascii="Arial" w:cs="Arial" w:eastAsia="Arial" w:hAnsi="Arial"/>
          <w:sz w:val="18"/>
          <w:szCs w:val="18"/>
          <w:color w:val="auto"/>
        </w:rPr>
      </w:pPr>
      <w:r>
        <w:rPr>
          <w:rFonts w:ascii="Arial" w:cs="Arial" w:eastAsia="Arial" w:hAnsi="Arial"/>
          <w:sz w:val="9"/>
          <w:szCs w:val="9"/>
          <w:color w:val="auto"/>
        </w:rPr>
        <w:t xml:space="preserve">* </w:t>
      </w:r>
      <w:r>
        <w:rPr>
          <w:rFonts w:ascii="Arial" w:cs="Arial" w:eastAsia="Arial" w:hAnsi="Arial"/>
          <w:sz w:val="14"/>
          <w:szCs w:val="14"/>
          <w:color w:val="auto"/>
        </w:rPr>
        <w:t>The Gartner Report described herein, or the Gartner Report, represents research opinion or viewpoints published, as part of a syndicated subscription service, by Gartner, Inc., or Gartner, and</w:t>
      </w:r>
      <w:r>
        <w:rPr>
          <w:rFonts w:ascii="Arial" w:cs="Arial" w:eastAsia="Arial" w:hAnsi="Arial"/>
          <w:sz w:val="9"/>
          <w:szCs w:val="9"/>
          <w:color w:val="auto"/>
        </w:rPr>
        <w:t xml:space="preserve"> </w:t>
      </w:r>
      <w:r>
        <w:rPr>
          <w:rFonts w:ascii="Arial" w:cs="Arial" w:eastAsia="Arial" w:hAnsi="Arial"/>
          <w:sz w:val="14"/>
          <w:szCs w:val="14"/>
          <w:color w:val="auto"/>
        </w:rPr>
        <w:t>are not representations of fact. The Gartner Report speaks as of its original publication date (and not as of the date of this prospectus), and the opinions expressed in the Gartner Report are subject to change without notice. Gartner has advised us that it does not endorse any vendor, product, or service depicted in its research publications, and does not advise technology users to select only those vendors with the highest ratings or other designation. Gartner research publications consist of the opinions of Gartner’s research organization and should not be construed as statements of fact. Gartner has advised us that it disclaims all warranties, expressed or implied, with respect to this research, including any warranties of merchantability or fitness for a particular purpose.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-607060</wp:posOffset>
            </wp:positionV>
            <wp:extent cx="711200" cy="825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1200" cy="8255"/>
                    </a:xfrm>
                    <a:prstGeom prst="rect">
                      <a:avLst/>
                    </a:prstGeom>
                    <a:noFill/>
                  </pic:spPr>
                </pic:pic>
              </a:graphicData>
            </a:graphic>
          </wp:anchor>
        </w:drawing>
      </w:r>
    </w:p>
    <w:p>
      <w:pPr>
        <w:spacing w:after="0" w:line="1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220"/>
          </w:cols>
          <w:pgMar w:left="320" w:top="459" w:right="359" w:bottom="1440" w:gutter="0" w:footer="0" w:header="0"/>
        </w:sectPr>
      </w:pPr>
    </w:p>
    <w:bookmarkStart w:id="48" w:name="page49"/>
    <w:bookmarkEnd w:id="48"/>
    <w:tbl>
      <w:tblPr>
        <w:tblLayout w:type="fixed"/>
        <w:tblInd w:w="0" w:type="dxa"/>
        <w:tblCellMar>
          <w:top w:w="0" w:type="dxa"/>
          <w:left w:w="0" w:type="dxa"/>
          <w:bottom w:w="0" w:type="dxa"/>
          <w:right w:w="0" w:type="dxa"/>
        </w:tblCellMar>
      </w:tblPr>
      <w:tr>
        <w:trPr>
          <w:trHeight w:val="234"/>
        </w:trPr>
        <w:tc>
          <w:tcPr>
            <w:tcW w:w="1440" w:type="dxa"/>
            <w:vAlign w:val="bottom"/>
          </w:tcPr>
          <w:p>
            <w:pPr>
              <w:spacing w:after="0"/>
              <w:rPr>
                <w:rFonts w:ascii="Arial" w:cs="Arial" w:eastAsia="Arial" w:hAnsi="Arial"/>
                <w:sz w:val="18"/>
                <w:szCs w:val="18"/>
                <w:b w:val="1"/>
                <w:bCs w:val="1"/>
                <w:u w:val="single" w:color="auto"/>
                <w:color w:val="0000EE"/>
                <w:w w:val="93"/>
              </w:rPr>
            </w:pPr>
            <w:hyperlink w:anchor="page3">
              <w:r>
                <w:rPr>
                  <w:rFonts w:ascii="Arial" w:cs="Arial" w:eastAsia="Arial" w:hAnsi="Arial"/>
                  <w:sz w:val="18"/>
                  <w:szCs w:val="18"/>
                  <w:b w:val="1"/>
                  <w:bCs w:val="1"/>
                  <w:u w:val="single" w:color="auto"/>
                  <w:color w:val="0000EE"/>
                  <w:w w:val="93"/>
                </w:rPr>
                <w:t>Table of Contents</w:t>
              </w:r>
            </w:hyperlink>
          </w:p>
        </w:tc>
        <w:tc>
          <w:tcPr>
            <w:tcW w:w="2380" w:type="dxa"/>
            <w:vAlign w:val="bottom"/>
          </w:tcPr>
          <w:p>
            <w:pPr>
              <w:spacing w:after="0"/>
              <w:rPr>
                <w:sz w:val="20"/>
                <w:szCs w:val="20"/>
                <w:color w:val="auto"/>
              </w:rPr>
            </w:pPr>
          </w:p>
        </w:tc>
        <w:tc>
          <w:tcPr>
            <w:tcW w:w="2700" w:type="dxa"/>
            <w:vAlign w:val="bottom"/>
          </w:tcPr>
          <w:p>
            <w:pPr>
              <w:spacing w:after="0"/>
              <w:rPr>
                <w:sz w:val="20"/>
                <w:szCs w:val="20"/>
                <w:color w:val="auto"/>
              </w:rPr>
            </w:pPr>
          </w:p>
        </w:tc>
        <w:tc>
          <w:tcPr>
            <w:tcW w:w="2140" w:type="dxa"/>
            <w:vAlign w:val="bottom"/>
          </w:tcPr>
          <w:p>
            <w:pPr>
              <w:spacing w:after="0"/>
              <w:rPr>
                <w:sz w:val="20"/>
                <w:szCs w:val="20"/>
                <w:color w:val="auto"/>
              </w:rPr>
            </w:pPr>
          </w:p>
        </w:tc>
        <w:tc>
          <w:tcPr>
            <w:tcW w:w="166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60" w:type="dxa"/>
            <w:vAlign w:val="bottom"/>
          </w:tcPr>
          <w:p>
            <w:pPr>
              <w:spacing w:after="0"/>
              <w:rPr>
                <w:sz w:val="20"/>
                <w:szCs w:val="20"/>
                <w:color w:val="auto"/>
              </w:rPr>
            </w:pPr>
          </w:p>
        </w:tc>
      </w:tr>
      <w:tr>
        <w:trPr>
          <w:trHeight w:val="513"/>
        </w:trPr>
        <w:tc>
          <w:tcPr>
            <w:tcW w:w="1440" w:type="dxa"/>
            <w:vAlign w:val="bottom"/>
          </w:tcPr>
          <w:p>
            <w:pPr>
              <w:spacing w:after="0"/>
              <w:rPr>
                <w:sz w:val="24"/>
                <w:szCs w:val="24"/>
                <w:color w:val="auto"/>
              </w:rPr>
            </w:pPr>
          </w:p>
        </w:tc>
        <w:tc>
          <w:tcPr>
            <w:tcW w:w="2380" w:type="dxa"/>
            <w:vAlign w:val="bottom"/>
          </w:tcPr>
          <w:p>
            <w:pPr>
              <w:spacing w:after="0"/>
              <w:rPr>
                <w:sz w:val="24"/>
                <w:szCs w:val="24"/>
                <w:color w:val="auto"/>
              </w:rPr>
            </w:pPr>
          </w:p>
        </w:tc>
        <w:tc>
          <w:tcPr>
            <w:tcW w:w="2700" w:type="dxa"/>
            <w:vAlign w:val="bottom"/>
          </w:tcPr>
          <w:p>
            <w:pPr>
              <w:ind w:left="960"/>
              <w:spacing w:after="0"/>
              <w:rPr>
                <w:sz w:val="20"/>
                <w:szCs w:val="20"/>
                <w:color w:val="auto"/>
              </w:rPr>
            </w:pPr>
            <w:r>
              <w:rPr>
                <w:rFonts w:ascii="Arial" w:cs="Arial" w:eastAsia="Arial" w:hAnsi="Arial"/>
                <w:sz w:val="18"/>
                <w:szCs w:val="18"/>
                <w:b w:val="1"/>
                <w:bCs w:val="1"/>
                <w:color w:val="auto"/>
                <w:w w:val="99"/>
              </w:rPr>
              <w:t>USE OF PROCEEDS</w:t>
            </w:r>
          </w:p>
        </w:tc>
        <w:tc>
          <w:tcPr>
            <w:tcW w:w="214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418"/>
        </w:trPr>
        <w:tc>
          <w:tcPr>
            <w:tcW w:w="10320" w:type="dxa"/>
            <w:vAlign w:val="bottom"/>
            <w:gridSpan w:val="5"/>
          </w:tcPr>
          <w:p>
            <w:pPr>
              <w:ind w:left="460"/>
              <w:spacing w:after="0"/>
              <w:rPr>
                <w:sz w:val="20"/>
                <w:szCs w:val="20"/>
                <w:color w:val="auto"/>
              </w:rPr>
            </w:pPr>
            <w:r>
              <w:rPr>
                <w:rFonts w:ascii="Arial" w:cs="Arial" w:eastAsia="Arial" w:hAnsi="Arial"/>
                <w:sz w:val="18"/>
                <w:szCs w:val="18"/>
                <w:color w:val="auto"/>
                <w:w w:val="93"/>
              </w:rPr>
              <w:t>We estimate that the net proceeds to us from the sale of shares of our Class A common stock in this offering will be approximately $</w:t>
            </w:r>
          </w:p>
        </w:tc>
        <w:tc>
          <w:tcPr>
            <w:tcW w:w="860" w:type="dxa"/>
            <w:vAlign w:val="bottom"/>
          </w:tcPr>
          <w:p>
            <w:pPr>
              <w:ind w:left="20"/>
              <w:spacing w:after="0"/>
              <w:rPr>
                <w:sz w:val="20"/>
                <w:szCs w:val="20"/>
                <w:color w:val="auto"/>
              </w:rPr>
            </w:pPr>
            <w:r>
              <w:rPr>
                <w:rFonts w:ascii="Arial" w:cs="Arial" w:eastAsia="Arial" w:hAnsi="Arial"/>
                <w:sz w:val="18"/>
                <w:szCs w:val="18"/>
                <w:color w:val="auto"/>
              </w:rPr>
              <w:t>, based</w:t>
            </w:r>
          </w:p>
        </w:tc>
        <w:tc>
          <w:tcPr>
            <w:tcW w:w="60" w:type="dxa"/>
            <w:vAlign w:val="bottom"/>
          </w:tcPr>
          <w:p>
            <w:pPr>
              <w:spacing w:after="0"/>
              <w:rPr>
                <w:sz w:val="24"/>
                <w:szCs w:val="24"/>
                <w:color w:val="auto"/>
              </w:rPr>
            </w:pPr>
          </w:p>
        </w:tc>
      </w:tr>
      <w:tr>
        <w:trPr>
          <w:trHeight w:val="216"/>
        </w:trPr>
        <w:tc>
          <w:tcPr>
            <w:tcW w:w="3820" w:type="dxa"/>
            <w:vAlign w:val="bottom"/>
            <w:gridSpan w:val="2"/>
          </w:tcPr>
          <w:p>
            <w:pPr>
              <w:spacing w:after="0"/>
              <w:rPr>
                <w:sz w:val="20"/>
                <w:szCs w:val="20"/>
                <w:color w:val="auto"/>
              </w:rPr>
            </w:pPr>
            <w:r>
              <w:rPr>
                <w:rFonts w:ascii="Arial" w:cs="Arial" w:eastAsia="Arial" w:hAnsi="Arial"/>
                <w:sz w:val="18"/>
                <w:szCs w:val="18"/>
                <w:color w:val="auto"/>
                <w:w w:val="97"/>
              </w:rPr>
              <w:t>upon the assumed initial public offering price of $</w:t>
            </w:r>
          </w:p>
        </w:tc>
        <w:tc>
          <w:tcPr>
            <w:tcW w:w="7360" w:type="dxa"/>
            <w:vAlign w:val="bottom"/>
            <w:gridSpan w:val="4"/>
          </w:tcPr>
          <w:p>
            <w:pPr>
              <w:ind w:left="200"/>
              <w:spacing w:after="0"/>
              <w:rPr>
                <w:sz w:val="20"/>
                <w:szCs w:val="20"/>
                <w:color w:val="auto"/>
              </w:rPr>
            </w:pPr>
            <w:r>
              <w:rPr>
                <w:rFonts w:ascii="Arial" w:cs="Arial" w:eastAsia="Arial" w:hAnsi="Arial"/>
                <w:sz w:val="18"/>
                <w:szCs w:val="18"/>
                <w:color w:val="auto"/>
                <w:w w:val="90"/>
              </w:rPr>
              <w:t>per share, which is the midpoint of the estimated offering price range set forth on the cover page of</w:t>
            </w:r>
          </w:p>
        </w:tc>
        <w:tc>
          <w:tcPr>
            <w:tcW w:w="60" w:type="dxa"/>
            <w:vAlign w:val="bottom"/>
          </w:tcPr>
          <w:p>
            <w:pPr>
              <w:spacing w:after="0"/>
              <w:rPr>
                <w:sz w:val="18"/>
                <w:szCs w:val="18"/>
                <w:color w:val="auto"/>
              </w:rPr>
            </w:pPr>
          </w:p>
        </w:tc>
      </w:tr>
      <w:tr>
        <w:trPr>
          <w:trHeight w:val="216"/>
        </w:trPr>
        <w:tc>
          <w:tcPr>
            <w:tcW w:w="11180" w:type="dxa"/>
            <w:vAlign w:val="bottom"/>
            <w:gridSpan w:val="6"/>
          </w:tcPr>
          <w:p>
            <w:pPr>
              <w:spacing w:after="0"/>
              <w:rPr>
                <w:sz w:val="20"/>
                <w:szCs w:val="20"/>
                <w:color w:val="auto"/>
              </w:rPr>
            </w:pPr>
            <w:r>
              <w:rPr>
                <w:rFonts w:ascii="Arial" w:cs="Arial" w:eastAsia="Arial" w:hAnsi="Arial"/>
                <w:sz w:val="18"/>
                <w:szCs w:val="18"/>
                <w:color w:val="auto"/>
                <w:w w:val="90"/>
              </w:rPr>
              <w:t>this prospectus, and after deducting estimated underwriting discounts and commissions and estimated offering expenses payable by us. If the underwriters’</w:t>
            </w:r>
          </w:p>
        </w:tc>
        <w:tc>
          <w:tcPr>
            <w:tcW w:w="60" w:type="dxa"/>
            <w:vAlign w:val="bottom"/>
          </w:tcPr>
          <w:p>
            <w:pPr>
              <w:spacing w:after="0"/>
              <w:rPr>
                <w:sz w:val="18"/>
                <w:szCs w:val="18"/>
                <w:color w:val="auto"/>
              </w:rPr>
            </w:pPr>
          </w:p>
        </w:tc>
      </w:tr>
      <w:tr>
        <w:trPr>
          <w:trHeight w:val="216"/>
        </w:trPr>
        <w:tc>
          <w:tcPr>
            <w:tcW w:w="10320" w:type="dxa"/>
            <w:vAlign w:val="bottom"/>
            <w:gridSpan w:val="5"/>
          </w:tcPr>
          <w:p>
            <w:pPr>
              <w:spacing w:after="0"/>
              <w:rPr>
                <w:sz w:val="20"/>
                <w:szCs w:val="20"/>
                <w:color w:val="auto"/>
              </w:rPr>
            </w:pPr>
            <w:r>
              <w:rPr>
                <w:rFonts w:ascii="Arial" w:cs="Arial" w:eastAsia="Arial" w:hAnsi="Arial"/>
                <w:sz w:val="18"/>
                <w:szCs w:val="18"/>
                <w:color w:val="auto"/>
                <w:w w:val="90"/>
              </w:rPr>
              <w:t>option to purchase additional shares of our Class A common stock from us is exercised in full, we estimate that the net proceeds to us would be</w:t>
            </w:r>
          </w:p>
        </w:tc>
        <w:tc>
          <w:tcPr>
            <w:tcW w:w="86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1440" w:type="dxa"/>
            <w:vAlign w:val="bottom"/>
          </w:tcPr>
          <w:p>
            <w:pPr>
              <w:spacing w:after="0"/>
              <w:rPr>
                <w:sz w:val="20"/>
                <w:szCs w:val="20"/>
                <w:color w:val="auto"/>
              </w:rPr>
            </w:pPr>
            <w:r>
              <w:rPr>
                <w:rFonts w:ascii="Arial" w:cs="Arial" w:eastAsia="Arial" w:hAnsi="Arial"/>
                <w:sz w:val="18"/>
                <w:szCs w:val="18"/>
                <w:color w:val="auto"/>
              </w:rPr>
              <w:t>approximately $</w:t>
            </w:r>
          </w:p>
        </w:tc>
        <w:tc>
          <w:tcPr>
            <w:tcW w:w="9740" w:type="dxa"/>
            <w:vAlign w:val="bottom"/>
            <w:gridSpan w:val="5"/>
          </w:tcPr>
          <w:p>
            <w:pPr>
              <w:ind w:left="100"/>
              <w:spacing w:after="0"/>
              <w:rPr>
                <w:sz w:val="20"/>
                <w:szCs w:val="20"/>
                <w:color w:val="auto"/>
              </w:rPr>
            </w:pPr>
            <w:r>
              <w:rPr>
                <w:rFonts w:ascii="Arial" w:cs="Arial" w:eastAsia="Arial" w:hAnsi="Arial"/>
                <w:sz w:val="18"/>
                <w:szCs w:val="18"/>
                <w:color w:val="auto"/>
                <w:w w:val="94"/>
              </w:rPr>
              <w:t>, after deducting estimated underwriting discounts and commissions and estimated offering expenses payable by us. We will not</w:t>
            </w:r>
          </w:p>
        </w:tc>
        <w:tc>
          <w:tcPr>
            <w:tcW w:w="60" w:type="dxa"/>
            <w:vAlign w:val="bottom"/>
          </w:tcPr>
          <w:p>
            <w:pPr>
              <w:spacing w:after="0"/>
              <w:rPr>
                <w:sz w:val="18"/>
                <w:szCs w:val="18"/>
                <w:color w:val="auto"/>
              </w:rPr>
            </w:pPr>
          </w:p>
        </w:tc>
      </w:tr>
      <w:tr>
        <w:trPr>
          <w:trHeight w:val="230"/>
        </w:trPr>
        <w:tc>
          <w:tcPr>
            <w:tcW w:w="8660" w:type="dxa"/>
            <w:vAlign w:val="bottom"/>
            <w:gridSpan w:val="4"/>
          </w:tcPr>
          <w:p>
            <w:pPr>
              <w:spacing w:after="0"/>
              <w:rPr>
                <w:sz w:val="20"/>
                <w:szCs w:val="20"/>
                <w:color w:val="auto"/>
              </w:rPr>
            </w:pPr>
            <w:r>
              <w:rPr>
                <w:rFonts w:ascii="Arial" w:cs="Arial" w:eastAsia="Arial" w:hAnsi="Arial"/>
                <w:sz w:val="18"/>
                <w:szCs w:val="18"/>
                <w:color w:val="auto"/>
                <w:w w:val="98"/>
              </w:rPr>
              <w:t>receive any of the proceeds from the sale of Class A common stock in this offering by the selling stockholders.</w:t>
            </w:r>
          </w:p>
        </w:tc>
        <w:tc>
          <w:tcPr>
            <w:tcW w:w="166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60" w:type="dxa"/>
            <w:vAlign w:val="bottom"/>
          </w:tcPr>
          <w:p>
            <w:pPr>
              <w:spacing w:after="0"/>
              <w:rPr>
                <w:sz w:val="20"/>
                <w:szCs w:val="20"/>
                <w:color w:val="auto"/>
              </w:rPr>
            </w:pPr>
          </w:p>
        </w:tc>
      </w:tr>
      <w:tr>
        <w:trPr>
          <w:trHeight w:val="418"/>
        </w:trPr>
        <w:tc>
          <w:tcPr>
            <w:tcW w:w="6520" w:type="dxa"/>
            <w:vAlign w:val="bottom"/>
            <w:gridSpan w:val="3"/>
          </w:tcPr>
          <w:p>
            <w:pPr>
              <w:ind w:left="460"/>
              <w:spacing w:after="0"/>
              <w:rPr>
                <w:sz w:val="20"/>
                <w:szCs w:val="20"/>
                <w:color w:val="auto"/>
              </w:rPr>
            </w:pPr>
            <w:r>
              <w:rPr>
                <w:rFonts w:ascii="Arial" w:cs="Arial" w:eastAsia="Arial" w:hAnsi="Arial"/>
                <w:sz w:val="18"/>
                <w:szCs w:val="18"/>
                <w:color w:val="auto"/>
                <w:w w:val="95"/>
              </w:rPr>
              <w:t>Each $1.00 increase or decrease in the assumed initial public offering price of $</w:t>
            </w:r>
          </w:p>
        </w:tc>
        <w:tc>
          <w:tcPr>
            <w:tcW w:w="4660" w:type="dxa"/>
            <w:vAlign w:val="bottom"/>
            <w:gridSpan w:val="3"/>
          </w:tcPr>
          <w:p>
            <w:pPr>
              <w:ind w:left="80"/>
              <w:spacing w:after="0"/>
              <w:rPr>
                <w:sz w:val="20"/>
                <w:szCs w:val="20"/>
                <w:color w:val="auto"/>
              </w:rPr>
            </w:pPr>
            <w:r>
              <w:rPr>
                <w:rFonts w:ascii="Arial" w:cs="Arial" w:eastAsia="Arial" w:hAnsi="Arial"/>
                <w:sz w:val="18"/>
                <w:szCs w:val="18"/>
                <w:color w:val="auto"/>
                <w:w w:val="92"/>
              </w:rPr>
              <w:t>per share, which is the midpoint of the estimated offering price</w:t>
            </w:r>
          </w:p>
        </w:tc>
        <w:tc>
          <w:tcPr>
            <w:tcW w:w="60" w:type="dxa"/>
            <w:vAlign w:val="bottom"/>
          </w:tcPr>
          <w:p>
            <w:pPr>
              <w:spacing w:after="0"/>
              <w:rPr>
                <w:sz w:val="24"/>
                <w:szCs w:val="24"/>
                <w:color w:val="auto"/>
              </w:rPr>
            </w:pPr>
          </w:p>
        </w:tc>
      </w:tr>
      <w:tr>
        <w:trPr>
          <w:trHeight w:val="216"/>
        </w:trPr>
        <w:tc>
          <w:tcPr>
            <w:tcW w:w="11180" w:type="dxa"/>
            <w:vAlign w:val="bottom"/>
            <w:gridSpan w:val="6"/>
          </w:tcPr>
          <w:p>
            <w:pPr>
              <w:spacing w:after="0"/>
              <w:rPr>
                <w:sz w:val="20"/>
                <w:szCs w:val="20"/>
                <w:color w:val="auto"/>
              </w:rPr>
            </w:pPr>
            <w:r>
              <w:rPr>
                <w:rFonts w:ascii="Arial" w:cs="Arial" w:eastAsia="Arial" w:hAnsi="Arial"/>
                <w:sz w:val="18"/>
                <w:szCs w:val="18"/>
                <w:color w:val="auto"/>
                <w:w w:val="92"/>
              </w:rPr>
              <w:t>range set forth on the cover page of this prospectus, would increase or decrease the net proceeds that we receive from this offering by approximately $</w:t>
            </w:r>
          </w:p>
        </w:tc>
        <w:tc>
          <w:tcPr>
            <w:tcW w:w="60" w:type="dxa"/>
            <w:vAlign w:val="bottom"/>
          </w:tcPr>
          <w:p>
            <w:pPr>
              <w:jc w:val="right"/>
              <w:spacing w:after="0"/>
              <w:rPr>
                <w:sz w:val="20"/>
                <w:szCs w:val="20"/>
                <w:color w:val="auto"/>
              </w:rPr>
            </w:pPr>
            <w:r>
              <w:rPr>
                <w:rFonts w:ascii="Arial" w:cs="Arial" w:eastAsia="Arial" w:hAnsi="Arial"/>
                <w:sz w:val="18"/>
                <w:szCs w:val="18"/>
                <w:color w:val="auto"/>
                <w:w w:val="78"/>
              </w:rPr>
              <w:t>,</w:t>
            </w:r>
          </w:p>
        </w:tc>
      </w:tr>
      <w:tr>
        <w:trPr>
          <w:trHeight w:val="216"/>
        </w:trPr>
        <w:tc>
          <w:tcPr>
            <w:tcW w:w="11180" w:type="dxa"/>
            <w:vAlign w:val="bottom"/>
            <w:gridSpan w:val="6"/>
          </w:tcPr>
          <w:p>
            <w:pPr>
              <w:spacing w:after="0"/>
              <w:rPr>
                <w:sz w:val="20"/>
                <w:szCs w:val="20"/>
                <w:color w:val="auto"/>
              </w:rPr>
            </w:pPr>
            <w:r>
              <w:rPr>
                <w:rFonts w:ascii="Arial" w:cs="Arial" w:eastAsia="Arial" w:hAnsi="Arial"/>
                <w:sz w:val="18"/>
                <w:szCs w:val="18"/>
                <w:color w:val="auto"/>
                <w:w w:val="91"/>
              </w:rPr>
              <w:t>assuming that the number of shares offered by us, as set forth on the cover page of this prospectus, remains the same and after deducting the estimated</w:t>
            </w:r>
          </w:p>
        </w:tc>
        <w:tc>
          <w:tcPr>
            <w:tcW w:w="60" w:type="dxa"/>
            <w:vAlign w:val="bottom"/>
          </w:tcPr>
          <w:p>
            <w:pPr>
              <w:spacing w:after="0"/>
              <w:rPr>
                <w:sz w:val="18"/>
                <w:szCs w:val="18"/>
                <w:color w:val="auto"/>
              </w:rPr>
            </w:pPr>
          </w:p>
        </w:tc>
      </w:tr>
      <w:tr>
        <w:trPr>
          <w:trHeight w:val="216"/>
        </w:trPr>
        <w:tc>
          <w:tcPr>
            <w:tcW w:w="11180" w:type="dxa"/>
            <w:vAlign w:val="bottom"/>
            <w:gridSpan w:val="6"/>
          </w:tcPr>
          <w:p>
            <w:pPr>
              <w:spacing w:after="0"/>
              <w:rPr>
                <w:sz w:val="20"/>
                <w:szCs w:val="20"/>
                <w:color w:val="auto"/>
              </w:rPr>
            </w:pPr>
            <w:r>
              <w:rPr>
                <w:rFonts w:ascii="Arial" w:cs="Arial" w:eastAsia="Arial" w:hAnsi="Arial"/>
                <w:sz w:val="18"/>
                <w:szCs w:val="18"/>
                <w:color w:val="auto"/>
                <w:w w:val="90"/>
              </w:rPr>
              <w:t>underwriting discounts and commissions payable by us. Similarly, each increase or decrease of 1.0 million in the number of shares of our Class A common</w:t>
            </w:r>
          </w:p>
        </w:tc>
        <w:tc>
          <w:tcPr>
            <w:tcW w:w="60" w:type="dxa"/>
            <w:vAlign w:val="bottom"/>
          </w:tcPr>
          <w:p>
            <w:pPr>
              <w:spacing w:after="0"/>
              <w:rPr>
                <w:sz w:val="18"/>
                <w:szCs w:val="18"/>
                <w:color w:val="auto"/>
              </w:rPr>
            </w:pPr>
          </w:p>
        </w:tc>
      </w:tr>
      <w:tr>
        <w:trPr>
          <w:trHeight w:val="230"/>
        </w:trPr>
        <w:tc>
          <w:tcPr>
            <w:tcW w:w="8660" w:type="dxa"/>
            <w:vAlign w:val="bottom"/>
            <w:gridSpan w:val="4"/>
          </w:tcPr>
          <w:p>
            <w:pPr>
              <w:spacing w:after="0"/>
              <w:rPr>
                <w:sz w:val="20"/>
                <w:szCs w:val="20"/>
                <w:color w:val="auto"/>
              </w:rPr>
            </w:pPr>
            <w:r>
              <w:rPr>
                <w:rFonts w:ascii="Arial" w:cs="Arial" w:eastAsia="Arial" w:hAnsi="Arial"/>
                <w:sz w:val="18"/>
                <w:szCs w:val="18"/>
                <w:color w:val="auto"/>
                <w:w w:val="92"/>
              </w:rPr>
              <w:t>stock offered by us would increase or decrease the net proceeds that we receive from this offering by approximately $</w:t>
            </w:r>
          </w:p>
        </w:tc>
        <w:tc>
          <w:tcPr>
            <w:tcW w:w="2520" w:type="dxa"/>
            <w:vAlign w:val="bottom"/>
            <w:gridSpan w:val="2"/>
          </w:tcPr>
          <w:p>
            <w:pPr>
              <w:ind w:left="180"/>
              <w:spacing w:after="0"/>
              <w:rPr>
                <w:sz w:val="20"/>
                <w:szCs w:val="20"/>
                <w:color w:val="auto"/>
              </w:rPr>
            </w:pPr>
            <w:r>
              <w:rPr>
                <w:rFonts w:ascii="Arial" w:cs="Arial" w:eastAsia="Arial" w:hAnsi="Arial"/>
                <w:sz w:val="18"/>
                <w:szCs w:val="18"/>
                <w:color w:val="auto"/>
                <w:w w:val="96"/>
              </w:rPr>
              <w:t>, assuming the assumed initial</w:t>
            </w:r>
          </w:p>
        </w:tc>
        <w:tc>
          <w:tcPr>
            <w:tcW w:w="60" w:type="dxa"/>
            <w:vAlign w:val="bottom"/>
          </w:tcPr>
          <w:p>
            <w:pPr>
              <w:spacing w:after="0"/>
              <w:rPr>
                <w:sz w:val="20"/>
                <w:szCs w:val="20"/>
                <w:color w:val="auto"/>
              </w:rPr>
            </w:pPr>
          </w:p>
        </w:tc>
      </w:tr>
    </w:tbl>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49465" cy="25400"/>
                    </a:xfrm>
                    <a:prstGeom prst="rect">
                      <a:avLst/>
                    </a:prstGeom>
                    <a:noFill/>
                  </pic:spPr>
                </pic:pic>
              </a:graphicData>
            </a:graphic>
          </wp:anchor>
        </w:drawing>
        <w:t>public offering price remains the same and after deducting the estimated underwriting discounts and commissions payable by us.</w:t>
      </w:r>
    </w:p>
    <w:p>
      <w:pPr>
        <w:spacing w:after="0" w:line="211" w:lineRule="exact"/>
        <w:rPr>
          <w:sz w:val="20"/>
          <w:szCs w:val="20"/>
          <w:color w:val="auto"/>
        </w:rPr>
      </w:pPr>
    </w:p>
    <w:p>
      <w:pPr>
        <w:ind w:right="420" w:firstLine="449"/>
        <w:spacing w:after="0" w:line="277" w:lineRule="auto"/>
        <w:rPr>
          <w:sz w:val="20"/>
          <w:szCs w:val="20"/>
          <w:color w:val="auto"/>
        </w:rPr>
      </w:pPr>
      <w:r>
        <w:rPr>
          <w:rFonts w:ascii="Arial" w:cs="Arial" w:eastAsia="Arial" w:hAnsi="Arial"/>
          <w:sz w:val="18"/>
          <w:szCs w:val="18"/>
          <w:color w:val="auto"/>
        </w:rPr>
        <w:t>The principal purposes of this offering are to increase our capitalization and financial flexibility, create a public market for our Class A common stock, and enable access to the public equity markets for us and our stockholders.</w:t>
      </w:r>
    </w:p>
    <w:p>
      <w:pPr>
        <w:spacing w:after="0" w:line="170" w:lineRule="exact"/>
        <w:rPr>
          <w:sz w:val="20"/>
          <w:szCs w:val="20"/>
          <w:color w:val="auto"/>
        </w:rPr>
      </w:pPr>
    </w:p>
    <w:p>
      <w:pPr>
        <w:ind w:right="240" w:firstLine="449"/>
        <w:spacing w:after="0" w:line="291" w:lineRule="auto"/>
        <w:rPr>
          <w:sz w:val="20"/>
          <w:szCs w:val="20"/>
          <w:color w:val="auto"/>
        </w:rPr>
      </w:pPr>
      <w:r>
        <w:rPr>
          <w:rFonts w:ascii="Arial" w:cs="Arial" w:eastAsia="Arial" w:hAnsi="Arial"/>
          <w:sz w:val="16"/>
          <w:szCs w:val="16"/>
          <w:color w:val="auto"/>
        </w:rPr>
        <w:t>We intend to use a portion of the net proceeds we receive from this offering to repay $ that is expected to be outstanding immediately prior to the completion of this offering under our revolving credit facility, which we intend to draw down prior to the completion of this offering to satisfy tax</w:t>
      </w:r>
    </w:p>
    <w:p>
      <w:pPr>
        <w:spacing w:after="0"/>
        <w:tabs>
          <w:tab w:leader="none" w:pos="3540" w:val="left"/>
        </w:tabs>
        <w:rPr>
          <w:sz w:val="20"/>
          <w:szCs w:val="20"/>
          <w:color w:val="auto"/>
        </w:rPr>
      </w:pPr>
      <w:r>
        <w:rPr>
          <w:rFonts w:ascii="Arial" w:cs="Arial" w:eastAsia="Arial" w:hAnsi="Arial"/>
          <w:sz w:val="18"/>
          <w:szCs w:val="18"/>
          <w:color w:val="auto"/>
        </w:rPr>
        <w:t>withholding and remittance obligations of $</w:t>
      </w:r>
      <w:r>
        <w:rPr>
          <w:sz w:val="20"/>
          <w:szCs w:val="20"/>
          <w:color w:val="auto"/>
        </w:rPr>
        <w:tab/>
      </w:r>
      <w:r>
        <w:rPr>
          <w:rFonts w:ascii="Arial" w:cs="Arial" w:eastAsia="Arial" w:hAnsi="Arial"/>
          <w:sz w:val="16"/>
          <w:szCs w:val="16"/>
          <w:color w:val="auto"/>
        </w:rPr>
        <w:t>related to the RSU Settlement. This amount is based upon the assumed initial public offering price of</w:t>
      </w:r>
    </w:p>
    <w:p>
      <w:pPr>
        <w:spacing w:after="0" w:line="9" w:lineRule="exact"/>
        <w:rPr>
          <w:sz w:val="20"/>
          <w:szCs w:val="20"/>
          <w:color w:val="auto"/>
        </w:rPr>
      </w:pPr>
    </w:p>
    <w:p>
      <w:pPr>
        <w:ind w:right="200" w:firstLine="8"/>
        <w:spacing w:after="0" w:line="255" w:lineRule="auto"/>
        <w:tabs>
          <w:tab w:leader="none" w:pos="495" w:val="left"/>
        </w:tabs>
        <w:numPr>
          <w:ilvl w:val="0"/>
          <w:numId w:val="34"/>
        </w:numPr>
        <w:rPr>
          <w:rFonts w:ascii="Arial" w:cs="Arial" w:eastAsia="Arial" w:hAnsi="Arial"/>
          <w:sz w:val="18"/>
          <w:szCs w:val="18"/>
          <w:color w:val="auto"/>
        </w:rPr>
      </w:pPr>
      <w:r>
        <w:rPr>
          <w:rFonts w:ascii="Arial" w:cs="Arial" w:eastAsia="Arial" w:hAnsi="Arial"/>
          <w:sz w:val="18"/>
          <w:szCs w:val="18"/>
          <w:color w:val="auto"/>
        </w:rPr>
        <w:t>per share, which is the midpoint of the estimated offering price range set forth on the cover page of this prospectus. See the section titled “Management’s Discussion and Analysis of Financial Condition and Results of Operations—Liquidity and Capital Resources” for additional information regarding our revolving credit facility.</w:t>
      </w:r>
    </w:p>
    <w:p>
      <w:pPr>
        <w:spacing w:after="0" w:line="190" w:lineRule="exact"/>
        <w:rPr>
          <w:sz w:val="20"/>
          <w:szCs w:val="20"/>
          <w:color w:val="auto"/>
        </w:rPr>
      </w:pPr>
    </w:p>
    <w:p>
      <w:pPr>
        <w:ind w:right="140" w:firstLine="449"/>
        <w:spacing w:after="0" w:line="255" w:lineRule="auto"/>
        <w:rPr>
          <w:sz w:val="20"/>
          <w:szCs w:val="20"/>
          <w:color w:val="auto"/>
        </w:rPr>
      </w:pPr>
      <w:r>
        <w:rPr>
          <w:rFonts w:ascii="Arial" w:cs="Arial" w:eastAsia="Arial" w:hAnsi="Arial"/>
          <w:sz w:val="18"/>
          <w:szCs w:val="18"/>
          <w:color w:val="auto"/>
        </w:rPr>
        <w:t>We also intend to use the net proceeds we receive from this offering for general corporate purposes, including working capital, operating expenses, and capital expenditures. Additionally, we may use a portion of the net proceeds we receive from this offering to acquire businesses, products, services, or technologies. However, we do not have agreements or commitments for any material acquisitions at this time. We cannot specify with certainty the particular uses of the net proceeds that we will receive from this offering. Accordingly, we will have broad discretion in using these proceeds. Pending the use of proceeds from this offering as described above, we may invest the net proceeds that we receive in this offering in short-term, investment grade, interest-bearing instruments.</w:t>
      </w:r>
    </w:p>
    <w:p>
      <w:pPr>
        <w:spacing w:after="0" w:line="1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1240"/>
          </w:cols>
          <w:pgMar w:left="320" w:top="459" w:right="339" w:bottom="1440" w:gutter="0" w:footer="0" w:header="0"/>
        </w:sectPr>
      </w:pPr>
    </w:p>
    <w:bookmarkStart w:id="49" w:name="page50"/>
    <w:bookmarkEnd w:id="4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DIVIDEND POLICY</w:t>
      </w:r>
    </w:p>
    <w:p>
      <w:pPr>
        <w:spacing w:after="0" w:line="229" w:lineRule="exact"/>
        <w:rPr>
          <w:sz w:val="20"/>
          <w:szCs w:val="20"/>
          <w:color w:val="auto"/>
        </w:rPr>
      </w:pPr>
    </w:p>
    <w:p>
      <w:pPr>
        <w:ind w:firstLine="449"/>
        <w:spacing w:after="0" w:line="296" w:lineRule="auto"/>
        <w:rPr>
          <w:sz w:val="20"/>
          <w:szCs w:val="20"/>
          <w:color w:val="auto"/>
        </w:rPr>
      </w:pPr>
      <w:r>
        <w:rPr>
          <w:rFonts w:ascii="Arial" w:cs="Arial" w:eastAsia="Arial" w:hAnsi="Arial"/>
          <w:sz w:val="16"/>
          <w:szCs w:val="16"/>
          <w:color w:val="auto"/>
        </w:rPr>
        <w:t>We have never declared or paid any cash dividends on our capital stock. We currently intend to retain any future earnings and do not expect to pay any dividends in the foreseeable future. Any future determination to declare cash dividends will be made at the discretion of our Board of Directors, subject to applicable laws, and will depend on a number of factors, including our financial condition, results of operations, capital requirements, contractual restrictions, general business conditions, and other factors that our Board of Directors may deem relevant. In addition, the terms of our revolving credit facility place certain limitations on the amount of cash dividends we can pay, even if no amounts are currently outstanding.</w:t>
      </w:r>
    </w:p>
    <w:p>
      <w:pPr>
        <w:spacing w:after="0" w:line="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1220"/>
          </w:cols>
          <w:pgMar w:left="320" w:top="459" w:right="359" w:bottom="1440" w:gutter="0" w:footer="0" w:header="0"/>
        </w:sectPr>
      </w:pPr>
    </w:p>
    <w:bookmarkStart w:id="50" w:name="page51"/>
    <w:bookmarkEnd w:id="5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CAPITALIZATION</w:t>
      </w:r>
    </w:p>
    <w:p>
      <w:pPr>
        <w:spacing w:after="0" w:line="22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sets forth cash and cash equivalents, as well as our capitalization, as of September 30, 2017, as follows:</w:t>
      </w:r>
    </w:p>
    <w:p>
      <w:pPr>
        <w:spacing w:after="0" w:line="131" w:lineRule="exact"/>
        <w:rPr>
          <w:sz w:val="20"/>
          <w:szCs w:val="20"/>
          <w:color w:val="auto"/>
        </w:rPr>
      </w:pPr>
    </w:p>
    <w:p>
      <w:pPr>
        <w:ind w:left="880" w:hanging="319"/>
        <w:spacing w:after="0"/>
        <w:tabs>
          <w:tab w:leader="none" w:pos="8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on an actual basis;</w:t>
      </w:r>
    </w:p>
    <w:p>
      <w:pPr>
        <w:spacing w:after="0" w:line="130" w:lineRule="exact"/>
        <w:rPr>
          <w:rFonts w:ascii="Arial" w:cs="Arial" w:eastAsia="Arial" w:hAnsi="Arial"/>
          <w:sz w:val="18"/>
          <w:szCs w:val="18"/>
          <w:color w:val="auto"/>
        </w:rPr>
      </w:pPr>
    </w:p>
    <w:p>
      <w:pPr>
        <w:jc w:val="both"/>
        <w:ind w:left="880" w:right="220" w:hanging="319"/>
        <w:spacing w:after="0" w:line="287" w:lineRule="auto"/>
        <w:tabs>
          <w:tab w:leader="none" w:pos="880" w:val="left"/>
        </w:tabs>
        <w:numPr>
          <w:ilvl w:val="0"/>
          <w:numId w:val="35"/>
        </w:numPr>
        <w:rPr>
          <w:rFonts w:ascii="Arial" w:cs="Arial" w:eastAsia="Arial" w:hAnsi="Arial"/>
          <w:sz w:val="16"/>
          <w:szCs w:val="16"/>
          <w:color w:val="auto"/>
        </w:rPr>
      </w:pPr>
      <w:r>
        <w:rPr>
          <w:rFonts w:ascii="Arial" w:cs="Arial" w:eastAsia="Arial" w:hAnsi="Arial"/>
          <w:sz w:val="16"/>
          <w:szCs w:val="16"/>
          <w:color w:val="auto"/>
        </w:rPr>
        <w:t>on a pro forma basis, giving effect to (i) the Capital Stock Conversions, as if such conversions had occurred on September 30, 2017, (ii) the filing and effectiveness of our amended and restated certificate of incorporation in Delaware that will become effective immediately prior to the completion of this offering, (iii) stock-based compensation expense of $415.4 million associated with the RSU Settlement, (iv) the net</w:t>
      </w:r>
    </w:p>
    <w:p>
      <w:pPr>
        <w:sectPr>
          <w:pgSz w:w="11900" w:h="16838" w:orient="portrait"/>
          <w:cols w:equalWidth="0" w:num="1">
            <w:col w:w="11200"/>
          </w:cols>
          <w:pgMar w:left="320" w:top="459" w:right="379" w:bottom="1440" w:gutter="0" w:footer="0" w:header="0"/>
        </w:sectPr>
      </w:pPr>
    </w:p>
    <w:p>
      <w:pPr>
        <w:spacing w:after="0" w:line="2" w:lineRule="exact"/>
        <w:rPr>
          <w:sz w:val="20"/>
          <w:szCs w:val="20"/>
          <w:color w:val="auto"/>
        </w:rPr>
      </w:pPr>
    </w:p>
    <w:p>
      <w:pPr>
        <w:jc w:val="both"/>
        <w:ind w:left="880" w:right="20"/>
        <w:spacing w:after="0" w:line="265" w:lineRule="auto"/>
        <w:rPr>
          <w:sz w:val="20"/>
          <w:szCs w:val="20"/>
          <w:color w:val="auto"/>
        </w:rPr>
      </w:pPr>
      <w:r>
        <w:rPr>
          <w:rFonts w:ascii="Arial" w:cs="Arial" w:eastAsia="Arial" w:hAnsi="Arial"/>
          <w:sz w:val="17"/>
          <w:szCs w:val="17"/>
          <w:color w:val="auto"/>
        </w:rPr>
        <w:t>issuance of shares of our Class B common stock upon the RSU Settlement, (v) the borrowing of $ under our revolving credit facility to satisfy our tax withholding and remittance obligations related to the RSU Settlement, and (vi) a cash payment of $ to satisfy our tax</w:t>
      </w:r>
    </w:p>
    <w:p>
      <w:pPr>
        <w:sectPr>
          <w:pgSz w:w="11900" w:h="16838" w:orient="portrait"/>
          <w:cols w:equalWidth="0" w:num="1">
            <w:col w:w="11200"/>
          </w:cols>
          <w:pgMar w:left="320" w:top="459" w:right="379" w:bottom="1440" w:gutter="0" w:footer="0" w:header="0"/>
          <w:type w:val="continuous"/>
        </w:sectPr>
      </w:pPr>
    </w:p>
    <w:p>
      <w:pPr>
        <w:ind w:left="880" w:right="60"/>
        <w:spacing w:after="0" w:line="323" w:lineRule="auto"/>
        <w:rPr>
          <w:sz w:val="20"/>
          <w:szCs w:val="20"/>
          <w:color w:val="auto"/>
        </w:rPr>
      </w:pPr>
      <w:r>
        <w:rPr>
          <w:rFonts w:ascii="Arial" w:cs="Arial" w:eastAsia="Arial" w:hAnsi="Arial"/>
          <w:sz w:val="16"/>
          <w:szCs w:val="16"/>
          <w:color w:val="auto"/>
        </w:rPr>
        <w:t>withholding and remittance obligations related to the RSU Settlement, which amounts in (v) and (vi) are based upon the assumed initial public offering price of $ per share, which is the midpoint of the estimated offering price range set forth on the cover page of this prospectus; and</w:t>
      </w:r>
    </w:p>
    <w:p>
      <w:pPr>
        <w:spacing w:after="0" w:line="44" w:lineRule="exact"/>
        <w:rPr>
          <w:sz w:val="20"/>
          <w:szCs w:val="20"/>
          <w:color w:val="auto"/>
        </w:rPr>
      </w:pPr>
    </w:p>
    <w:p>
      <w:pPr>
        <w:ind w:left="880" w:hanging="319"/>
        <w:spacing w:after="0" w:line="287" w:lineRule="auto"/>
        <w:tabs>
          <w:tab w:leader="none" w:pos="860" w:val="left"/>
        </w:tabs>
        <w:rPr>
          <w:sz w:val="20"/>
          <w:szCs w:val="20"/>
          <w:color w:val="auto"/>
        </w:rPr>
      </w:pPr>
      <w:r>
        <w:rPr>
          <w:rFonts w:ascii="Arial" w:cs="Arial" w:eastAsia="Arial" w:hAnsi="Arial"/>
          <w:sz w:val="16"/>
          <w:szCs w:val="16"/>
          <w:color w:val="auto"/>
        </w:rPr>
        <w:t>•</w:t>
      </w:r>
      <w:r>
        <w:rPr>
          <w:sz w:val="20"/>
          <w:szCs w:val="20"/>
          <w:color w:val="auto"/>
        </w:rPr>
        <w:tab/>
      </w:r>
      <w:r>
        <w:rPr>
          <w:rFonts w:ascii="Arial" w:cs="Arial" w:eastAsia="Arial" w:hAnsi="Arial"/>
          <w:sz w:val="16"/>
          <w:szCs w:val="16"/>
          <w:color w:val="auto"/>
        </w:rPr>
        <w:t>on a pro forma as adjusted basis, giving effect to (i) the pro forma adjustments set forth above, (ii) the sale and issuance by us of shares of our Class A common stock in this offering, based upon the assumed initial public offering price of $ per share, which is the midpoint of the estimated offering price range set forth on the cover page of this prospectus, and after deducting estimated underwriting discounts and</w:t>
      </w:r>
    </w:p>
    <w:p>
      <w:pPr>
        <w:spacing w:after="0" w:line="2" w:lineRule="exact"/>
        <w:rPr>
          <w:sz w:val="20"/>
          <w:szCs w:val="20"/>
          <w:color w:val="auto"/>
        </w:rPr>
      </w:pPr>
    </w:p>
    <w:p>
      <w:pPr>
        <w:ind w:left="880" w:right="100"/>
        <w:spacing w:after="0" w:line="253" w:lineRule="auto"/>
        <w:rPr>
          <w:sz w:val="20"/>
          <w:szCs w:val="20"/>
          <w:color w:val="auto"/>
        </w:rPr>
      </w:pPr>
      <w:r>
        <w:rPr>
          <w:rFonts w:ascii="Arial" w:cs="Arial" w:eastAsia="Arial" w:hAnsi="Arial"/>
          <w:sz w:val="18"/>
          <w:szCs w:val="18"/>
          <w:color w:val="auto"/>
        </w:rPr>
        <w:t>commissions and estimated offering expenses payable by us, (iii) the conversion of shares of our Class B common stock held by certain selling stockholders into an equivalent number of shares of our Class A common stock upon the sale by the selling stockholders in this offering, and (iv) the use of proceeds from the offering to repay $ drawn down under our revolving credit facility to satisfy our tax withholding and remittance obligations related to the RSU Settlement.</w:t>
      </w:r>
    </w:p>
    <w:p>
      <w:pPr>
        <w:spacing w:after="0" w:line="12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48</w:t>
      </w:r>
    </w:p>
    <w:p>
      <w:pPr>
        <w:sectPr>
          <w:pgSz w:w="11900" w:h="16838" w:orient="portrait"/>
          <w:cols w:equalWidth="0" w:num="1">
            <w:col w:w="11200"/>
          </w:cols>
          <w:pgMar w:left="320" w:top="459" w:right="379" w:bottom="1440" w:gutter="0" w:footer="0" w:header="0"/>
          <w:type w:val="continuous"/>
        </w:sectPr>
      </w:pPr>
    </w:p>
    <w:bookmarkStart w:id="51" w:name="page52"/>
    <w:bookmarkEnd w:id="5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right="20" w:firstLine="449"/>
        <w:spacing w:after="0" w:line="259" w:lineRule="auto"/>
        <w:rPr>
          <w:sz w:val="20"/>
          <w:szCs w:val="20"/>
          <w:color w:val="auto"/>
        </w:rPr>
      </w:pPr>
      <w:r>
        <w:rPr>
          <w:rFonts w:ascii="Arial" w:cs="Arial" w:eastAsia="Arial" w:hAnsi="Arial"/>
          <w:sz w:val="18"/>
          <w:szCs w:val="18"/>
          <w:color w:val="auto"/>
        </w:rPr>
        <w:t>The pro forma as adjusted information set forth in the table below is illustrative only and will be adjusted based on the actual initial public offering price and other terms of this offering determined at pricing. You should read this table together with our consolidated financial statements and related notes, and the sections titled “Selected Consolidated Financial and Other Data” and “Management’s Discussion and Analysis of Financial Condition and Results of Operations” that are included elsewhere in this prospectus.</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158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7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2140" w:type="dxa"/>
            <w:vAlign w:val="bottom"/>
            <w:tcBorders>
              <w:bottom w:val="single" w:sz="8" w:color="auto"/>
            </w:tcBorders>
            <w:gridSpan w:val="5"/>
          </w:tcPr>
          <w:p>
            <w:pPr>
              <w:ind w:left="580"/>
              <w:spacing w:after="0"/>
              <w:rPr>
                <w:sz w:val="20"/>
                <w:szCs w:val="20"/>
                <w:color w:val="auto"/>
              </w:rPr>
            </w:pPr>
            <w:r>
              <w:rPr>
                <w:rFonts w:ascii="Arial" w:cs="Arial" w:eastAsia="Arial" w:hAnsi="Arial"/>
                <w:sz w:val="14"/>
                <w:szCs w:val="14"/>
                <w:b w:val="1"/>
                <w:bCs w:val="1"/>
                <w:color w:val="auto"/>
                <w:w w:val="90"/>
              </w:rPr>
              <w:t>As of September 30, 2017</w:t>
            </w:r>
          </w:p>
        </w:tc>
        <w:tc>
          <w:tcPr>
            <w:tcW w:w="66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1580" w:type="dxa"/>
            <w:vAlign w:val="bottom"/>
          </w:tcPr>
          <w:p>
            <w:pPr>
              <w:spacing w:after="0"/>
              <w:rPr>
                <w:sz w:val="10"/>
                <w:szCs w:val="10"/>
                <w:color w:val="auto"/>
              </w:rPr>
            </w:pPr>
          </w:p>
        </w:tc>
        <w:tc>
          <w:tcPr>
            <w:tcW w:w="15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5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7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000" w:type="dxa"/>
            <w:vAlign w:val="bottom"/>
            <w:gridSpan w:val="2"/>
            <w:vMerge w:val="restart"/>
          </w:tcPr>
          <w:p>
            <w:pPr>
              <w:ind w:left="140"/>
              <w:spacing w:after="0"/>
              <w:rPr>
                <w:sz w:val="20"/>
                <w:szCs w:val="20"/>
                <w:color w:val="auto"/>
              </w:rPr>
            </w:pPr>
            <w:r>
              <w:rPr>
                <w:rFonts w:ascii="Arial" w:cs="Arial" w:eastAsia="Arial" w:hAnsi="Arial"/>
                <w:sz w:val="14"/>
                <w:szCs w:val="14"/>
                <w:b w:val="1"/>
                <w:bCs w:val="1"/>
                <w:color w:val="auto"/>
              </w:rPr>
              <w:t>Pro</w:t>
            </w:r>
          </w:p>
        </w:tc>
        <w:tc>
          <w:tcPr>
            <w:tcW w:w="660" w:type="dxa"/>
            <w:vAlign w:val="bottom"/>
          </w:tcPr>
          <w:p>
            <w:pPr>
              <w:ind w:left="220"/>
              <w:spacing w:after="0" w:line="119" w:lineRule="exact"/>
              <w:rPr>
                <w:sz w:val="20"/>
                <w:szCs w:val="20"/>
                <w:color w:val="auto"/>
              </w:rPr>
            </w:pPr>
            <w:r>
              <w:rPr>
                <w:rFonts w:ascii="Arial" w:cs="Arial" w:eastAsia="Arial" w:hAnsi="Arial"/>
                <w:sz w:val="13"/>
                <w:szCs w:val="13"/>
                <w:b w:val="1"/>
                <w:bCs w:val="1"/>
                <w:color w:val="auto"/>
              </w:rPr>
              <w:t>Pro</w:t>
            </w: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1580" w:type="dxa"/>
            <w:vAlign w:val="bottom"/>
          </w:tcPr>
          <w:p>
            <w:pPr>
              <w:spacing w:after="0"/>
              <w:rPr>
                <w:sz w:val="12"/>
                <w:szCs w:val="12"/>
                <w:color w:val="auto"/>
              </w:rPr>
            </w:pPr>
          </w:p>
        </w:tc>
        <w:tc>
          <w:tcPr>
            <w:tcW w:w="15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7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40" w:type="dxa"/>
            <w:vAlign w:val="bottom"/>
            <w:gridSpan w:val="3"/>
            <w:vMerge w:val="restart"/>
          </w:tcPr>
          <w:p>
            <w:pPr>
              <w:ind w:left="60"/>
              <w:spacing w:after="0"/>
              <w:rPr>
                <w:sz w:val="20"/>
                <w:szCs w:val="20"/>
                <w:color w:val="auto"/>
              </w:rPr>
            </w:pPr>
            <w:r>
              <w:rPr>
                <w:rFonts w:ascii="Arial" w:cs="Arial" w:eastAsia="Arial" w:hAnsi="Arial"/>
                <w:sz w:val="14"/>
                <w:szCs w:val="14"/>
                <w:b w:val="1"/>
                <w:bCs w:val="1"/>
                <w:color w:val="auto"/>
              </w:rPr>
              <w:t>Actual</w:t>
            </w:r>
          </w:p>
        </w:tc>
        <w:tc>
          <w:tcPr>
            <w:tcW w:w="1000" w:type="dxa"/>
            <w:vAlign w:val="bottom"/>
            <w:gridSpan w:val="2"/>
            <w:vMerge w:val="continue"/>
          </w:tcPr>
          <w:p>
            <w:pPr>
              <w:spacing w:after="0"/>
              <w:rPr>
                <w:sz w:val="12"/>
                <w:szCs w:val="12"/>
                <w:color w:val="auto"/>
              </w:rPr>
            </w:pPr>
          </w:p>
        </w:tc>
        <w:tc>
          <w:tcPr>
            <w:tcW w:w="720" w:type="dxa"/>
            <w:vAlign w:val="bottom"/>
            <w:gridSpan w:val="2"/>
          </w:tcPr>
          <w:p>
            <w:pPr>
              <w:ind w:left="60"/>
              <w:spacing w:after="0" w:line="149" w:lineRule="exact"/>
              <w:rPr>
                <w:sz w:val="20"/>
                <w:szCs w:val="20"/>
                <w:color w:val="auto"/>
              </w:rPr>
            </w:pPr>
            <w:r>
              <w:rPr>
                <w:rFonts w:ascii="Arial" w:cs="Arial" w:eastAsia="Arial" w:hAnsi="Arial"/>
                <w:sz w:val="14"/>
                <w:szCs w:val="14"/>
                <w:b w:val="1"/>
                <w:bCs w:val="1"/>
                <w:color w:val="auto"/>
              </w:rPr>
              <w:t>forma as</w:t>
            </w:r>
          </w:p>
        </w:tc>
        <w:tc>
          <w:tcPr>
            <w:tcW w:w="0" w:type="dxa"/>
            <w:vAlign w:val="bottom"/>
          </w:tcPr>
          <w:p>
            <w:pPr>
              <w:spacing w:after="0"/>
              <w:rPr>
                <w:sz w:val="1"/>
                <w:szCs w:val="1"/>
                <w:color w:val="auto"/>
              </w:rPr>
            </w:pPr>
          </w:p>
        </w:tc>
      </w:tr>
      <w:tr>
        <w:trPr>
          <w:trHeight w:val="171"/>
        </w:trPr>
        <w:tc>
          <w:tcPr>
            <w:tcW w:w="158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7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40" w:type="dxa"/>
            <w:vAlign w:val="bottom"/>
            <w:gridSpan w:val="3"/>
            <w:vMerge w:val="continue"/>
          </w:tcPr>
          <w:p>
            <w:pPr>
              <w:spacing w:after="0"/>
              <w:rPr>
                <w:sz w:val="14"/>
                <w:szCs w:val="14"/>
                <w:color w:val="auto"/>
              </w:rPr>
            </w:pPr>
          </w:p>
        </w:tc>
        <w:tc>
          <w:tcPr>
            <w:tcW w:w="1000" w:type="dxa"/>
            <w:vAlign w:val="bottom"/>
            <w:gridSpan w:val="2"/>
          </w:tcPr>
          <w:p>
            <w:pPr>
              <w:spacing w:after="0"/>
              <w:rPr>
                <w:sz w:val="20"/>
                <w:szCs w:val="20"/>
                <w:color w:val="auto"/>
              </w:rPr>
            </w:pPr>
            <w:r>
              <w:rPr>
                <w:rFonts w:ascii="Arial" w:cs="Arial" w:eastAsia="Arial" w:hAnsi="Arial"/>
                <w:sz w:val="14"/>
                <w:szCs w:val="14"/>
                <w:b w:val="1"/>
                <w:bCs w:val="1"/>
                <w:color w:val="auto"/>
              </w:rPr>
              <w:t>forma</w:t>
            </w:r>
            <w:r>
              <w:rPr>
                <w:rFonts w:ascii="Arial" w:cs="Arial" w:eastAsia="Arial" w:hAnsi="Arial"/>
                <w:sz w:val="12"/>
                <w:szCs w:val="12"/>
                <w:b w:val="1"/>
                <w:bCs w:val="1"/>
                <w:color w:val="auto"/>
              </w:rPr>
              <w:t>(1)</w:t>
            </w:r>
          </w:p>
        </w:tc>
        <w:tc>
          <w:tcPr>
            <w:tcW w:w="720" w:type="dxa"/>
            <w:vAlign w:val="bottom"/>
            <w:gridSpan w:val="2"/>
          </w:tcPr>
          <w:p>
            <w:pPr>
              <w:spacing w:after="0"/>
              <w:rPr>
                <w:sz w:val="20"/>
                <w:szCs w:val="20"/>
                <w:color w:val="auto"/>
              </w:rPr>
            </w:pPr>
            <w:r>
              <w:rPr>
                <w:rFonts w:ascii="Arial" w:cs="Arial" w:eastAsia="Arial" w:hAnsi="Arial"/>
                <w:sz w:val="14"/>
                <w:szCs w:val="14"/>
                <w:b w:val="1"/>
                <w:bCs w:val="1"/>
                <w:color w:val="auto"/>
                <w:w w:val="96"/>
              </w:rPr>
              <w:t>adjusted</w:t>
            </w:r>
            <w:r>
              <w:rPr>
                <w:rFonts w:ascii="Arial" w:cs="Arial" w:eastAsia="Arial" w:hAnsi="Arial"/>
                <w:sz w:val="12"/>
                <w:szCs w:val="12"/>
                <w:b w:val="1"/>
                <w:bCs w:val="1"/>
                <w:color w:val="auto"/>
                <w:w w:val="96"/>
              </w:rPr>
              <w:t>(2)</w:t>
            </w:r>
          </w:p>
        </w:tc>
        <w:tc>
          <w:tcPr>
            <w:tcW w:w="0" w:type="dxa"/>
            <w:vAlign w:val="bottom"/>
          </w:tcPr>
          <w:p>
            <w:pPr>
              <w:spacing w:after="0"/>
              <w:rPr>
                <w:sz w:val="1"/>
                <w:szCs w:val="1"/>
                <w:color w:val="auto"/>
              </w:rPr>
            </w:pPr>
          </w:p>
        </w:tc>
      </w:tr>
      <w:tr>
        <w:trPr>
          <w:trHeight w:val="142"/>
        </w:trPr>
        <w:tc>
          <w:tcPr>
            <w:tcW w:w="1580" w:type="dxa"/>
            <w:vAlign w:val="bottom"/>
          </w:tcPr>
          <w:p>
            <w:pPr>
              <w:spacing w:after="0"/>
              <w:rPr>
                <w:sz w:val="12"/>
                <w:szCs w:val="12"/>
                <w:color w:val="auto"/>
              </w:rPr>
            </w:pPr>
          </w:p>
        </w:tc>
        <w:tc>
          <w:tcPr>
            <w:tcW w:w="15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7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2800" w:type="dxa"/>
            <w:vAlign w:val="bottom"/>
            <w:tcBorders>
              <w:top w:val="single" w:sz="8" w:color="auto"/>
            </w:tcBorders>
            <w:gridSpan w:val="6"/>
          </w:tcPr>
          <w:p>
            <w:pPr>
              <w:ind w:left="340"/>
              <w:spacing w:after="0" w:line="142" w:lineRule="exact"/>
              <w:rPr>
                <w:sz w:val="20"/>
                <w:szCs w:val="20"/>
                <w:color w:val="auto"/>
              </w:rPr>
            </w:pPr>
            <w:r>
              <w:rPr>
                <w:rFonts w:ascii="Arial" w:cs="Arial" w:eastAsia="Arial" w:hAnsi="Arial"/>
                <w:sz w:val="14"/>
                <w:szCs w:val="14"/>
                <w:i w:val="1"/>
                <w:iCs w:val="1"/>
                <w:color w:val="auto"/>
              </w:rPr>
              <w:t>(In millions, except per share data)</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31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Cash and cash equivalents</w:t>
            </w:r>
          </w:p>
        </w:tc>
        <w:tc>
          <w:tcPr>
            <w:tcW w:w="180" w:type="dxa"/>
            <w:vAlign w:val="bottom"/>
            <w:shd w:val="clear" w:color="auto" w:fill="CCEEFF"/>
          </w:tcPr>
          <w:p>
            <w:pPr>
              <w:spacing w:after="0"/>
              <w:rPr>
                <w:sz w:val="18"/>
                <w:szCs w:val="18"/>
                <w:color w:val="auto"/>
              </w:rPr>
            </w:pPr>
          </w:p>
        </w:tc>
        <w:tc>
          <w:tcPr>
            <w:tcW w:w="15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8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422.7</w:t>
            </w:r>
          </w:p>
        </w:tc>
        <w:tc>
          <w:tcPr>
            <w:tcW w:w="5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140" w:type="dxa"/>
            <w:vAlign w:val="bottom"/>
            <w:gridSpan w:val="2"/>
            <w:vMerge w:val="restart"/>
          </w:tcPr>
          <w:p>
            <w:pPr>
              <w:spacing w:after="0"/>
              <w:rPr>
                <w:sz w:val="20"/>
                <w:szCs w:val="20"/>
                <w:color w:val="auto"/>
              </w:rPr>
            </w:pPr>
            <w:r>
              <w:rPr>
                <w:rFonts w:ascii="Arial" w:cs="Arial" w:eastAsia="Arial" w:hAnsi="Arial"/>
                <w:sz w:val="18"/>
                <w:szCs w:val="18"/>
                <w:color w:val="auto"/>
              </w:rPr>
              <w:t>Revolving credit facility</w:t>
            </w:r>
          </w:p>
        </w:tc>
        <w:tc>
          <w:tcPr>
            <w:tcW w:w="18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7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140" w:type="dxa"/>
            <w:vAlign w:val="bottom"/>
            <w:gridSpan w:val="2"/>
            <w:vMerge w:val="continue"/>
          </w:tcPr>
          <w:p>
            <w:pPr>
              <w:spacing w:after="0"/>
              <w:rPr>
                <w:sz w:val="18"/>
                <w:szCs w:val="18"/>
                <w:color w:val="auto"/>
              </w:rPr>
            </w:pPr>
          </w:p>
        </w:tc>
        <w:tc>
          <w:tcPr>
            <w:tcW w:w="18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7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Pr>
          <w:p>
            <w:pPr>
              <w:ind w:left="34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580" w:type="dxa"/>
            <w:vAlign w:val="bottom"/>
            <w:shd w:val="clear" w:color="auto" w:fill="CCEEFF"/>
          </w:tcPr>
          <w:p>
            <w:pPr>
              <w:spacing w:after="0"/>
              <w:rPr>
                <w:sz w:val="20"/>
                <w:szCs w:val="20"/>
                <w:color w:val="auto"/>
              </w:rPr>
            </w:pPr>
            <w:r>
              <w:rPr>
                <w:rFonts w:ascii="Arial" w:cs="Arial" w:eastAsia="Arial" w:hAnsi="Arial"/>
                <w:sz w:val="18"/>
                <w:szCs w:val="18"/>
                <w:color w:val="auto"/>
                <w:w w:val="93"/>
              </w:rPr>
              <w:t>Stockholders’ equity:</w:t>
            </w:r>
          </w:p>
        </w:tc>
        <w:tc>
          <w:tcPr>
            <w:tcW w:w="15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5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7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8380" w:type="dxa"/>
            <w:vAlign w:val="bottom"/>
            <w:gridSpan w:val="8"/>
          </w:tcPr>
          <w:p>
            <w:pPr>
              <w:ind w:left="360"/>
              <w:spacing w:after="0" w:line="201" w:lineRule="exact"/>
              <w:rPr>
                <w:sz w:val="20"/>
                <w:szCs w:val="20"/>
                <w:color w:val="auto"/>
              </w:rPr>
            </w:pPr>
            <w:r>
              <w:rPr>
                <w:rFonts w:ascii="Arial" w:cs="Arial" w:eastAsia="Arial" w:hAnsi="Arial"/>
                <w:sz w:val="18"/>
                <w:szCs w:val="18"/>
                <w:color w:val="auto"/>
                <w:w w:val="96"/>
              </w:rPr>
              <w:t>Convertible preferred stock, par value $0.00001 per share: 226,818,439 shares authorized, 221,353,913</w:t>
            </w:r>
          </w:p>
        </w:tc>
        <w:tc>
          <w:tcPr>
            <w:tcW w:w="6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8380" w:type="dxa"/>
            <w:vAlign w:val="bottom"/>
            <w:gridSpan w:val="8"/>
          </w:tcPr>
          <w:p>
            <w:pPr>
              <w:ind w:left="540"/>
              <w:spacing w:after="0"/>
              <w:rPr>
                <w:sz w:val="20"/>
                <w:szCs w:val="20"/>
                <w:color w:val="auto"/>
              </w:rPr>
            </w:pPr>
            <w:r>
              <w:rPr>
                <w:rFonts w:ascii="Arial" w:cs="Arial" w:eastAsia="Arial" w:hAnsi="Arial"/>
                <w:sz w:val="18"/>
                <w:szCs w:val="18"/>
                <w:color w:val="auto"/>
              </w:rPr>
              <w:t>issued and outstanding, actual; no shares authorized, issued and outstanding, pro forma, and pro</w:t>
            </w:r>
          </w:p>
        </w:tc>
        <w:tc>
          <w:tcPr>
            <w:tcW w:w="6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140" w:type="dxa"/>
            <w:vAlign w:val="bottom"/>
            <w:gridSpan w:val="2"/>
          </w:tcPr>
          <w:p>
            <w:pPr>
              <w:ind w:left="540"/>
              <w:spacing w:after="0"/>
              <w:rPr>
                <w:sz w:val="20"/>
                <w:szCs w:val="20"/>
                <w:color w:val="auto"/>
              </w:rPr>
            </w:pPr>
            <w:r>
              <w:rPr>
                <w:rFonts w:ascii="Arial" w:cs="Arial" w:eastAsia="Arial" w:hAnsi="Arial"/>
                <w:sz w:val="18"/>
                <w:szCs w:val="18"/>
                <w:color w:val="auto"/>
              </w:rPr>
              <w:t>forma as adjusted</w:t>
            </w:r>
          </w:p>
        </w:tc>
        <w:tc>
          <w:tcPr>
            <w:tcW w:w="18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7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20" w:type="dxa"/>
            <w:vAlign w:val="bottom"/>
            <w:gridSpan w:val="2"/>
          </w:tcPr>
          <w:p>
            <w:pPr>
              <w:jc w:val="right"/>
              <w:ind w:right="20"/>
              <w:spacing w:after="0"/>
              <w:rPr>
                <w:sz w:val="20"/>
                <w:szCs w:val="20"/>
                <w:color w:val="auto"/>
              </w:rPr>
            </w:pPr>
            <w:r>
              <w:rPr>
                <w:rFonts w:ascii="Arial" w:cs="Arial" w:eastAsia="Arial" w:hAnsi="Arial"/>
                <w:sz w:val="18"/>
                <w:szCs w:val="18"/>
                <w:color w:val="auto"/>
              </w:rPr>
              <w:t>615.3</w:t>
            </w:r>
          </w:p>
        </w:tc>
        <w:tc>
          <w:tcPr>
            <w:tcW w:w="5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720" w:type="dxa"/>
            <w:vAlign w:val="bottom"/>
            <w:gridSpan w:val="2"/>
          </w:tcPr>
          <w:p>
            <w:pPr>
              <w:ind w:left="4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8380" w:type="dxa"/>
            <w:vAlign w:val="bottom"/>
            <w:gridSpan w:val="8"/>
            <w:shd w:val="clear" w:color="auto" w:fill="CCEEFF"/>
          </w:tcPr>
          <w:p>
            <w:pPr>
              <w:ind w:left="360"/>
              <w:spacing w:after="0" w:line="201" w:lineRule="exact"/>
              <w:rPr>
                <w:sz w:val="20"/>
                <w:szCs w:val="20"/>
                <w:color w:val="auto"/>
              </w:rPr>
            </w:pPr>
            <w:r>
              <w:rPr>
                <w:rFonts w:ascii="Arial" w:cs="Arial" w:eastAsia="Arial" w:hAnsi="Arial"/>
                <w:sz w:val="18"/>
                <w:szCs w:val="18"/>
                <w:color w:val="auto"/>
                <w:w w:val="99"/>
              </w:rPr>
              <w:t>Preferred stock, par value $0.00001 per share: no shares authorized, issued and outstanding, actual;</w:t>
            </w:r>
          </w:p>
        </w:tc>
        <w:tc>
          <w:tcPr>
            <w:tcW w:w="6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8380" w:type="dxa"/>
            <w:vAlign w:val="bottom"/>
            <w:gridSpan w:val="8"/>
            <w:shd w:val="clear" w:color="auto" w:fill="CCEEFF"/>
          </w:tcPr>
          <w:p>
            <w:pPr>
              <w:ind w:left="1140"/>
              <w:spacing w:after="0"/>
              <w:rPr>
                <w:sz w:val="20"/>
                <w:szCs w:val="20"/>
                <w:color w:val="auto"/>
              </w:rPr>
            </w:pPr>
            <w:r>
              <w:rPr>
                <w:rFonts w:ascii="Arial" w:cs="Arial" w:eastAsia="Arial" w:hAnsi="Arial"/>
                <w:sz w:val="18"/>
                <w:szCs w:val="18"/>
                <w:color w:val="auto"/>
                <w:w w:val="99"/>
              </w:rPr>
              <w:t>shares authorized, no shares issued and outstanding, pro forma, and pro forma as adjusted</w:t>
            </w:r>
          </w:p>
        </w:tc>
        <w:tc>
          <w:tcPr>
            <w:tcW w:w="1140" w:type="dxa"/>
            <w:vAlign w:val="bottom"/>
            <w:gridSpan w:val="3"/>
            <w:shd w:val="clear" w:color="auto" w:fill="CCEEFF"/>
          </w:tcPr>
          <w:p>
            <w:pPr>
              <w:ind w:left="340"/>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spacing w:after="0"/>
              <w:rPr>
                <w:sz w:val="20"/>
                <w:szCs w:val="20"/>
                <w:color w:val="auto"/>
              </w:rPr>
            </w:pPr>
          </w:p>
        </w:tc>
        <w:tc>
          <w:tcPr>
            <w:tcW w:w="480" w:type="dxa"/>
            <w:vAlign w:val="bottom"/>
            <w:shd w:val="clear" w:color="auto" w:fill="CCEEFF"/>
          </w:tcPr>
          <w:p>
            <w:pPr>
              <w:spacing w:after="0"/>
              <w:rPr>
                <w:sz w:val="20"/>
                <w:szCs w:val="20"/>
                <w:color w:val="auto"/>
              </w:rPr>
            </w:pPr>
          </w:p>
        </w:tc>
        <w:tc>
          <w:tcPr>
            <w:tcW w:w="72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8380" w:type="dxa"/>
            <w:vAlign w:val="bottom"/>
            <w:gridSpan w:val="8"/>
          </w:tcPr>
          <w:p>
            <w:pPr>
              <w:ind w:left="360"/>
              <w:spacing w:after="0" w:line="201" w:lineRule="exact"/>
              <w:rPr>
                <w:sz w:val="20"/>
                <w:szCs w:val="20"/>
                <w:color w:val="auto"/>
              </w:rPr>
            </w:pPr>
            <w:r>
              <w:rPr>
                <w:rFonts w:ascii="Arial" w:cs="Arial" w:eastAsia="Arial" w:hAnsi="Arial"/>
                <w:sz w:val="18"/>
                <w:szCs w:val="18"/>
                <w:color w:val="auto"/>
                <w:w w:val="95"/>
              </w:rPr>
              <w:t>Class A common stock, par value $0.00001 per share: 800,000,000 shares authorized, 9,590,017 shares</w:t>
            </w:r>
          </w:p>
        </w:tc>
        <w:tc>
          <w:tcPr>
            <w:tcW w:w="6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140" w:type="dxa"/>
            <w:vAlign w:val="bottom"/>
            <w:gridSpan w:val="2"/>
          </w:tcPr>
          <w:p>
            <w:pPr>
              <w:ind w:left="540"/>
              <w:spacing w:after="0"/>
              <w:rPr>
                <w:sz w:val="20"/>
                <w:szCs w:val="20"/>
                <w:color w:val="auto"/>
              </w:rPr>
            </w:pPr>
            <w:r>
              <w:rPr>
                <w:rFonts w:ascii="Arial" w:cs="Arial" w:eastAsia="Arial" w:hAnsi="Arial"/>
                <w:sz w:val="18"/>
                <w:szCs w:val="18"/>
                <w:color w:val="auto"/>
              </w:rPr>
              <w:t>issued and outstanding, actual;</w:t>
            </w:r>
          </w:p>
        </w:tc>
        <w:tc>
          <w:tcPr>
            <w:tcW w:w="180" w:type="dxa"/>
            <w:vAlign w:val="bottom"/>
          </w:tcPr>
          <w:p>
            <w:pPr>
              <w:spacing w:after="0"/>
              <w:rPr>
                <w:sz w:val="18"/>
                <w:szCs w:val="18"/>
                <w:color w:val="auto"/>
              </w:rPr>
            </w:pPr>
          </w:p>
        </w:tc>
        <w:tc>
          <w:tcPr>
            <w:tcW w:w="1500" w:type="dxa"/>
            <w:vAlign w:val="bottom"/>
          </w:tcPr>
          <w:p>
            <w:pPr>
              <w:ind w:left="60"/>
              <w:spacing w:after="0"/>
              <w:rPr>
                <w:sz w:val="20"/>
                <w:szCs w:val="20"/>
                <w:color w:val="auto"/>
              </w:rPr>
            </w:pPr>
            <w:r>
              <w:rPr>
                <w:rFonts w:ascii="Arial" w:cs="Arial" w:eastAsia="Arial" w:hAnsi="Arial"/>
                <w:sz w:val="18"/>
                <w:szCs w:val="18"/>
                <w:color w:val="auto"/>
                <w:w w:val="95"/>
              </w:rPr>
              <w:t>shares authorized,</w:t>
            </w:r>
          </w:p>
        </w:tc>
        <w:tc>
          <w:tcPr>
            <w:tcW w:w="3560" w:type="dxa"/>
            <w:vAlign w:val="bottom"/>
            <w:gridSpan w:val="4"/>
          </w:tcPr>
          <w:p>
            <w:pPr>
              <w:jc w:val="right"/>
              <w:ind w:right="887"/>
              <w:spacing w:after="0"/>
              <w:rPr>
                <w:sz w:val="20"/>
                <w:szCs w:val="20"/>
                <w:color w:val="auto"/>
              </w:rPr>
            </w:pPr>
            <w:r>
              <w:rPr>
                <w:rFonts w:ascii="Arial" w:cs="Arial" w:eastAsia="Arial" w:hAnsi="Arial"/>
                <w:sz w:val="18"/>
                <w:szCs w:val="18"/>
                <w:color w:val="auto"/>
                <w:w w:val="92"/>
              </w:rPr>
              <w:t>shares issued and outstanding, pro</w:t>
            </w:r>
          </w:p>
        </w:tc>
        <w:tc>
          <w:tcPr>
            <w:tcW w:w="6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580" w:type="dxa"/>
            <w:vAlign w:val="bottom"/>
          </w:tcPr>
          <w:p>
            <w:pPr>
              <w:ind w:left="540"/>
              <w:spacing w:after="0"/>
              <w:rPr>
                <w:sz w:val="20"/>
                <w:szCs w:val="20"/>
                <w:color w:val="auto"/>
              </w:rPr>
            </w:pPr>
            <w:r>
              <w:rPr>
                <w:rFonts w:ascii="Arial" w:cs="Arial" w:eastAsia="Arial" w:hAnsi="Arial"/>
                <w:sz w:val="18"/>
                <w:szCs w:val="18"/>
                <w:color w:val="auto"/>
              </w:rPr>
              <w:t>forma, and</w:t>
            </w:r>
          </w:p>
        </w:tc>
        <w:tc>
          <w:tcPr>
            <w:tcW w:w="1560" w:type="dxa"/>
            <w:vAlign w:val="bottom"/>
          </w:tcPr>
          <w:p>
            <w:pPr>
              <w:ind w:left="20"/>
              <w:spacing w:after="0"/>
              <w:rPr>
                <w:sz w:val="20"/>
                <w:szCs w:val="20"/>
                <w:color w:val="auto"/>
              </w:rPr>
            </w:pPr>
            <w:r>
              <w:rPr>
                <w:rFonts w:ascii="Arial" w:cs="Arial" w:eastAsia="Arial" w:hAnsi="Arial"/>
                <w:sz w:val="18"/>
                <w:szCs w:val="18"/>
                <w:color w:val="auto"/>
              </w:rPr>
              <w:t>shares authorized,</w:t>
            </w:r>
          </w:p>
        </w:tc>
        <w:tc>
          <w:tcPr>
            <w:tcW w:w="180" w:type="dxa"/>
            <w:vAlign w:val="bottom"/>
          </w:tcPr>
          <w:p>
            <w:pPr>
              <w:spacing w:after="0"/>
              <w:rPr>
                <w:sz w:val="20"/>
                <w:szCs w:val="20"/>
                <w:color w:val="auto"/>
              </w:rPr>
            </w:pPr>
          </w:p>
        </w:tc>
        <w:tc>
          <w:tcPr>
            <w:tcW w:w="5060" w:type="dxa"/>
            <w:vAlign w:val="bottom"/>
            <w:gridSpan w:val="5"/>
          </w:tcPr>
          <w:p>
            <w:pPr>
              <w:jc w:val="right"/>
              <w:ind w:right="1007"/>
              <w:spacing w:after="0"/>
              <w:rPr>
                <w:sz w:val="20"/>
                <w:szCs w:val="20"/>
                <w:color w:val="auto"/>
              </w:rPr>
            </w:pPr>
            <w:r>
              <w:rPr>
                <w:rFonts w:ascii="Arial" w:cs="Arial" w:eastAsia="Arial" w:hAnsi="Arial"/>
                <w:sz w:val="18"/>
                <w:szCs w:val="18"/>
                <w:color w:val="auto"/>
                <w:w w:val="92"/>
              </w:rPr>
              <w:t>shares issued and outstanding, pro forma as adjusted</w:t>
            </w:r>
          </w:p>
        </w:tc>
        <w:tc>
          <w:tcPr>
            <w:tcW w:w="1140" w:type="dxa"/>
            <w:vAlign w:val="bottom"/>
            <w:gridSpan w:val="3"/>
          </w:tcPr>
          <w:p>
            <w:pPr>
              <w:ind w:left="340"/>
              <w:spacing w:after="0"/>
              <w:rPr>
                <w:sz w:val="20"/>
                <w:szCs w:val="20"/>
                <w:color w:val="auto"/>
              </w:rPr>
            </w:pPr>
            <w:r>
              <w:rPr>
                <w:rFonts w:ascii="Arial" w:cs="Arial" w:eastAsia="Arial" w:hAnsi="Arial"/>
                <w:sz w:val="18"/>
                <w:szCs w:val="18"/>
                <w:color w:val="auto"/>
              </w:rPr>
              <w:t>—</w:t>
            </w:r>
          </w:p>
        </w:tc>
        <w:tc>
          <w:tcPr>
            <w:tcW w:w="5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8380" w:type="dxa"/>
            <w:vAlign w:val="bottom"/>
            <w:gridSpan w:val="8"/>
            <w:shd w:val="clear" w:color="auto" w:fill="CCEEFF"/>
          </w:tcPr>
          <w:p>
            <w:pPr>
              <w:ind w:left="360"/>
              <w:spacing w:after="0" w:line="201" w:lineRule="exact"/>
              <w:rPr>
                <w:sz w:val="20"/>
                <w:szCs w:val="20"/>
                <w:color w:val="auto"/>
              </w:rPr>
            </w:pPr>
            <w:r>
              <w:rPr>
                <w:rFonts w:ascii="Arial" w:cs="Arial" w:eastAsia="Arial" w:hAnsi="Arial"/>
                <w:sz w:val="18"/>
                <w:szCs w:val="18"/>
                <w:color w:val="auto"/>
              </w:rPr>
              <w:t>Class B common stock, par value $0.00001 per share: 700,000,000 shares authorized, 283,628,609</w:t>
            </w:r>
          </w:p>
        </w:tc>
        <w:tc>
          <w:tcPr>
            <w:tcW w:w="6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320" w:type="dxa"/>
            <w:vAlign w:val="bottom"/>
            <w:gridSpan w:val="3"/>
            <w:shd w:val="clear" w:color="auto" w:fill="CCEEFF"/>
          </w:tcPr>
          <w:p>
            <w:pPr>
              <w:ind w:left="540"/>
              <w:spacing w:after="0"/>
              <w:rPr>
                <w:sz w:val="20"/>
                <w:szCs w:val="20"/>
                <w:color w:val="auto"/>
              </w:rPr>
            </w:pPr>
            <w:r>
              <w:rPr>
                <w:rFonts w:ascii="Arial" w:cs="Arial" w:eastAsia="Arial" w:hAnsi="Arial"/>
                <w:sz w:val="18"/>
                <w:szCs w:val="18"/>
                <w:color w:val="auto"/>
                <w:w w:val="89"/>
              </w:rPr>
              <w:t>shares issued and outstanding, actual;</w:t>
            </w:r>
          </w:p>
        </w:tc>
        <w:tc>
          <w:tcPr>
            <w:tcW w:w="2180" w:type="dxa"/>
            <w:vAlign w:val="bottom"/>
            <w:gridSpan w:val="2"/>
            <w:shd w:val="clear" w:color="auto" w:fill="CCEEFF"/>
          </w:tcPr>
          <w:p>
            <w:pPr>
              <w:ind w:left="560"/>
              <w:spacing w:after="0"/>
              <w:rPr>
                <w:sz w:val="20"/>
                <w:szCs w:val="20"/>
                <w:color w:val="auto"/>
              </w:rPr>
            </w:pPr>
            <w:r>
              <w:rPr>
                <w:rFonts w:ascii="Arial" w:cs="Arial" w:eastAsia="Arial" w:hAnsi="Arial"/>
                <w:sz w:val="18"/>
                <w:szCs w:val="18"/>
                <w:color w:val="auto"/>
              </w:rPr>
              <w:t>shares authorized,</w:t>
            </w:r>
          </w:p>
        </w:tc>
        <w:tc>
          <w:tcPr>
            <w:tcW w:w="2880" w:type="dxa"/>
            <w:vAlign w:val="bottom"/>
            <w:gridSpan w:val="3"/>
            <w:shd w:val="clear" w:color="auto" w:fill="CCEEFF"/>
          </w:tcPr>
          <w:p>
            <w:pPr>
              <w:jc w:val="right"/>
              <w:ind w:right="1247"/>
              <w:spacing w:after="0"/>
              <w:rPr>
                <w:sz w:val="20"/>
                <w:szCs w:val="20"/>
                <w:color w:val="auto"/>
              </w:rPr>
            </w:pPr>
            <w:r>
              <w:rPr>
                <w:rFonts w:ascii="Arial" w:cs="Arial" w:eastAsia="Arial" w:hAnsi="Arial"/>
                <w:sz w:val="18"/>
                <w:szCs w:val="18"/>
                <w:color w:val="auto"/>
              </w:rPr>
              <w:t>shares issued and</w:t>
            </w:r>
          </w:p>
        </w:tc>
        <w:tc>
          <w:tcPr>
            <w:tcW w:w="6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140" w:type="dxa"/>
            <w:vAlign w:val="bottom"/>
            <w:gridSpan w:val="2"/>
            <w:shd w:val="clear" w:color="auto" w:fill="CCEEFF"/>
          </w:tcPr>
          <w:p>
            <w:pPr>
              <w:ind w:left="540"/>
              <w:spacing w:after="0"/>
              <w:rPr>
                <w:sz w:val="20"/>
                <w:szCs w:val="20"/>
                <w:color w:val="auto"/>
              </w:rPr>
            </w:pPr>
            <w:r>
              <w:rPr>
                <w:rFonts w:ascii="Arial" w:cs="Arial" w:eastAsia="Arial" w:hAnsi="Arial"/>
                <w:sz w:val="18"/>
                <w:szCs w:val="18"/>
                <w:color w:val="auto"/>
              </w:rPr>
              <w:t>outstanding, pro forma, and</w:t>
            </w:r>
          </w:p>
        </w:tc>
        <w:tc>
          <w:tcPr>
            <w:tcW w:w="168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shares authorized,</w:t>
            </w:r>
          </w:p>
        </w:tc>
        <w:tc>
          <w:tcPr>
            <w:tcW w:w="3560" w:type="dxa"/>
            <w:vAlign w:val="bottom"/>
            <w:gridSpan w:val="4"/>
            <w:shd w:val="clear" w:color="auto" w:fill="CCEEFF"/>
          </w:tcPr>
          <w:p>
            <w:pPr>
              <w:jc w:val="right"/>
              <w:ind w:right="747"/>
              <w:spacing w:after="0"/>
              <w:rPr>
                <w:sz w:val="20"/>
                <w:szCs w:val="20"/>
                <w:color w:val="auto"/>
              </w:rPr>
            </w:pPr>
            <w:r>
              <w:rPr>
                <w:rFonts w:ascii="Arial" w:cs="Arial" w:eastAsia="Arial" w:hAnsi="Arial"/>
                <w:sz w:val="18"/>
                <w:szCs w:val="18"/>
                <w:color w:val="auto"/>
                <w:w w:val="97"/>
              </w:rPr>
              <w:t>shares issued and outstanding, pro</w:t>
            </w:r>
          </w:p>
        </w:tc>
        <w:tc>
          <w:tcPr>
            <w:tcW w:w="6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140" w:type="dxa"/>
            <w:vAlign w:val="bottom"/>
            <w:gridSpan w:val="2"/>
            <w:shd w:val="clear" w:color="auto" w:fill="CCEEFF"/>
          </w:tcPr>
          <w:p>
            <w:pPr>
              <w:ind w:left="540"/>
              <w:spacing w:after="0"/>
              <w:rPr>
                <w:sz w:val="20"/>
                <w:szCs w:val="20"/>
                <w:color w:val="auto"/>
              </w:rPr>
            </w:pPr>
            <w:r>
              <w:rPr>
                <w:rFonts w:ascii="Arial" w:cs="Arial" w:eastAsia="Arial" w:hAnsi="Arial"/>
                <w:sz w:val="18"/>
                <w:szCs w:val="18"/>
                <w:color w:val="auto"/>
              </w:rPr>
              <w:t>forma as adjusted</w:t>
            </w:r>
          </w:p>
        </w:tc>
        <w:tc>
          <w:tcPr>
            <w:tcW w:w="180" w:type="dxa"/>
            <w:vAlign w:val="bottom"/>
            <w:shd w:val="clear" w:color="auto" w:fill="CCEEFF"/>
          </w:tcPr>
          <w:p>
            <w:pPr>
              <w:spacing w:after="0"/>
              <w:rPr>
                <w:sz w:val="20"/>
                <w:szCs w:val="20"/>
                <w:color w:val="auto"/>
              </w:rPr>
            </w:pPr>
          </w:p>
        </w:tc>
        <w:tc>
          <w:tcPr>
            <w:tcW w:w="1500" w:type="dxa"/>
            <w:vAlign w:val="bottom"/>
            <w:shd w:val="clear" w:color="auto" w:fill="CCEEFF"/>
          </w:tcPr>
          <w:p>
            <w:pPr>
              <w:spacing w:after="0"/>
              <w:rPr>
                <w:sz w:val="20"/>
                <w:szCs w:val="20"/>
                <w:color w:val="auto"/>
              </w:rPr>
            </w:pPr>
          </w:p>
        </w:tc>
        <w:tc>
          <w:tcPr>
            <w:tcW w:w="680" w:type="dxa"/>
            <w:vAlign w:val="bottom"/>
            <w:shd w:val="clear" w:color="auto" w:fill="CCEEFF"/>
          </w:tcPr>
          <w:p>
            <w:pPr>
              <w:spacing w:after="0"/>
              <w:rPr>
                <w:sz w:val="20"/>
                <w:szCs w:val="20"/>
                <w:color w:val="auto"/>
              </w:rPr>
            </w:pPr>
          </w:p>
        </w:tc>
        <w:tc>
          <w:tcPr>
            <w:tcW w:w="278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140" w:type="dxa"/>
            <w:vAlign w:val="bottom"/>
            <w:gridSpan w:val="3"/>
            <w:shd w:val="clear" w:color="auto" w:fill="CCEEFF"/>
          </w:tcPr>
          <w:p>
            <w:pPr>
              <w:ind w:left="340"/>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spacing w:after="0"/>
              <w:rPr>
                <w:sz w:val="20"/>
                <w:szCs w:val="20"/>
                <w:color w:val="auto"/>
              </w:rPr>
            </w:pPr>
          </w:p>
        </w:tc>
        <w:tc>
          <w:tcPr>
            <w:tcW w:w="480" w:type="dxa"/>
            <w:vAlign w:val="bottom"/>
            <w:shd w:val="clear" w:color="auto" w:fill="CCEEFF"/>
          </w:tcPr>
          <w:p>
            <w:pPr>
              <w:spacing w:after="0"/>
              <w:rPr>
                <w:sz w:val="20"/>
                <w:szCs w:val="20"/>
                <w:color w:val="auto"/>
              </w:rPr>
            </w:pPr>
          </w:p>
        </w:tc>
        <w:tc>
          <w:tcPr>
            <w:tcW w:w="66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3140" w:type="dxa"/>
            <w:vAlign w:val="bottom"/>
            <w:gridSpan w:val="2"/>
          </w:tcPr>
          <w:p>
            <w:pPr>
              <w:spacing w:after="0"/>
              <w:rPr>
                <w:sz w:val="20"/>
                <w:szCs w:val="20"/>
                <w:color w:val="auto"/>
              </w:rPr>
            </w:pPr>
            <w:r>
              <w:rPr>
                <w:rFonts w:ascii="Arial" w:cs="Arial" w:eastAsia="Arial" w:hAnsi="Arial"/>
                <w:sz w:val="18"/>
                <w:szCs w:val="18"/>
                <w:color w:val="auto"/>
              </w:rPr>
              <w:t>Additional paid-in capital</w:t>
            </w:r>
          </w:p>
        </w:tc>
        <w:tc>
          <w:tcPr>
            <w:tcW w:w="18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7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20" w:type="dxa"/>
            <w:vAlign w:val="bottom"/>
            <w:gridSpan w:val="2"/>
          </w:tcPr>
          <w:p>
            <w:pPr>
              <w:jc w:val="right"/>
              <w:ind w:right="20"/>
              <w:spacing w:after="0"/>
              <w:rPr>
                <w:sz w:val="20"/>
                <w:szCs w:val="20"/>
                <w:color w:val="auto"/>
              </w:rPr>
            </w:pPr>
            <w:r>
              <w:rPr>
                <w:rFonts w:ascii="Arial" w:cs="Arial" w:eastAsia="Arial" w:hAnsi="Arial"/>
                <w:sz w:val="18"/>
                <w:szCs w:val="18"/>
                <w:color w:val="auto"/>
              </w:rPr>
              <w:t>501.4</w:t>
            </w:r>
          </w:p>
        </w:tc>
        <w:tc>
          <w:tcPr>
            <w:tcW w:w="5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580" w:type="dxa"/>
            <w:vAlign w:val="bottom"/>
            <w:shd w:val="clear" w:color="auto" w:fill="CCEEFF"/>
          </w:tcPr>
          <w:p>
            <w:pPr>
              <w:spacing w:after="0"/>
              <w:rPr>
                <w:sz w:val="20"/>
                <w:szCs w:val="20"/>
                <w:color w:val="auto"/>
              </w:rPr>
            </w:pPr>
            <w:r>
              <w:rPr>
                <w:rFonts w:ascii="Arial" w:cs="Arial" w:eastAsia="Arial" w:hAnsi="Arial"/>
                <w:sz w:val="18"/>
                <w:szCs w:val="18"/>
                <w:color w:val="auto"/>
                <w:w w:val="99"/>
              </w:rPr>
              <w:t>Accumulated deficit</w:t>
            </w:r>
          </w:p>
        </w:tc>
        <w:tc>
          <w:tcPr>
            <w:tcW w:w="15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5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7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40" w:type="dxa"/>
            <w:vAlign w:val="bottom"/>
            <w:gridSpan w:val="3"/>
            <w:shd w:val="clear" w:color="auto" w:fill="CCEEFF"/>
          </w:tcPr>
          <w:p>
            <w:pPr>
              <w:jc w:val="right"/>
              <w:ind w:right="480"/>
              <w:spacing w:after="0"/>
              <w:rPr>
                <w:sz w:val="20"/>
                <w:szCs w:val="20"/>
                <w:color w:val="auto"/>
              </w:rPr>
            </w:pPr>
            <w:r>
              <w:rPr>
                <w:rFonts w:ascii="Arial" w:cs="Arial" w:eastAsia="Arial" w:hAnsi="Arial"/>
                <w:sz w:val="18"/>
                <w:szCs w:val="18"/>
                <w:color w:val="auto"/>
                <w:w w:val="88"/>
              </w:rPr>
              <w:t>(1,012.0)</w:t>
            </w:r>
          </w:p>
        </w:tc>
        <w:tc>
          <w:tcPr>
            <w:tcW w:w="5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3140" w:type="dxa"/>
            <w:vAlign w:val="bottom"/>
            <w:gridSpan w:val="2"/>
          </w:tcPr>
          <w:p>
            <w:pPr>
              <w:spacing w:after="0"/>
              <w:rPr>
                <w:sz w:val="20"/>
                <w:szCs w:val="20"/>
                <w:color w:val="auto"/>
              </w:rPr>
            </w:pPr>
            <w:r>
              <w:rPr>
                <w:rFonts w:ascii="Arial" w:cs="Arial" w:eastAsia="Arial" w:hAnsi="Arial"/>
                <w:sz w:val="18"/>
                <w:szCs w:val="18"/>
                <w:color w:val="auto"/>
                <w:w w:val="91"/>
              </w:rPr>
              <w:t>Accumulated other comprehensive income</w:t>
            </w:r>
          </w:p>
        </w:tc>
        <w:tc>
          <w:tcPr>
            <w:tcW w:w="18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7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w:t>
            </w:r>
          </w:p>
        </w:tc>
        <w:tc>
          <w:tcPr>
            <w:tcW w:w="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480" w:type="dxa"/>
            <w:vAlign w:val="bottom"/>
          </w:tcPr>
          <w:p>
            <w:pPr>
              <w:spacing w:after="0"/>
              <w:rPr>
                <w:sz w:val="19"/>
                <w:szCs w:val="19"/>
                <w:color w:val="auto"/>
              </w:rPr>
            </w:pPr>
          </w:p>
        </w:tc>
        <w:tc>
          <w:tcPr>
            <w:tcW w:w="660" w:type="dxa"/>
            <w:vAlign w:val="bottom"/>
            <w:tcBorders>
              <w:bottom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314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Total stockholders’ equity</w:t>
            </w:r>
          </w:p>
        </w:tc>
        <w:tc>
          <w:tcPr>
            <w:tcW w:w="180" w:type="dxa"/>
            <w:vAlign w:val="bottom"/>
            <w:shd w:val="clear" w:color="auto" w:fill="CCEEFF"/>
          </w:tcPr>
          <w:p>
            <w:pPr>
              <w:spacing w:after="0"/>
              <w:rPr>
                <w:sz w:val="18"/>
                <w:szCs w:val="18"/>
                <w:color w:val="auto"/>
              </w:rPr>
            </w:pPr>
          </w:p>
        </w:tc>
        <w:tc>
          <w:tcPr>
            <w:tcW w:w="15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7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109.0</w:t>
            </w:r>
          </w:p>
        </w:tc>
        <w:tc>
          <w:tcPr>
            <w:tcW w:w="5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3140" w:type="dxa"/>
            <w:vAlign w:val="bottom"/>
            <w:gridSpan w:val="2"/>
          </w:tcPr>
          <w:p>
            <w:pPr>
              <w:ind w:left="720"/>
              <w:spacing w:after="0"/>
              <w:rPr>
                <w:sz w:val="20"/>
                <w:szCs w:val="20"/>
                <w:color w:val="auto"/>
              </w:rPr>
            </w:pPr>
            <w:r>
              <w:rPr>
                <w:rFonts w:ascii="Arial" w:cs="Arial" w:eastAsia="Arial" w:hAnsi="Arial"/>
                <w:sz w:val="18"/>
                <w:szCs w:val="18"/>
                <w:color w:val="auto"/>
              </w:rPr>
              <w:t>Total capitalization</w:t>
            </w:r>
          </w:p>
        </w:tc>
        <w:tc>
          <w:tcPr>
            <w:tcW w:w="18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78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109.0</w:t>
            </w:r>
          </w:p>
        </w:tc>
        <w:tc>
          <w:tcPr>
            <w:tcW w:w="20" w:type="dxa"/>
            <w:vAlign w:val="bottom"/>
            <w:tcBorders>
              <w:bottom w:val="single" w:sz="8" w:color="auto"/>
            </w:tcBorders>
          </w:tcPr>
          <w:p>
            <w:pPr>
              <w:spacing w:after="0"/>
              <w:rPr>
                <w:sz w:val="19"/>
                <w:szCs w:val="19"/>
                <w:color w:val="auto"/>
              </w:rPr>
            </w:pPr>
          </w:p>
        </w:tc>
        <w:tc>
          <w:tcPr>
            <w:tcW w:w="520" w:type="dxa"/>
            <w:vAlign w:val="bottom"/>
          </w:tcPr>
          <w:p>
            <w:pPr>
              <w:spacing w:after="0"/>
              <w:rPr>
                <w:sz w:val="19"/>
                <w:szCs w:val="19"/>
                <w:color w:val="auto"/>
              </w:rPr>
            </w:pPr>
          </w:p>
        </w:tc>
        <w:tc>
          <w:tcPr>
            <w:tcW w:w="5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480" w:type="dxa"/>
            <w:vAlign w:val="bottom"/>
          </w:tcPr>
          <w:p>
            <w:pPr>
              <w:spacing w:after="0"/>
              <w:rPr>
                <w:sz w:val="19"/>
                <w:szCs w:val="19"/>
                <w:color w:val="auto"/>
              </w:rPr>
            </w:pPr>
          </w:p>
        </w:tc>
        <w:tc>
          <w:tcPr>
            <w:tcW w:w="66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58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7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93980</wp:posOffset>
            </wp:positionV>
            <wp:extent cx="711200" cy="889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1200" cy="8890"/>
                    </a:xfrm>
                    <a:prstGeom prst="rect">
                      <a:avLst/>
                    </a:prstGeom>
                    <a:noFill/>
                  </pic:spPr>
                </pic:pic>
              </a:graphicData>
            </a:graphic>
          </wp:anchor>
        </w:drawing>
      </w:r>
    </w:p>
    <w:p>
      <w:pPr>
        <w:spacing w:after="0" w:line="173" w:lineRule="exact"/>
        <w:rPr>
          <w:sz w:val="20"/>
          <w:szCs w:val="20"/>
          <w:color w:val="auto"/>
        </w:rPr>
      </w:pPr>
    </w:p>
    <w:p>
      <w:pPr>
        <w:ind w:left="340" w:right="120" w:hanging="332"/>
        <w:spacing w:after="0" w:line="230" w:lineRule="auto"/>
        <w:tabs>
          <w:tab w:leader="none" w:pos="340" w:val="left"/>
        </w:tabs>
        <w:numPr>
          <w:ilvl w:val="0"/>
          <w:numId w:val="36"/>
        </w:numPr>
        <w:rPr>
          <w:rFonts w:ascii="Arial" w:cs="Arial" w:eastAsia="Arial" w:hAnsi="Arial"/>
          <w:sz w:val="23"/>
          <w:szCs w:val="23"/>
          <w:color w:val="auto"/>
          <w:vertAlign w:val="superscript"/>
        </w:rPr>
      </w:pPr>
      <w:r>
        <w:rPr>
          <w:rFonts w:ascii="Arial" w:cs="Arial" w:eastAsia="Arial" w:hAnsi="Arial"/>
          <w:sz w:val="14"/>
          <w:szCs w:val="14"/>
          <w:color w:val="auto"/>
        </w:rPr>
        <w:t>The pro forma data as of September 30, 2017, gives effect to stock-based compensation expense of $415.4 million associated with the RSU Settlement. The pro forma adjustment related to stock-based compensation expense of $415.4 million has been reflected as an increase to additional paid-in capital and accumulated deficit.</w:t>
      </w:r>
    </w:p>
    <w:p>
      <w:pPr>
        <w:spacing w:after="0" w:line="1" w:lineRule="exact"/>
        <w:rPr>
          <w:sz w:val="20"/>
          <w:szCs w:val="20"/>
          <w:color w:val="auto"/>
        </w:rPr>
      </w:pPr>
    </w:p>
    <w:p>
      <w:pPr>
        <w:ind w:left="340" w:right="20" w:hanging="339"/>
        <w:spacing w:after="0" w:line="228" w:lineRule="auto"/>
        <w:tabs>
          <w:tab w:leader="none" w:pos="320" w:val="left"/>
        </w:tabs>
        <w:rPr>
          <w:sz w:val="20"/>
          <w:szCs w:val="20"/>
          <w:color w:val="auto"/>
        </w:rPr>
      </w:pPr>
      <w:r>
        <w:rPr>
          <w:rFonts w:ascii="Arial" w:cs="Arial" w:eastAsia="Arial" w:hAnsi="Arial"/>
          <w:sz w:val="23"/>
          <w:szCs w:val="23"/>
          <w:color w:val="auto"/>
          <w:vertAlign w:val="superscript"/>
        </w:rPr>
        <w:t>(2)</w:t>
      </w:r>
      <w:r>
        <w:rPr>
          <w:sz w:val="20"/>
          <w:szCs w:val="20"/>
          <w:color w:val="auto"/>
        </w:rPr>
        <w:tab/>
      </w:r>
      <w:r>
        <w:rPr>
          <w:rFonts w:ascii="Arial" w:cs="Arial" w:eastAsia="Arial" w:hAnsi="Arial"/>
          <w:sz w:val="14"/>
          <w:szCs w:val="14"/>
          <w:color w:val="auto"/>
        </w:rPr>
        <w:t>Each $1.00 increase or decrease in the assumed initial public offering price of $ per share, which is the midpoint of the estimated offering price range set forth on the cover page of this prospectus, would increase or decrease, as applicable, (i) the amount of our pro forma as adjusted cash and cash equivalents, additional paid-in</w:t>
      </w:r>
    </w:p>
    <w:p>
      <w:pPr>
        <w:spacing w:after="0" w:line="1" w:lineRule="exact"/>
        <w:rPr>
          <w:sz w:val="20"/>
          <w:szCs w:val="20"/>
          <w:color w:val="auto"/>
        </w:rPr>
      </w:pPr>
    </w:p>
    <w:p>
      <w:pPr>
        <w:ind w:left="340" w:right="180"/>
        <w:spacing w:after="0" w:line="560" w:lineRule="auto"/>
        <w:rPr>
          <w:sz w:val="20"/>
          <w:szCs w:val="20"/>
          <w:color w:val="auto"/>
        </w:rPr>
      </w:pPr>
      <w:r>
        <w:rPr>
          <w:rFonts w:ascii="Arial" w:cs="Arial" w:eastAsia="Arial" w:hAnsi="Arial"/>
          <w:sz w:val="15"/>
          <w:szCs w:val="15"/>
          <w:color w:val="auto"/>
        </w:rPr>
        <w:t>capital, total stockholders’ equity, and total capitalization by approximately $ , assuming that the number of shares offered by us, as set forth on the cover page of this prospectus, remains the same and after deducting estimated underwriting discounts and commissions payable by us, (ii) the amount we would be required 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340" w:right="20"/>
        <w:spacing w:after="0" w:line="284" w:lineRule="auto"/>
        <w:rPr>
          <w:sz w:val="20"/>
          <w:szCs w:val="20"/>
          <w:color w:val="auto"/>
        </w:rPr>
      </w:pPr>
      <w:r>
        <w:rPr>
          <w:rFonts w:ascii="Arial" w:cs="Arial" w:eastAsia="Arial" w:hAnsi="Arial"/>
          <w:sz w:val="15"/>
          <w:szCs w:val="15"/>
          <w:color w:val="auto"/>
        </w:rPr>
        <w:t>draw down under our revolving credit facility to satisfy our tax withholding and remittance obligations related to the RSU Settlement by $ , and (iii) the amount we would be required to pay to satisfy our tax withholding and remittance obligations related to the RSU Settlement by $ . An increase or decrease of 1.0 million</w:t>
      </w:r>
    </w:p>
    <w:p>
      <w:pPr>
        <w:spacing w:after="0" w:line="1" w:lineRule="exact"/>
        <w:rPr>
          <w:sz w:val="20"/>
          <w:szCs w:val="20"/>
          <w:color w:val="auto"/>
        </w:rPr>
      </w:pPr>
    </w:p>
    <w:p>
      <w:pPr>
        <w:ind w:left="340"/>
        <w:spacing w:after="0"/>
        <w:rPr>
          <w:sz w:val="20"/>
          <w:szCs w:val="20"/>
          <w:color w:val="auto"/>
        </w:rPr>
      </w:pPr>
      <w:r>
        <w:rPr>
          <w:rFonts w:ascii="Arial" w:cs="Arial" w:eastAsia="Arial" w:hAnsi="Arial"/>
          <w:sz w:val="14"/>
          <w:szCs w:val="14"/>
          <w:color w:val="auto"/>
        </w:rPr>
        <w:t>shares in the number of shares offered by us would increase or decrease, as applicable, the amount of our pro forma as adjusted cash, and cash equivalents, additional</w:t>
      </w:r>
    </w:p>
    <w:p>
      <w:pPr>
        <w:spacing w:after="0" w:line="360" w:lineRule="exact"/>
        <w:rPr>
          <w:sz w:val="20"/>
          <w:szCs w:val="20"/>
          <w:color w:val="auto"/>
        </w:rPr>
      </w:pPr>
    </w:p>
    <w:p>
      <w:pPr>
        <w:ind w:left="340" w:right="120"/>
        <w:spacing w:after="0" w:line="293" w:lineRule="auto"/>
        <w:rPr>
          <w:sz w:val="20"/>
          <w:szCs w:val="20"/>
          <w:color w:val="auto"/>
        </w:rPr>
      </w:pPr>
      <w:r>
        <w:rPr>
          <w:rFonts w:ascii="Arial" w:cs="Arial" w:eastAsia="Arial" w:hAnsi="Arial"/>
          <w:sz w:val="16"/>
          <w:szCs w:val="16"/>
          <w:color w:val="auto"/>
        </w:rPr>
        <w:t>paid-in capital, total stockholders’ equity, and total capitalization by approximately $ , assuming the assumed initial public offering price remains the same, and after deducting estimated underwriting discounts and commissions payable by us.</w:t>
      </w:r>
    </w:p>
    <w:p>
      <w:pPr>
        <w:spacing w:after="0" w:line="1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49</w:t>
      </w:r>
    </w:p>
    <w:p>
      <w:pPr>
        <w:sectPr>
          <w:pgSz w:w="11900" w:h="16838" w:orient="portrait"/>
          <w:cols w:equalWidth="0" w:num="1">
            <w:col w:w="11240"/>
          </w:cols>
          <w:pgMar w:left="320" w:top="459" w:right="339" w:bottom="1440" w:gutter="0" w:footer="0" w:header="0"/>
        </w:sectPr>
      </w:pPr>
    </w:p>
    <w:bookmarkStart w:id="52" w:name="page53"/>
    <w:bookmarkEnd w:id="5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right="20" w:firstLine="449"/>
        <w:spacing w:after="0" w:line="291" w:lineRule="auto"/>
        <w:rPr>
          <w:sz w:val="20"/>
          <w:szCs w:val="20"/>
          <w:color w:val="auto"/>
        </w:rPr>
      </w:pPr>
      <w:r>
        <w:rPr>
          <w:rFonts w:ascii="Arial" w:cs="Arial" w:eastAsia="Arial" w:hAnsi="Arial"/>
          <w:sz w:val="16"/>
          <w:szCs w:val="16"/>
          <w:color w:val="auto"/>
        </w:rPr>
        <w:t>If the underwriters’ option to purchase additional shares of our Class A common stock from us were exercised in full, pro forma as adjusted cash, and cash equivalents, additional paid-in capital, total stockholders’ equity, total capitalization, and Class A shares outstanding as of September 30, 2017, would</w:t>
      </w:r>
    </w:p>
    <w:p>
      <w:pPr>
        <w:spacing w:after="0"/>
        <w:tabs>
          <w:tab w:leader="none" w:pos="840" w:val="left"/>
          <w:tab w:leader="none" w:pos="1560" w:val="left"/>
          <w:tab w:leader="none" w:pos="2280" w:val="left"/>
          <w:tab w:leader="none" w:pos="3000" w:val="left"/>
          <w:tab w:leader="none" w:pos="3920" w:val="left"/>
        </w:tabs>
        <w:rPr>
          <w:sz w:val="20"/>
          <w:szCs w:val="20"/>
          <w:color w:val="auto"/>
        </w:rPr>
      </w:pPr>
      <w:r>
        <w:rPr>
          <w:rFonts w:ascii="Arial" w:cs="Arial" w:eastAsia="Arial" w:hAnsi="Arial"/>
          <w:sz w:val="18"/>
          <w:szCs w:val="18"/>
          <w:color w:val="auto"/>
        </w:rPr>
        <w:t>be $</w:t>
      </w:r>
      <w:r>
        <w:rPr>
          <w:sz w:val="20"/>
          <w:szCs w:val="20"/>
          <w:color w:val="auto"/>
        </w:rPr>
        <w:tab/>
      </w:r>
      <w:r>
        <w:rPr>
          <w:rFonts w:ascii="Arial" w:cs="Arial" w:eastAsia="Arial" w:hAnsi="Arial"/>
          <w:sz w:val="18"/>
          <w:szCs w:val="18"/>
          <w:color w:val="auto"/>
        </w:rPr>
        <w:t>, $</w:t>
      </w:r>
      <w:r>
        <w:rPr>
          <w:sz w:val="20"/>
          <w:szCs w:val="20"/>
          <w:color w:val="auto"/>
        </w:rPr>
        <w:tab/>
      </w:r>
      <w:r>
        <w:rPr>
          <w:rFonts w:ascii="Arial" w:cs="Arial" w:eastAsia="Arial" w:hAnsi="Arial"/>
          <w:sz w:val="18"/>
          <w:szCs w:val="18"/>
          <w:color w:val="auto"/>
        </w:rPr>
        <w:t>, $</w:t>
      </w:r>
      <w:r>
        <w:rPr>
          <w:sz w:val="20"/>
          <w:szCs w:val="20"/>
          <w:color w:val="auto"/>
        </w:rPr>
        <w:tab/>
      </w:r>
      <w:r>
        <w:rPr>
          <w:rFonts w:ascii="Arial" w:cs="Arial" w:eastAsia="Arial" w:hAnsi="Arial"/>
          <w:sz w:val="18"/>
          <w:szCs w:val="18"/>
          <w:color w:val="auto"/>
        </w:rPr>
        <w:t>, $</w:t>
      </w:r>
      <w:r>
        <w:rPr>
          <w:sz w:val="20"/>
          <w:szCs w:val="20"/>
          <w:color w:val="auto"/>
        </w:rPr>
        <w:tab/>
      </w:r>
      <w:r>
        <w:rPr>
          <w:rFonts w:ascii="Arial" w:cs="Arial" w:eastAsia="Arial" w:hAnsi="Arial"/>
          <w:sz w:val="18"/>
          <w:szCs w:val="18"/>
          <w:color w:val="auto"/>
        </w:rPr>
        <w:t>, and</w:t>
      </w:r>
      <w:r>
        <w:rPr>
          <w:sz w:val="20"/>
          <w:szCs w:val="20"/>
          <w:color w:val="auto"/>
        </w:rPr>
        <w:tab/>
      </w:r>
      <w:r>
        <w:rPr>
          <w:rFonts w:ascii="Arial" w:cs="Arial" w:eastAsia="Arial" w:hAnsi="Arial"/>
          <w:sz w:val="16"/>
          <w:szCs w:val="16"/>
          <w:color w:val="auto"/>
        </w:rPr>
        <w:t>, respectively.</w:t>
      </w:r>
    </w:p>
    <w:p>
      <w:pPr>
        <w:spacing w:after="0" w:line="211" w:lineRule="exact"/>
        <w:rPr>
          <w:sz w:val="20"/>
          <w:szCs w:val="20"/>
          <w:color w:val="auto"/>
        </w:rPr>
      </w:pPr>
    </w:p>
    <w:p>
      <w:pPr>
        <w:ind w:right="300" w:firstLine="449"/>
        <w:spacing w:after="0" w:line="286" w:lineRule="auto"/>
        <w:rPr>
          <w:sz w:val="20"/>
          <w:szCs w:val="20"/>
          <w:color w:val="auto"/>
        </w:rPr>
      </w:pPr>
      <w:r>
        <w:rPr>
          <w:rFonts w:ascii="Arial" w:cs="Arial" w:eastAsia="Arial" w:hAnsi="Arial"/>
          <w:sz w:val="17"/>
          <w:szCs w:val="17"/>
          <w:color w:val="auto"/>
        </w:rPr>
        <w:t>The number of shares of our Class A common stock and Class B common stock that will be outstanding after this offering is based on 13,892,885 shares of our Class A common stock (including the Capital Stock Conversions) and 538,851,747 shares of our Class B common stock (including the Capital Stock Conversions and the RSU Settlement) outstanding as of September 30, 2017, and excludes the following:</w:t>
      </w:r>
    </w:p>
    <w:p>
      <w:pPr>
        <w:spacing w:after="0" w:line="71" w:lineRule="exact"/>
        <w:rPr>
          <w:sz w:val="20"/>
          <w:szCs w:val="20"/>
          <w:color w:val="auto"/>
        </w:rPr>
      </w:pPr>
    </w:p>
    <w:p>
      <w:pPr>
        <w:ind w:left="880" w:right="720" w:hanging="319"/>
        <w:spacing w:after="0" w:line="277" w:lineRule="auto"/>
        <w:tabs>
          <w:tab w:leader="none" w:pos="880" w:val="left"/>
        </w:tabs>
        <w:numPr>
          <w:ilvl w:val="0"/>
          <w:numId w:val="37"/>
        </w:numPr>
        <w:rPr>
          <w:rFonts w:ascii="Arial" w:cs="Arial" w:eastAsia="Arial" w:hAnsi="Arial"/>
          <w:sz w:val="18"/>
          <w:szCs w:val="18"/>
          <w:color w:val="auto"/>
        </w:rPr>
      </w:pPr>
      <w:r>
        <w:rPr>
          <w:rFonts w:ascii="Arial" w:cs="Arial" w:eastAsia="Arial" w:hAnsi="Arial"/>
          <w:sz w:val="18"/>
          <w:szCs w:val="18"/>
          <w:color w:val="auto"/>
        </w:rPr>
        <w:t>7,484,830 shares of our Class B common stock issuable upon the exercise of options to purchase shares of our Class B common stock outstanding as of September 30, 2017, with a weighted-average exercise price of $7.03 per share;</w:t>
      </w:r>
    </w:p>
    <w:p>
      <w:pPr>
        <w:spacing w:after="0" w:line="75" w:lineRule="exact"/>
        <w:rPr>
          <w:rFonts w:ascii="Arial" w:cs="Arial" w:eastAsia="Arial" w:hAnsi="Arial"/>
          <w:sz w:val="18"/>
          <w:szCs w:val="18"/>
          <w:color w:val="auto"/>
        </w:rPr>
      </w:pPr>
    </w:p>
    <w:p>
      <w:pPr>
        <w:ind w:left="880" w:right="380" w:hanging="319"/>
        <w:spacing w:after="0" w:line="277" w:lineRule="auto"/>
        <w:tabs>
          <w:tab w:leader="none" w:pos="880" w:val="left"/>
        </w:tabs>
        <w:numPr>
          <w:ilvl w:val="0"/>
          <w:numId w:val="37"/>
        </w:numPr>
        <w:rPr>
          <w:rFonts w:ascii="Arial" w:cs="Arial" w:eastAsia="Arial" w:hAnsi="Arial"/>
          <w:sz w:val="18"/>
          <w:szCs w:val="18"/>
          <w:color w:val="auto"/>
        </w:rPr>
      </w:pPr>
      <w:r>
        <w:rPr>
          <w:rFonts w:ascii="Arial" w:cs="Arial" w:eastAsia="Arial" w:hAnsi="Arial"/>
          <w:sz w:val="18"/>
          <w:szCs w:val="18"/>
          <w:color w:val="auto"/>
        </w:rPr>
        <w:t>22,883,109 shares of our Class A common stock and 23,405,828 shares of our Class B common stock subject to RSUs outstanding, but for which the service condition was not satisfied as of September 30, 2017;</w:t>
      </w:r>
    </w:p>
    <w:p>
      <w:pPr>
        <w:spacing w:after="0" w:line="75" w:lineRule="exact"/>
        <w:rPr>
          <w:rFonts w:ascii="Arial" w:cs="Arial" w:eastAsia="Arial" w:hAnsi="Arial"/>
          <w:sz w:val="18"/>
          <w:szCs w:val="18"/>
          <w:color w:val="auto"/>
        </w:rPr>
      </w:pPr>
    </w:p>
    <w:p>
      <w:pPr>
        <w:ind w:left="880" w:hanging="319"/>
        <w:spacing w:after="0"/>
        <w:tabs>
          <w:tab w:leader="none" w:pos="880" w:val="left"/>
        </w:tabs>
        <w:numPr>
          <w:ilvl w:val="0"/>
          <w:numId w:val="37"/>
        </w:numPr>
        <w:rPr>
          <w:rFonts w:ascii="Arial" w:cs="Arial" w:eastAsia="Arial" w:hAnsi="Arial"/>
          <w:sz w:val="18"/>
          <w:szCs w:val="18"/>
          <w:color w:val="auto"/>
        </w:rPr>
      </w:pPr>
      <w:r>
        <w:rPr>
          <w:rFonts w:ascii="Arial" w:cs="Arial" w:eastAsia="Arial" w:hAnsi="Arial"/>
          <w:sz w:val="18"/>
          <w:szCs w:val="18"/>
          <w:color w:val="auto"/>
        </w:rPr>
        <w:t>1,588,685 shares of our Class A common stock subject to RSUs granted after September 30, 2017; and</w:t>
      </w:r>
    </w:p>
    <w:p>
      <w:pPr>
        <w:spacing w:after="0" w:line="130" w:lineRule="exact"/>
        <w:rPr>
          <w:rFonts w:ascii="Arial" w:cs="Arial" w:eastAsia="Arial" w:hAnsi="Arial"/>
          <w:sz w:val="18"/>
          <w:szCs w:val="18"/>
          <w:color w:val="auto"/>
        </w:rPr>
      </w:pPr>
    </w:p>
    <w:p>
      <w:pPr>
        <w:ind w:left="1480" w:hanging="919"/>
        <w:spacing w:after="0"/>
        <w:tabs>
          <w:tab w:leader="none" w:pos="1480" w:val="left"/>
        </w:tabs>
        <w:numPr>
          <w:ilvl w:val="0"/>
          <w:numId w:val="37"/>
        </w:numPr>
        <w:rPr>
          <w:rFonts w:ascii="Arial" w:cs="Arial" w:eastAsia="Arial" w:hAnsi="Arial"/>
          <w:sz w:val="18"/>
          <w:szCs w:val="18"/>
          <w:color w:val="auto"/>
        </w:rPr>
      </w:pPr>
      <w:r>
        <w:rPr>
          <w:rFonts w:ascii="Arial" w:cs="Arial" w:eastAsia="Arial" w:hAnsi="Arial"/>
          <w:sz w:val="18"/>
          <w:szCs w:val="18"/>
          <w:color w:val="auto"/>
        </w:rPr>
        <w:t>shares of our Class A common stock reserved for future issuance under our equity compensation plans, consisting of:</w:t>
      </w:r>
    </w:p>
    <w:p>
      <w:pPr>
        <w:spacing w:after="0" w:line="130" w:lineRule="exact"/>
        <w:rPr>
          <w:rFonts w:ascii="Arial" w:cs="Arial" w:eastAsia="Arial" w:hAnsi="Arial"/>
          <w:sz w:val="18"/>
          <w:szCs w:val="18"/>
          <w:color w:val="auto"/>
        </w:rPr>
      </w:pPr>
    </w:p>
    <w:p>
      <w:pPr>
        <w:ind w:left="1440" w:right="120" w:hanging="433"/>
        <w:spacing w:after="0" w:line="277" w:lineRule="auto"/>
        <w:tabs>
          <w:tab w:leader="none" w:pos="2025" w:val="left"/>
        </w:tabs>
        <w:numPr>
          <w:ilvl w:val="1"/>
          <w:numId w:val="37"/>
        </w:numPr>
        <w:rPr>
          <w:rFonts w:ascii="Arial" w:cs="Arial" w:eastAsia="Arial" w:hAnsi="Arial"/>
          <w:sz w:val="18"/>
          <w:szCs w:val="18"/>
          <w:color w:val="auto"/>
        </w:rPr>
      </w:pPr>
      <w:r>
        <w:rPr>
          <w:rFonts w:ascii="Arial" w:cs="Arial" w:eastAsia="Arial" w:hAnsi="Arial"/>
          <w:sz w:val="18"/>
          <w:szCs w:val="18"/>
          <w:color w:val="auto"/>
        </w:rPr>
        <w:t>shares of our Class A common stock to be reserved for future issuance under our 2018 Plan, which will become effective prior to the completion of this offering;</w:t>
      </w:r>
    </w:p>
    <w:p>
      <w:pPr>
        <w:spacing w:after="0" w:line="75" w:lineRule="exact"/>
        <w:rPr>
          <w:rFonts w:ascii="Arial" w:cs="Arial" w:eastAsia="Arial" w:hAnsi="Arial"/>
          <w:sz w:val="18"/>
          <w:szCs w:val="18"/>
          <w:color w:val="auto"/>
        </w:rPr>
      </w:pPr>
    </w:p>
    <w:p>
      <w:pPr>
        <w:ind w:left="1440" w:right="40" w:hanging="433"/>
        <w:spacing w:after="0" w:line="342" w:lineRule="auto"/>
        <w:tabs>
          <w:tab w:leader="none" w:pos="2205" w:val="left"/>
        </w:tabs>
        <w:numPr>
          <w:ilvl w:val="1"/>
          <w:numId w:val="37"/>
        </w:numPr>
        <w:rPr>
          <w:rFonts w:ascii="Arial" w:cs="Arial" w:eastAsia="Arial" w:hAnsi="Arial"/>
          <w:sz w:val="16"/>
          <w:szCs w:val="16"/>
          <w:color w:val="auto"/>
        </w:rPr>
      </w:pPr>
      <w:r>
        <w:rPr>
          <w:rFonts w:ascii="Arial" w:cs="Arial" w:eastAsia="Arial" w:hAnsi="Arial"/>
          <w:sz w:val="16"/>
          <w:szCs w:val="16"/>
          <w:color w:val="auto"/>
        </w:rPr>
        <w:t>shares of our Class A common stock reserved for future issuance under our 2017 Plan, which number of shares will be added to the shares of our Class A common stock to be reserved for future issuance under our 2018 Plan upon its effectiveness; and</w:t>
      </w:r>
    </w:p>
    <w:p>
      <w:pPr>
        <w:spacing w:after="0" w:line="29" w:lineRule="exact"/>
        <w:rPr>
          <w:rFonts w:ascii="Arial" w:cs="Arial" w:eastAsia="Arial" w:hAnsi="Arial"/>
          <w:sz w:val="16"/>
          <w:szCs w:val="16"/>
          <w:color w:val="auto"/>
        </w:rPr>
      </w:pPr>
    </w:p>
    <w:p>
      <w:pPr>
        <w:jc w:val="both"/>
        <w:ind w:left="1440" w:hanging="433"/>
        <w:spacing w:after="0" w:line="263" w:lineRule="auto"/>
        <w:tabs>
          <w:tab w:leader="none" w:pos="2025" w:val="left"/>
        </w:tabs>
        <w:numPr>
          <w:ilvl w:val="1"/>
          <w:numId w:val="37"/>
        </w:numPr>
        <w:rPr>
          <w:rFonts w:ascii="Arial" w:cs="Arial" w:eastAsia="Arial" w:hAnsi="Arial"/>
          <w:sz w:val="18"/>
          <w:szCs w:val="18"/>
          <w:color w:val="auto"/>
        </w:rPr>
      </w:pPr>
      <w:r>
        <w:rPr>
          <w:rFonts w:ascii="Arial" w:cs="Arial" w:eastAsia="Arial" w:hAnsi="Arial"/>
          <w:sz w:val="18"/>
          <w:szCs w:val="18"/>
          <w:color w:val="auto"/>
        </w:rPr>
        <w:t>shares of our Class A common stock to be reserved for future issuance under our ESPP, which will become effective prior to the completion of this offering, but no offering periods under the ESPP will commence unless and until otherwise determined by our Board of Directors.</w:t>
      </w:r>
    </w:p>
    <w:p>
      <w:pPr>
        <w:spacing w:after="0" w:line="184" w:lineRule="exact"/>
        <w:rPr>
          <w:sz w:val="20"/>
          <w:szCs w:val="20"/>
          <w:color w:val="auto"/>
        </w:rPr>
      </w:pPr>
    </w:p>
    <w:p>
      <w:pPr>
        <w:ind w:right="140" w:firstLine="449"/>
        <w:spacing w:after="0" w:line="259" w:lineRule="auto"/>
        <w:rPr>
          <w:sz w:val="20"/>
          <w:szCs w:val="20"/>
          <w:color w:val="auto"/>
        </w:rPr>
      </w:pPr>
      <w:r>
        <w:rPr>
          <w:rFonts w:ascii="Arial" w:cs="Arial" w:eastAsia="Arial" w:hAnsi="Arial"/>
          <w:sz w:val="18"/>
          <w:szCs w:val="18"/>
          <w:color w:val="auto"/>
        </w:rPr>
        <w:t>Our 2018 Plan and ESPP each provides for annual automatic increases in the number of shares of our Class A common stock reserved thereunder, and our 2018 Plan also provides for increases to the number of shares of our Class A common stock that may be granted thereunder based on shares under our 2008 Equity Incentive Plan, or our 2008 Plan, and 2017 Plan that expire, are forfeited, or otherwise repurchased by us, as more fully described in the section titled “Executive Compensation—Employee Benefits and Stock Plans.”</w:t>
      </w:r>
    </w:p>
    <w:p>
      <w:pPr>
        <w:spacing w:after="0" w:line="1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50</w:t>
      </w:r>
    </w:p>
    <w:p>
      <w:pPr>
        <w:sectPr>
          <w:pgSz w:w="11900" w:h="16838" w:orient="portrait"/>
          <w:cols w:equalWidth="0" w:num="1">
            <w:col w:w="11240"/>
          </w:cols>
          <w:pgMar w:left="320" w:top="459" w:right="339" w:bottom="1440" w:gutter="0" w:footer="0" w:header="0"/>
        </w:sectPr>
      </w:pPr>
    </w:p>
    <w:bookmarkStart w:id="53" w:name="page54"/>
    <w:bookmarkEnd w:id="5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DILUTION</w:t>
      </w:r>
    </w:p>
    <w:p>
      <w:pPr>
        <w:spacing w:after="0" w:line="229" w:lineRule="exact"/>
        <w:rPr>
          <w:sz w:val="20"/>
          <w:szCs w:val="20"/>
          <w:color w:val="auto"/>
        </w:rPr>
      </w:pPr>
    </w:p>
    <w:p>
      <w:pPr>
        <w:ind w:right="20" w:firstLine="449"/>
        <w:spacing w:after="0" w:line="257" w:lineRule="auto"/>
        <w:rPr>
          <w:sz w:val="20"/>
          <w:szCs w:val="20"/>
          <w:color w:val="auto"/>
        </w:rPr>
      </w:pPr>
      <w:r>
        <w:rPr>
          <w:rFonts w:ascii="Arial" w:cs="Arial" w:eastAsia="Arial" w:hAnsi="Arial"/>
          <w:sz w:val="18"/>
          <w:szCs w:val="18"/>
          <w:color w:val="auto"/>
        </w:rPr>
        <w:t>If you invest in our Class A common stock in this offering, your ownership interest will be diluted to the extent of the difference between the initial public offering price per share of our Class A common stock and the pro forma as adjusted net tangible book value per share of our common stock immediately after this offering. Net tangible book value dilution per share to new investors represents the difference between the amount per share paid by purchasers of shares of our Class A common stock in this offering and the pro forma as adjusted net tangible book value per share of our common stock immediately after completion of this offering.</w:t>
      </w:r>
    </w:p>
    <w:p>
      <w:pPr>
        <w:spacing w:after="0" w:line="188" w:lineRule="exact"/>
        <w:rPr>
          <w:sz w:val="20"/>
          <w:szCs w:val="20"/>
          <w:color w:val="auto"/>
        </w:rPr>
      </w:pPr>
    </w:p>
    <w:p>
      <w:pPr>
        <w:ind w:right="40" w:firstLine="449"/>
        <w:spacing w:after="0" w:line="291" w:lineRule="auto"/>
        <w:rPr>
          <w:sz w:val="20"/>
          <w:szCs w:val="20"/>
          <w:color w:val="auto"/>
        </w:rPr>
      </w:pPr>
      <w:r>
        <w:rPr>
          <w:rFonts w:ascii="Arial" w:cs="Arial" w:eastAsia="Arial" w:hAnsi="Arial"/>
          <w:sz w:val="16"/>
          <w:szCs w:val="16"/>
          <w:color w:val="auto"/>
        </w:rPr>
        <w:t>Net tangible book value per share is determined by dividing our total tangible assets less our total liabilities by the number of shares of our common stock outstanding. Our historical net tangible book value as of September 30, 2017, was $(7.2) million, or $(0.02) per share. Our pro forma net tangible</w:t>
      </w:r>
    </w:p>
    <w:p>
      <w:pPr>
        <w:ind w:right="500"/>
        <w:spacing w:after="0" w:line="290" w:lineRule="auto"/>
        <w:rPr>
          <w:sz w:val="20"/>
          <w:szCs w:val="20"/>
          <w:color w:val="auto"/>
        </w:rPr>
      </w:pPr>
      <w:r>
        <w:rPr>
          <w:rFonts w:ascii="Arial" w:cs="Arial" w:eastAsia="Arial" w:hAnsi="Arial"/>
          <w:sz w:val="17"/>
          <w:szCs w:val="17"/>
          <w:color w:val="auto"/>
        </w:rPr>
        <w:t>book value as of September 30, 2017, was $ million, or $ per share, based on the total number of shares of our Class A common stock and Class B common stock outstanding as of September 30, 2017, after giving effect to the Capital Stock Conversions and the RSU Settlement.</w:t>
      </w:r>
    </w:p>
    <w:p>
      <w:pPr>
        <w:spacing w:after="0" w:line="161" w:lineRule="exact"/>
        <w:rPr>
          <w:sz w:val="20"/>
          <w:szCs w:val="20"/>
          <w:color w:val="auto"/>
        </w:rPr>
      </w:pPr>
    </w:p>
    <w:p>
      <w:pPr>
        <w:ind w:left="460"/>
        <w:spacing w:after="0"/>
        <w:tabs>
          <w:tab w:leader="none" w:pos="3800" w:val="left"/>
        </w:tabs>
        <w:rPr>
          <w:sz w:val="20"/>
          <w:szCs w:val="20"/>
          <w:color w:val="auto"/>
        </w:rPr>
      </w:pPr>
      <w:r>
        <w:rPr>
          <w:rFonts w:ascii="Arial" w:cs="Arial" w:eastAsia="Arial" w:hAnsi="Arial"/>
          <w:sz w:val="18"/>
          <w:szCs w:val="18"/>
          <w:color w:val="auto"/>
        </w:rPr>
        <w:t>After giving effect to the sale by us of</w:t>
      </w:r>
      <w:r>
        <w:rPr>
          <w:sz w:val="20"/>
          <w:szCs w:val="20"/>
          <w:color w:val="auto"/>
        </w:rPr>
        <w:tab/>
      </w:r>
      <w:r>
        <w:rPr>
          <w:rFonts w:ascii="Arial" w:cs="Arial" w:eastAsia="Arial" w:hAnsi="Arial"/>
          <w:sz w:val="16"/>
          <w:szCs w:val="16"/>
          <w:color w:val="auto"/>
        </w:rPr>
        <w:t>shares of our Class A common stock in this offering at the assumed initial public offering price of</w:t>
      </w:r>
    </w:p>
    <w:p>
      <w:pPr>
        <w:spacing w:after="0" w:line="23" w:lineRule="exact"/>
        <w:rPr>
          <w:sz w:val="20"/>
          <w:szCs w:val="20"/>
          <w:color w:val="auto"/>
        </w:rPr>
      </w:pPr>
    </w:p>
    <w:p>
      <w:pPr>
        <w:ind w:left="680" w:hanging="672"/>
        <w:spacing w:after="0"/>
        <w:tabs>
          <w:tab w:leader="none" w:pos="680" w:val="left"/>
        </w:tabs>
        <w:numPr>
          <w:ilvl w:val="0"/>
          <w:numId w:val="38"/>
        </w:numPr>
        <w:rPr>
          <w:rFonts w:ascii="Arial" w:cs="Arial" w:eastAsia="Arial" w:hAnsi="Arial"/>
          <w:sz w:val="16"/>
          <w:szCs w:val="16"/>
          <w:color w:val="auto"/>
        </w:rPr>
      </w:pPr>
      <w:r>
        <w:rPr>
          <w:rFonts w:ascii="Arial" w:cs="Arial" w:eastAsia="Arial" w:hAnsi="Arial"/>
          <w:sz w:val="16"/>
          <w:szCs w:val="16"/>
          <w:color w:val="auto"/>
        </w:rPr>
        <w:t>per share, which is the midpoint of the estimated offering price range set forth on the cover page of this prospectus, and after deducting estimated</w:t>
      </w:r>
    </w:p>
    <w:p>
      <w:pPr>
        <w:spacing w:after="0" w:line="32"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7"/>
          <w:szCs w:val="17"/>
          <w:color w:val="auto"/>
        </w:rPr>
        <w:t>underwriting discounts and commissions and estimated offering expenses payable by us, our pro forma as adjusted net tangible book value as of</w:t>
      </w:r>
    </w:p>
    <w:p>
      <w:pPr>
        <w:spacing w:after="0" w:line="234" w:lineRule="exact"/>
        <w:rPr>
          <w:sz w:val="20"/>
          <w:szCs w:val="20"/>
          <w:color w:val="auto"/>
        </w:rPr>
      </w:pPr>
    </w:p>
    <w:p>
      <w:pPr>
        <w:ind w:right="400"/>
        <w:spacing w:after="0" w:line="258" w:lineRule="auto"/>
        <w:rPr>
          <w:sz w:val="20"/>
          <w:szCs w:val="20"/>
          <w:color w:val="auto"/>
        </w:rPr>
      </w:pPr>
      <w:r>
        <w:rPr>
          <w:rFonts w:ascii="Arial" w:cs="Arial" w:eastAsia="Arial" w:hAnsi="Arial"/>
          <w:sz w:val="18"/>
          <w:szCs w:val="18"/>
          <w:color w:val="auto"/>
        </w:rPr>
        <w:t>September 30, 2017, would have been $ , or $ per share. This represents an immediate increase in pro forma net tangible book value of $ per share to our existing stockholders and an immediate dilution in pro forma net tangible book value of $ per share to investors</w:t>
      </w:r>
    </w:p>
    <w:p>
      <w:pPr>
        <w:spacing w:after="0" w:line="1" w:lineRule="exact"/>
        <w:rPr>
          <w:sz w:val="20"/>
          <w:szCs w:val="20"/>
          <w:color w:val="auto"/>
        </w:rPr>
      </w:pPr>
    </w:p>
    <w:p>
      <w:pPr>
        <w:spacing w:after="0"/>
        <w:rPr>
          <w:sz w:val="20"/>
          <w:szCs w:val="20"/>
          <w:color w:val="auto"/>
        </w:rPr>
      </w:pPr>
      <w:r>
        <w:rPr>
          <w:rFonts w:ascii="Arial" w:cs="Arial" w:eastAsia="Arial" w:hAnsi="Arial"/>
          <w:sz w:val="17"/>
          <w:szCs w:val="17"/>
          <w:color w:val="auto"/>
        </w:rPr>
        <w:t>purchasing shares of our Class A common stock in this offering at the assumed initial public offering price. The following table illustrates this dilution:</w:t>
      </w:r>
    </w:p>
    <w:p>
      <w:pPr>
        <w:spacing w:after="0" w:line="264" w:lineRule="exact"/>
        <w:rPr>
          <w:sz w:val="20"/>
          <w:szCs w:val="20"/>
          <w:color w:val="auto"/>
        </w:rPr>
      </w:pPr>
    </w:p>
    <w:tbl>
      <w:tblPr>
        <w:tblLayout w:type="fixed"/>
        <w:tblInd w:w="920" w:type="dxa"/>
        <w:tblCellMar>
          <w:top w:w="0" w:type="dxa"/>
          <w:left w:w="0" w:type="dxa"/>
          <w:bottom w:w="0" w:type="dxa"/>
          <w:right w:w="0" w:type="dxa"/>
        </w:tblCellMar>
      </w:tblPr>
      <w:tr>
        <w:trPr>
          <w:trHeight w:val="216"/>
        </w:trPr>
        <w:tc>
          <w:tcPr>
            <w:tcW w:w="7680" w:type="dxa"/>
            <w:vAlign w:val="bottom"/>
            <w:shd w:val="clear" w:color="auto" w:fill="CCEEFF"/>
          </w:tcPr>
          <w:p>
            <w:pPr>
              <w:spacing w:after="0"/>
              <w:rPr>
                <w:sz w:val="20"/>
                <w:szCs w:val="20"/>
                <w:color w:val="auto"/>
              </w:rPr>
            </w:pPr>
            <w:r>
              <w:rPr>
                <w:rFonts w:ascii="Arial" w:cs="Arial" w:eastAsia="Arial" w:hAnsi="Arial"/>
                <w:sz w:val="18"/>
                <w:szCs w:val="18"/>
                <w:color w:val="auto"/>
              </w:rPr>
              <w:t>Assumed initial public offering price per share</w:t>
            </w:r>
          </w:p>
        </w:tc>
        <w:tc>
          <w:tcPr>
            <w:tcW w:w="174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w:t>
            </w:r>
          </w:p>
        </w:tc>
      </w:tr>
      <w:tr>
        <w:trPr>
          <w:trHeight w:val="216"/>
        </w:trPr>
        <w:tc>
          <w:tcPr>
            <w:tcW w:w="7680" w:type="dxa"/>
            <w:vAlign w:val="bottom"/>
          </w:tcPr>
          <w:p>
            <w:pPr>
              <w:ind w:left="360"/>
              <w:spacing w:after="0"/>
              <w:rPr>
                <w:sz w:val="20"/>
                <w:szCs w:val="20"/>
                <w:color w:val="auto"/>
              </w:rPr>
            </w:pPr>
            <w:r>
              <w:rPr>
                <w:rFonts w:ascii="Arial" w:cs="Arial" w:eastAsia="Arial" w:hAnsi="Arial"/>
                <w:sz w:val="18"/>
                <w:szCs w:val="18"/>
                <w:color w:val="auto"/>
              </w:rPr>
              <w:t>Pro forma net tangible book value per share as of September 30, 2017</w:t>
            </w:r>
          </w:p>
        </w:tc>
        <w:tc>
          <w:tcPr>
            <w:tcW w:w="620" w:type="dxa"/>
            <w:vAlign w:val="bottom"/>
          </w:tcPr>
          <w:p>
            <w:pPr>
              <w:jc w:val="right"/>
              <w:ind w:right="458"/>
              <w:spacing w:after="0"/>
              <w:rPr>
                <w:sz w:val="20"/>
                <w:szCs w:val="20"/>
                <w:color w:val="auto"/>
              </w:rPr>
            </w:pPr>
            <w:r>
              <w:rPr>
                <w:rFonts w:ascii="Arial" w:cs="Arial" w:eastAsia="Arial" w:hAnsi="Arial"/>
                <w:sz w:val="15"/>
                <w:szCs w:val="15"/>
                <w:color w:val="auto"/>
                <w:w w:val="71"/>
              </w:rPr>
              <w:t>$</w:t>
            </w:r>
          </w:p>
        </w:tc>
        <w:tc>
          <w:tcPr>
            <w:tcW w:w="1120" w:type="dxa"/>
            <w:vAlign w:val="bottom"/>
          </w:tcPr>
          <w:p>
            <w:pPr>
              <w:spacing w:after="0"/>
              <w:rPr>
                <w:sz w:val="18"/>
                <w:szCs w:val="18"/>
                <w:color w:val="auto"/>
              </w:rPr>
            </w:pPr>
          </w:p>
        </w:tc>
      </w:tr>
      <w:tr>
        <w:trPr>
          <w:trHeight w:val="202"/>
        </w:trPr>
        <w:tc>
          <w:tcPr>
            <w:tcW w:w="7680" w:type="dxa"/>
            <w:vAlign w:val="bottom"/>
            <w:shd w:val="clear" w:color="auto" w:fill="CCEEFF"/>
          </w:tcPr>
          <w:p>
            <w:pPr>
              <w:ind w:left="360"/>
              <w:spacing w:after="0" w:line="201" w:lineRule="exact"/>
              <w:rPr>
                <w:sz w:val="20"/>
                <w:szCs w:val="20"/>
                <w:color w:val="auto"/>
              </w:rPr>
            </w:pPr>
            <w:r>
              <w:rPr>
                <w:rFonts w:ascii="Arial" w:cs="Arial" w:eastAsia="Arial" w:hAnsi="Arial"/>
                <w:sz w:val="18"/>
                <w:szCs w:val="18"/>
                <w:color w:val="auto"/>
                <w:w w:val="95"/>
              </w:rPr>
              <w:t>Increase in pro forma net tangible book value per share attributable to new investors purchasing</w:t>
            </w:r>
          </w:p>
        </w:tc>
        <w:tc>
          <w:tcPr>
            <w:tcW w:w="62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r>
      <w:tr>
        <w:trPr>
          <w:trHeight w:val="230"/>
        </w:trPr>
        <w:tc>
          <w:tcPr>
            <w:tcW w:w="7680" w:type="dxa"/>
            <w:vAlign w:val="bottom"/>
            <w:shd w:val="clear" w:color="auto" w:fill="CCEEFF"/>
          </w:tcPr>
          <w:p>
            <w:pPr>
              <w:ind w:left="540"/>
              <w:spacing w:after="0"/>
              <w:rPr>
                <w:sz w:val="20"/>
                <w:szCs w:val="20"/>
                <w:color w:val="auto"/>
              </w:rPr>
            </w:pPr>
            <w:r>
              <w:rPr>
                <w:rFonts w:ascii="Arial" w:cs="Arial" w:eastAsia="Arial" w:hAnsi="Arial"/>
                <w:sz w:val="18"/>
                <w:szCs w:val="18"/>
                <w:color w:val="auto"/>
              </w:rPr>
              <w:t>shares of Class A common stock in this offering</w:t>
            </w:r>
          </w:p>
        </w:tc>
        <w:tc>
          <w:tcPr>
            <w:tcW w:w="620" w:type="dxa"/>
            <w:vAlign w:val="bottom"/>
            <w:tcBorders>
              <w:bottom w:val="single" w:sz="8" w:color="auto"/>
            </w:tcBorders>
            <w:shd w:val="clear" w:color="auto" w:fill="CCEEFF"/>
          </w:tcPr>
          <w:p>
            <w:pPr>
              <w:spacing w:after="0"/>
              <w:rPr>
                <w:sz w:val="20"/>
                <w:szCs w:val="20"/>
                <w:color w:val="auto"/>
              </w:rPr>
            </w:pPr>
          </w:p>
        </w:tc>
        <w:tc>
          <w:tcPr>
            <w:tcW w:w="1120" w:type="dxa"/>
            <w:vAlign w:val="bottom"/>
            <w:shd w:val="clear" w:color="auto" w:fill="CCEEFF"/>
          </w:tcPr>
          <w:p>
            <w:pPr>
              <w:spacing w:after="0"/>
              <w:rPr>
                <w:sz w:val="20"/>
                <w:szCs w:val="20"/>
                <w:color w:val="auto"/>
              </w:rPr>
            </w:pPr>
          </w:p>
        </w:tc>
      </w:tr>
    </w:tbl>
    <w:p>
      <w:pPr>
        <w:ind w:left="920" w:right="3940"/>
        <w:spacing w:after="0" w:line="376" w:lineRule="auto"/>
        <w:rPr>
          <w:sz w:val="20"/>
          <w:szCs w:val="20"/>
          <w:color w:val="auto"/>
        </w:rPr>
      </w:pPr>
      <w:r>
        <w:rPr>
          <w:rFonts w:ascii="Arial" w:cs="Arial" w:eastAsia="Arial" w:hAnsi="Arial"/>
          <w:sz w:val="16"/>
          <w:szCs w:val="16"/>
          <w:color w:val="auto"/>
        </w:rPr>
        <w:t>Pro forma as adjusted net tangible book value per share immediately after this offering Dilution in pro forma net tangible book value per share to new investors in this offering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579120</wp:posOffset>
            </wp:positionH>
            <wp:positionV relativeFrom="paragraph">
              <wp:posOffset>-219710</wp:posOffset>
            </wp:positionV>
            <wp:extent cx="5983605" cy="18034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5983605" cy="180340"/>
                    </a:xfrm>
                    <a:prstGeom prst="rect">
                      <a:avLst/>
                    </a:prstGeom>
                    <a:noFill/>
                  </pic:spPr>
                </pic:pic>
              </a:graphicData>
            </a:graphic>
          </wp:anchor>
        </w:drawing>
      </w:r>
    </w:p>
    <w:p>
      <w:pPr>
        <w:spacing w:after="0" w:line="132" w:lineRule="exact"/>
        <w:rPr>
          <w:sz w:val="20"/>
          <w:szCs w:val="20"/>
          <w:color w:val="auto"/>
        </w:rPr>
      </w:pPr>
    </w:p>
    <w:p>
      <w:pPr>
        <w:ind w:right="80" w:firstLine="449"/>
        <w:spacing w:after="0" w:line="291" w:lineRule="auto"/>
        <w:rPr>
          <w:sz w:val="20"/>
          <w:szCs w:val="20"/>
          <w:color w:val="auto"/>
        </w:rPr>
      </w:pPr>
      <w:r>
        <w:rPr>
          <w:rFonts w:ascii="Arial" w:cs="Arial" w:eastAsia="Arial" w:hAnsi="Arial"/>
          <w:sz w:val="16"/>
          <w:szCs w:val="16"/>
          <w:color w:val="auto"/>
        </w:rPr>
        <w:t>Each $1.00 increase or decrease in the assumed initial public offering price of $ per share, which is the midpoint of the estimated offering price range set forth on the cover page of this prospectus, would increase or decrease, as applicable, our pro forma as adjusted net tangible book value per</w:t>
      </w:r>
    </w:p>
    <w:p>
      <w:pPr>
        <w:ind w:right="20"/>
        <w:spacing w:after="0" w:line="281" w:lineRule="auto"/>
        <w:rPr>
          <w:sz w:val="20"/>
          <w:szCs w:val="20"/>
          <w:color w:val="auto"/>
        </w:rPr>
      </w:pPr>
      <w:r>
        <w:rPr>
          <w:rFonts w:ascii="Arial" w:cs="Arial" w:eastAsia="Arial" w:hAnsi="Arial"/>
          <w:sz w:val="16"/>
          <w:szCs w:val="16"/>
          <w:color w:val="auto"/>
        </w:rPr>
        <w:t>share to new investors by $ , and would increase or decrease, as applicable, dilution per share to new investors purchasing shares of our Class A common stock in this offering by $ , assuming that the number of shares offered by us, as set forth on the cover page of this prospectus, remains the</w:t>
      </w:r>
    </w:p>
    <w:p>
      <w:pPr>
        <w:spacing w:after="0" w:line="1" w:lineRule="exact"/>
        <w:rPr>
          <w:sz w:val="20"/>
          <w:szCs w:val="20"/>
          <w:color w:val="auto"/>
        </w:rPr>
      </w:pPr>
    </w:p>
    <w:p>
      <w:pPr>
        <w:spacing w:after="0" w:line="280" w:lineRule="auto"/>
        <w:rPr>
          <w:sz w:val="20"/>
          <w:szCs w:val="20"/>
          <w:color w:val="auto"/>
        </w:rPr>
      </w:pPr>
      <w:r>
        <w:rPr>
          <w:rFonts w:ascii="Arial" w:cs="Arial" w:eastAsia="Arial" w:hAnsi="Arial"/>
          <w:sz w:val="16"/>
          <w:szCs w:val="16"/>
          <w:color w:val="auto"/>
        </w:rPr>
        <w:t>same and after deducting estimated underwriting discounts and commissions and estimated offering expenses payable by us. Similarly, each increase or decrease of 1.0 million shares in the number of shares of our Class A common stock offered by us would increase or decrease, as applicable, our pro forma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ind w:right="120"/>
        <w:spacing w:after="0" w:line="263" w:lineRule="auto"/>
        <w:rPr>
          <w:sz w:val="20"/>
          <w:szCs w:val="20"/>
          <w:color w:val="auto"/>
        </w:rPr>
      </w:pPr>
      <w:r>
        <w:rPr>
          <w:rFonts w:ascii="Arial" w:cs="Arial" w:eastAsia="Arial" w:hAnsi="Arial"/>
          <w:sz w:val="18"/>
          <w:szCs w:val="18"/>
          <w:color w:val="auto"/>
        </w:rPr>
        <w:t>as adjusted net tangible book value by approximately $ per share and increase or decrease, as applicable, the dilution to new investors purchasing shares of our Class A common stock in this offering by $ per share, assuming the assumed initial public offering price remains the same, and after deducting underwriting discounts and commissions and estimated offering expenses payable by us.</w:t>
      </w:r>
    </w:p>
    <w:p>
      <w:pPr>
        <w:spacing w:after="0" w:line="184" w:lineRule="exact"/>
        <w:rPr>
          <w:sz w:val="20"/>
          <w:szCs w:val="20"/>
          <w:color w:val="auto"/>
        </w:rPr>
      </w:pPr>
    </w:p>
    <w:p>
      <w:pPr>
        <w:ind w:right="180" w:firstLine="449"/>
        <w:spacing w:after="0" w:line="286" w:lineRule="auto"/>
        <w:rPr>
          <w:sz w:val="20"/>
          <w:szCs w:val="20"/>
          <w:color w:val="auto"/>
        </w:rPr>
      </w:pPr>
      <w:r>
        <w:rPr>
          <w:rFonts w:ascii="Arial" w:cs="Arial" w:eastAsia="Arial" w:hAnsi="Arial"/>
          <w:sz w:val="17"/>
          <w:szCs w:val="17"/>
          <w:color w:val="auto"/>
        </w:rPr>
        <w:t>If the underwriters’ option to purchase additional shares of our Class A common stock from us is exercised in full, the pro forma as adjusted net tangible book value per share of our common stock, as adjusted to give effect to this offering, would be $ per share, and the dilution in pro forma net tangible book value per share to new investors purchasing shares of our Class A common stock in this offering would be $ per share.</w:t>
      </w:r>
    </w:p>
    <w:p>
      <w:pPr>
        <w:spacing w:after="0" w:line="9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51</w:t>
      </w:r>
    </w:p>
    <w:p>
      <w:pPr>
        <w:sectPr>
          <w:pgSz w:w="11900" w:h="16838" w:orient="portrait"/>
          <w:cols w:equalWidth="0" w:num="1">
            <w:col w:w="11160"/>
          </w:cols>
          <w:pgMar w:left="320" w:top="459" w:right="419" w:bottom="1440" w:gutter="0" w:footer="0" w:header="0"/>
        </w:sectPr>
      </w:pPr>
    </w:p>
    <w:bookmarkStart w:id="54" w:name="page55"/>
    <w:bookmarkEnd w:id="5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right="80" w:firstLine="449"/>
        <w:spacing w:after="0" w:line="287" w:lineRule="auto"/>
        <w:rPr>
          <w:sz w:val="20"/>
          <w:szCs w:val="20"/>
          <w:color w:val="auto"/>
        </w:rPr>
      </w:pPr>
      <w:r>
        <w:rPr>
          <w:rFonts w:ascii="Arial" w:cs="Arial" w:eastAsia="Arial" w:hAnsi="Arial"/>
          <w:sz w:val="16"/>
          <w:szCs w:val="16"/>
          <w:color w:val="auto"/>
        </w:rPr>
        <w:t>The following table presents, as of September 30, 2017, after giving effect to the Capital Stock Conversions and the RSU Settlement, the differences between the existing stockholders and the new investors purchasing shares of our Class A common stock in this offering with respect to the number of shares purchased from us, the total consideration paid or to be paid to us, which includes net proceeds received from the issuance of our Class A common</w:t>
      </w:r>
    </w:p>
    <w:p>
      <w:pPr>
        <w:spacing w:after="0" w:line="2" w:lineRule="exact"/>
        <w:rPr>
          <w:sz w:val="20"/>
          <w:szCs w:val="20"/>
          <w:color w:val="auto"/>
        </w:rPr>
      </w:pPr>
    </w:p>
    <w:p>
      <w:pPr>
        <w:ind w:right="100"/>
        <w:spacing w:after="0" w:line="255" w:lineRule="auto"/>
        <w:rPr>
          <w:sz w:val="20"/>
          <w:szCs w:val="20"/>
          <w:color w:val="auto"/>
        </w:rPr>
      </w:pPr>
      <w:r>
        <w:rPr>
          <w:rFonts w:ascii="Arial" w:cs="Arial" w:eastAsia="Arial" w:hAnsi="Arial"/>
          <w:sz w:val="18"/>
          <w:szCs w:val="18"/>
          <w:color w:val="auto"/>
        </w:rPr>
        <w:t>stock and the average price per share paid or to be paid to us at the assumed initial public offering price of $ per share, which is the midpoint of the estimated offering price range set forth on the cover page of this prospectus, before deducting estimated underwriting discounts and commissions and estimated offering expenses payable by us:</w:t>
      </w:r>
    </w:p>
    <w:p>
      <w:pPr>
        <w:spacing w:after="0" w:line="19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140" w:type="dxa"/>
            <w:vAlign w:val="bottom"/>
          </w:tcPr>
          <w:p>
            <w:pPr>
              <w:spacing w:after="0"/>
              <w:rPr>
                <w:sz w:val="14"/>
                <w:szCs w:val="14"/>
                <w:color w:val="auto"/>
              </w:rPr>
            </w:pPr>
          </w:p>
        </w:tc>
        <w:tc>
          <w:tcPr>
            <w:tcW w:w="1420" w:type="dxa"/>
            <w:vAlign w:val="bottom"/>
            <w:gridSpan w:val="3"/>
            <w:vMerge w:val="restart"/>
          </w:tcPr>
          <w:p>
            <w:pPr>
              <w:ind w:left="160"/>
              <w:spacing w:after="0"/>
              <w:rPr>
                <w:sz w:val="20"/>
                <w:szCs w:val="20"/>
                <w:color w:val="auto"/>
              </w:rPr>
            </w:pPr>
            <w:r>
              <w:rPr>
                <w:rFonts w:ascii="Arial" w:cs="Arial" w:eastAsia="Arial" w:hAnsi="Arial"/>
                <w:sz w:val="14"/>
                <w:szCs w:val="14"/>
                <w:b w:val="1"/>
                <w:bCs w:val="1"/>
                <w:color w:val="auto"/>
              </w:rPr>
              <w:t>Shares purchased</w:t>
            </w:r>
          </w:p>
        </w:tc>
        <w:tc>
          <w:tcPr>
            <w:tcW w:w="600" w:type="dxa"/>
            <w:vAlign w:val="bottom"/>
            <w:vMerge w:val="restart"/>
          </w:tcPr>
          <w:p>
            <w:pPr>
              <w:spacing w:after="0"/>
              <w:rPr>
                <w:sz w:val="14"/>
                <w:szCs w:val="14"/>
                <w:color w:val="auto"/>
              </w:rPr>
            </w:pPr>
          </w:p>
        </w:tc>
        <w:tc>
          <w:tcPr>
            <w:tcW w:w="1780" w:type="dxa"/>
            <w:vAlign w:val="bottom"/>
            <w:gridSpan w:val="3"/>
            <w:vMerge w:val="restart"/>
          </w:tcPr>
          <w:p>
            <w:pPr>
              <w:jc w:val="right"/>
              <w:ind w:right="228"/>
              <w:spacing w:after="0"/>
              <w:rPr>
                <w:sz w:val="20"/>
                <w:szCs w:val="20"/>
                <w:color w:val="auto"/>
              </w:rPr>
            </w:pPr>
            <w:r>
              <w:rPr>
                <w:rFonts w:ascii="Arial" w:cs="Arial" w:eastAsia="Arial" w:hAnsi="Arial"/>
                <w:sz w:val="14"/>
                <w:szCs w:val="14"/>
                <w:b w:val="1"/>
                <w:bCs w:val="1"/>
                <w:color w:val="auto"/>
              </w:rPr>
              <w:t>Total consideration</w:t>
            </w:r>
          </w:p>
        </w:tc>
        <w:tc>
          <w:tcPr>
            <w:tcW w:w="380" w:type="dxa"/>
            <w:vAlign w:val="bottom"/>
            <w:vMerge w:val="restart"/>
          </w:tcPr>
          <w:p>
            <w:pPr>
              <w:spacing w:after="0"/>
              <w:rPr>
                <w:sz w:val="14"/>
                <w:szCs w:val="14"/>
                <w:color w:val="auto"/>
              </w:rPr>
            </w:pPr>
          </w:p>
        </w:tc>
        <w:tc>
          <w:tcPr>
            <w:tcW w:w="920" w:type="dxa"/>
            <w:vAlign w:val="bottom"/>
            <w:gridSpan w:val="2"/>
          </w:tcPr>
          <w:p>
            <w:pPr>
              <w:jc w:val="center"/>
              <w:ind w:left="101"/>
              <w:spacing w:after="0"/>
              <w:rPr>
                <w:sz w:val="20"/>
                <w:szCs w:val="20"/>
                <w:color w:val="auto"/>
              </w:rPr>
            </w:pPr>
            <w:r>
              <w:rPr>
                <w:rFonts w:ascii="Arial" w:cs="Arial" w:eastAsia="Arial" w:hAnsi="Arial"/>
                <w:sz w:val="14"/>
                <w:szCs w:val="14"/>
                <w:b w:val="1"/>
                <w:bCs w:val="1"/>
                <w:color w:val="auto"/>
                <w:w w:val="90"/>
              </w:rPr>
              <w:t>Average</w:t>
            </w:r>
          </w:p>
        </w:tc>
        <w:tc>
          <w:tcPr>
            <w:tcW w:w="0" w:type="dxa"/>
            <w:vAlign w:val="bottom"/>
          </w:tcPr>
          <w:p>
            <w:pPr>
              <w:spacing w:after="0"/>
              <w:rPr>
                <w:sz w:val="1"/>
                <w:szCs w:val="1"/>
                <w:color w:val="auto"/>
              </w:rPr>
            </w:pPr>
          </w:p>
        </w:tc>
      </w:tr>
      <w:tr>
        <w:trPr>
          <w:trHeight w:val="82"/>
        </w:trPr>
        <w:tc>
          <w:tcPr>
            <w:tcW w:w="6140" w:type="dxa"/>
            <w:vAlign w:val="bottom"/>
          </w:tcPr>
          <w:p>
            <w:pPr>
              <w:spacing w:after="0"/>
              <w:rPr>
                <w:sz w:val="6"/>
                <w:szCs w:val="6"/>
                <w:color w:val="auto"/>
              </w:rPr>
            </w:pPr>
          </w:p>
        </w:tc>
        <w:tc>
          <w:tcPr>
            <w:tcW w:w="1420" w:type="dxa"/>
            <w:vAlign w:val="bottom"/>
            <w:tcBorders>
              <w:bottom w:val="single" w:sz="8" w:color="auto"/>
            </w:tcBorders>
            <w:gridSpan w:val="3"/>
            <w:vMerge w:val="continue"/>
          </w:tcPr>
          <w:p>
            <w:pPr>
              <w:spacing w:after="0"/>
              <w:rPr>
                <w:sz w:val="6"/>
                <w:szCs w:val="6"/>
                <w:color w:val="auto"/>
              </w:rPr>
            </w:pPr>
          </w:p>
        </w:tc>
        <w:tc>
          <w:tcPr>
            <w:tcW w:w="600" w:type="dxa"/>
            <w:vAlign w:val="bottom"/>
            <w:vMerge w:val="continue"/>
          </w:tcPr>
          <w:p>
            <w:pPr>
              <w:spacing w:after="0"/>
              <w:rPr>
                <w:sz w:val="6"/>
                <w:szCs w:val="6"/>
                <w:color w:val="auto"/>
              </w:rPr>
            </w:pPr>
          </w:p>
        </w:tc>
        <w:tc>
          <w:tcPr>
            <w:tcW w:w="1780" w:type="dxa"/>
            <w:vAlign w:val="bottom"/>
            <w:tcBorders>
              <w:bottom w:val="single" w:sz="8" w:color="auto"/>
            </w:tcBorders>
            <w:gridSpan w:val="3"/>
            <w:vMerge w:val="continue"/>
          </w:tcPr>
          <w:p>
            <w:pPr>
              <w:spacing w:after="0"/>
              <w:rPr>
                <w:sz w:val="6"/>
                <w:szCs w:val="6"/>
                <w:color w:val="auto"/>
              </w:rPr>
            </w:pPr>
          </w:p>
        </w:tc>
        <w:tc>
          <w:tcPr>
            <w:tcW w:w="380" w:type="dxa"/>
            <w:vAlign w:val="bottom"/>
            <w:vMerge w:val="continue"/>
          </w:tcPr>
          <w:p>
            <w:pPr>
              <w:spacing w:after="0"/>
              <w:rPr>
                <w:sz w:val="6"/>
                <w:szCs w:val="6"/>
                <w:color w:val="auto"/>
              </w:rPr>
            </w:pPr>
          </w:p>
        </w:tc>
        <w:tc>
          <w:tcPr>
            <w:tcW w:w="920" w:type="dxa"/>
            <w:vAlign w:val="bottom"/>
            <w:gridSpan w:val="2"/>
            <w:vMerge w:val="restart"/>
          </w:tcPr>
          <w:p>
            <w:pPr>
              <w:jc w:val="center"/>
              <w:ind w:left="101"/>
              <w:spacing w:after="0" w:line="149" w:lineRule="exact"/>
              <w:rPr>
                <w:sz w:val="20"/>
                <w:szCs w:val="20"/>
                <w:color w:val="auto"/>
              </w:rPr>
            </w:pPr>
            <w:r>
              <w:rPr>
                <w:rFonts w:ascii="Arial" w:cs="Arial" w:eastAsia="Arial" w:hAnsi="Arial"/>
                <w:sz w:val="14"/>
                <w:szCs w:val="14"/>
                <w:b w:val="1"/>
                <w:bCs w:val="1"/>
                <w:color w:val="auto"/>
                <w:w w:val="91"/>
              </w:rPr>
              <w:t>price per</w:t>
            </w:r>
          </w:p>
        </w:tc>
        <w:tc>
          <w:tcPr>
            <w:tcW w:w="0" w:type="dxa"/>
            <w:vAlign w:val="bottom"/>
          </w:tcPr>
          <w:p>
            <w:pPr>
              <w:spacing w:after="0"/>
              <w:rPr>
                <w:sz w:val="1"/>
                <w:szCs w:val="1"/>
                <w:color w:val="auto"/>
              </w:rPr>
            </w:pPr>
          </w:p>
        </w:tc>
      </w:tr>
      <w:tr>
        <w:trPr>
          <w:trHeight w:val="52"/>
        </w:trPr>
        <w:tc>
          <w:tcPr>
            <w:tcW w:w="6140" w:type="dxa"/>
            <w:vAlign w:val="bottom"/>
          </w:tcPr>
          <w:p>
            <w:pPr>
              <w:spacing w:after="0"/>
              <w:rPr>
                <w:sz w:val="4"/>
                <w:szCs w:val="4"/>
                <w:color w:val="auto"/>
              </w:rPr>
            </w:pPr>
          </w:p>
        </w:tc>
        <w:tc>
          <w:tcPr>
            <w:tcW w:w="500" w:type="dxa"/>
            <w:vAlign w:val="bottom"/>
            <w:vMerge w:val="restart"/>
          </w:tcPr>
          <w:p>
            <w:pPr>
              <w:spacing w:after="0"/>
              <w:rPr>
                <w:sz w:val="20"/>
                <w:szCs w:val="20"/>
                <w:color w:val="auto"/>
              </w:rPr>
            </w:pPr>
            <w:r>
              <w:rPr>
                <w:rFonts w:ascii="Arial" w:cs="Arial" w:eastAsia="Arial" w:hAnsi="Arial"/>
                <w:sz w:val="14"/>
                <w:szCs w:val="14"/>
                <w:b w:val="1"/>
                <w:bCs w:val="1"/>
                <w:color w:val="auto"/>
                <w:w w:val="90"/>
              </w:rPr>
              <w:t>Number</w:t>
            </w:r>
          </w:p>
        </w:tc>
        <w:tc>
          <w:tcPr>
            <w:tcW w:w="460" w:type="dxa"/>
            <w:vAlign w:val="bottom"/>
          </w:tcPr>
          <w:p>
            <w:pPr>
              <w:spacing w:after="0"/>
              <w:rPr>
                <w:sz w:val="4"/>
                <w:szCs w:val="4"/>
                <w:color w:val="auto"/>
              </w:rPr>
            </w:pPr>
          </w:p>
        </w:tc>
        <w:tc>
          <w:tcPr>
            <w:tcW w:w="1060" w:type="dxa"/>
            <w:vAlign w:val="bottom"/>
            <w:gridSpan w:val="2"/>
            <w:vMerge w:val="restart"/>
          </w:tcPr>
          <w:p>
            <w:pPr>
              <w:jc w:val="right"/>
              <w:ind w:right="600"/>
              <w:spacing w:after="0"/>
              <w:rPr>
                <w:sz w:val="20"/>
                <w:szCs w:val="20"/>
                <w:color w:val="auto"/>
              </w:rPr>
            </w:pPr>
            <w:r>
              <w:rPr>
                <w:rFonts w:ascii="Arial" w:cs="Arial" w:eastAsia="Arial" w:hAnsi="Arial"/>
                <w:sz w:val="14"/>
                <w:szCs w:val="14"/>
                <w:b w:val="1"/>
                <w:bCs w:val="1"/>
                <w:color w:val="auto"/>
                <w:w w:val="85"/>
              </w:rPr>
              <w:t>Percent</w:t>
            </w:r>
          </w:p>
        </w:tc>
        <w:tc>
          <w:tcPr>
            <w:tcW w:w="64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Amount</w:t>
            </w:r>
          </w:p>
        </w:tc>
        <w:tc>
          <w:tcPr>
            <w:tcW w:w="460" w:type="dxa"/>
            <w:vAlign w:val="bottom"/>
          </w:tcPr>
          <w:p>
            <w:pPr>
              <w:spacing w:after="0"/>
              <w:rPr>
                <w:sz w:val="4"/>
                <w:szCs w:val="4"/>
                <w:color w:val="auto"/>
              </w:rPr>
            </w:pPr>
          </w:p>
        </w:tc>
        <w:tc>
          <w:tcPr>
            <w:tcW w:w="1060" w:type="dxa"/>
            <w:vAlign w:val="bottom"/>
            <w:gridSpan w:val="2"/>
            <w:vMerge w:val="restart"/>
          </w:tcPr>
          <w:p>
            <w:pPr>
              <w:jc w:val="right"/>
              <w:ind w:right="380"/>
              <w:spacing w:after="0"/>
              <w:rPr>
                <w:sz w:val="20"/>
                <w:szCs w:val="20"/>
                <w:color w:val="auto"/>
              </w:rPr>
            </w:pPr>
            <w:r>
              <w:rPr>
                <w:rFonts w:ascii="Arial" w:cs="Arial" w:eastAsia="Arial" w:hAnsi="Arial"/>
                <w:sz w:val="14"/>
                <w:szCs w:val="14"/>
                <w:b w:val="1"/>
                <w:bCs w:val="1"/>
                <w:color w:val="auto"/>
                <w:w w:val="87"/>
              </w:rPr>
              <w:t>Percentage</w:t>
            </w:r>
          </w:p>
        </w:tc>
        <w:tc>
          <w:tcPr>
            <w:tcW w:w="920" w:type="dxa"/>
            <w:vAlign w:val="bottom"/>
            <w:gridSpan w:val="2"/>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6140" w:type="dxa"/>
            <w:vAlign w:val="bottom"/>
          </w:tcPr>
          <w:p>
            <w:pPr>
              <w:spacing w:after="0"/>
              <w:rPr>
                <w:sz w:val="14"/>
                <w:szCs w:val="14"/>
                <w:color w:val="auto"/>
              </w:rPr>
            </w:pPr>
          </w:p>
        </w:tc>
        <w:tc>
          <w:tcPr>
            <w:tcW w:w="500" w:type="dxa"/>
            <w:vAlign w:val="bottom"/>
            <w:vMerge w:val="continue"/>
          </w:tcPr>
          <w:p>
            <w:pPr>
              <w:spacing w:after="0"/>
              <w:rPr>
                <w:sz w:val="14"/>
                <w:szCs w:val="14"/>
                <w:color w:val="auto"/>
              </w:rPr>
            </w:pPr>
          </w:p>
        </w:tc>
        <w:tc>
          <w:tcPr>
            <w:tcW w:w="460" w:type="dxa"/>
            <w:vAlign w:val="bottom"/>
          </w:tcPr>
          <w:p>
            <w:pPr>
              <w:spacing w:after="0"/>
              <w:rPr>
                <w:sz w:val="14"/>
                <w:szCs w:val="14"/>
                <w:color w:val="auto"/>
              </w:rPr>
            </w:pPr>
          </w:p>
        </w:tc>
        <w:tc>
          <w:tcPr>
            <w:tcW w:w="1060" w:type="dxa"/>
            <w:vAlign w:val="bottom"/>
            <w:gridSpan w:val="2"/>
            <w:vMerge w:val="continue"/>
          </w:tcPr>
          <w:p>
            <w:pPr>
              <w:spacing w:after="0"/>
              <w:rPr>
                <w:sz w:val="14"/>
                <w:szCs w:val="14"/>
                <w:color w:val="auto"/>
              </w:rPr>
            </w:pPr>
          </w:p>
        </w:tc>
        <w:tc>
          <w:tcPr>
            <w:tcW w:w="640" w:type="dxa"/>
            <w:vAlign w:val="bottom"/>
            <w:vMerge w:val="continue"/>
          </w:tcPr>
          <w:p>
            <w:pPr>
              <w:spacing w:after="0"/>
              <w:rPr>
                <w:sz w:val="14"/>
                <w:szCs w:val="14"/>
                <w:color w:val="auto"/>
              </w:rPr>
            </w:pPr>
          </w:p>
        </w:tc>
        <w:tc>
          <w:tcPr>
            <w:tcW w:w="460" w:type="dxa"/>
            <w:vAlign w:val="bottom"/>
          </w:tcPr>
          <w:p>
            <w:pPr>
              <w:spacing w:after="0"/>
              <w:rPr>
                <w:sz w:val="14"/>
                <w:szCs w:val="14"/>
                <w:color w:val="auto"/>
              </w:rPr>
            </w:pPr>
          </w:p>
        </w:tc>
        <w:tc>
          <w:tcPr>
            <w:tcW w:w="1060" w:type="dxa"/>
            <w:vAlign w:val="bottom"/>
            <w:gridSpan w:val="2"/>
            <w:vMerge w:val="continue"/>
          </w:tcPr>
          <w:p>
            <w:pPr>
              <w:spacing w:after="0"/>
              <w:rPr>
                <w:sz w:val="14"/>
                <w:szCs w:val="14"/>
                <w:color w:val="auto"/>
              </w:rPr>
            </w:pPr>
          </w:p>
        </w:tc>
        <w:tc>
          <w:tcPr>
            <w:tcW w:w="920" w:type="dxa"/>
            <w:vAlign w:val="bottom"/>
            <w:gridSpan w:val="2"/>
          </w:tcPr>
          <w:p>
            <w:pPr>
              <w:jc w:val="center"/>
              <w:ind w:left="101"/>
              <w:spacing w:after="0"/>
              <w:rPr>
                <w:sz w:val="20"/>
                <w:szCs w:val="20"/>
                <w:color w:val="auto"/>
              </w:rPr>
            </w:pPr>
            <w:r>
              <w:rPr>
                <w:rFonts w:ascii="Arial" w:cs="Arial" w:eastAsia="Arial" w:hAnsi="Arial"/>
                <w:sz w:val="14"/>
                <w:szCs w:val="14"/>
                <w:b w:val="1"/>
                <w:bCs w:val="1"/>
                <w:color w:val="auto"/>
                <w:w w:val="90"/>
              </w:rPr>
              <w:t>share</w:t>
            </w:r>
          </w:p>
        </w:tc>
        <w:tc>
          <w:tcPr>
            <w:tcW w:w="0" w:type="dxa"/>
            <w:vAlign w:val="bottom"/>
          </w:tcPr>
          <w:p>
            <w:pPr>
              <w:spacing w:after="0"/>
              <w:rPr>
                <w:sz w:val="1"/>
                <w:szCs w:val="1"/>
                <w:color w:val="auto"/>
              </w:rPr>
            </w:pPr>
          </w:p>
        </w:tc>
      </w:tr>
      <w:tr>
        <w:trPr>
          <w:trHeight w:val="142"/>
        </w:trPr>
        <w:tc>
          <w:tcPr>
            <w:tcW w:w="6140" w:type="dxa"/>
            <w:vAlign w:val="bottom"/>
          </w:tcPr>
          <w:p>
            <w:pPr>
              <w:spacing w:after="0"/>
              <w:rPr>
                <w:sz w:val="12"/>
                <w:szCs w:val="12"/>
                <w:color w:val="auto"/>
              </w:rPr>
            </w:pPr>
          </w:p>
        </w:tc>
        <w:tc>
          <w:tcPr>
            <w:tcW w:w="500" w:type="dxa"/>
            <w:vAlign w:val="bottom"/>
            <w:tcBorders>
              <w:top w:val="single" w:sz="8" w:color="auto"/>
            </w:tcBorders>
          </w:tcPr>
          <w:p>
            <w:pPr>
              <w:spacing w:after="0"/>
              <w:rPr>
                <w:sz w:val="12"/>
                <w:szCs w:val="12"/>
                <w:color w:val="auto"/>
              </w:rPr>
            </w:pPr>
          </w:p>
        </w:tc>
        <w:tc>
          <w:tcPr>
            <w:tcW w:w="460" w:type="dxa"/>
            <w:vAlign w:val="bottom"/>
            <w:tcBorders>
              <w:top w:val="single" w:sz="8" w:color="auto"/>
            </w:tcBorders>
          </w:tcPr>
          <w:p>
            <w:pPr>
              <w:spacing w:after="0"/>
              <w:rPr>
                <w:sz w:val="12"/>
                <w:szCs w:val="12"/>
                <w:color w:val="auto"/>
              </w:rPr>
            </w:pPr>
          </w:p>
        </w:tc>
        <w:tc>
          <w:tcPr>
            <w:tcW w:w="3220" w:type="dxa"/>
            <w:vAlign w:val="bottom"/>
            <w:tcBorders>
              <w:top w:val="single" w:sz="8" w:color="auto"/>
            </w:tcBorders>
            <w:gridSpan w:val="6"/>
          </w:tcPr>
          <w:p>
            <w:pPr>
              <w:jc w:val="right"/>
              <w:ind w:right="420"/>
              <w:spacing w:after="0" w:line="142" w:lineRule="exact"/>
              <w:rPr>
                <w:sz w:val="20"/>
                <w:szCs w:val="20"/>
                <w:color w:val="auto"/>
              </w:rPr>
            </w:pPr>
            <w:r>
              <w:rPr>
                <w:rFonts w:ascii="Arial" w:cs="Arial" w:eastAsia="Arial" w:hAnsi="Arial"/>
                <w:sz w:val="14"/>
                <w:szCs w:val="14"/>
                <w:i w:val="1"/>
                <w:iCs w:val="1"/>
                <w:color w:val="auto"/>
              </w:rPr>
              <w:t>(In millions, except for per share amounts)</w:t>
            </w:r>
          </w:p>
        </w:tc>
        <w:tc>
          <w:tcPr>
            <w:tcW w:w="860" w:type="dxa"/>
            <w:vAlign w:val="bottom"/>
            <w:tcBorders>
              <w:top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66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Existing stockholders</w:t>
            </w:r>
          </w:p>
        </w:tc>
        <w:tc>
          <w:tcPr>
            <w:tcW w:w="1520" w:type="dxa"/>
            <w:vAlign w:val="bottom"/>
            <w:gridSpan w:val="3"/>
            <w:shd w:val="clear" w:color="auto" w:fill="CCEEFF"/>
          </w:tcPr>
          <w:p>
            <w:pPr>
              <w:jc w:val="right"/>
              <w:ind w:right="440"/>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ind w:right="459"/>
              <w:spacing w:after="0"/>
              <w:rPr>
                <w:sz w:val="20"/>
                <w:szCs w:val="20"/>
                <w:color w:val="auto"/>
              </w:rPr>
            </w:pPr>
            <w:r>
              <w:rPr>
                <w:rFonts w:ascii="Arial" w:cs="Arial" w:eastAsia="Arial" w:hAnsi="Arial"/>
                <w:sz w:val="18"/>
                <w:szCs w:val="18"/>
                <w:color w:val="auto"/>
                <w:w w:val="79"/>
              </w:rPr>
              <w:t>$</w:t>
            </w:r>
          </w:p>
        </w:tc>
        <w:tc>
          <w:tcPr>
            <w:tcW w:w="152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ind w:right="461"/>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6140" w:type="dxa"/>
            <w:vAlign w:val="bottom"/>
          </w:tcPr>
          <w:p>
            <w:pPr>
              <w:spacing w:after="0"/>
              <w:rPr>
                <w:sz w:val="20"/>
                <w:szCs w:val="20"/>
                <w:color w:val="auto"/>
              </w:rPr>
            </w:pPr>
            <w:r>
              <w:rPr>
                <w:rFonts w:ascii="Arial" w:cs="Arial" w:eastAsia="Arial" w:hAnsi="Arial"/>
                <w:sz w:val="18"/>
                <w:szCs w:val="18"/>
                <w:color w:val="auto"/>
              </w:rPr>
              <w:t>New investors</w:t>
            </w:r>
          </w:p>
        </w:tc>
        <w:tc>
          <w:tcPr>
            <w:tcW w:w="500" w:type="dxa"/>
            <w:vAlign w:val="bottom"/>
            <w:tcBorders>
              <w:bottom w:val="single" w:sz="8" w:color="auto"/>
            </w:tcBorders>
          </w:tcPr>
          <w:p>
            <w:pPr>
              <w:spacing w:after="0"/>
              <w:rPr>
                <w:sz w:val="19"/>
                <w:szCs w:val="19"/>
                <w:color w:val="auto"/>
              </w:rPr>
            </w:pPr>
          </w:p>
        </w:tc>
        <w:tc>
          <w:tcPr>
            <w:tcW w:w="460" w:type="dxa"/>
            <w:vAlign w:val="bottom"/>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600" w:type="dxa"/>
            <w:vAlign w:val="bottom"/>
          </w:tcPr>
          <w:p>
            <w:pPr>
              <w:spacing w:after="0"/>
              <w:rPr>
                <w:sz w:val="19"/>
                <w:szCs w:val="19"/>
                <w:color w:val="auto"/>
              </w:rPr>
            </w:pPr>
          </w:p>
        </w:tc>
        <w:tc>
          <w:tcPr>
            <w:tcW w:w="640" w:type="dxa"/>
            <w:vAlign w:val="bottom"/>
            <w:tcBorders>
              <w:bottom w:val="single" w:sz="8" w:color="auto"/>
            </w:tcBorders>
          </w:tcPr>
          <w:p>
            <w:pPr>
              <w:spacing w:after="0"/>
              <w:rPr>
                <w:sz w:val="19"/>
                <w:szCs w:val="19"/>
                <w:color w:val="auto"/>
              </w:rPr>
            </w:pPr>
          </w:p>
        </w:tc>
        <w:tc>
          <w:tcPr>
            <w:tcW w:w="460" w:type="dxa"/>
            <w:vAlign w:val="bottom"/>
          </w:tcPr>
          <w:p>
            <w:pPr>
              <w:spacing w:after="0"/>
              <w:rPr>
                <w:sz w:val="19"/>
                <w:szCs w:val="19"/>
                <w:color w:val="auto"/>
              </w:rPr>
            </w:pPr>
          </w:p>
        </w:tc>
        <w:tc>
          <w:tcPr>
            <w:tcW w:w="680" w:type="dxa"/>
            <w:vAlign w:val="bottom"/>
            <w:tcBorders>
              <w:bottom w:val="single" w:sz="8" w:color="auto"/>
            </w:tcBorders>
          </w:tcPr>
          <w:p>
            <w:pPr>
              <w:spacing w:after="0"/>
              <w:rPr>
                <w:sz w:val="19"/>
                <w:szCs w:val="19"/>
                <w:color w:val="auto"/>
              </w:rPr>
            </w:pPr>
          </w:p>
        </w:tc>
        <w:tc>
          <w:tcPr>
            <w:tcW w:w="380" w:type="dxa"/>
            <w:vAlign w:val="bottom"/>
          </w:tcPr>
          <w:p>
            <w:pPr>
              <w:spacing w:after="0"/>
              <w:rPr>
                <w:sz w:val="19"/>
                <w:szCs w:val="19"/>
                <w:color w:val="auto"/>
              </w:rPr>
            </w:pPr>
          </w:p>
        </w:tc>
        <w:tc>
          <w:tcPr>
            <w:tcW w:w="860" w:type="dxa"/>
            <w:vAlign w:val="bottom"/>
          </w:tcPr>
          <w:p>
            <w:pPr>
              <w:jc w:val="right"/>
              <w:ind w:right="461"/>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664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Totals</w:t>
            </w:r>
          </w:p>
        </w:tc>
        <w:tc>
          <w:tcPr>
            <w:tcW w:w="4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100%</w:t>
            </w:r>
          </w:p>
        </w:tc>
        <w:tc>
          <w:tcPr>
            <w:tcW w:w="640" w:type="dxa"/>
            <w:vAlign w:val="bottom"/>
            <w:shd w:val="clear" w:color="auto" w:fill="CCEEFF"/>
          </w:tcPr>
          <w:p>
            <w:pPr>
              <w:jc w:val="right"/>
              <w:ind w:right="459"/>
              <w:spacing w:after="0"/>
              <w:rPr>
                <w:sz w:val="20"/>
                <w:szCs w:val="20"/>
                <w:color w:val="auto"/>
              </w:rPr>
            </w:pPr>
            <w:r>
              <w:rPr>
                <w:rFonts w:ascii="Arial" w:cs="Arial" w:eastAsia="Arial" w:hAnsi="Arial"/>
                <w:sz w:val="18"/>
                <w:szCs w:val="18"/>
                <w:color w:val="auto"/>
                <w:w w:val="79"/>
              </w:rPr>
              <w:t>$</w:t>
            </w:r>
          </w:p>
        </w:tc>
        <w:tc>
          <w:tcPr>
            <w:tcW w:w="152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100%</w:t>
            </w:r>
          </w:p>
        </w:tc>
        <w:tc>
          <w:tcPr>
            <w:tcW w:w="8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640" w:type="dxa"/>
            <w:vAlign w:val="bottom"/>
            <w:gridSpan w:val="2"/>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700" w:type="dxa"/>
            <w:vAlign w:val="bottom"/>
            <w:gridSpan w:val="3"/>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6640" w:type="dxa"/>
            <w:vAlign w:val="bottom"/>
            <w:gridSpan w:val="2"/>
          </w:tcPr>
          <w:p>
            <w:pPr>
              <w:ind w:left="460"/>
              <w:spacing w:after="0"/>
              <w:rPr>
                <w:sz w:val="20"/>
                <w:szCs w:val="20"/>
                <w:color w:val="auto"/>
              </w:rPr>
            </w:pPr>
            <w:r>
              <w:rPr>
                <w:rFonts w:ascii="Arial" w:cs="Arial" w:eastAsia="Arial" w:hAnsi="Arial"/>
                <w:sz w:val="18"/>
                <w:szCs w:val="18"/>
                <w:color w:val="auto"/>
                <w:w w:val="97"/>
              </w:rPr>
              <w:t>Each $1.00 increase or decrease in the assumed initial public offering price of $</w:t>
            </w:r>
          </w:p>
        </w:tc>
        <w:tc>
          <w:tcPr>
            <w:tcW w:w="4600" w:type="dxa"/>
            <w:vAlign w:val="bottom"/>
            <w:gridSpan w:val="9"/>
          </w:tcPr>
          <w:p>
            <w:pPr>
              <w:ind w:left="140"/>
              <w:spacing w:after="0"/>
              <w:rPr>
                <w:sz w:val="20"/>
                <w:szCs w:val="20"/>
                <w:color w:val="auto"/>
              </w:rPr>
            </w:pPr>
            <w:r>
              <w:rPr>
                <w:rFonts w:ascii="Arial" w:cs="Arial" w:eastAsia="Arial" w:hAnsi="Arial"/>
                <w:sz w:val="18"/>
                <w:szCs w:val="18"/>
                <w:color w:val="auto"/>
                <w:w w:val="98"/>
              </w:rPr>
              <w:t>per share, which is the midpoint of the estimated offering</w:t>
            </w:r>
          </w:p>
        </w:tc>
        <w:tc>
          <w:tcPr>
            <w:tcW w:w="0" w:type="dxa"/>
            <w:vAlign w:val="bottom"/>
          </w:tcPr>
          <w:p>
            <w:pPr>
              <w:spacing w:after="0"/>
              <w:rPr>
                <w:sz w:val="1"/>
                <w:szCs w:val="1"/>
                <w:color w:val="auto"/>
              </w:rPr>
            </w:pPr>
          </w:p>
        </w:tc>
      </w:tr>
    </w:tbl>
    <w:p>
      <w:pPr>
        <w:spacing w:after="0"/>
        <w:rPr>
          <w:sz w:val="20"/>
          <w:szCs w:val="20"/>
          <w:color w:val="auto"/>
        </w:rPr>
      </w:pPr>
      <w:r>
        <w:rPr>
          <w:rFonts w:ascii="Arial" w:cs="Arial" w:eastAsia="Arial" w:hAnsi="Arial"/>
          <w:sz w:val="16"/>
          <w:szCs w:val="16"/>
          <w:color w:val="auto"/>
        </w:rPr>
        <w:t>price range set forth on the cover page of this prospectus, would increase or decrease, as applicable, the total consideration paid by new investors and total</w:t>
      </w:r>
    </w:p>
    <w:p>
      <w:pPr>
        <w:spacing w:after="0" w:line="32" w:lineRule="exact"/>
        <w:rPr>
          <w:sz w:val="20"/>
          <w:szCs w:val="20"/>
          <w:color w:val="auto"/>
        </w:rPr>
      </w:pPr>
    </w:p>
    <w:p>
      <w:pPr>
        <w:jc w:val="both"/>
        <w:ind w:right="100"/>
        <w:spacing w:after="0" w:line="281" w:lineRule="auto"/>
        <w:rPr>
          <w:sz w:val="20"/>
          <w:szCs w:val="20"/>
          <w:color w:val="auto"/>
        </w:rPr>
      </w:pPr>
      <w:r>
        <w:rPr>
          <w:rFonts w:ascii="Arial" w:cs="Arial" w:eastAsia="Arial" w:hAnsi="Arial"/>
          <w:sz w:val="16"/>
          <w:szCs w:val="16"/>
          <w:color w:val="auto"/>
        </w:rPr>
        <w:t>consideration paid by all stockholders by approximately $ , assuming that the number of shares of our Class A common stock offered by us, as set forth on the cover page of this prospectus, remains the same and after deducting estimated underwriting discounts and commissions and estimated offering expenses payable by us. Similarly, each increase or decrease of 1.0 million in the number of shares of our Class A common stock offered by us would</w:t>
      </w:r>
    </w:p>
    <w:p>
      <w:pPr>
        <w:spacing w:after="0" w:line="2" w:lineRule="exact"/>
        <w:rPr>
          <w:sz w:val="20"/>
          <w:szCs w:val="20"/>
          <w:color w:val="auto"/>
        </w:rPr>
      </w:pPr>
    </w:p>
    <w:p>
      <w:pPr>
        <w:ind w:right="60"/>
        <w:spacing w:after="0" w:line="290" w:lineRule="auto"/>
        <w:rPr>
          <w:sz w:val="20"/>
          <w:szCs w:val="20"/>
          <w:color w:val="auto"/>
        </w:rPr>
      </w:pPr>
      <w:r>
        <w:rPr>
          <w:rFonts w:ascii="Arial" w:cs="Arial" w:eastAsia="Arial" w:hAnsi="Arial"/>
          <w:sz w:val="17"/>
          <w:szCs w:val="17"/>
          <w:color w:val="auto"/>
        </w:rPr>
        <w:t>increase or decrease the total consideration paid by new investors and total consideration paid by all stockholders by approximately $ , assuming the assumed initial public offering price remains the same and after deducting the estimated underwriting discounts and commissions payable by us.</w:t>
      </w:r>
    </w:p>
    <w:p>
      <w:pPr>
        <w:spacing w:after="0" w:line="161" w:lineRule="exact"/>
        <w:rPr>
          <w:sz w:val="20"/>
          <w:szCs w:val="20"/>
          <w:color w:val="auto"/>
        </w:rPr>
      </w:pPr>
    </w:p>
    <w:p>
      <w:pPr>
        <w:ind w:right="140" w:firstLine="449"/>
        <w:spacing w:after="0" w:line="259" w:lineRule="auto"/>
        <w:rPr>
          <w:sz w:val="20"/>
          <w:szCs w:val="20"/>
          <w:color w:val="auto"/>
        </w:rPr>
      </w:pPr>
      <w:r>
        <w:rPr>
          <w:rFonts w:ascii="Arial" w:cs="Arial" w:eastAsia="Arial" w:hAnsi="Arial"/>
          <w:sz w:val="18"/>
          <w:szCs w:val="18"/>
          <w:color w:val="auto"/>
        </w:rPr>
        <w:t>Except as otherwise indicated, the above discussion and tables assume no exercise of the underwriters’ option to purchase additional shares of our Class A common stock from us. If the underwriters’ option to purchase additional shares of our Class A common stock were exercised in full, our existing stockholders would own % and our new investors would own % of the total number of shares of our common stock outstanding upon completion of this offering.</w:t>
      </w:r>
    </w:p>
    <w:p>
      <w:pPr>
        <w:spacing w:after="0" w:line="187" w:lineRule="exact"/>
        <w:rPr>
          <w:sz w:val="20"/>
          <w:szCs w:val="20"/>
          <w:color w:val="auto"/>
        </w:rPr>
      </w:pPr>
    </w:p>
    <w:p>
      <w:pPr>
        <w:ind w:left="540" w:right="120" w:hanging="90"/>
        <w:spacing w:after="0" w:line="258" w:lineRule="auto"/>
        <w:rPr>
          <w:sz w:val="20"/>
          <w:szCs w:val="20"/>
          <w:color w:val="auto"/>
        </w:rPr>
      </w:pPr>
      <w:r>
        <w:rPr>
          <w:rFonts w:ascii="Arial" w:cs="Arial" w:eastAsia="Arial" w:hAnsi="Arial"/>
          <w:sz w:val="18"/>
          <w:szCs w:val="18"/>
          <w:color w:val="auto"/>
        </w:rPr>
        <w:t>Sales by the selling stockholders in this offering will cause the number of shares held by existing stockholders to be reduced to</w:t>
      </w:r>
      <w:r>
        <w:rPr>
          <w:sz w:val="20"/>
          <w:szCs w:val="20"/>
          <w:color w:val="auto"/>
        </w:rPr>
        <w:t xml:space="preserve"> </w:t>
      </w:r>
      <w:r>
        <w:rPr>
          <w:rFonts w:ascii="Arial" w:cs="Arial" w:eastAsia="Arial" w:hAnsi="Arial"/>
          <w:sz w:val="18"/>
          <w:szCs w:val="18"/>
          <w:color w:val="auto"/>
        </w:rPr>
        <w:t>shares, or % of the total number of shares of our common stock outstanding following the completion of this offering, and will increase the number of shares</w:t>
      </w:r>
    </w:p>
    <w:p>
      <w:pPr>
        <w:spacing w:after="0" w:line="1" w:lineRule="exact"/>
        <w:rPr>
          <w:sz w:val="20"/>
          <w:szCs w:val="20"/>
          <w:color w:val="auto"/>
        </w:rPr>
      </w:pPr>
    </w:p>
    <w:p>
      <w:pPr>
        <w:spacing w:after="0"/>
        <w:tabs>
          <w:tab w:leader="none" w:pos="2380" w:val="left"/>
          <w:tab w:leader="none" w:pos="3660" w:val="left"/>
        </w:tabs>
        <w:rPr>
          <w:sz w:val="20"/>
          <w:szCs w:val="20"/>
          <w:color w:val="auto"/>
        </w:rPr>
      </w:pPr>
      <w:r>
        <w:rPr>
          <w:rFonts w:ascii="Arial" w:cs="Arial" w:eastAsia="Arial" w:hAnsi="Arial"/>
          <w:sz w:val="18"/>
          <w:szCs w:val="18"/>
          <w:color w:val="auto"/>
        </w:rPr>
        <w:t>held by new investors to</w:t>
      </w:r>
      <w:r>
        <w:rPr>
          <w:sz w:val="20"/>
          <w:szCs w:val="20"/>
          <w:color w:val="auto"/>
        </w:rPr>
        <w:tab/>
      </w:r>
      <w:r>
        <w:rPr>
          <w:rFonts w:ascii="Arial" w:cs="Arial" w:eastAsia="Arial" w:hAnsi="Arial"/>
          <w:sz w:val="18"/>
          <w:szCs w:val="18"/>
          <w:color w:val="auto"/>
        </w:rPr>
        <w:t>shares, or</w:t>
      </w:r>
      <w:r>
        <w:rPr>
          <w:sz w:val="20"/>
          <w:szCs w:val="20"/>
          <w:color w:val="auto"/>
        </w:rPr>
        <w:tab/>
      </w:r>
      <w:r>
        <w:rPr>
          <w:rFonts w:ascii="Arial" w:cs="Arial" w:eastAsia="Arial" w:hAnsi="Arial"/>
          <w:sz w:val="16"/>
          <w:szCs w:val="16"/>
          <w:color w:val="auto"/>
        </w:rPr>
        <w:t>% of the total number of shares outstanding following the completion of this offering.</w:t>
      </w:r>
    </w:p>
    <w:p>
      <w:pPr>
        <w:spacing w:after="0" w:line="211" w:lineRule="exact"/>
        <w:rPr>
          <w:sz w:val="20"/>
          <w:szCs w:val="20"/>
          <w:color w:val="auto"/>
        </w:rPr>
      </w:pPr>
    </w:p>
    <w:p>
      <w:pPr>
        <w:ind w:right="300" w:firstLine="449"/>
        <w:spacing w:after="0" w:line="286" w:lineRule="auto"/>
        <w:rPr>
          <w:sz w:val="20"/>
          <w:szCs w:val="20"/>
          <w:color w:val="auto"/>
        </w:rPr>
      </w:pPr>
      <w:r>
        <w:rPr>
          <w:rFonts w:ascii="Arial" w:cs="Arial" w:eastAsia="Arial" w:hAnsi="Arial"/>
          <w:sz w:val="17"/>
          <w:szCs w:val="17"/>
          <w:color w:val="auto"/>
        </w:rPr>
        <w:t>The number of shares of our Class A common stock and Class B common stock that will be outstanding after this offering is based on 13,892,885 shares of our Class A common stock (including the Capital Stock Conversions) and 538,851,747 shares of our Class B common stock (including the Capital Stock Conversions and the RSU Settlement) outstanding as of September 30, 2017, and excludes the following:</w:t>
      </w:r>
    </w:p>
    <w:p>
      <w:pPr>
        <w:spacing w:after="0" w:line="71" w:lineRule="exact"/>
        <w:rPr>
          <w:sz w:val="20"/>
          <w:szCs w:val="20"/>
          <w:color w:val="auto"/>
        </w:rPr>
      </w:pPr>
    </w:p>
    <w:p>
      <w:pPr>
        <w:ind w:left="880" w:right="720" w:hanging="319"/>
        <w:spacing w:after="0" w:line="277" w:lineRule="auto"/>
        <w:tabs>
          <w:tab w:leader="none" w:pos="880" w:val="left"/>
        </w:tabs>
        <w:numPr>
          <w:ilvl w:val="0"/>
          <w:numId w:val="39"/>
        </w:numPr>
        <w:rPr>
          <w:rFonts w:ascii="Arial" w:cs="Arial" w:eastAsia="Arial" w:hAnsi="Arial"/>
          <w:sz w:val="18"/>
          <w:szCs w:val="18"/>
          <w:color w:val="auto"/>
        </w:rPr>
      </w:pPr>
      <w:r>
        <w:rPr>
          <w:rFonts w:ascii="Arial" w:cs="Arial" w:eastAsia="Arial" w:hAnsi="Arial"/>
          <w:sz w:val="18"/>
          <w:szCs w:val="18"/>
          <w:color w:val="auto"/>
        </w:rPr>
        <w:t>7,484,830 shares of our Class B common stock issuable upon the exercise of options to purchase shares of our Class B common stock outstanding as of September 30, 2017, with a weighted-average exercise price of $7.03 per share;</w:t>
      </w:r>
    </w:p>
    <w:p>
      <w:pPr>
        <w:spacing w:after="0" w:line="75" w:lineRule="exact"/>
        <w:rPr>
          <w:rFonts w:ascii="Arial" w:cs="Arial" w:eastAsia="Arial" w:hAnsi="Arial"/>
          <w:sz w:val="18"/>
          <w:szCs w:val="18"/>
          <w:color w:val="auto"/>
        </w:rPr>
      </w:pPr>
    </w:p>
    <w:p>
      <w:pPr>
        <w:ind w:left="880" w:right="380" w:hanging="319"/>
        <w:spacing w:after="0" w:line="277" w:lineRule="auto"/>
        <w:tabs>
          <w:tab w:leader="none" w:pos="880" w:val="left"/>
        </w:tabs>
        <w:numPr>
          <w:ilvl w:val="0"/>
          <w:numId w:val="39"/>
        </w:numPr>
        <w:rPr>
          <w:rFonts w:ascii="Arial" w:cs="Arial" w:eastAsia="Arial" w:hAnsi="Arial"/>
          <w:sz w:val="18"/>
          <w:szCs w:val="18"/>
          <w:color w:val="auto"/>
        </w:rPr>
      </w:pPr>
      <w:r>
        <w:rPr>
          <w:rFonts w:ascii="Arial" w:cs="Arial" w:eastAsia="Arial" w:hAnsi="Arial"/>
          <w:sz w:val="18"/>
          <w:szCs w:val="18"/>
          <w:color w:val="auto"/>
        </w:rPr>
        <w:t>22,883,109 shares of our Class A common stock and 23,405,828 shares of our Class B common stock subject to RSUs outstanding, but for which the service condition was not satisfied, as of September 30, 2017;</w:t>
      </w:r>
    </w:p>
    <w:p>
      <w:pPr>
        <w:spacing w:after="0" w:line="75" w:lineRule="exact"/>
        <w:rPr>
          <w:rFonts w:ascii="Arial" w:cs="Arial" w:eastAsia="Arial" w:hAnsi="Arial"/>
          <w:sz w:val="18"/>
          <w:szCs w:val="18"/>
          <w:color w:val="auto"/>
        </w:rPr>
      </w:pPr>
    </w:p>
    <w:p>
      <w:pPr>
        <w:ind w:left="880" w:hanging="319"/>
        <w:spacing w:after="0"/>
        <w:tabs>
          <w:tab w:leader="none" w:pos="880" w:val="left"/>
        </w:tabs>
        <w:numPr>
          <w:ilvl w:val="0"/>
          <w:numId w:val="39"/>
        </w:numPr>
        <w:rPr>
          <w:rFonts w:ascii="Arial" w:cs="Arial" w:eastAsia="Arial" w:hAnsi="Arial"/>
          <w:sz w:val="18"/>
          <w:szCs w:val="18"/>
          <w:color w:val="auto"/>
        </w:rPr>
      </w:pPr>
      <w:r>
        <w:rPr>
          <w:rFonts w:ascii="Arial" w:cs="Arial" w:eastAsia="Arial" w:hAnsi="Arial"/>
          <w:sz w:val="18"/>
          <w:szCs w:val="18"/>
          <w:color w:val="auto"/>
        </w:rPr>
        <w:t>1,588,685 shares of our Class A common stock subject to RSUs granted after September 30, 2017; and</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52</w:t>
      </w:r>
    </w:p>
    <w:p>
      <w:pPr>
        <w:sectPr>
          <w:pgSz w:w="11900" w:h="16838" w:orient="portrait"/>
          <w:cols w:equalWidth="0" w:num="1">
            <w:col w:w="11240"/>
          </w:cols>
          <w:pgMar w:left="320" w:top="459" w:right="339" w:bottom="1440" w:gutter="0" w:footer="0" w:header="0"/>
        </w:sectPr>
      </w:pPr>
    </w:p>
    <w:bookmarkStart w:id="55" w:name="page56"/>
    <w:bookmarkEnd w:id="5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480" w:hanging="919"/>
        <w:spacing w:after="0"/>
        <w:tabs>
          <w:tab w:leader="none" w:pos="1480" w:val="left"/>
        </w:tabs>
        <w:numPr>
          <w:ilvl w:val="0"/>
          <w:numId w:val="40"/>
        </w:numPr>
        <w:rPr>
          <w:rFonts w:ascii="Arial" w:cs="Arial" w:eastAsia="Arial" w:hAnsi="Arial"/>
          <w:sz w:val="18"/>
          <w:szCs w:val="18"/>
          <w:color w:val="auto"/>
        </w:rPr>
      </w:pPr>
      <w:r>
        <w:rPr>
          <w:rFonts w:ascii="Arial" w:cs="Arial" w:eastAsia="Arial" w:hAnsi="Arial"/>
          <w:sz w:val="18"/>
          <w:szCs w:val="18"/>
          <w:color w:val="auto"/>
        </w:rPr>
        <w:t>shares of our Class A common stock reserved for future issuance under our equity compensation plans, consisting of:</w:t>
      </w:r>
    </w:p>
    <w:p>
      <w:pPr>
        <w:spacing w:after="0" w:line="130" w:lineRule="exact"/>
        <w:rPr>
          <w:rFonts w:ascii="Arial" w:cs="Arial" w:eastAsia="Arial" w:hAnsi="Arial"/>
          <w:sz w:val="18"/>
          <w:szCs w:val="18"/>
          <w:color w:val="auto"/>
        </w:rPr>
      </w:pPr>
    </w:p>
    <w:p>
      <w:pPr>
        <w:ind w:left="1440" w:right="60" w:hanging="433"/>
        <w:spacing w:after="0" w:line="277" w:lineRule="auto"/>
        <w:tabs>
          <w:tab w:leader="none" w:pos="2025" w:val="left"/>
        </w:tabs>
        <w:numPr>
          <w:ilvl w:val="1"/>
          <w:numId w:val="40"/>
        </w:numPr>
        <w:rPr>
          <w:rFonts w:ascii="Arial" w:cs="Arial" w:eastAsia="Arial" w:hAnsi="Arial"/>
          <w:sz w:val="18"/>
          <w:szCs w:val="18"/>
          <w:color w:val="auto"/>
        </w:rPr>
      </w:pPr>
      <w:r>
        <w:rPr>
          <w:rFonts w:ascii="Arial" w:cs="Arial" w:eastAsia="Arial" w:hAnsi="Arial"/>
          <w:sz w:val="18"/>
          <w:szCs w:val="18"/>
          <w:color w:val="auto"/>
        </w:rPr>
        <w:t>shares of our Class A common stock to be reserved for future issuance under our 2018 Equity Incentive Plan, or our 2018 Plan, which will become effective prior to the completion of this offering;</w:t>
      </w:r>
    </w:p>
    <w:p>
      <w:pPr>
        <w:spacing w:after="0" w:line="75" w:lineRule="exact"/>
        <w:rPr>
          <w:rFonts w:ascii="Arial" w:cs="Arial" w:eastAsia="Arial" w:hAnsi="Arial"/>
          <w:sz w:val="18"/>
          <w:szCs w:val="18"/>
          <w:color w:val="auto"/>
        </w:rPr>
      </w:pPr>
    </w:p>
    <w:p>
      <w:pPr>
        <w:ind w:left="1440" w:right="360" w:hanging="433"/>
        <w:spacing w:after="0" w:line="263" w:lineRule="auto"/>
        <w:tabs>
          <w:tab w:leader="none" w:pos="2025" w:val="left"/>
        </w:tabs>
        <w:numPr>
          <w:ilvl w:val="1"/>
          <w:numId w:val="40"/>
        </w:numPr>
        <w:rPr>
          <w:rFonts w:ascii="Arial" w:cs="Arial" w:eastAsia="Arial" w:hAnsi="Arial"/>
          <w:sz w:val="18"/>
          <w:szCs w:val="18"/>
          <w:color w:val="auto"/>
        </w:rPr>
      </w:pPr>
      <w:r>
        <w:rPr>
          <w:rFonts w:ascii="Arial" w:cs="Arial" w:eastAsia="Arial" w:hAnsi="Arial"/>
          <w:sz w:val="18"/>
          <w:szCs w:val="18"/>
          <w:color w:val="auto"/>
        </w:rPr>
        <w:t>shares of our Class A common stock reserved for future issuance under our 2017 Equity Incentive Plan, or our 2017 Plan, which number of shares will be added to the shares of our Class A common stock to be reserved for future issuance under our 2018 Plan upon its effectiveness; and</w:t>
      </w:r>
    </w:p>
    <w:p>
      <w:pPr>
        <w:spacing w:after="0" w:line="89" w:lineRule="exact"/>
        <w:rPr>
          <w:rFonts w:ascii="Arial" w:cs="Arial" w:eastAsia="Arial" w:hAnsi="Arial"/>
          <w:sz w:val="18"/>
          <w:szCs w:val="18"/>
          <w:color w:val="auto"/>
        </w:rPr>
      </w:pPr>
    </w:p>
    <w:p>
      <w:pPr>
        <w:jc w:val="both"/>
        <w:ind w:left="1440" w:hanging="433"/>
        <w:spacing w:after="0" w:line="263" w:lineRule="auto"/>
        <w:tabs>
          <w:tab w:leader="none" w:pos="2025" w:val="left"/>
        </w:tabs>
        <w:numPr>
          <w:ilvl w:val="1"/>
          <w:numId w:val="40"/>
        </w:numPr>
        <w:rPr>
          <w:rFonts w:ascii="Arial" w:cs="Arial" w:eastAsia="Arial" w:hAnsi="Arial"/>
          <w:sz w:val="18"/>
          <w:szCs w:val="18"/>
          <w:color w:val="auto"/>
        </w:rPr>
      </w:pPr>
      <w:r>
        <w:rPr>
          <w:rFonts w:ascii="Arial" w:cs="Arial" w:eastAsia="Arial" w:hAnsi="Arial"/>
          <w:sz w:val="18"/>
          <w:szCs w:val="18"/>
          <w:color w:val="auto"/>
        </w:rPr>
        <w:t>shares of our Class A common stock to be reserved for future issuance under our ESPP, which will become effective prior to the completion of this offering, but no offering periods under the ESPP will commence unless and until otherwise determined by our Board of Directors.</w:t>
      </w:r>
    </w:p>
    <w:p>
      <w:pPr>
        <w:spacing w:after="0" w:line="184" w:lineRule="exact"/>
        <w:rPr>
          <w:sz w:val="20"/>
          <w:szCs w:val="20"/>
          <w:color w:val="auto"/>
        </w:rPr>
      </w:pPr>
    </w:p>
    <w:p>
      <w:pPr>
        <w:ind w:right="140" w:firstLine="449"/>
        <w:spacing w:after="0" w:line="259" w:lineRule="auto"/>
        <w:rPr>
          <w:sz w:val="20"/>
          <w:szCs w:val="20"/>
          <w:color w:val="auto"/>
        </w:rPr>
      </w:pPr>
      <w:r>
        <w:rPr>
          <w:rFonts w:ascii="Arial" w:cs="Arial" w:eastAsia="Arial" w:hAnsi="Arial"/>
          <w:sz w:val="18"/>
          <w:szCs w:val="18"/>
          <w:color w:val="auto"/>
        </w:rPr>
        <w:t>Our 2018 Plan and ESPP each provides for annual automatic increases in the number of shares of our Class A common stock reserved thereunder, and our 2018 Plan also provides for increases to the number of shares of our Class A common stock that may be granted thereunder based on shares under our 2008 Equity Incentive Plan, or our 2008 Plan, and 2017 Plan that expire, are forfeited, or otherwise repurchased by us, as more fully described in the section titled “Executive Compensation—Employee Benefits and Stock Plans.”</w:t>
      </w:r>
    </w:p>
    <w:p>
      <w:pPr>
        <w:spacing w:after="0" w:line="187" w:lineRule="exact"/>
        <w:rPr>
          <w:sz w:val="20"/>
          <w:szCs w:val="20"/>
          <w:color w:val="auto"/>
        </w:rPr>
      </w:pPr>
    </w:p>
    <w:p>
      <w:pPr>
        <w:ind w:right="60" w:firstLine="449"/>
        <w:spacing w:after="0" w:line="277" w:lineRule="auto"/>
        <w:rPr>
          <w:sz w:val="20"/>
          <w:szCs w:val="20"/>
          <w:color w:val="auto"/>
        </w:rPr>
      </w:pPr>
      <w:r>
        <w:rPr>
          <w:rFonts w:ascii="Arial" w:cs="Arial" w:eastAsia="Arial" w:hAnsi="Arial"/>
          <w:sz w:val="18"/>
          <w:szCs w:val="18"/>
          <w:color w:val="auto"/>
        </w:rPr>
        <w:t>To the extent that any outstanding options to purchase our common stock are exercised, RSUs are settled or new awards are granted under our equity compensation plans, there will be further dilution to investors participating in this offering.</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53</w:t>
      </w:r>
    </w:p>
    <w:p>
      <w:pPr>
        <w:sectPr>
          <w:pgSz w:w="11900" w:h="16838" w:orient="portrait"/>
          <w:cols w:equalWidth="0" w:num="1">
            <w:col w:w="11240"/>
          </w:cols>
          <w:pgMar w:left="320" w:top="459" w:right="339" w:bottom="1440" w:gutter="0" w:footer="0" w:header="0"/>
        </w:sectPr>
      </w:pPr>
    </w:p>
    <w:bookmarkStart w:id="56" w:name="page57"/>
    <w:bookmarkEnd w:id="5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SELECTED CONSOLIDATED FINANCIAL AND OTHER DATA</w:t>
      </w:r>
    </w:p>
    <w:p>
      <w:pPr>
        <w:spacing w:after="0" w:line="229" w:lineRule="exact"/>
        <w:rPr>
          <w:sz w:val="20"/>
          <w:szCs w:val="20"/>
          <w:color w:val="auto"/>
        </w:rPr>
      </w:pPr>
    </w:p>
    <w:p>
      <w:pPr>
        <w:ind w:firstLine="449"/>
        <w:spacing w:after="0" w:line="269" w:lineRule="auto"/>
        <w:rPr>
          <w:sz w:val="20"/>
          <w:szCs w:val="20"/>
          <w:color w:val="auto"/>
        </w:rPr>
      </w:pPr>
      <w:r>
        <w:rPr>
          <w:rFonts w:ascii="Arial" w:cs="Arial" w:eastAsia="Arial" w:hAnsi="Arial"/>
          <w:sz w:val="17"/>
          <w:szCs w:val="17"/>
          <w:color w:val="auto"/>
        </w:rPr>
        <w:t>The following selected consolidated financial data should be read in conjunction with “Management’s Discussion and Analysis of Financial Condition and Results of Operations” and the consolidated financial statements and related notes thereto included elsewhere in this prospectus. The consolidated statements of operations data for each of the years ended December 31, 2015 and 2016, and the consolidated balance sheet data as of December 31, 2015 and 2016, are derived from our audited consolidated financial statements that are included elsewhere in this prospectus. The consolidated statements of operations data for the nine months ended September 30, 2016 and 2017, and the consolidated balance sheet data as of September 30, 2017, have been derived from our unaudited consolidated financial statements appearing elsewhere in this prospectus. We have prepared the unaudited consolidated financial statements on the same basis as the audited consolidated financial statements and have included all adjustments, consisting only of normal recurring adjustments that, in our opinion, are necessary to state fairly the financial information set forth in those statements. Our historical results are not necessarily indicative of our future results, and the results of operations for the nine months ended September 30, 2017 are not necessarily indicative of the results to be expected for the full year or any other period. The selected consolidated financial data in this section are not intended to replace the consolidated financial statements and related notes thereto included elsewhere in this prospectus and are qualified in their entirety by the consolidated financial statements and related notes thereto included elsewhere in this prospectus.</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Consolidated Statements of Operations Data</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60" w:type="dxa"/>
            <w:vAlign w:val="bottom"/>
            <w:gridSpan w:val="6"/>
          </w:tcPr>
          <w:p>
            <w:pPr>
              <w:jc w:val="right"/>
              <w:ind w:right="761"/>
              <w:spacing w:after="0"/>
              <w:rPr>
                <w:sz w:val="20"/>
                <w:szCs w:val="20"/>
                <w:color w:val="auto"/>
              </w:rPr>
            </w:pPr>
            <w:r>
              <w:rPr>
                <w:rFonts w:ascii="Arial" w:cs="Arial" w:eastAsia="Arial" w:hAnsi="Arial"/>
                <w:sz w:val="14"/>
                <w:szCs w:val="14"/>
                <w:b w:val="1"/>
                <w:bCs w:val="1"/>
                <w:color w:val="auto"/>
              </w:rPr>
              <w:t>Year ended</w:t>
            </w:r>
          </w:p>
        </w:tc>
        <w:tc>
          <w:tcPr>
            <w:tcW w:w="100" w:type="dxa"/>
            <w:vAlign w:val="bottom"/>
          </w:tcPr>
          <w:p>
            <w:pPr>
              <w:spacing w:after="0"/>
              <w:rPr>
                <w:sz w:val="14"/>
                <w:szCs w:val="14"/>
                <w:color w:val="auto"/>
              </w:rPr>
            </w:pPr>
          </w:p>
        </w:tc>
        <w:tc>
          <w:tcPr>
            <w:tcW w:w="1500" w:type="dxa"/>
            <w:vAlign w:val="bottom"/>
            <w:gridSpan w:val="5"/>
          </w:tcPr>
          <w:p>
            <w:pPr>
              <w:jc w:val="right"/>
              <w:ind w:right="181"/>
              <w:spacing w:after="0"/>
              <w:rPr>
                <w:sz w:val="20"/>
                <w:szCs w:val="20"/>
                <w:color w:val="auto"/>
              </w:rPr>
            </w:pPr>
            <w:r>
              <w:rPr>
                <w:rFonts w:ascii="Arial" w:cs="Arial" w:eastAsia="Arial" w:hAnsi="Arial"/>
                <w:sz w:val="14"/>
                <w:szCs w:val="14"/>
                <w:b w:val="1"/>
                <w:bCs w:val="1"/>
                <w:color w:val="auto"/>
                <w:w w:val="93"/>
              </w:rPr>
              <w:t>Nine months ended</w:t>
            </w:r>
          </w:p>
        </w:tc>
        <w:tc>
          <w:tcPr>
            <w:tcW w:w="0" w:type="dxa"/>
            <w:vAlign w:val="bottom"/>
          </w:tcPr>
          <w:p>
            <w:pPr>
              <w:spacing w:after="0"/>
              <w:rPr>
                <w:sz w:val="1"/>
                <w:szCs w:val="1"/>
                <w:color w:val="auto"/>
              </w:rPr>
            </w:pPr>
          </w:p>
        </w:tc>
      </w:tr>
      <w:tr>
        <w:trPr>
          <w:trHeight w:val="171"/>
        </w:trPr>
        <w:tc>
          <w:tcPr>
            <w:tcW w:w="7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60" w:type="dxa"/>
            <w:vAlign w:val="bottom"/>
            <w:gridSpan w:val="6"/>
          </w:tcPr>
          <w:p>
            <w:pPr>
              <w:jc w:val="right"/>
              <w:ind w:right="681"/>
              <w:spacing w:after="0"/>
              <w:rPr>
                <w:sz w:val="20"/>
                <w:szCs w:val="20"/>
                <w:color w:val="auto"/>
              </w:rPr>
            </w:pPr>
            <w:r>
              <w:rPr>
                <w:rFonts w:ascii="Arial" w:cs="Arial" w:eastAsia="Arial" w:hAnsi="Arial"/>
                <w:sz w:val="14"/>
                <w:szCs w:val="14"/>
                <w:b w:val="1"/>
                <w:bCs w:val="1"/>
                <w:color w:val="auto"/>
              </w:rPr>
              <w:t>December 31,</w:t>
            </w:r>
          </w:p>
        </w:tc>
        <w:tc>
          <w:tcPr>
            <w:tcW w:w="100" w:type="dxa"/>
            <w:vAlign w:val="bottom"/>
          </w:tcPr>
          <w:p>
            <w:pPr>
              <w:spacing w:after="0"/>
              <w:rPr>
                <w:sz w:val="14"/>
                <w:szCs w:val="14"/>
                <w:color w:val="auto"/>
              </w:rPr>
            </w:pPr>
          </w:p>
        </w:tc>
        <w:tc>
          <w:tcPr>
            <w:tcW w:w="1500" w:type="dxa"/>
            <w:vAlign w:val="bottom"/>
            <w:gridSpan w:val="5"/>
          </w:tcPr>
          <w:p>
            <w:pPr>
              <w:jc w:val="right"/>
              <w:ind w:right="341"/>
              <w:spacing w:after="0"/>
              <w:rPr>
                <w:sz w:val="20"/>
                <w:szCs w:val="20"/>
                <w:color w:val="auto"/>
              </w:rPr>
            </w:pPr>
            <w:r>
              <w:rPr>
                <w:rFonts w:ascii="Arial" w:cs="Arial" w:eastAsia="Arial" w:hAnsi="Arial"/>
                <w:sz w:val="14"/>
                <w:szCs w:val="14"/>
                <w:b w:val="1"/>
                <w:bCs w:val="1"/>
                <w:color w:val="auto"/>
              </w:rPr>
              <w:t>September 30,</w:t>
            </w:r>
          </w:p>
        </w:tc>
        <w:tc>
          <w:tcPr>
            <w:tcW w:w="0" w:type="dxa"/>
            <w:vAlign w:val="bottom"/>
          </w:tcPr>
          <w:p>
            <w:pPr>
              <w:spacing w:after="0"/>
              <w:rPr>
                <w:sz w:val="1"/>
                <w:szCs w:val="1"/>
                <w:color w:val="auto"/>
              </w:rPr>
            </w:pPr>
          </w:p>
        </w:tc>
      </w:tr>
      <w:tr>
        <w:trPr>
          <w:trHeight w:val="142"/>
        </w:trPr>
        <w:tc>
          <w:tcPr>
            <w:tcW w:w="7680" w:type="dxa"/>
            <w:vAlign w:val="bottom"/>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460" w:type="dxa"/>
            <w:vAlign w:val="bottom"/>
            <w:tcBorders>
              <w:top w:val="single" w:sz="8" w:color="auto"/>
              <w:bottom w:val="single" w:sz="8" w:color="auto"/>
            </w:tcBorders>
          </w:tcPr>
          <w:p>
            <w:pPr>
              <w:jc w:val="right"/>
              <w:ind w:right="54"/>
              <w:spacing w:after="0" w:line="142" w:lineRule="exact"/>
              <w:rPr>
                <w:sz w:val="20"/>
                <w:szCs w:val="20"/>
                <w:color w:val="auto"/>
              </w:rPr>
            </w:pPr>
            <w:r>
              <w:rPr>
                <w:rFonts w:ascii="Arial" w:cs="Arial" w:eastAsia="Arial" w:hAnsi="Arial"/>
                <w:sz w:val="14"/>
                <w:szCs w:val="14"/>
                <w:b w:val="1"/>
                <w:bCs w:val="1"/>
                <w:color w:val="auto"/>
                <w:w w:val="96"/>
              </w:rPr>
              <w:t>2015</w:t>
            </w:r>
          </w:p>
        </w:tc>
        <w:tc>
          <w:tcPr>
            <w:tcW w:w="240" w:type="dxa"/>
            <w:vAlign w:val="bottom"/>
            <w:tcBorders>
              <w:top w:val="single" w:sz="8" w:color="auto"/>
              <w:bottom w:val="single" w:sz="8" w:color="auto"/>
            </w:tcBorders>
          </w:tcPr>
          <w:p>
            <w:pPr>
              <w:spacing w:after="0"/>
              <w:rPr>
                <w:sz w:val="12"/>
                <w:szCs w:val="12"/>
                <w:color w:val="auto"/>
              </w:rPr>
            </w:pPr>
          </w:p>
        </w:tc>
        <w:tc>
          <w:tcPr>
            <w:tcW w:w="180" w:type="dxa"/>
            <w:vAlign w:val="bottom"/>
            <w:tcBorders>
              <w:top w:val="single" w:sz="8" w:color="auto"/>
              <w:bottom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460" w:type="dxa"/>
            <w:vAlign w:val="bottom"/>
            <w:tcBorders>
              <w:top w:val="single" w:sz="8" w:color="auto"/>
              <w:bottom w:val="single" w:sz="8" w:color="auto"/>
            </w:tcBorders>
          </w:tcPr>
          <w:p>
            <w:pPr>
              <w:jc w:val="right"/>
              <w:ind w:right="51"/>
              <w:spacing w:after="0" w:line="142" w:lineRule="exact"/>
              <w:rPr>
                <w:sz w:val="20"/>
                <w:szCs w:val="20"/>
                <w:color w:val="auto"/>
              </w:rPr>
            </w:pPr>
            <w:r>
              <w:rPr>
                <w:rFonts w:ascii="Arial" w:cs="Arial" w:eastAsia="Arial" w:hAnsi="Arial"/>
                <w:sz w:val="14"/>
                <w:szCs w:val="14"/>
                <w:b w:val="1"/>
                <w:bCs w:val="1"/>
                <w:color w:val="auto"/>
                <w:w w:val="96"/>
              </w:rPr>
              <w:t>2016</w:t>
            </w:r>
          </w:p>
        </w:tc>
        <w:tc>
          <w:tcPr>
            <w:tcW w:w="420" w:type="dxa"/>
            <w:vAlign w:val="bottom"/>
            <w:tcBorders>
              <w:bottom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480" w:type="dxa"/>
            <w:vAlign w:val="bottom"/>
            <w:tcBorders>
              <w:top w:val="single" w:sz="8" w:color="auto"/>
              <w:bottom w:val="single" w:sz="8" w:color="auto"/>
            </w:tcBorders>
          </w:tcPr>
          <w:p>
            <w:pPr>
              <w:jc w:val="right"/>
              <w:ind w:right="53"/>
              <w:spacing w:after="0" w:line="142" w:lineRule="exact"/>
              <w:rPr>
                <w:sz w:val="20"/>
                <w:szCs w:val="20"/>
                <w:color w:val="auto"/>
              </w:rPr>
            </w:pPr>
            <w:r>
              <w:rPr>
                <w:rFonts w:ascii="Arial" w:cs="Arial" w:eastAsia="Arial" w:hAnsi="Arial"/>
                <w:sz w:val="14"/>
                <w:szCs w:val="14"/>
                <w:b w:val="1"/>
                <w:bCs w:val="1"/>
                <w:color w:val="auto"/>
              </w:rPr>
              <w:t>2016</w:t>
            </w:r>
          </w:p>
        </w:tc>
        <w:tc>
          <w:tcPr>
            <w:tcW w:w="400" w:type="dxa"/>
            <w:vAlign w:val="bottom"/>
            <w:tcBorders>
              <w:top w:val="single" w:sz="8" w:color="auto"/>
              <w:bottom w:val="single" w:sz="8" w:color="auto"/>
            </w:tcBorders>
          </w:tcPr>
          <w:p>
            <w:pPr>
              <w:spacing w:after="0"/>
              <w:rPr>
                <w:sz w:val="12"/>
                <w:szCs w:val="12"/>
                <w:color w:val="auto"/>
              </w:rPr>
            </w:pPr>
          </w:p>
        </w:tc>
        <w:tc>
          <w:tcPr>
            <w:tcW w:w="520" w:type="dxa"/>
            <w:vAlign w:val="bottom"/>
            <w:tcBorders>
              <w:top w:val="single" w:sz="8" w:color="auto"/>
              <w:bottom w:val="single" w:sz="8" w:color="auto"/>
            </w:tcBorders>
            <w:gridSpan w:val="2"/>
          </w:tcPr>
          <w:p>
            <w:pPr>
              <w:jc w:val="right"/>
              <w:ind w:right="30"/>
              <w:spacing w:after="0" w:line="142" w:lineRule="exact"/>
              <w:rPr>
                <w:sz w:val="20"/>
                <w:szCs w:val="20"/>
                <w:color w:val="auto"/>
              </w:rPr>
            </w:pPr>
            <w:r>
              <w:rPr>
                <w:rFonts w:ascii="Arial" w:cs="Arial" w:eastAsia="Arial" w:hAnsi="Arial"/>
                <w:sz w:val="14"/>
                <w:szCs w:val="14"/>
                <w:b w:val="1"/>
                <w:bCs w:val="1"/>
                <w:color w:val="auto"/>
              </w:rPr>
              <w:t>2017</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7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840" w:type="dxa"/>
            <w:vAlign w:val="bottom"/>
            <w:gridSpan w:val="9"/>
          </w:tcPr>
          <w:p>
            <w:pPr>
              <w:jc w:val="right"/>
              <w:spacing w:after="0" w:line="142" w:lineRule="exact"/>
              <w:rPr>
                <w:sz w:val="20"/>
                <w:szCs w:val="20"/>
                <w:color w:val="auto"/>
              </w:rPr>
            </w:pPr>
            <w:r>
              <w:rPr>
                <w:rFonts w:ascii="Arial" w:cs="Arial" w:eastAsia="Arial" w:hAnsi="Arial"/>
                <w:sz w:val="14"/>
                <w:szCs w:val="14"/>
                <w:i w:val="1"/>
                <w:iCs w:val="1"/>
                <w:color w:val="auto"/>
              </w:rPr>
              <w:t>(In millions except for per share amounts)</w:t>
            </w:r>
          </w:p>
        </w:tc>
        <w:tc>
          <w:tcPr>
            <w:tcW w:w="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7680" w:type="dxa"/>
            <w:vAlign w:val="bottom"/>
            <w:shd w:val="clear" w:color="auto" w:fill="CCEEFF"/>
          </w:tcPr>
          <w:p>
            <w:pPr>
              <w:spacing w:after="0"/>
              <w:rPr>
                <w:sz w:val="20"/>
                <w:szCs w:val="20"/>
                <w:color w:val="auto"/>
              </w:rPr>
            </w:pPr>
            <w:r>
              <w:rPr>
                <w:rFonts w:ascii="Arial" w:cs="Arial" w:eastAsia="Arial" w:hAnsi="Arial"/>
                <w:sz w:val="18"/>
                <w:szCs w:val="18"/>
                <w:color w:val="auto"/>
              </w:rPr>
              <w:t>Revenue</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gridSpan w:val="2"/>
            <w:shd w:val="clear" w:color="auto" w:fill="CCEEFF"/>
          </w:tcPr>
          <w:p>
            <w:pPr>
              <w:jc w:val="right"/>
              <w:ind w:right="161"/>
              <w:spacing w:after="0"/>
              <w:rPr>
                <w:sz w:val="20"/>
                <w:szCs w:val="20"/>
                <w:color w:val="auto"/>
              </w:rPr>
            </w:pPr>
            <w:r>
              <w:rPr>
                <w:rFonts w:ascii="Arial" w:cs="Arial" w:eastAsia="Arial" w:hAnsi="Arial"/>
                <w:sz w:val="18"/>
                <w:szCs w:val="18"/>
                <w:color w:val="auto"/>
                <w:w w:val="97"/>
              </w:rPr>
              <w:t>603.8</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341"/>
              <w:spacing w:after="0"/>
              <w:rPr>
                <w:sz w:val="20"/>
                <w:szCs w:val="20"/>
                <w:color w:val="auto"/>
              </w:rPr>
            </w:pPr>
            <w:r>
              <w:rPr>
                <w:rFonts w:ascii="Arial" w:cs="Arial" w:eastAsia="Arial" w:hAnsi="Arial"/>
                <w:sz w:val="18"/>
                <w:szCs w:val="18"/>
                <w:color w:val="auto"/>
                <w:w w:val="97"/>
              </w:rPr>
              <w:t>844.8</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gridSpan w:val="2"/>
            <w:shd w:val="clear" w:color="auto" w:fill="CCEEFF"/>
          </w:tcPr>
          <w:p>
            <w:pPr>
              <w:jc w:val="right"/>
              <w:ind w:right="321"/>
              <w:spacing w:after="0"/>
              <w:rPr>
                <w:sz w:val="20"/>
                <w:szCs w:val="20"/>
                <w:color w:val="auto"/>
              </w:rPr>
            </w:pPr>
            <w:r>
              <w:rPr>
                <w:rFonts w:ascii="Arial" w:cs="Arial" w:eastAsia="Arial" w:hAnsi="Arial"/>
                <w:sz w:val="18"/>
                <w:szCs w:val="18"/>
                <w:color w:val="auto"/>
              </w:rPr>
              <w:t>606.8</w:t>
            </w:r>
          </w:p>
        </w:tc>
        <w:tc>
          <w:tcPr>
            <w:tcW w:w="620" w:type="dxa"/>
            <w:vAlign w:val="bottom"/>
            <w:gridSpan w:val="3"/>
            <w:shd w:val="clear" w:color="auto" w:fill="CCEEFF"/>
          </w:tcPr>
          <w:p>
            <w:pPr>
              <w:jc w:val="right"/>
              <w:ind w:right="21"/>
              <w:spacing w:after="0"/>
              <w:rPr>
                <w:sz w:val="20"/>
                <w:szCs w:val="20"/>
                <w:color w:val="auto"/>
              </w:rPr>
            </w:pPr>
            <w:r>
              <w:rPr>
                <w:rFonts w:ascii="Arial" w:cs="Arial" w:eastAsia="Arial" w:hAnsi="Arial"/>
                <w:sz w:val="18"/>
                <w:szCs w:val="18"/>
                <w:color w:val="auto"/>
                <w:w w:val="90"/>
              </w:rPr>
              <w:t>$801.3</w:t>
            </w:r>
          </w:p>
        </w:tc>
        <w:tc>
          <w:tcPr>
            <w:tcW w:w="0" w:type="dxa"/>
            <w:vAlign w:val="bottom"/>
          </w:tcPr>
          <w:p>
            <w:pPr>
              <w:spacing w:after="0"/>
              <w:rPr>
                <w:sz w:val="1"/>
                <w:szCs w:val="1"/>
                <w:color w:val="auto"/>
              </w:rPr>
            </w:pPr>
          </w:p>
        </w:tc>
      </w:tr>
      <w:tr>
        <w:trPr>
          <w:trHeight w:val="216"/>
        </w:trPr>
        <w:tc>
          <w:tcPr>
            <w:tcW w:w="7680" w:type="dxa"/>
            <w:vAlign w:val="bottom"/>
          </w:tcPr>
          <w:p>
            <w:pPr>
              <w:spacing w:after="0"/>
              <w:rPr>
                <w:sz w:val="20"/>
                <w:szCs w:val="20"/>
                <w:color w:val="auto"/>
              </w:rPr>
            </w:pPr>
            <w:r>
              <w:rPr>
                <w:rFonts w:ascii="Arial" w:cs="Arial" w:eastAsia="Arial" w:hAnsi="Arial"/>
                <w:sz w:val="18"/>
                <w:szCs w:val="18"/>
                <w:color w:val="auto"/>
              </w:rPr>
              <w:t>Cost of revenue</w:t>
            </w:r>
            <w:r>
              <w:rPr>
                <w:rFonts w:ascii="Arial" w:cs="Arial" w:eastAsia="Arial" w:hAnsi="Arial"/>
                <w:sz w:val="15"/>
                <w:szCs w:val="15"/>
                <w:color w:val="auto"/>
              </w:rPr>
              <w:t>(1)</w:t>
            </w:r>
          </w:p>
        </w:tc>
        <w:tc>
          <w:tcPr>
            <w:tcW w:w="100" w:type="dxa"/>
            <w:vAlign w:val="bottom"/>
          </w:tcPr>
          <w:p>
            <w:pPr>
              <w:spacing w:after="0"/>
              <w:rPr>
                <w:sz w:val="18"/>
                <w:szCs w:val="18"/>
                <w:color w:val="auto"/>
              </w:rPr>
            </w:pPr>
          </w:p>
        </w:tc>
        <w:tc>
          <w:tcPr>
            <w:tcW w:w="700" w:type="dxa"/>
            <w:vAlign w:val="bottom"/>
            <w:gridSpan w:val="2"/>
          </w:tcPr>
          <w:p>
            <w:pPr>
              <w:jc w:val="right"/>
              <w:ind w:right="161"/>
              <w:spacing w:after="0"/>
              <w:rPr>
                <w:sz w:val="20"/>
                <w:szCs w:val="20"/>
                <w:color w:val="auto"/>
              </w:rPr>
            </w:pPr>
            <w:r>
              <w:rPr>
                <w:rFonts w:ascii="Arial" w:cs="Arial" w:eastAsia="Arial" w:hAnsi="Arial"/>
                <w:sz w:val="18"/>
                <w:szCs w:val="18"/>
                <w:color w:val="auto"/>
                <w:w w:val="97"/>
              </w:rPr>
              <w:t>407.4</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341"/>
              <w:spacing w:after="0"/>
              <w:rPr>
                <w:sz w:val="20"/>
                <w:szCs w:val="20"/>
                <w:color w:val="auto"/>
              </w:rPr>
            </w:pPr>
            <w:r>
              <w:rPr>
                <w:rFonts w:ascii="Arial" w:cs="Arial" w:eastAsia="Arial" w:hAnsi="Arial"/>
                <w:sz w:val="18"/>
                <w:szCs w:val="18"/>
                <w:color w:val="auto"/>
                <w:w w:val="97"/>
              </w:rPr>
              <w:t>390.6</w:t>
            </w:r>
          </w:p>
        </w:tc>
        <w:tc>
          <w:tcPr>
            <w:tcW w:w="100" w:type="dxa"/>
            <w:vAlign w:val="bottom"/>
          </w:tcPr>
          <w:p>
            <w:pPr>
              <w:spacing w:after="0"/>
              <w:rPr>
                <w:sz w:val="18"/>
                <w:szCs w:val="18"/>
                <w:color w:val="auto"/>
              </w:rPr>
            </w:pPr>
          </w:p>
        </w:tc>
        <w:tc>
          <w:tcPr>
            <w:tcW w:w="880" w:type="dxa"/>
            <w:vAlign w:val="bottom"/>
            <w:gridSpan w:val="2"/>
          </w:tcPr>
          <w:p>
            <w:pPr>
              <w:jc w:val="right"/>
              <w:ind w:right="321"/>
              <w:spacing w:after="0"/>
              <w:rPr>
                <w:sz w:val="20"/>
                <w:szCs w:val="20"/>
                <w:color w:val="auto"/>
              </w:rPr>
            </w:pPr>
            <w:r>
              <w:rPr>
                <w:rFonts w:ascii="Arial" w:cs="Arial" w:eastAsia="Arial" w:hAnsi="Arial"/>
                <w:sz w:val="18"/>
                <w:szCs w:val="18"/>
                <w:color w:val="auto"/>
              </w:rPr>
              <w:t>301.3</w:t>
            </w:r>
          </w:p>
        </w:tc>
        <w:tc>
          <w:tcPr>
            <w:tcW w:w="620" w:type="dxa"/>
            <w:vAlign w:val="bottom"/>
            <w:gridSpan w:val="3"/>
          </w:tcPr>
          <w:p>
            <w:pPr>
              <w:jc w:val="right"/>
              <w:ind w:right="21"/>
              <w:spacing w:after="0"/>
              <w:rPr>
                <w:sz w:val="20"/>
                <w:szCs w:val="20"/>
                <w:color w:val="auto"/>
              </w:rPr>
            </w:pPr>
            <w:r>
              <w:rPr>
                <w:rFonts w:ascii="Arial" w:cs="Arial" w:eastAsia="Arial" w:hAnsi="Arial"/>
                <w:sz w:val="18"/>
                <w:szCs w:val="18"/>
                <w:color w:val="auto"/>
              </w:rPr>
              <w:t>277.2</w:t>
            </w:r>
          </w:p>
        </w:tc>
        <w:tc>
          <w:tcPr>
            <w:tcW w:w="0" w:type="dxa"/>
            <w:vAlign w:val="bottom"/>
          </w:tcPr>
          <w:p>
            <w:pPr>
              <w:spacing w:after="0"/>
              <w:rPr>
                <w:sz w:val="1"/>
                <w:szCs w:val="1"/>
                <w:color w:val="auto"/>
              </w:rPr>
            </w:pPr>
          </w:p>
        </w:tc>
      </w:tr>
      <w:tr>
        <w:trPr>
          <w:trHeight w:val="27"/>
        </w:trPr>
        <w:tc>
          <w:tcPr>
            <w:tcW w:w="76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2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7680" w:type="dxa"/>
            <w:vAlign w:val="bottom"/>
            <w:shd w:val="clear" w:color="auto" w:fill="CCEEFF"/>
          </w:tcPr>
          <w:p>
            <w:pPr>
              <w:spacing w:after="0"/>
              <w:rPr>
                <w:sz w:val="20"/>
                <w:szCs w:val="20"/>
                <w:color w:val="auto"/>
              </w:rPr>
            </w:pPr>
            <w:r>
              <w:rPr>
                <w:rFonts w:ascii="Arial" w:cs="Arial" w:eastAsia="Arial" w:hAnsi="Arial"/>
                <w:sz w:val="18"/>
                <w:szCs w:val="18"/>
                <w:color w:val="auto"/>
              </w:rPr>
              <w:t>Gross profit</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61"/>
              <w:spacing w:after="0"/>
              <w:rPr>
                <w:sz w:val="20"/>
                <w:szCs w:val="20"/>
                <w:color w:val="auto"/>
              </w:rPr>
            </w:pPr>
            <w:r>
              <w:rPr>
                <w:rFonts w:ascii="Arial" w:cs="Arial" w:eastAsia="Arial" w:hAnsi="Arial"/>
                <w:sz w:val="18"/>
                <w:szCs w:val="18"/>
                <w:color w:val="auto"/>
                <w:w w:val="97"/>
              </w:rPr>
              <w:t>196.4</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41"/>
              <w:spacing w:after="0"/>
              <w:rPr>
                <w:sz w:val="20"/>
                <w:szCs w:val="20"/>
                <w:color w:val="auto"/>
              </w:rPr>
            </w:pPr>
            <w:r>
              <w:rPr>
                <w:rFonts w:ascii="Arial" w:cs="Arial" w:eastAsia="Arial" w:hAnsi="Arial"/>
                <w:sz w:val="18"/>
                <w:szCs w:val="18"/>
                <w:color w:val="auto"/>
                <w:w w:val="97"/>
              </w:rPr>
              <w:t>454.2</w:t>
            </w: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21"/>
              <w:spacing w:after="0"/>
              <w:rPr>
                <w:sz w:val="20"/>
                <w:szCs w:val="20"/>
                <w:color w:val="auto"/>
              </w:rPr>
            </w:pPr>
            <w:r>
              <w:rPr>
                <w:rFonts w:ascii="Arial" w:cs="Arial" w:eastAsia="Arial" w:hAnsi="Arial"/>
                <w:sz w:val="18"/>
                <w:szCs w:val="18"/>
                <w:color w:val="auto"/>
              </w:rPr>
              <w:t>305.5</w:t>
            </w:r>
          </w:p>
        </w:tc>
        <w:tc>
          <w:tcPr>
            <w:tcW w:w="620" w:type="dxa"/>
            <w:vAlign w:val="bottom"/>
            <w:gridSpan w:val="3"/>
            <w:shd w:val="clear" w:color="auto" w:fill="CCEEFF"/>
          </w:tcPr>
          <w:p>
            <w:pPr>
              <w:jc w:val="right"/>
              <w:ind w:right="21"/>
              <w:spacing w:after="0"/>
              <w:rPr>
                <w:sz w:val="20"/>
                <w:szCs w:val="20"/>
                <w:color w:val="auto"/>
              </w:rPr>
            </w:pPr>
            <w:r>
              <w:rPr>
                <w:rFonts w:ascii="Arial" w:cs="Arial" w:eastAsia="Arial" w:hAnsi="Arial"/>
                <w:sz w:val="18"/>
                <w:szCs w:val="18"/>
                <w:color w:val="auto"/>
              </w:rPr>
              <w:t>524.1</w:t>
            </w:r>
          </w:p>
        </w:tc>
        <w:tc>
          <w:tcPr>
            <w:tcW w:w="0" w:type="dxa"/>
            <w:vAlign w:val="bottom"/>
          </w:tcPr>
          <w:p>
            <w:pPr>
              <w:spacing w:after="0"/>
              <w:rPr>
                <w:sz w:val="1"/>
                <w:szCs w:val="1"/>
                <w:color w:val="auto"/>
              </w:rPr>
            </w:pPr>
          </w:p>
        </w:tc>
      </w:tr>
      <w:tr>
        <w:trPr>
          <w:trHeight w:val="216"/>
        </w:trPr>
        <w:tc>
          <w:tcPr>
            <w:tcW w:w="7680" w:type="dxa"/>
            <w:vAlign w:val="bottom"/>
          </w:tcPr>
          <w:p>
            <w:pPr>
              <w:spacing w:after="0"/>
              <w:rPr>
                <w:sz w:val="20"/>
                <w:szCs w:val="20"/>
                <w:color w:val="auto"/>
              </w:rPr>
            </w:pPr>
            <w:r>
              <w:rPr>
                <w:rFonts w:ascii="Arial" w:cs="Arial" w:eastAsia="Arial" w:hAnsi="Arial"/>
                <w:sz w:val="18"/>
                <w:szCs w:val="18"/>
                <w:color w:val="auto"/>
              </w:rPr>
              <w:t>Operating expenses:</w:t>
            </w:r>
            <w:r>
              <w:rPr>
                <w:rFonts w:ascii="Arial" w:cs="Arial" w:eastAsia="Arial" w:hAnsi="Arial"/>
                <w:sz w:val="15"/>
                <w:szCs w:val="15"/>
                <w:color w:val="auto"/>
              </w:rPr>
              <w:t>(1)</w:t>
            </w: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6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Research and development</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61"/>
              <w:spacing w:after="0"/>
              <w:rPr>
                <w:sz w:val="20"/>
                <w:szCs w:val="20"/>
                <w:color w:val="auto"/>
              </w:rPr>
            </w:pPr>
            <w:r>
              <w:rPr>
                <w:rFonts w:ascii="Arial" w:cs="Arial" w:eastAsia="Arial" w:hAnsi="Arial"/>
                <w:sz w:val="18"/>
                <w:szCs w:val="18"/>
                <w:color w:val="auto"/>
                <w:w w:val="97"/>
              </w:rPr>
              <w:t>201.6</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41"/>
              <w:spacing w:after="0"/>
              <w:rPr>
                <w:sz w:val="20"/>
                <w:szCs w:val="20"/>
                <w:color w:val="auto"/>
              </w:rPr>
            </w:pPr>
            <w:r>
              <w:rPr>
                <w:rFonts w:ascii="Arial" w:cs="Arial" w:eastAsia="Arial" w:hAnsi="Arial"/>
                <w:sz w:val="18"/>
                <w:szCs w:val="18"/>
                <w:color w:val="auto"/>
                <w:w w:val="97"/>
              </w:rPr>
              <w:t>289.7</w:t>
            </w: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21"/>
              <w:spacing w:after="0"/>
              <w:rPr>
                <w:sz w:val="20"/>
                <w:szCs w:val="20"/>
                <w:color w:val="auto"/>
              </w:rPr>
            </w:pPr>
            <w:r>
              <w:rPr>
                <w:rFonts w:ascii="Arial" w:cs="Arial" w:eastAsia="Arial" w:hAnsi="Arial"/>
                <w:sz w:val="18"/>
                <w:szCs w:val="18"/>
                <w:color w:val="auto"/>
              </w:rPr>
              <w:t>215.6</w:t>
            </w:r>
          </w:p>
        </w:tc>
        <w:tc>
          <w:tcPr>
            <w:tcW w:w="620" w:type="dxa"/>
            <w:vAlign w:val="bottom"/>
            <w:gridSpan w:val="3"/>
            <w:shd w:val="clear" w:color="auto" w:fill="CCEEFF"/>
          </w:tcPr>
          <w:p>
            <w:pPr>
              <w:jc w:val="right"/>
              <w:ind w:right="21"/>
              <w:spacing w:after="0"/>
              <w:rPr>
                <w:sz w:val="20"/>
                <w:szCs w:val="20"/>
                <w:color w:val="auto"/>
              </w:rPr>
            </w:pPr>
            <w:r>
              <w:rPr>
                <w:rFonts w:ascii="Arial" w:cs="Arial" w:eastAsia="Arial" w:hAnsi="Arial"/>
                <w:sz w:val="18"/>
                <w:szCs w:val="18"/>
                <w:color w:val="auto"/>
              </w:rPr>
              <w:t>276.3</w:t>
            </w:r>
          </w:p>
        </w:tc>
        <w:tc>
          <w:tcPr>
            <w:tcW w:w="0" w:type="dxa"/>
            <w:vAlign w:val="bottom"/>
          </w:tcPr>
          <w:p>
            <w:pPr>
              <w:spacing w:after="0"/>
              <w:rPr>
                <w:sz w:val="1"/>
                <w:szCs w:val="1"/>
                <w:color w:val="auto"/>
              </w:rPr>
            </w:pPr>
          </w:p>
        </w:tc>
      </w:tr>
      <w:tr>
        <w:trPr>
          <w:trHeight w:val="216"/>
        </w:trPr>
        <w:tc>
          <w:tcPr>
            <w:tcW w:w="7680" w:type="dxa"/>
            <w:vAlign w:val="bottom"/>
          </w:tcPr>
          <w:p>
            <w:pPr>
              <w:ind w:left="360"/>
              <w:spacing w:after="0"/>
              <w:rPr>
                <w:sz w:val="20"/>
                <w:szCs w:val="20"/>
                <w:color w:val="auto"/>
              </w:rPr>
            </w:pPr>
            <w:r>
              <w:rPr>
                <w:rFonts w:ascii="Arial" w:cs="Arial" w:eastAsia="Arial" w:hAnsi="Arial"/>
                <w:sz w:val="18"/>
                <w:szCs w:val="18"/>
                <w:color w:val="auto"/>
              </w:rPr>
              <w:t>Sales and marketing</w:t>
            </w:r>
          </w:p>
        </w:tc>
        <w:tc>
          <w:tcPr>
            <w:tcW w:w="100" w:type="dxa"/>
            <w:vAlign w:val="bottom"/>
          </w:tcPr>
          <w:p>
            <w:pPr>
              <w:spacing w:after="0"/>
              <w:rPr>
                <w:sz w:val="18"/>
                <w:szCs w:val="18"/>
                <w:color w:val="auto"/>
              </w:rPr>
            </w:pPr>
          </w:p>
        </w:tc>
        <w:tc>
          <w:tcPr>
            <w:tcW w:w="700" w:type="dxa"/>
            <w:vAlign w:val="bottom"/>
            <w:gridSpan w:val="2"/>
          </w:tcPr>
          <w:p>
            <w:pPr>
              <w:jc w:val="right"/>
              <w:ind w:right="161"/>
              <w:spacing w:after="0"/>
              <w:rPr>
                <w:sz w:val="20"/>
                <w:szCs w:val="20"/>
                <w:color w:val="auto"/>
              </w:rPr>
            </w:pPr>
            <w:r>
              <w:rPr>
                <w:rFonts w:ascii="Arial" w:cs="Arial" w:eastAsia="Arial" w:hAnsi="Arial"/>
                <w:sz w:val="18"/>
                <w:szCs w:val="18"/>
                <w:color w:val="auto"/>
                <w:w w:val="97"/>
              </w:rPr>
              <w:t>193.1</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341"/>
              <w:spacing w:after="0"/>
              <w:rPr>
                <w:sz w:val="20"/>
                <w:szCs w:val="20"/>
                <w:color w:val="auto"/>
              </w:rPr>
            </w:pPr>
            <w:r>
              <w:rPr>
                <w:rFonts w:ascii="Arial" w:cs="Arial" w:eastAsia="Arial" w:hAnsi="Arial"/>
                <w:sz w:val="18"/>
                <w:szCs w:val="18"/>
                <w:color w:val="auto"/>
                <w:w w:val="97"/>
              </w:rPr>
              <w:t>250.6</w:t>
            </w:r>
          </w:p>
        </w:tc>
        <w:tc>
          <w:tcPr>
            <w:tcW w:w="100" w:type="dxa"/>
            <w:vAlign w:val="bottom"/>
          </w:tcPr>
          <w:p>
            <w:pPr>
              <w:spacing w:after="0"/>
              <w:rPr>
                <w:sz w:val="18"/>
                <w:szCs w:val="18"/>
                <w:color w:val="auto"/>
              </w:rPr>
            </w:pPr>
          </w:p>
        </w:tc>
        <w:tc>
          <w:tcPr>
            <w:tcW w:w="880" w:type="dxa"/>
            <w:vAlign w:val="bottom"/>
            <w:gridSpan w:val="2"/>
          </w:tcPr>
          <w:p>
            <w:pPr>
              <w:jc w:val="right"/>
              <w:ind w:right="321"/>
              <w:spacing w:after="0"/>
              <w:rPr>
                <w:sz w:val="20"/>
                <w:szCs w:val="20"/>
                <w:color w:val="auto"/>
              </w:rPr>
            </w:pPr>
            <w:r>
              <w:rPr>
                <w:rFonts w:ascii="Arial" w:cs="Arial" w:eastAsia="Arial" w:hAnsi="Arial"/>
                <w:sz w:val="18"/>
                <w:szCs w:val="18"/>
                <w:color w:val="auto"/>
              </w:rPr>
              <w:t>186.7</w:t>
            </w:r>
          </w:p>
        </w:tc>
        <w:tc>
          <w:tcPr>
            <w:tcW w:w="620" w:type="dxa"/>
            <w:vAlign w:val="bottom"/>
            <w:gridSpan w:val="3"/>
          </w:tcPr>
          <w:p>
            <w:pPr>
              <w:jc w:val="right"/>
              <w:ind w:right="21"/>
              <w:spacing w:after="0"/>
              <w:rPr>
                <w:sz w:val="20"/>
                <w:szCs w:val="20"/>
                <w:color w:val="auto"/>
              </w:rPr>
            </w:pPr>
            <w:r>
              <w:rPr>
                <w:rFonts w:ascii="Arial" w:cs="Arial" w:eastAsia="Arial" w:hAnsi="Arial"/>
                <w:sz w:val="18"/>
                <w:szCs w:val="18"/>
                <w:color w:val="auto"/>
              </w:rPr>
              <w:t>211.1</w:t>
            </w:r>
          </w:p>
        </w:tc>
        <w:tc>
          <w:tcPr>
            <w:tcW w:w="0" w:type="dxa"/>
            <w:vAlign w:val="bottom"/>
          </w:tcPr>
          <w:p>
            <w:pPr>
              <w:spacing w:after="0"/>
              <w:rPr>
                <w:sz w:val="1"/>
                <w:szCs w:val="1"/>
                <w:color w:val="auto"/>
              </w:rPr>
            </w:pPr>
          </w:p>
        </w:tc>
      </w:tr>
      <w:tr>
        <w:trPr>
          <w:trHeight w:val="216"/>
        </w:trPr>
        <w:tc>
          <w:tcPr>
            <w:tcW w:w="76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General and administrative</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61"/>
              <w:spacing w:after="0"/>
              <w:rPr>
                <w:sz w:val="20"/>
                <w:szCs w:val="20"/>
                <w:color w:val="auto"/>
              </w:rPr>
            </w:pPr>
            <w:r>
              <w:rPr>
                <w:rFonts w:ascii="Arial" w:cs="Arial" w:eastAsia="Arial" w:hAnsi="Arial"/>
                <w:sz w:val="18"/>
                <w:szCs w:val="18"/>
                <w:color w:val="auto"/>
                <w:w w:val="97"/>
              </w:rPr>
              <w:t>107.9</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41"/>
              <w:spacing w:after="0"/>
              <w:rPr>
                <w:sz w:val="20"/>
                <w:szCs w:val="20"/>
                <w:color w:val="auto"/>
              </w:rPr>
            </w:pPr>
            <w:r>
              <w:rPr>
                <w:rFonts w:ascii="Arial" w:cs="Arial" w:eastAsia="Arial" w:hAnsi="Arial"/>
                <w:sz w:val="18"/>
                <w:szCs w:val="18"/>
                <w:color w:val="auto"/>
                <w:w w:val="97"/>
              </w:rPr>
              <w:t>107.4</w:t>
            </w: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21"/>
              <w:spacing w:after="0"/>
              <w:rPr>
                <w:sz w:val="20"/>
                <w:szCs w:val="20"/>
                <w:color w:val="auto"/>
              </w:rPr>
            </w:pPr>
            <w:r>
              <w:rPr>
                <w:rFonts w:ascii="Arial" w:cs="Arial" w:eastAsia="Arial" w:hAnsi="Arial"/>
                <w:sz w:val="18"/>
                <w:szCs w:val="18"/>
                <w:color w:val="auto"/>
              </w:rPr>
              <w:t>76.5</w:t>
            </w:r>
          </w:p>
        </w:tc>
        <w:tc>
          <w:tcPr>
            <w:tcW w:w="620" w:type="dxa"/>
            <w:vAlign w:val="bottom"/>
            <w:gridSpan w:val="3"/>
            <w:shd w:val="clear" w:color="auto" w:fill="CCEEFF"/>
          </w:tcPr>
          <w:p>
            <w:pPr>
              <w:jc w:val="right"/>
              <w:ind w:right="21"/>
              <w:spacing w:after="0"/>
              <w:rPr>
                <w:sz w:val="20"/>
                <w:szCs w:val="20"/>
                <w:color w:val="auto"/>
              </w:rPr>
            </w:pPr>
            <w:r>
              <w:rPr>
                <w:rFonts w:ascii="Arial" w:cs="Arial" w:eastAsia="Arial" w:hAnsi="Arial"/>
                <w:sz w:val="18"/>
                <w:szCs w:val="18"/>
                <w:color w:val="auto"/>
              </w:rPr>
              <w:t>113.1</w:t>
            </w:r>
          </w:p>
        </w:tc>
        <w:tc>
          <w:tcPr>
            <w:tcW w:w="0" w:type="dxa"/>
            <w:vAlign w:val="bottom"/>
          </w:tcPr>
          <w:p>
            <w:pPr>
              <w:spacing w:after="0"/>
              <w:rPr>
                <w:sz w:val="1"/>
                <w:szCs w:val="1"/>
                <w:color w:val="auto"/>
              </w:rPr>
            </w:pPr>
          </w:p>
        </w:tc>
      </w:tr>
      <w:tr>
        <w:trPr>
          <w:trHeight w:val="230"/>
        </w:trPr>
        <w:tc>
          <w:tcPr>
            <w:tcW w:w="7680" w:type="dxa"/>
            <w:vAlign w:val="bottom"/>
          </w:tcPr>
          <w:p>
            <w:pPr>
              <w:spacing w:after="0"/>
              <w:rPr>
                <w:sz w:val="20"/>
                <w:szCs w:val="20"/>
                <w:color w:val="auto"/>
              </w:rPr>
            </w:pPr>
            <w:r>
              <w:rPr>
                <w:rFonts w:ascii="Arial" w:cs="Arial" w:eastAsia="Arial" w:hAnsi="Arial"/>
                <w:sz w:val="18"/>
                <w:szCs w:val="18"/>
                <w:color w:val="auto"/>
              </w:rPr>
              <w:t>Total operating expenses</w:t>
            </w:r>
          </w:p>
        </w:tc>
        <w:tc>
          <w:tcPr>
            <w:tcW w:w="100" w:type="dxa"/>
            <w:vAlign w:val="bottom"/>
            <w:tcBorders>
              <w:top w:val="single" w:sz="8" w:color="auto"/>
              <w:bottom w:val="single" w:sz="8" w:color="auto"/>
            </w:tcBorders>
          </w:tcPr>
          <w:p>
            <w:pPr>
              <w:spacing w:after="0"/>
              <w:rPr>
                <w:sz w:val="20"/>
                <w:szCs w:val="20"/>
                <w:color w:val="auto"/>
              </w:rPr>
            </w:pPr>
          </w:p>
        </w:tc>
        <w:tc>
          <w:tcPr>
            <w:tcW w:w="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7"/>
              </w:rPr>
              <w:t>502.6</w:t>
            </w:r>
          </w:p>
        </w:tc>
        <w:tc>
          <w:tcPr>
            <w:tcW w:w="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7"/>
              </w:rPr>
              <w:t>647.7</w:t>
            </w:r>
          </w:p>
        </w:tc>
        <w:tc>
          <w:tcPr>
            <w:tcW w:w="42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478.8</w:t>
            </w:r>
          </w:p>
        </w:tc>
        <w:tc>
          <w:tcPr>
            <w:tcW w:w="4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600.5</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7680" w:type="dxa"/>
            <w:vAlign w:val="bottom"/>
            <w:shd w:val="clear" w:color="auto" w:fill="CCEEFF"/>
          </w:tcPr>
          <w:p>
            <w:pPr>
              <w:spacing w:after="0"/>
              <w:rPr>
                <w:sz w:val="20"/>
                <w:szCs w:val="20"/>
                <w:color w:val="auto"/>
              </w:rPr>
            </w:pPr>
            <w:r>
              <w:rPr>
                <w:rFonts w:ascii="Arial" w:cs="Arial" w:eastAsia="Arial" w:hAnsi="Arial"/>
                <w:sz w:val="18"/>
                <w:szCs w:val="18"/>
                <w:color w:val="auto"/>
              </w:rPr>
              <w:t>Loss from operations</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1"/>
              <w:spacing w:after="0"/>
              <w:rPr>
                <w:sz w:val="20"/>
                <w:szCs w:val="20"/>
                <w:color w:val="auto"/>
              </w:rPr>
            </w:pPr>
            <w:r>
              <w:rPr>
                <w:rFonts w:ascii="Arial" w:cs="Arial" w:eastAsia="Arial" w:hAnsi="Arial"/>
                <w:sz w:val="18"/>
                <w:szCs w:val="18"/>
                <w:color w:val="auto"/>
                <w:w w:val="87"/>
              </w:rPr>
              <w:t>(306.2)</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81"/>
              <w:spacing w:after="0"/>
              <w:rPr>
                <w:sz w:val="20"/>
                <w:szCs w:val="20"/>
                <w:color w:val="auto"/>
              </w:rPr>
            </w:pPr>
            <w:r>
              <w:rPr>
                <w:rFonts w:ascii="Arial" w:cs="Arial" w:eastAsia="Arial" w:hAnsi="Arial"/>
                <w:sz w:val="18"/>
                <w:szCs w:val="18"/>
                <w:color w:val="auto"/>
                <w:w w:val="87"/>
              </w:rPr>
              <w:t>(193.5)</w:t>
            </w: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61"/>
              <w:spacing w:after="0"/>
              <w:rPr>
                <w:sz w:val="20"/>
                <w:szCs w:val="20"/>
                <w:color w:val="auto"/>
              </w:rPr>
            </w:pPr>
            <w:r>
              <w:rPr>
                <w:rFonts w:ascii="Arial" w:cs="Arial" w:eastAsia="Arial" w:hAnsi="Arial"/>
                <w:sz w:val="18"/>
                <w:szCs w:val="18"/>
                <w:color w:val="auto"/>
                <w:w w:val="91"/>
              </w:rPr>
              <w:t>(173.3)</w:t>
            </w:r>
          </w:p>
        </w:tc>
        <w:tc>
          <w:tcPr>
            <w:tcW w:w="6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(76.4)</w:t>
            </w:r>
          </w:p>
        </w:tc>
        <w:tc>
          <w:tcPr>
            <w:tcW w:w="0" w:type="dxa"/>
            <w:vAlign w:val="bottom"/>
          </w:tcPr>
          <w:p>
            <w:pPr>
              <w:spacing w:after="0"/>
              <w:rPr>
                <w:sz w:val="1"/>
                <w:szCs w:val="1"/>
                <w:color w:val="auto"/>
              </w:rPr>
            </w:pPr>
          </w:p>
        </w:tc>
      </w:tr>
      <w:tr>
        <w:trPr>
          <w:trHeight w:val="216"/>
        </w:trPr>
        <w:tc>
          <w:tcPr>
            <w:tcW w:w="7680" w:type="dxa"/>
            <w:vAlign w:val="bottom"/>
          </w:tcPr>
          <w:p>
            <w:pPr>
              <w:spacing w:after="0"/>
              <w:rPr>
                <w:sz w:val="20"/>
                <w:szCs w:val="20"/>
                <w:color w:val="auto"/>
              </w:rPr>
            </w:pPr>
            <w:r>
              <w:rPr>
                <w:rFonts w:ascii="Arial" w:cs="Arial" w:eastAsia="Arial" w:hAnsi="Arial"/>
                <w:sz w:val="18"/>
                <w:szCs w:val="18"/>
                <w:color w:val="auto"/>
              </w:rPr>
              <w:t>Interest expense, net</w:t>
            </w:r>
          </w:p>
        </w:tc>
        <w:tc>
          <w:tcPr>
            <w:tcW w:w="100" w:type="dxa"/>
            <w:vAlign w:val="bottom"/>
          </w:tcPr>
          <w:p>
            <w:pPr>
              <w:spacing w:after="0"/>
              <w:rPr>
                <w:sz w:val="18"/>
                <w:szCs w:val="18"/>
                <w:color w:val="auto"/>
              </w:rPr>
            </w:pPr>
          </w:p>
        </w:tc>
        <w:tc>
          <w:tcPr>
            <w:tcW w:w="700" w:type="dxa"/>
            <w:vAlign w:val="bottom"/>
            <w:gridSpan w:val="2"/>
          </w:tcPr>
          <w:p>
            <w:pPr>
              <w:jc w:val="right"/>
              <w:ind w:right="101"/>
              <w:spacing w:after="0"/>
              <w:rPr>
                <w:sz w:val="20"/>
                <w:szCs w:val="20"/>
                <w:color w:val="auto"/>
              </w:rPr>
            </w:pPr>
            <w:r>
              <w:rPr>
                <w:rFonts w:ascii="Arial" w:cs="Arial" w:eastAsia="Arial" w:hAnsi="Arial"/>
                <w:sz w:val="18"/>
                <w:szCs w:val="18"/>
                <w:color w:val="auto"/>
              </w:rPr>
              <w:t>(15.2)</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281"/>
              <w:spacing w:after="0"/>
              <w:rPr>
                <w:sz w:val="20"/>
                <w:szCs w:val="20"/>
                <w:color w:val="auto"/>
              </w:rPr>
            </w:pPr>
            <w:r>
              <w:rPr>
                <w:rFonts w:ascii="Arial" w:cs="Arial" w:eastAsia="Arial" w:hAnsi="Arial"/>
                <w:sz w:val="18"/>
                <w:szCs w:val="18"/>
                <w:color w:val="auto"/>
              </w:rPr>
              <w:t>(16.4)</w:t>
            </w:r>
          </w:p>
        </w:tc>
        <w:tc>
          <w:tcPr>
            <w:tcW w:w="100" w:type="dxa"/>
            <w:vAlign w:val="bottom"/>
          </w:tcPr>
          <w:p>
            <w:pPr>
              <w:spacing w:after="0"/>
              <w:rPr>
                <w:sz w:val="18"/>
                <w:szCs w:val="18"/>
                <w:color w:val="auto"/>
              </w:rPr>
            </w:pPr>
          </w:p>
        </w:tc>
        <w:tc>
          <w:tcPr>
            <w:tcW w:w="880" w:type="dxa"/>
            <w:vAlign w:val="bottom"/>
            <w:gridSpan w:val="2"/>
          </w:tcPr>
          <w:p>
            <w:pPr>
              <w:jc w:val="right"/>
              <w:ind w:right="261"/>
              <w:spacing w:after="0"/>
              <w:rPr>
                <w:sz w:val="20"/>
                <w:szCs w:val="20"/>
                <w:color w:val="auto"/>
              </w:rPr>
            </w:pPr>
            <w:r>
              <w:rPr>
                <w:rFonts w:ascii="Arial" w:cs="Arial" w:eastAsia="Arial" w:hAnsi="Arial"/>
                <w:sz w:val="18"/>
                <w:szCs w:val="18"/>
                <w:color w:val="auto"/>
              </w:rPr>
              <w:t>(12.7)</w:t>
            </w:r>
          </w:p>
        </w:tc>
        <w:tc>
          <w:tcPr>
            <w:tcW w:w="620" w:type="dxa"/>
            <w:vAlign w:val="bottom"/>
            <w:gridSpan w:val="3"/>
          </w:tcPr>
          <w:p>
            <w:pPr>
              <w:jc w:val="right"/>
              <w:spacing w:after="0"/>
              <w:rPr>
                <w:sz w:val="20"/>
                <w:szCs w:val="20"/>
                <w:color w:val="auto"/>
              </w:rPr>
            </w:pPr>
            <w:r>
              <w:rPr>
                <w:rFonts w:ascii="Arial" w:cs="Arial" w:eastAsia="Arial" w:hAnsi="Arial"/>
                <w:sz w:val="18"/>
                <w:szCs w:val="18"/>
                <w:color w:val="auto"/>
              </w:rPr>
              <w:t>(9.4)</w:t>
            </w:r>
          </w:p>
        </w:tc>
        <w:tc>
          <w:tcPr>
            <w:tcW w:w="0" w:type="dxa"/>
            <w:vAlign w:val="bottom"/>
          </w:tcPr>
          <w:p>
            <w:pPr>
              <w:spacing w:after="0"/>
              <w:rPr>
                <w:sz w:val="1"/>
                <w:szCs w:val="1"/>
                <w:color w:val="auto"/>
              </w:rPr>
            </w:pPr>
          </w:p>
        </w:tc>
      </w:tr>
      <w:tr>
        <w:trPr>
          <w:trHeight w:val="216"/>
        </w:trPr>
        <w:tc>
          <w:tcPr>
            <w:tcW w:w="7680" w:type="dxa"/>
            <w:vAlign w:val="bottom"/>
            <w:shd w:val="clear" w:color="auto" w:fill="CCEEFF"/>
          </w:tcPr>
          <w:p>
            <w:pPr>
              <w:spacing w:after="0"/>
              <w:rPr>
                <w:sz w:val="20"/>
                <w:szCs w:val="20"/>
                <w:color w:val="auto"/>
              </w:rPr>
            </w:pPr>
            <w:r>
              <w:rPr>
                <w:rFonts w:ascii="Arial" w:cs="Arial" w:eastAsia="Arial" w:hAnsi="Arial"/>
                <w:sz w:val="18"/>
                <w:szCs w:val="18"/>
                <w:color w:val="auto"/>
              </w:rPr>
              <w:t>Other income (expense), net</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1"/>
              <w:spacing w:after="0"/>
              <w:rPr>
                <w:sz w:val="20"/>
                <w:szCs w:val="20"/>
                <w:color w:val="auto"/>
              </w:rPr>
            </w:pPr>
            <w:r>
              <w:rPr>
                <w:rFonts w:ascii="Arial" w:cs="Arial" w:eastAsia="Arial" w:hAnsi="Arial"/>
                <w:sz w:val="18"/>
                <w:szCs w:val="18"/>
                <w:color w:val="auto"/>
              </w:rPr>
              <w:t>(4.2)</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41"/>
              <w:spacing w:after="0"/>
              <w:rPr>
                <w:sz w:val="20"/>
                <w:szCs w:val="20"/>
                <w:color w:val="auto"/>
              </w:rPr>
            </w:pPr>
            <w:r>
              <w:rPr>
                <w:rFonts w:ascii="Arial" w:cs="Arial" w:eastAsia="Arial" w:hAnsi="Arial"/>
                <w:sz w:val="18"/>
                <w:szCs w:val="18"/>
                <w:color w:val="auto"/>
              </w:rPr>
              <w:t>4.9</w:t>
            </w: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21"/>
              <w:spacing w:after="0"/>
              <w:rPr>
                <w:sz w:val="20"/>
                <w:szCs w:val="20"/>
                <w:color w:val="auto"/>
              </w:rPr>
            </w:pPr>
            <w:r>
              <w:rPr>
                <w:rFonts w:ascii="Arial" w:cs="Arial" w:eastAsia="Arial" w:hAnsi="Arial"/>
                <w:sz w:val="18"/>
                <w:szCs w:val="18"/>
                <w:color w:val="auto"/>
              </w:rPr>
              <w:t>8.3</w:t>
            </w:r>
          </w:p>
        </w:tc>
        <w:tc>
          <w:tcPr>
            <w:tcW w:w="620" w:type="dxa"/>
            <w:vAlign w:val="bottom"/>
            <w:gridSpan w:val="3"/>
            <w:shd w:val="clear" w:color="auto" w:fill="CCEEFF"/>
          </w:tcPr>
          <w:p>
            <w:pPr>
              <w:jc w:val="right"/>
              <w:ind w:right="21"/>
              <w:spacing w:after="0"/>
              <w:rPr>
                <w:sz w:val="20"/>
                <w:szCs w:val="20"/>
                <w:color w:val="auto"/>
              </w:rPr>
            </w:pPr>
            <w:r>
              <w:rPr>
                <w:rFonts w:ascii="Arial" w:cs="Arial" w:eastAsia="Arial" w:hAnsi="Arial"/>
                <w:sz w:val="18"/>
                <w:szCs w:val="18"/>
                <w:color w:val="auto"/>
              </w:rPr>
              <w:t>13.0</w:t>
            </w:r>
          </w:p>
        </w:tc>
        <w:tc>
          <w:tcPr>
            <w:tcW w:w="0" w:type="dxa"/>
            <w:vAlign w:val="bottom"/>
          </w:tcPr>
          <w:p>
            <w:pPr>
              <w:spacing w:after="0"/>
              <w:rPr>
                <w:sz w:val="1"/>
                <w:szCs w:val="1"/>
                <w:color w:val="auto"/>
              </w:rPr>
            </w:pPr>
          </w:p>
        </w:tc>
      </w:tr>
      <w:tr>
        <w:trPr>
          <w:trHeight w:val="20"/>
        </w:trPr>
        <w:tc>
          <w:tcPr>
            <w:tcW w:w="7680" w:type="dxa"/>
            <w:vAlign w:val="bottom"/>
            <w:vMerge w:val="restart"/>
          </w:tcPr>
          <w:p>
            <w:pPr>
              <w:spacing w:after="0"/>
              <w:rPr>
                <w:sz w:val="20"/>
                <w:szCs w:val="20"/>
                <w:color w:val="auto"/>
              </w:rPr>
            </w:pPr>
            <w:r>
              <w:rPr>
                <w:rFonts w:ascii="Arial" w:cs="Arial" w:eastAsia="Arial" w:hAnsi="Arial"/>
                <w:sz w:val="18"/>
                <w:szCs w:val="18"/>
                <w:color w:val="auto"/>
              </w:rPr>
              <w:t>Loss before income taxes</w:t>
            </w:r>
          </w:p>
        </w:tc>
        <w:tc>
          <w:tcPr>
            <w:tcW w:w="10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768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700" w:type="dxa"/>
            <w:vAlign w:val="bottom"/>
            <w:gridSpan w:val="2"/>
          </w:tcPr>
          <w:p>
            <w:pPr>
              <w:jc w:val="right"/>
              <w:ind w:right="101"/>
              <w:spacing w:after="0"/>
              <w:rPr>
                <w:sz w:val="20"/>
                <w:szCs w:val="20"/>
                <w:color w:val="auto"/>
              </w:rPr>
            </w:pPr>
            <w:r>
              <w:rPr>
                <w:rFonts w:ascii="Arial" w:cs="Arial" w:eastAsia="Arial" w:hAnsi="Arial"/>
                <w:sz w:val="18"/>
                <w:szCs w:val="18"/>
                <w:color w:val="auto"/>
                <w:w w:val="87"/>
              </w:rPr>
              <w:t>(325.6)</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80" w:type="dxa"/>
            <w:vAlign w:val="bottom"/>
            <w:gridSpan w:val="2"/>
          </w:tcPr>
          <w:p>
            <w:pPr>
              <w:jc w:val="right"/>
              <w:ind w:right="281"/>
              <w:spacing w:after="0"/>
              <w:rPr>
                <w:sz w:val="20"/>
                <w:szCs w:val="20"/>
                <w:color w:val="auto"/>
              </w:rPr>
            </w:pPr>
            <w:r>
              <w:rPr>
                <w:rFonts w:ascii="Arial" w:cs="Arial" w:eastAsia="Arial" w:hAnsi="Arial"/>
                <w:sz w:val="18"/>
                <w:szCs w:val="18"/>
                <w:color w:val="auto"/>
                <w:w w:val="87"/>
              </w:rPr>
              <w:t>(205.0)</w:t>
            </w:r>
          </w:p>
        </w:tc>
        <w:tc>
          <w:tcPr>
            <w:tcW w:w="100" w:type="dxa"/>
            <w:vAlign w:val="bottom"/>
          </w:tcPr>
          <w:p>
            <w:pPr>
              <w:spacing w:after="0"/>
              <w:rPr>
                <w:sz w:val="19"/>
                <w:szCs w:val="19"/>
                <w:color w:val="auto"/>
              </w:rPr>
            </w:pPr>
          </w:p>
        </w:tc>
        <w:tc>
          <w:tcPr>
            <w:tcW w:w="880" w:type="dxa"/>
            <w:vAlign w:val="bottom"/>
            <w:gridSpan w:val="2"/>
          </w:tcPr>
          <w:p>
            <w:pPr>
              <w:jc w:val="right"/>
              <w:ind w:right="261"/>
              <w:spacing w:after="0"/>
              <w:rPr>
                <w:sz w:val="20"/>
                <w:szCs w:val="20"/>
                <w:color w:val="auto"/>
              </w:rPr>
            </w:pPr>
            <w:r>
              <w:rPr>
                <w:rFonts w:ascii="Arial" w:cs="Arial" w:eastAsia="Arial" w:hAnsi="Arial"/>
                <w:sz w:val="18"/>
                <w:szCs w:val="18"/>
                <w:color w:val="auto"/>
                <w:w w:val="91"/>
              </w:rPr>
              <w:t>(177.7)</w:t>
            </w:r>
          </w:p>
        </w:tc>
        <w:tc>
          <w:tcPr>
            <w:tcW w:w="20" w:type="dxa"/>
            <w:vAlign w:val="bottom"/>
            <w:vMerge w:val="continue"/>
          </w:tcPr>
          <w:p>
            <w:pPr>
              <w:spacing w:after="0"/>
              <w:rPr>
                <w:sz w:val="19"/>
                <w:szCs w:val="19"/>
                <w:color w:val="auto"/>
              </w:rPr>
            </w:pPr>
          </w:p>
        </w:tc>
        <w:tc>
          <w:tcPr>
            <w:tcW w:w="600" w:type="dxa"/>
            <w:vAlign w:val="bottom"/>
            <w:gridSpan w:val="2"/>
          </w:tcPr>
          <w:p>
            <w:pPr>
              <w:jc w:val="right"/>
              <w:spacing w:after="0"/>
              <w:rPr>
                <w:sz w:val="20"/>
                <w:szCs w:val="20"/>
                <w:color w:val="auto"/>
              </w:rPr>
            </w:pPr>
            <w:r>
              <w:rPr>
                <w:rFonts w:ascii="Arial" w:cs="Arial" w:eastAsia="Arial" w:hAnsi="Arial"/>
                <w:sz w:val="18"/>
                <w:szCs w:val="18"/>
                <w:color w:val="auto"/>
              </w:rPr>
              <w:t>(72.8)</w:t>
            </w:r>
          </w:p>
        </w:tc>
        <w:tc>
          <w:tcPr>
            <w:tcW w:w="0" w:type="dxa"/>
            <w:vAlign w:val="bottom"/>
          </w:tcPr>
          <w:p>
            <w:pPr>
              <w:spacing w:after="0"/>
              <w:rPr>
                <w:sz w:val="1"/>
                <w:szCs w:val="1"/>
                <w:color w:val="auto"/>
              </w:rPr>
            </w:pPr>
          </w:p>
        </w:tc>
      </w:tr>
      <w:tr>
        <w:trPr>
          <w:trHeight w:val="216"/>
        </w:trPr>
        <w:tc>
          <w:tcPr>
            <w:tcW w:w="7680" w:type="dxa"/>
            <w:vAlign w:val="bottom"/>
            <w:shd w:val="clear" w:color="auto" w:fill="CCEEFF"/>
          </w:tcPr>
          <w:p>
            <w:pPr>
              <w:spacing w:after="0"/>
              <w:rPr>
                <w:sz w:val="20"/>
                <w:szCs w:val="20"/>
                <w:color w:val="auto"/>
              </w:rPr>
            </w:pPr>
            <w:r>
              <w:rPr>
                <w:rFonts w:ascii="Arial" w:cs="Arial" w:eastAsia="Arial" w:hAnsi="Arial"/>
                <w:sz w:val="18"/>
                <w:szCs w:val="18"/>
                <w:color w:val="auto"/>
              </w:rPr>
              <w:t>Provision for income taxes</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1"/>
              <w:spacing w:after="0"/>
              <w:rPr>
                <w:sz w:val="20"/>
                <w:szCs w:val="20"/>
                <w:color w:val="auto"/>
              </w:rPr>
            </w:pPr>
            <w:r>
              <w:rPr>
                <w:rFonts w:ascii="Arial" w:cs="Arial" w:eastAsia="Arial" w:hAnsi="Arial"/>
                <w:sz w:val="18"/>
                <w:szCs w:val="18"/>
                <w:color w:val="auto"/>
              </w:rPr>
              <w:t>(0.3)</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81"/>
              <w:spacing w:after="0"/>
              <w:rPr>
                <w:sz w:val="20"/>
                <w:szCs w:val="20"/>
                <w:color w:val="auto"/>
              </w:rPr>
            </w:pPr>
            <w:r>
              <w:rPr>
                <w:rFonts w:ascii="Arial" w:cs="Arial" w:eastAsia="Arial" w:hAnsi="Arial"/>
                <w:sz w:val="18"/>
                <w:szCs w:val="18"/>
                <w:color w:val="auto"/>
              </w:rPr>
              <w:t>(5.2)</w:t>
            </w: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61"/>
              <w:spacing w:after="0"/>
              <w:rPr>
                <w:sz w:val="20"/>
                <w:szCs w:val="20"/>
                <w:color w:val="auto"/>
              </w:rPr>
            </w:pPr>
            <w:r>
              <w:rPr>
                <w:rFonts w:ascii="Arial" w:cs="Arial" w:eastAsia="Arial" w:hAnsi="Arial"/>
                <w:sz w:val="18"/>
                <w:szCs w:val="18"/>
                <w:color w:val="auto"/>
              </w:rPr>
              <w:t>(3.4)</w:t>
            </w:r>
          </w:p>
        </w:tc>
        <w:tc>
          <w:tcPr>
            <w:tcW w:w="6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23"/>
        </w:trPr>
        <w:tc>
          <w:tcPr>
            <w:tcW w:w="7680" w:type="dxa"/>
            <w:vAlign w:val="bottom"/>
          </w:tcPr>
          <w:p>
            <w:pPr>
              <w:spacing w:after="0"/>
              <w:rPr>
                <w:sz w:val="20"/>
                <w:szCs w:val="20"/>
                <w:color w:val="auto"/>
              </w:rPr>
            </w:pPr>
            <w:r>
              <w:rPr>
                <w:rFonts w:ascii="Arial" w:cs="Arial" w:eastAsia="Arial" w:hAnsi="Arial"/>
                <w:sz w:val="18"/>
                <w:szCs w:val="18"/>
                <w:color w:val="auto"/>
              </w:rPr>
              <w:t>Net loss</w:t>
            </w: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u w:val="single" w:color="auto"/>
                <w:color w:val="auto"/>
                <w:w w:val="71"/>
              </w:rPr>
              <w:t>$</w:t>
            </w:r>
          </w:p>
        </w:tc>
        <w:tc>
          <w:tcPr>
            <w:tcW w:w="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6"/>
              </w:rPr>
              <w:t>(325.9</w:t>
            </w:r>
          </w:p>
        </w:tc>
        <w:tc>
          <w:tcPr>
            <w:tcW w:w="240" w:type="dxa"/>
            <w:vAlign w:val="bottom"/>
          </w:tcPr>
          <w:p>
            <w:pPr>
              <w:jc w:val="right"/>
              <w:ind w:right="101"/>
              <w:spacing w:after="0"/>
              <w:rPr>
                <w:sz w:val="20"/>
                <w:szCs w:val="20"/>
                <w:color w:val="auto"/>
              </w:rPr>
            </w:pPr>
            <w:r>
              <w:rPr>
                <w:rFonts w:ascii="Arial" w:cs="Arial" w:eastAsia="Arial" w:hAnsi="Arial"/>
                <w:sz w:val="16"/>
                <w:szCs w:val="16"/>
                <w:color w:val="auto"/>
                <w:w w:val="74"/>
              </w:rPr>
              <w:t>)</w:t>
            </w:r>
          </w:p>
        </w:tc>
        <w:tc>
          <w:tcPr>
            <w:tcW w:w="18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79"/>
              </w:rPr>
              <w:t>$</w:t>
            </w:r>
          </w:p>
        </w:tc>
        <w:tc>
          <w:tcPr>
            <w:tcW w:w="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6"/>
              </w:rPr>
              <w:t>(210.2</w:t>
            </w:r>
          </w:p>
        </w:tc>
        <w:tc>
          <w:tcPr>
            <w:tcW w:w="420" w:type="dxa"/>
            <w:vAlign w:val="bottom"/>
          </w:tcPr>
          <w:p>
            <w:pPr>
              <w:jc w:val="right"/>
              <w:ind w:right="281"/>
              <w:spacing w:after="0"/>
              <w:rPr>
                <w:sz w:val="20"/>
                <w:szCs w:val="20"/>
                <w:color w:val="auto"/>
              </w:rPr>
            </w:pPr>
            <w:r>
              <w:rPr>
                <w:rFonts w:ascii="Arial" w:cs="Arial" w:eastAsia="Arial" w:hAnsi="Arial"/>
                <w:sz w:val="16"/>
                <w:szCs w:val="16"/>
                <w:color w:val="auto"/>
                <w:w w:val="74"/>
              </w:rPr>
              <w:t>)</w:t>
            </w: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79"/>
              </w:rPr>
              <w:t>$</w:t>
            </w:r>
          </w:p>
        </w:tc>
        <w:tc>
          <w:tcPr>
            <w:tcW w:w="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0"/>
              </w:rPr>
              <w:t>(181.1</w:t>
            </w:r>
          </w:p>
        </w:tc>
        <w:tc>
          <w:tcPr>
            <w:tcW w:w="400" w:type="dxa"/>
            <w:vAlign w:val="bottom"/>
          </w:tcPr>
          <w:p>
            <w:pPr>
              <w:jc w:val="right"/>
              <w:ind w:right="261"/>
              <w:spacing w:after="0"/>
              <w:rPr>
                <w:sz w:val="20"/>
                <w:szCs w:val="20"/>
                <w:color w:val="auto"/>
              </w:rPr>
            </w:pPr>
            <w:r>
              <w:rPr>
                <w:rFonts w:ascii="Arial" w:cs="Arial" w:eastAsia="Arial" w:hAnsi="Arial"/>
                <w:sz w:val="16"/>
                <w:szCs w:val="16"/>
                <w:color w:val="auto"/>
                <w:w w:val="74"/>
              </w:rPr>
              <w:t>)</w:t>
            </w:r>
          </w:p>
        </w:tc>
        <w:tc>
          <w:tcPr>
            <w:tcW w:w="20" w:type="dxa"/>
            <w:vAlign w:val="bottom"/>
          </w:tcPr>
          <w:p>
            <w:pPr>
              <w:spacing w:after="0"/>
              <w:rPr>
                <w:sz w:val="19"/>
                <w:szCs w:val="19"/>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5"/>
              </w:rPr>
              <w:t>$ (74.0</w:t>
            </w:r>
          </w:p>
        </w:tc>
        <w:tc>
          <w:tcPr>
            <w:tcW w:w="100" w:type="dxa"/>
            <w:vAlign w:val="bottom"/>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0"/>
        </w:trPr>
        <w:tc>
          <w:tcPr>
            <w:tcW w:w="76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680" w:type="dxa"/>
            <w:vAlign w:val="bottom"/>
            <w:shd w:val="clear" w:color="auto" w:fill="CCEEFF"/>
          </w:tcPr>
          <w:p>
            <w:pPr>
              <w:spacing w:after="0"/>
              <w:rPr>
                <w:sz w:val="20"/>
                <w:szCs w:val="20"/>
                <w:color w:val="auto"/>
              </w:rPr>
            </w:pPr>
            <w:r>
              <w:rPr>
                <w:rFonts w:ascii="Arial" w:cs="Arial" w:eastAsia="Arial" w:hAnsi="Arial"/>
                <w:sz w:val="18"/>
                <w:szCs w:val="18"/>
                <w:color w:val="auto"/>
              </w:rPr>
              <w:t>Net loss per share attributable to common stockholders, basic and diluted</w:t>
            </w:r>
            <w:r>
              <w:rPr>
                <w:rFonts w:ascii="Arial" w:cs="Arial" w:eastAsia="Arial" w:hAnsi="Arial"/>
                <w:sz w:val="15"/>
                <w:szCs w:val="15"/>
                <w:color w:val="auto"/>
              </w:rPr>
              <w:t>(2)</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gridSpan w:val="2"/>
            <w:shd w:val="clear" w:color="auto" w:fill="CCEEFF"/>
          </w:tcPr>
          <w:p>
            <w:pPr>
              <w:jc w:val="right"/>
              <w:ind w:right="101"/>
              <w:spacing w:after="0"/>
              <w:rPr>
                <w:sz w:val="20"/>
                <w:szCs w:val="20"/>
                <w:color w:val="auto"/>
              </w:rPr>
            </w:pPr>
            <w:r>
              <w:rPr>
                <w:rFonts w:ascii="Arial" w:cs="Arial" w:eastAsia="Arial" w:hAnsi="Arial"/>
                <w:sz w:val="18"/>
                <w:szCs w:val="18"/>
                <w:color w:val="auto"/>
              </w:rPr>
              <w:t>(1.18)</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281"/>
              <w:spacing w:after="0"/>
              <w:rPr>
                <w:sz w:val="20"/>
                <w:szCs w:val="20"/>
                <w:color w:val="auto"/>
              </w:rPr>
            </w:pPr>
            <w:r>
              <w:rPr>
                <w:rFonts w:ascii="Arial" w:cs="Arial" w:eastAsia="Arial" w:hAnsi="Arial"/>
                <w:sz w:val="18"/>
                <w:szCs w:val="18"/>
                <w:color w:val="auto"/>
              </w:rPr>
              <w:t>(0.74)</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gridSpan w:val="2"/>
            <w:shd w:val="clear" w:color="auto" w:fill="CCEEFF"/>
          </w:tcPr>
          <w:p>
            <w:pPr>
              <w:jc w:val="right"/>
              <w:ind w:right="261"/>
              <w:spacing w:after="0"/>
              <w:rPr>
                <w:sz w:val="20"/>
                <w:szCs w:val="20"/>
                <w:color w:val="auto"/>
              </w:rPr>
            </w:pPr>
            <w:r>
              <w:rPr>
                <w:rFonts w:ascii="Arial" w:cs="Arial" w:eastAsia="Arial" w:hAnsi="Arial"/>
                <w:sz w:val="18"/>
                <w:szCs w:val="18"/>
                <w:color w:val="auto"/>
              </w:rPr>
              <w:t>(0.64)</w:t>
            </w:r>
          </w:p>
        </w:tc>
        <w:tc>
          <w:tcPr>
            <w:tcW w:w="6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w w:val="90"/>
              </w:rPr>
              <w:t>$ (0.25)</w:t>
            </w:r>
          </w:p>
        </w:tc>
        <w:tc>
          <w:tcPr>
            <w:tcW w:w="0" w:type="dxa"/>
            <w:vAlign w:val="bottom"/>
          </w:tcPr>
          <w:p>
            <w:pPr>
              <w:spacing w:after="0"/>
              <w:rPr>
                <w:sz w:val="1"/>
                <w:szCs w:val="1"/>
                <w:color w:val="auto"/>
              </w:rPr>
            </w:pPr>
          </w:p>
        </w:tc>
      </w:tr>
      <w:tr>
        <w:trPr>
          <w:trHeight w:val="20"/>
        </w:trPr>
        <w:tc>
          <w:tcPr>
            <w:tcW w:w="7680" w:type="dxa"/>
            <w:vAlign w:val="bottom"/>
            <w:vMerge w:val="restart"/>
          </w:tcPr>
          <w:p>
            <w:pPr>
              <w:spacing w:after="0"/>
              <w:rPr>
                <w:sz w:val="20"/>
                <w:szCs w:val="20"/>
                <w:color w:val="auto"/>
              </w:rPr>
            </w:pPr>
            <w:r>
              <w:rPr>
                <w:rFonts w:ascii="Arial" w:cs="Arial" w:eastAsia="Arial" w:hAnsi="Arial"/>
                <w:sz w:val="18"/>
                <w:szCs w:val="18"/>
                <w:color w:val="auto"/>
                <w:w w:val="95"/>
              </w:rPr>
              <w:t>Weighted-average shares used in computing net loss per share attributable to common stockholders,</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768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7680" w:type="dxa"/>
            <w:vAlign w:val="bottom"/>
          </w:tcPr>
          <w:p>
            <w:pPr>
              <w:ind w:left="180"/>
              <w:spacing w:after="0"/>
              <w:rPr>
                <w:sz w:val="20"/>
                <w:szCs w:val="20"/>
                <w:color w:val="auto"/>
              </w:rPr>
            </w:pPr>
            <w:r>
              <w:rPr>
                <w:rFonts w:ascii="Arial" w:cs="Arial" w:eastAsia="Arial" w:hAnsi="Arial"/>
                <w:sz w:val="18"/>
                <w:szCs w:val="18"/>
                <w:color w:val="auto"/>
              </w:rPr>
              <w:t>basic and diluted</w:t>
            </w:r>
          </w:p>
        </w:tc>
        <w:tc>
          <w:tcPr>
            <w:tcW w:w="100" w:type="dxa"/>
            <w:vAlign w:val="bottom"/>
          </w:tcPr>
          <w:p>
            <w:pPr>
              <w:spacing w:after="0"/>
              <w:rPr>
                <w:sz w:val="20"/>
                <w:szCs w:val="20"/>
                <w:color w:val="auto"/>
              </w:rPr>
            </w:pPr>
          </w:p>
        </w:tc>
        <w:tc>
          <w:tcPr>
            <w:tcW w:w="700" w:type="dxa"/>
            <w:vAlign w:val="bottom"/>
            <w:gridSpan w:val="2"/>
          </w:tcPr>
          <w:p>
            <w:pPr>
              <w:jc w:val="right"/>
              <w:ind w:right="161"/>
              <w:spacing w:after="0"/>
              <w:rPr>
                <w:sz w:val="20"/>
                <w:szCs w:val="20"/>
                <w:color w:val="auto"/>
              </w:rPr>
            </w:pPr>
            <w:r>
              <w:rPr>
                <w:rFonts w:ascii="Arial" w:cs="Arial" w:eastAsia="Arial" w:hAnsi="Arial"/>
                <w:sz w:val="18"/>
                <w:szCs w:val="18"/>
                <w:color w:val="auto"/>
                <w:w w:val="97"/>
              </w:rPr>
              <w:t>276.8</w:t>
            </w: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80" w:type="dxa"/>
            <w:vAlign w:val="bottom"/>
            <w:gridSpan w:val="2"/>
          </w:tcPr>
          <w:p>
            <w:pPr>
              <w:jc w:val="right"/>
              <w:ind w:right="341"/>
              <w:spacing w:after="0"/>
              <w:rPr>
                <w:sz w:val="20"/>
                <w:szCs w:val="20"/>
                <w:color w:val="auto"/>
              </w:rPr>
            </w:pPr>
            <w:r>
              <w:rPr>
                <w:rFonts w:ascii="Arial" w:cs="Arial" w:eastAsia="Arial" w:hAnsi="Arial"/>
                <w:sz w:val="18"/>
                <w:szCs w:val="18"/>
                <w:color w:val="auto"/>
                <w:w w:val="97"/>
              </w:rPr>
              <w:t>283.7</w:t>
            </w:r>
          </w:p>
        </w:tc>
        <w:tc>
          <w:tcPr>
            <w:tcW w:w="100" w:type="dxa"/>
            <w:vAlign w:val="bottom"/>
          </w:tcPr>
          <w:p>
            <w:pPr>
              <w:spacing w:after="0"/>
              <w:rPr>
                <w:sz w:val="20"/>
                <w:szCs w:val="20"/>
                <w:color w:val="auto"/>
              </w:rPr>
            </w:pPr>
          </w:p>
        </w:tc>
        <w:tc>
          <w:tcPr>
            <w:tcW w:w="880" w:type="dxa"/>
            <w:vAlign w:val="bottom"/>
            <w:gridSpan w:val="2"/>
          </w:tcPr>
          <w:p>
            <w:pPr>
              <w:jc w:val="right"/>
              <w:ind w:right="321"/>
              <w:spacing w:after="0"/>
              <w:rPr>
                <w:sz w:val="20"/>
                <w:szCs w:val="20"/>
                <w:color w:val="auto"/>
              </w:rPr>
            </w:pPr>
            <w:r>
              <w:rPr>
                <w:rFonts w:ascii="Arial" w:cs="Arial" w:eastAsia="Arial" w:hAnsi="Arial"/>
                <w:sz w:val="18"/>
                <w:szCs w:val="18"/>
                <w:color w:val="auto"/>
              </w:rPr>
              <w:t>282.3</w:t>
            </w:r>
          </w:p>
        </w:tc>
        <w:tc>
          <w:tcPr>
            <w:tcW w:w="620" w:type="dxa"/>
            <w:vAlign w:val="bottom"/>
            <w:gridSpan w:val="3"/>
          </w:tcPr>
          <w:p>
            <w:pPr>
              <w:jc w:val="right"/>
              <w:ind w:right="21"/>
              <w:spacing w:after="0"/>
              <w:rPr>
                <w:sz w:val="20"/>
                <w:szCs w:val="20"/>
                <w:color w:val="auto"/>
              </w:rPr>
            </w:pPr>
            <w:r>
              <w:rPr>
                <w:rFonts w:ascii="Arial" w:cs="Arial" w:eastAsia="Arial" w:hAnsi="Arial"/>
                <w:sz w:val="18"/>
                <w:szCs w:val="18"/>
                <w:color w:val="auto"/>
              </w:rPr>
              <w:t>293.2</w:t>
            </w:r>
          </w:p>
        </w:tc>
        <w:tc>
          <w:tcPr>
            <w:tcW w:w="0" w:type="dxa"/>
            <w:vAlign w:val="bottom"/>
          </w:tcPr>
          <w:p>
            <w:pPr>
              <w:spacing w:after="0"/>
              <w:rPr>
                <w:sz w:val="1"/>
                <w:szCs w:val="1"/>
                <w:color w:val="auto"/>
              </w:rPr>
            </w:pPr>
          </w:p>
        </w:tc>
      </w:tr>
      <w:tr>
        <w:trPr>
          <w:trHeight w:val="20"/>
        </w:trPr>
        <w:tc>
          <w:tcPr>
            <w:tcW w:w="76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680" w:type="dxa"/>
            <w:vAlign w:val="bottom"/>
            <w:shd w:val="clear" w:color="auto" w:fill="CCEEFF"/>
          </w:tcPr>
          <w:p>
            <w:pPr>
              <w:spacing w:after="0"/>
              <w:rPr>
                <w:sz w:val="20"/>
                <w:szCs w:val="20"/>
                <w:color w:val="auto"/>
              </w:rPr>
            </w:pPr>
            <w:r>
              <w:rPr>
                <w:rFonts w:ascii="Arial" w:cs="Arial" w:eastAsia="Arial" w:hAnsi="Arial"/>
                <w:sz w:val="18"/>
                <w:szCs w:val="18"/>
                <w:color w:val="auto"/>
              </w:rPr>
              <w:t>Pro forma net loss per share attributable to common stockholders, basic and diluted</w:t>
            </w:r>
            <w:r>
              <w:rPr>
                <w:rFonts w:ascii="Arial" w:cs="Arial" w:eastAsia="Arial" w:hAnsi="Arial"/>
                <w:sz w:val="15"/>
                <w:szCs w:val="15"/>
                <w:color w:val="auto"/>
              </w:rPr>
              <w:t>(2)</w:t>
            </w: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281"/>
              <w:spacing w:after="0"/>
              <w:rPr>
                <w:sz w:val="20"/>
                <w:szCs w:val="20"/>
                <w:color w:val="auto"/>
              </w:rPr>
            </w:pPr>
            <w:r>
              <w:rPr>
                <w:rFonts w:ascii="Arial" w:cs="Arial" w:eastAsia="Arial" w:hAnsi="Arial"/>
                <w:sz w:val="18"/>
                <w:szCs w:val="18"/>
                <w:color w:val="auto"/>
              </w:rPr>
              <w:t>(0.39)</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6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w w:val="90"/>
              </w:rPr>
              <w:t>$ (0.13)</w:t>
            </w:r>
          </w:p>
        </w:tc>
        <w:tc>
          <w:tcPr>
            <w:tcW w:w="0" w:type="dxa"/>
            <w:vAlign w:val="bottom"/>
          </w:tcPr>
          <w:p>
            <w:pPr>
              <w:spacing w:after="0"/>
              <w:rPr>
                <w:sz w:val="1"/>
                <w:szCs w:val="1"/>
                <w:color w:val="auto"/>
              </w:rPr>
            </w:pPr>
          </w:p>
        </w:tc>
      </w:tr>
      <w:tr>
        <w:trPr>
          <w:trHeight w:val="20"/>
        </w:trPr>
        <w:tc>
          <w:tcPr>
            <w:tcW w:w="7680" w:type="dxa"/>
            <w:vAlign w:val="bottom"/>
            <w:vMerge w:val="restart"/>
          </w:tcPr>
          <w:p>
            <w:pPr>
              <w:spacing w:after="0"/>
              <w:rPr>
                <w:sz w:val="20"/>
                <w:szCs w:val="20"/>
                <w:color w:val="auto"/>
              </w:rPr>
            </w:pPr>
            <w:r>
              <w:rPr>
                <w:rFonts w:ascii="Arial" w:cs="Arial" w:eastAsia="Arial" w:hAnsi="Arial"/>
                <w:sz w:val="18"/>
                <w:szCs w:val="18"/>
                <w:color w:val="auto"/>
                <w:w w:val="98"/>
              </w:rPr>
              <w:t>Weighted-average shares used in computing pro forma net loss per share attributable to common</w:t>
            </w:r>
          </w:p>
        </w:tc>
        <w:tc>
          <w:tcPr>
            <w:tcW w:w="1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768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7680" w:type="dxa"/>
            <w:vAlign w:val="bottom"/>
          </w:tcPr>
          <w:p>
            <w:pPr>
              <w:ind w:left="180"/>
              <w:spacing w:after="0"/>
              <w:rPr>
                <w:sz w:val="20"/>
                <w:szCs w:val="20"/>
                <w:color w:val="auto"/>
              </w:rPr>
            </w:pPr>
            <w:r>
              <w:rPr>
                <w:rFonts w:ascii="Arial" w:cs="Arial" w:eastAsia="Arial" w:hAnsi="Arial"/>
                <w:sz w:val="18"/>
                <w:szCs w:val="18"/>
                <w:color w:val="auto"/>
              </w:rPr>
              <w:t>stockholders, basic and diluted</w:t>
            </w: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80" w:type="dxa"/>
            <w:vAlign w:val="bottom"/>
            <w:gridSpan w:val="2"/>
          </w:tcPr>
          <w:p>
            <w:pPr>
              <w:jc w:val="right"/>
              <w:ind w:right="341"/>
              <w:spacing w:after="0"/>
              <w:rPr>
                <w:sz w:val="20"/>
                <w:szCs w:val="20"/>
                <w:color w:val="auto"/>
              </w:rPr>
            </w:pPr>
            <w:r>
              <w:rPr>
                <w:rFonts w:ascii="Arial" w:cs="Arial" w:eastAsia="Arial" w:hAnsi="Arial"/>
                <w:sz w:val="18"/>
                <w:szCs w:val="18"/>
                <w:color w:val="auto"/>
                <w:w w:val="97"/>
              </w:rPr>
              <w:t>535.4</w:t>
            </w:r>
          </w:p>
        </w:tc>
        <w:tc>
          <w:tcPr>
            <w:tcW w:w="1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620" w:type="dxa"/>
            <w:vAlign w:val="bottom"/>
            <w:gridSpan w:val="3"/>
          </w:tcPr>
          <w:p>
            <w:pPr>
              <w:jc w:val="right"/>
              <w:ind w:right="21"/>
              <w:spacing w:after="0"/>
              <w:rPr>
                <w:sz w:val="20"/>
                <w:szCs w:val="20"/>
                <w:color w:val="auto"/>
              </w:rPr>
            </w:pPr>
            <w:r>
              <w:rPr>
                <w:rFonts w:ascii="Arial" w:cs="Arial" w:eastAsia="Arial" w:hAnsi="Arial"/>
                <w:sz w:val="18"/>
                <w:szCs w:val="18"/>
                <w:color w:val="auto"/>
              </w:rPr>
              <w:t>551.2</w:t>
            </w:r>
          </w:p>
        </w:tc>
        <w:tc>
          <w:tcPr>
            <w:tcW w:w="0" w:type="dxa"/>
            <w:vAlign w:val="bottom"/>
          </w:tcPr>
          <w:p>
            <w:pPr>
              <w:spacing w:after="0"/>
              <w:rPr>
                <w:sz w:val="1"/>
                <w:szCs w:val="1"/>
                <w:color w:val="auto"/>
              </w:rPr>
            </w:pPr>
          </w:p>
        </w:tc>
      </w:tr>
      <w:tr>
        <w:trPr>
          <w:trHeight w:val="20"/>
        </w:trPr>
        <w:tc>
          <w:tcPr>
            <w:tcW w:w="7680" w:type="dxa"/>
            <w:vAlign w:val="bottom"/>
            <w:vMerge w:val="restart"/>
          </w:tcPr>
          <w:p>
            <w:pPr>
              <w:ind w:left="5540"/>
              <w:spacing w:after="0"/>
              <w:rPr>
                <w:sz w:val="20"/>
                <w:szCs w:val="20"/>
                <w:color w:val="auto"/>
              </w:rPr>
            </w:pPr>
            <w:r>
              <w:rPr>
                <w:rFonts w:ascii="Arial" w:cs="Arial" w:eastAsia="Arial" w:hAnsi="Arial"/>
                <w:sz w:val="18"/>
                <w:szCs w:val="18"/>
                <w:color w:val="auto"/>
              </w:rPr>
              <w:t>54</w:t>
            </w:r>
          </w:p>
        </w:tc>
        <w:tc>
          <w:tcPr>
            <w:tcW w:w="1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768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459" w:right="339" w:bottom="1440" w:gutter="0" w:footer="0" w:header="0"/>
        </w:sectPr>
      </w:pPr>
    </w:p>
    <w:bookmarkStart w:id="57" w:name="page58"/>
    <w:bookmarkEnd w:id="5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198" w:lineRule="exact"/>
        <w:rPr>
          <w:sz w:val="20"/>
          <w:szCs w:val="20"/>
          <w:color w:val="auto"/>
        </w:rPr>
      </w:pPr>
    </w:p>
    <w:p>
      <w:pPr>
        <w:ind w:left="340" w:hanging="332"/>
        <w:spacing w:after="0"/>
        <w:tabs>
          <w:tab w:leader="none" w:pos="340" w:val="left"/>
        </w:tabs>
        <w:numPr>
          <w:ilvl w:val="0"/>
          <w:numId w:val="41"/>
        </w:numPr>
        <w:rPr>
          <w:rFonts w:ascii="Arial" w:cs="Arial" w:eastAsia="Arial" w:hAnsi="Arial"/>
          <w:sz w:val="28"/>
          <w:szCs w:val="28"/>
          <w:color w:val="auto"/>
          <w:vertAlign w:val="superscript"/>
        </w:rPr>
      </w:pPr>
      <w:r>
        <w:rPr>
          <w:rFonts w:ascii="Arial" w:cs="Arial" w:eastAsia="Arial" w:hAnsi="Arial"/>
          <w:sz w:val="16"/>
          <w:szCs w:val="16"/>
          <w:color w:val="auto"/>
        </w:rPr>
        <w:t>Includes stock-based compensation as follows:</w:t>
      </w:r>
    </w:p>
    <w:p>
      <w:pPr>
        <w:spacing w:after="0" w:line="214"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660" w:type="dxa"/>
            <w:vAlign w:val="bottom"/>
          </w:tcPr>
          <w:p>
            <w:pPr>
              <w:spacing w:after="0"/>
              <w:rPr>
                <w:sz w:val="14"/>
                <w:szCs w:val="14"/>
                <w:color w:val="auto"/>
              </w:rPr>
            </w:pPr>
          </w:p>
        </w:tc>
        <w:tc>
          <w:tcPr>
            <w:tcW w:w="25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80" w:type="dxa"/>
            <w:vAlign w:val="bottom"/>
            <w:gridSpan w:val="4"/>
            <w:vMerge w:val="restart"/>
          </w:tcPr>
          <w:p>
            <w:pPr>
              <w:jc w:val="right"/>
              <w:ind w:right="221"/>
              <w:spacing w:after="0"/>
              <w:rPr>
                <w:sz w:val="20"/>
                <w:szCs w:val="20"/>
                <w:color w:val="auto"/>
              </w:rPr>
            </w:pPr>
            <w:r>
              <w:rPr>
                <w:rFonts w:ascii="Arial" w:cs="Arial" w:eastAsia="Arial" w:hAnsi="Arial"/>
                <w:sz w:val="14"/>
                <w:szCs w:val="14"/>
                <w:b w:val="1"/>
                <w:bCs w:val="1"/>
                <w:color w:val="auto"/>
              </w:rPr>
              <w:t>Year ended</w:t>
            </w:r>
          </w:p>
        </w:tc>
        <w:tc>
          <w:tcPr>
            <w:tcW w:w="4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300" w:type="dxa"/>
            <w:vAlign w:val="bottom"/>
            <w:gridSpan w:val="5"/>
          </w:tcPr>
          <w:p>
            <w:pPr>
              <w:jc w:val="center"/>
              <w:ind w:right="160"/>
              <w:spacing w:after="0"/>
              <w:rPr>
                <w:sz w:val="20"/>
                <w:szCs w:val="20"/>
                <w:color w:val="auto"/>
              </w:rPr>
            </w:pPr>
            <w:r>
              <w:rPr>
                <w:rFonts w:ascii="Arial" w:cs="Arial" w:eastAsia="Arial" w:hAnsi="Arial"/>
                <w:sz w:val="14"/>
                <w:szCs w:val="14"/>
                <w:b w:val="1"/>
                <w:bCs w:val="1"/>
                <w:color w:val="auto"/>
                <w:w w:val="91"/>
              </w:rPr>
              <w:t>Nine months</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4660" w:type="dxa"/>
            <w:vAlign w:val="bottom"/>
          </w:tcPr>
          <w:p>
            <w:pPr>
              <w:spacing w:after="0"/>
              <w:rPr>
                <w:sz w:val="12"/>
                <w:szCs w:val="12"/>
                <w:color w:val="auto"/>
              </w:rPr>
            </w:pPr>
          </w:p>
        </w:tc>
        <w:tc>
          <w:tcPr>
            <w:tcW w:w="25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80" w:type="dxa"/>
            <w:vAlign w:val="bottom"/>
            <w:gridSpan w:val="4"/>
            <w:vMerge w:val="continue"/>
          </w:tcPr>
          <w:p>
            <w:pPr>
              <w:spacing w:after="0"/>
              <w:rPr>
                <w:sz w:val="12"/>
                <w:szCs w:val="12"/>
                <w:color w:val="auto"/>
              </w:rPr>
            </w:pPr>
          </w:p>
        </w:tc>
        <w:tc>
          <w:tcPr>
            <w:tcW w:w="4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52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87"/>
              </w:rPr>
              <w:t>ended</w:t>
            </w:r>
          </w:p>
        </w:tc>
        <w:tc>
          <w:tcPr>
            <w:tcW w:w="3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660" w:type="dxa"/>
            <w:vAlign w:val="bottom"/>
          </w:tcPr>
          <w:p>
            <w:pPr>
              <w:spacing w:after="0"/>
              <w:rPr>
                <w:sz w:val="14"/>
                <w:szCs w:val="14"/>
                <w:color w:val="auto"/>
              </w:rPr>
            </w:pPr>
          </w:p>
        </w:tc>
        <w:tc>
          <w:tcPr>
            <w:tcW w:w="25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80" w:type="dxa"/>
            <w:vAlign w:val="bottom"/>
            <w:gridSpan w:val="4"/>
          </w:tcPr>
          <w:p>
            <w:pPr>
              <w:jc w:val="right"/>
              <w:ind w:right="141"/>
              <w:spacing w:after="0"/>
              <w:rPr>
                <w:sz w:val="20"/>
                <w:szCs w:val="20"/>
                <w:color w:val="auto"/>
              </w:rPr>
            </w:pPr>
            <w:r>
              <w:rPr>
                <w:rFonts w:ascii="Arial" w:cs="Arial" w:eastAsia="Arial" w:hAnsi="Arial"/>
                <w:sz w:val="14"/>
                <w:szCs w:val="14"/>
                <w:b w:val="1"/>
                <w:bCs w:val="1"/>
                <w:color w:val="auto"/>
              </w:rPr>
              <w:t>December 31,</w:t>
            </w:r>
          </w:p>
        </w:tc>
        <w:tc>
          <w:tcPr>
            <w:tcW w:w="4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300" w:type="dxa"/>
            <w:vAlign w:val="bottom"/>
            <w:gridSpan w:val="5"/>
          </w:tcPr>
          <w:p>
            <w:pPr>
              <w:jc w:val="center"/>
              <w:ind w:right="140"/>
              <w:spacing w:after="0"/>
              <w:rPr>
                <w:sz w:val="20"/>
                <w:szCs w:val="20"/>
                <w:color w:val="auto"/>
              </w:rPr>
            </w:pPr>
            <w:r>
              <w:rPr>
                <w:rFonts w:ascii="Arial" w:cs="Arial" w:eastAsia="Arial" w:hAnsi="Arial"/>
                <w:sz w:val="14"/>
                <w:szCs w:val="14"/>
                <w:b w:val="1"/>
                <w:bCs w:val="1"/>
                <w:color w:val="auto"/>
                <w:w w:val="91"/>
              </w:rPr>
              <w:t>September 30,</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660" w:type="dxa"/>
            <w:vAlign w:val="bottom"/>
          </w:tcPr>
          <w:p>
            <w:pPr>
              <w:spacing w:after="0"/>
              <w:rPr>
                <w:sz w:val="12"/>
                <w:szCs w:val="12"/>
                <w:color w:val="auto"/>
              </w:rPr>
            </w:pPr>
          </w:p>
        </w:tc>
        <w:tc>
          <w:tcPr>
            <w:tcW w:w="2580" w:type="dxa"/>
            <w:vAlign w:val="bottom"/>
          </w:tcPr>
          <w:p>
            <w:pPr>
              <w:spacing w:after="0"/>
              <w:rPr>
                <w:sz w:val="12"/>
                <w:szCs w:val="12"/>
                <w:color w:val="auto"/>
              </w:rPr>
            </w:pPr>
          </w:p>
        </w:tc>
        <w:tc>
          <w:tcPr>
            <w:tcW w:w="380" w:type="dxa"/>
            <w:vAlign w:val="bottom"/>
            <w:tcBorders>
              <w:top w:val="single" w:sz="8" w:color="auto"/>
              <w:bottom w:val="single" w:sz="8" w:color="auto"/>
            </w:tcBorders>
            <w:gridSpan w:val="2"/>
          </w:tcPr>
          <w:p>
            <w:pPr>
              <w:jc w:val="right"/>
              <w:spacing w:after="0" w:line="142" w:lineRule="exact"/>
              <w:rPr>
                <w:sz w:val="20"/>
                <w:szCs w:val="20"/>
                <w:color w:val="auto"/>
              </w:rPr>
            </w:pPr>
            <w:r>
              <w:rPr>
                <w:rFonts w:ascii="Arial" w:cs="Arial" w:eastAsia="Arial" w:hAnsi="Arial"/>
                <w:sz w:val="14"/>
                <w:szCs w:val="14"/>
                <w:b w:val="1"/>
                <w:bCs w:val="1"/>
                <w:color w:val="auto"/>
                <w:w w:val="96"/>
              </w:rPr>
              <w:t>2015</w:t>
            </w:r>
          </w:p>
        </w:tc>
        <w:tc>
          <w:tcPr>
            <w:tcW w:w="880" w:type="dxa"/>
            <w:vAlign w:val="bottom"/>
            <w:tcBorders>
              <w:top w:val="single" w:sz="8" w:color="auto"/>
              <w:bottom w:val="single" w:sz="8" w:color="auto"/>
            </w:tcBorders>
            <w:gridSpan w:val="3"/>
          </w:tcPr>
          <w:p>
            <w:pPr>
              <w:jc w:val="right"/>
              <w:ind w:right="21"/>
              <w:spacing w:after="0" w:line="142" w:lineRule="exact"/>
              <w:rPr>
                <w:sz w:val="20"/>
                <w:szCs w:val="20"/>
                <w:color w:val="auto"/>
              </w:rPr>
            </w:pPr>
            <w:r>
              <w:rPr>
                <w:rFonts w:ascii="Arial" w:cs="Arial" w:eastAsia="Arial" w:hAnsi="Arial"/>
                <w:sz w:val="14"/>
                <w:szCs w:val="14"/>
                <w:b w:val="1"/>
                <w:bCs w:val="1"/>
                <w:color w:val="auto"/>
              </w:rPr>
              <w:t>2016</w:t>
            </w:r>
          </w:p>
        </w:tc>
        <w:tc>
          <w:tcPr>
            <w:tcW w:w="440" w:type="dxa"/>
            <w:vAlign w:val="bottom"/>
            <w:tcBorders>
              <w:bottom w:val="single" w:sz="8" w:color="auto"/>
            </w:tcBorders>
          </w:tcPr>
          <w:p>
            <w:pPr>
              <w:spacing w:after="0"/>
              <w:rPr>
                <w:sz w:val="12"/>
                <w:szCs w:val="12"/>
                <w:color w:val="auto"/>
              </w:rPr>
            </w:pPr>
          </w:p>
        </w:tc>
        <w:tc>
          <w:tcPr>
            <w:tcW w:w="440" w:type="dxa"/>
            <w:vAlign w:val="bottom"/>
            <w:tcBorders>
              <w:top w:val="single" w:sz="8" w:color="auto"/>
              <w:bottom w:val="single" w:sz="8" w:color="auto"/>
            </w:tcBorders>
            <w:gridSpan w:val="2"/>
          </w:tcPr>
          <w:p>
            <w:pPr>
              <w:jc w:val="right"/>
              <w:ind w:right="2"/>
              <w:spacing w:after="0" w:line="142" w:lineRule="exact"/>
              <w:rPr>
                <w:sz w:val="20"/>
                <w:szCs w:val="20"/>
                <w:color w:val="auto"/>
              </w:rPr>
            </w:pPr>
            <w:r>
              <w:rPr>
                <w:rFonts w:ascii="Arial" w:cs="Arial" w:eastAsia="Arial" w:hAnsi="Arial"/>
                <w:sz w:val="14"/>
                <w:szCs w:val="14"/>
                <w:b w:val="1"/>
                <w:bCs w:val="1"/>
                <w:color w:val="auto"/>
              </w:rPr>
              <w:t>2016</w:t>
            </w:r>
          </w:p>
        </w:tc>
        <w:tc>
          <w:tcPr>
            <w:tcW w:w="900" w:type="dxa"/>
            <w:vAlign w:val="bottom"/>
            <w:tcBorders>
              <w:top w:val="single" w:sz="8" w:color="auto"/>
              <w:bottom w:val="single" w:sz="8" w:color="auto"/>
            </w:tcBorders>
            <w:gridSpan w:val="3"/>
          </w:tcPr>
          <w:p>
            <w:pPr>
              <w:jc w:val="right"/>
              <w:ind w:right="19"/>
              <w:spacing w:after="0" w:line="142" w:lineRule="exact"/>
              <w:rPr>
                <w:sz w:val="20"/>
                <w:szCs w:val="20"/>
                <w:color w:val="auto"/>
              </w:rPr>
            </w:pPr>
            <w:r>
              <w:rPr>
                <w:rFonts w:ascii="Arial" w:cs="Arial" w:eastAsia="Arial" w:hAnsi="Arial"/>
                <w:sz w:val="14"/>
                <w:szCs w:val="14"/>
                <w:b w:val="1"/>
                <w:bCs w:val="1"/>
                <w:color w:val="auto"/>
              </w:rPr>
              <w:t>2017</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660" w:type="dxa"/>
            <w:vAlign w:val="bottom"/>
          </w:tcPr>
          <w:p>
            <w:pPr>
              <w:spacing w:after="0"/>
              <w:rPr>
                <w:sz w:val="12"/>
                <w:szCs w:val="12"/>
                <w:color w:val="auto"/>
              </w:rPr>
            </w:pPr>
          </w:p>
        </w:tc>
        <w:tc>
          <w:tcPr>
            <w:tcW w:w="25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60" w:type="dxa"/>
            <w:vAlign w:val="bottom"/>
            <w:gridSpan w:val="4"/>
          </w:tcPr>
          <w:p>
            <w:pPr>
              <w:jc w:val="right"/>
              <w:ind w:right="182"/>
              <w:spacing w:after="0" w:line="142" w:lineRule="exact"/>
              <w:rPr>
                <w:sz w:val="20"/>
                <w:szCs w:val="20"/>
                <w:color w:val="auto"/>
              </w:rPr>
            </w:pPr>
            <w:r>
              <w:rPr>
                <w:rFonts w:ascii="Arial" w:cs="Arial" w:eastAsia="Arial" w:hAnsi="Arial"/>
                <w:sz w:val="14"/>
                <w:szCs w:val="14"/>
                <w:i w:val="1"/>
                <w:iCs w:val="1"/>
                <w:color w:val="auto"/>
              </w:rPr>
              <w:t>(In millions)</w:t>
            </w:r>
          </w:p>
        </w:tc>
        <w:tc>
          <w:tcPr>
            <w:tcW w:w="4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660" w:type="dxa"/>
            <w:vAlign w:val="bottom"/>
            <w:shd w:val="clear" w:color="auto" w:fill="CCEEFF"/>
          </w:tcPr>
          <w:p>
            <w:pPr>
              <w:ind w:left="300"/>
              <w:spacing w:after="0"/>
              <w:rPr>
                <w:sz w:val="20"/>
                <w:szCs w:val="20"/>
                <w:color w:val="auto"/>
              </w:rPr>
            </w:pPr>
            <w:r>
              <w:rPr>
                <w:rFonts w:ascii="Arial" w:cs="Arial" w:eastAsia="Arial" w:hAnsi="Arial"/>
                <w:sz w:val="16"/>
                <w:szCs w:val="16"/>
                <w:color w:val="auto"/>
              </w:rPr>
              <w:t>Cost of revenue</w:t>
            </w:r>
          </w:p>
        </w:tc>
        <w:tc>
          <w:tcPr>
            <w:tcW w:w="26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w:t>
            </w: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8.2</w:t>
            </w: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5.9</w:t>
            </w: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9.3</w:t>
            </w: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660" w:type="dxa"/>
            <w:vAlign w:val="bottom"/>
          </w:tcPr>
          <w:p>
            <w:pPr>
              <w:ind w:left="300"/>
              <w:spacing w:after="0"/>
              <w:rPr>
                <w:sz w:val="20"/>
                <w:szCs w:val="20"/>
                <w:color w:val="auto"/>
              </w:rPr>
            </w:pPr>
            <w:r>
              <w:rPr>
                <w:rFonts w:ascii="Arial" w:cs="Arial" w:eastAsia="Arial" w:hAnsi="Arial"/>
                <w:sz w:val="16"/>
                <w:szCs w:val="16"/>
                <w:color w:val="auto"/>
              </w:rPr>
              <w:t>Research and development</w:t>
            </w:r>
          </w:p>
        </w:tc>
        <w:tc>
          <w:tcPr>
            <w:tcW w:w="25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00" w:type="dxa"/>
            <w:vAlign w:val="bottom"/>
          </w:tcPr>
          <w:p>
            <w:pPr>
              <w:jc w:val="right"/>
              <w:spacing w:after="0"/>
              <w:rPr>
                <w:sz w:val="20"/>
                <w:szCs w:val="20"/>
                <w:color w:val="auto"/>
              </w:rPr>
            </w:pPr>
            <w:r>
              <w:rPr>
                <w:rFonts w:ascii="Arial" w:cs="Arial" w:eastAsia="Arial" w:hAnsi="Arial"/>
                <w:sz w:val="16"/>
                <w:szCs w:val="16"/>
                <w:color w:val="auto"/>
                <w:w w:val="83"/>
              </w:rPr>
              <w:t>36.1</w:t>
            </w:r>
          </w:p>
        </w:tc>
        <w:tc>
          <w:tcPr>
            <w:tcW w:w="4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80" w:type="dxa"/>
            <w:vAlign w:val="bottom"/>
          </w:tcPr>
          <w:p>
            <w:pPr>
              <w:jc w:val="right"/>
              <w:spacing w:after="0"/>
              <w:rPr>
                <w:sz w:val="20"/>
                <w:szCs w:val="20"/>
                <w:color w:val="auto"/>
              </w:rPr>
            </w:pPr>
            <w:r>
              <w:rPr>
                <w:rFonts w:ascii="Arial" w:cs="Arial" w:eastAsia="Arial" w:hAnsi="Arial"/>
                <w:sz w:val="16"/>
                <w:szCs w:val="16"/>
                <w:color w:val="auto"/>
              </w:rPr>
              <w:t>72.7</w:t>
            </w:r>
          </w:p>
        </w:tc>
        <w:tc>
          <w:tcPr>
            <w:tcW w:w="4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60" w:type="dxa"/>
            <w:vAlign w:val="bottom"/>
          </w:tcPr>
          <w:p>
            <w:pPr>
              <w:jc w:val="right"/>
              <w:spacing w:after="0"/>
              <w:rPr>
                <w:sz w:val="20"/>
                <w:szCs w:val="20"/>
                <w:color w:val="auto"/>
              </w:rPr>
            </w:pPr>
            <w:r>
              <w:rPr>
                <w:rFonts w:ascii="Arial" w:cs="Arial" w:eastAsia="Arial" w:hAnsi="Arial"/>
                <w:sz w:val="16"/>
                <w:szCs w:val="16"/>
                <w:color w:val="auto"/>
              </w:rPr>
              <w:t>52.8</w:t>
            </w:r>
          </w:p>
        </w:tc>
        <w:tc>
          <w:tcPr>
            <w:tcW w:w="4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80" w:type="dxa"/>
            <w:vAlign w:val="bottom"/>
          </w:tcPr>
          <w:p>
            <w:pPr>
              <w:jc w:val="right"/>
              <w:spacing w:after="0"/>
              <w:rPr>
                <w:sz w:val="20"/>
                <w:szCs w:val="20"/>
                <w:color w:val="auto"/>
              </w:rPr>
            </w:pPr>
            <w:r>
              <w:rPr>
                <w:rFonts w:ascii="Arial" w:cs="Arial" w:eastAsia="Arial" w:hAnsi="Arial"/>
                <w:sz w:val="16"/>
                <w:szCs w:val="16"/>
                <w:color w:val="auto"/>
              </w:rPr>
              <w:t>66.4</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660" w:type="dxa"/>
            <w:vAlign w:val="bottom"/>
            <w:shd w:val="clear" w:color="auto" w:fill="CCEEFF"/>
          </w:tcPr>
          <w:p>
            <w:pPr>
              <w:ind w:left="300"/>
              <w:spacing w:after="0"/>
              <w:rPr>
                <w:sz w:val="20"/>
                <w:szCs w:val="20"/>
                <w:color w:val="auto"/>
              </w:rPr>
            </w:pPr>
            <w:r>
              <w:rPr>
                <w:rFonts w:ascii="Arial" w:cs="Arial" w:eastAsia="Arial" w:hAnsi="Arial"/>
                <w:sz w:val="16"/>
                <w:szCs w:val="16"/>
                <w:color w:val="auto"/>
              </w:rPr>
              <w:t>Sales and marketing</w:t>
            </w:r>
          </w:p>
        </w:tc>
        <w:tc>
          <w:tcPr>
            <w:tcW w:w="25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0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3"/>
              </w:rPr>
              <w:t>19.8</w:t>
            </w:r>
          </w:p>
        </w:tc>
        <w:tc>
          <w:tcPr>
            <w:tcW w:w="4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44.6</w:t>
            </w:r>
          </w:p>
        </w:tc>
        <w:tc>
          <w:tcPr>
            <w:tcW w:w="4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37.7</w:t>
            </w:r>
          </w:p>
        </w:tc>
        <w:tc>
          <w:tcPr>
            <w:tcW w:w="4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22.9</w:t>
            </w: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4660" w:type="dxa"/>
            <w:vAlign w:val="bottom"/>
          </w:tcPr>
          <w:p>
            <w:pPr>
              <w:ind w:left="300"/>
              <w:spacing w:after="0"/>
              <w:rPr>
                <w:sz w:val="20"/>
                <w:szCs w:val="20"/>
                <w:color w:val="auto"/>
              </w:rPr>
            </w:pPr>
            <w:r>
              <w:rPr>
                <w:rFonts w:ascii="Arial" w:cs="Arial" w:eastAsia="Arial" w:hAnsi="Arial"/>
                <w:sz w:val="16"/>
                <w:szCs w:val="16"/>
                <w:color w:val="auto"/>
              </w:rPr>
              <w:t>General and administrative</w:t>
            </w:r>
          </w:p>
        </w:tc>
        <w:tc>
          <w:tcPr>
            <w:tcW w:w="258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7.6</w:t>
            </w:r>
          </w:p>
        </w:tc>
        <w:tc>
          <w:tcPr>
            <w:tcW w:w="42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22.1</w:t>
            </w:r>
          </w:p>
        </w:tc>
        <w:tc>
          <w:tcPr>
            <w:tcW w:w="44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3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17.2</w:t>
            </w:r>
          </w:p>
        </w:tc>
        <w:tc>
          <w:tcPr>
            <w:tcW w:w="44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18.6</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660" w:type="dxa"/>
            <w:vAlign w:val="bottom"/>
            <w:shd w:val="clear" w:color="auto" w:fill="CCEEFF"/>
          </w:tcPr>
          <w:p>
            <w:pPr>
              <w:spacing w:after="0"/>
              <w:rPr>
                <w:sz w:val="20"/>
                <w:szCs w:val="20"/>
                <w:color w:val="auto"/>
              </w:rPr>
            </w:pPr>
            <w:r>
              <w:rPr>
                <w:rFonts w:ascii="Arial" w:cs="Arial" w:eastAsia="Arial" w:hAnsi="Arial"/>
                <w:sz w:val="16"/>
                <w:szCs w:val="16"/>
                <w:color w:val="auto"/>
              </w:rPr>
              <w:t>Total stock-based compensation</w:t>
            </w:r>
          </w:p>
        </w:tc>
        <w:tc>
          <w:tcPr>
            <w:tcW w:w="2660" w:type="dxa"/>
            <w:vAlign w:val="bottom"/>
            <w:gridSpan w:val="2"/>
            <w:shd w:val="clear" w:color="auto" w:fill="CCEEFF"/>
          </w:tcPr>
          <w:p>
            <w:pPr>
              <w:jc w:val="right"/>
              <w:spacing w:after="0"/>
              <w:rPr>
                <w:sz w:val="20"/>
                <w:szCs w:val="20"/>
                <w:color w:val="auto"/>
              </w:rPr>
            </w:pPr>
            <w:r>
              <w:rPr>
                <w:rFonts w:ascii="Arial" w:cs="Arial" w:eastAsia="Arial" w:hAnsi="Arial"/>
                <w:sz w:val="16"/>
                <w:szCs w:val="16"/>
                <w:u w:val="single" w:color="auto"/>
                <w:color w:val="auto"/>
              </w:rPr>
              <w:t>$</w:t>
            </w:r>
          </w:p>
        </w:tc>
        <w:tc>
          <w:tcPr>
            <w:tcW w:w="30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3"/>
              </w:rPr>
              <w:t>66.1</w:t>
            </w: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6"/>
                <w:szCs w:val="16"/>
                <w:u w:val="single" w:color="auto"/>
                <w:color w:val="auto"/>
              </w:rPr>
              <w:t>$</w:t>
            </w:r>
          </w:p>
        </w:tc>
        <w:tc>
          <w:tcPr>
            <w:tcW w:w="3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4"/>
              </w:rPr>
              <w:t>147.6</w:t>
            </w: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6"/>
                <w:szCs w:val="16"/>
                <w:u w:val="single" w:color="auto"/>
                <w:color w:val="auto"/>
              </w:rPr>
              <w:t>$</w:t>
            </w:r>
          </w:p>
        </w:tc>
        <w:tc>
          <w:tcPr>
            <w:tcW w:w="3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4"/>
              </w:rPr>
              <w:t>113.6</w:t>
            </w: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6"/>
                <w:szCs w:val="16"/>
                <w:u w:val="single" w:color="auto"/>
                <w:color w:val="auto"/>
              </w:rPr>
              <w:t>$</w:t>
            </w:r>
          </w:p>
        </w:tc>
        <w:tc>
          <w:tcPr>
            <w:tcW w:w="3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4"/>
              </w:rPr>
              <w:t>117.2</w:t>
            </w: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660" w:type="dxa"/>
            <w:vAlign w:val="bottom"/>
          </w:tcPr>
          <w:p>
            <w:pPr>
              <w:spacing w:after="0" w:line="20" w:lineRule="exact"/>
              <w:rPr>
                <w:sz w:val="1"/>
                <w:szCs w:val="1"/>
                <w:color w:val="auto"/>
              </w:rPr>
            </w:pPr>
          </w:p>
        </w:tc>
        <w:tc>
          <w:tcPr>
            <w:tcW w:w="25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7" w:lineRule="exact"/>
        <w:rPr>
          <w:sz w:val="20"/>
          <w:szCs w:val="20"/>
          <w:color w:val="auto"/>
        </w:rPr>
      </w:pPr>
    </w:p>
    <w:p>
      <w:pPr>
        <w:jc w:val="both"/>
        <w:ind w:left="340" w:hanging="332"/>
        <w:spacing w:after="0" w:line="212" w:lineRule="auto"/>
        <w:tabs>
          <w:tab w:leader="none" w:pos="340" w:val="left"/>
        </w:tabs>
        <w:numPr>
          <w:ilvl w:val="0"/>
          <w:numId w:val="42"/>
        </w:numPr>
        <w:rPr>
          <w:rFonts w:ascii="Arial" w:cs="Arial" w:eastAsia="Arial" w:hAnsi="Arial"/>
          <w:sz w:val="28"/>
          <w:szCs w:val="28"/>
          <w:color w:val="auto"/>
          <w:vertAlign w:val="superscript"/>
        </w:rPr>
      </w:pPr>
      <w:r>
        <w:rPr>
          <w:rFonts w:ascii="Arial" w:cs="Arial" w:eastAsia="Arial" w:hAnsi="Arial"/>
          <w:sz w:val="16"/>
          <w:szCs w:val="16"/>
          <w:color w:val="auto"/>
        </w:rPr>
        <w:t>See Note 12, “Net Loss Per Share” to our consolidated financial statements included elsewhere in this prospectus for an explanation of the method used to calculate basic and diluted net loss per share attributable to common stockholders and Note 13, “Unaudited Pro Forma Net Loss Per Share” for an explanation of the method used to calculate pro forma net loss per share attributable to common stockholders.</w:t>
      </w:r>
    </w:p>
    <w:p>
      <w:pPr>
        <w:spacing w:after="0" w:line="3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Consolidated Balance Sheet Data</w:t>
      </w:r>
    </w:p>
    <w:p>
      <w:pPr>
        <w:spacing w:after="0" w:line="248" w:lineRule="exact"/>
        <w:rPr>
          <w:sz w:val="20"/>
          <w:szCs w:val="20"/>
          <w:color w:val="auto"/>
        </w:rPr>
      </w:pPr>
    </w:p>
    <w:tbl>
      <w:tblPr>
        <w:tblLayout w:type="fixed"/>
        <w:tblInd w:w="920" w:type="dxa"/>
        <w:tblCellMar>
          <w:top w:w="0" w:type="dxa"/>
          <w:left w:w="0" w:type="dxa"/>
          <w:bottom w:w="0" w:type="dxa"/>
          <w:right w:w="0" w:type="dxa"/>
        </w:tblCellMar>
      </w:tblPr>
      <w:tr>
        <w:trPr>
          <w:trHeight w:val="171"/>
        </w:trPr>
        <w:tc>
          <w:tcPr>
            <w:tcW w:w="338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3020" w:type="dxa"/>
            <w:vAlign w:val="bottom"/>
            <w:gridSpan w:val="3"/>
          </w:tcPr>
          <w:p>
            <w:pPr>
              <w:jc w:val="right"/>
              <w:ind w:right="1360"/>
              <w:spacing w:after="0"/>
              <w:rPr>
                <w:sz w:val="20"/>
                <w:szCs w:val="20"/>
                <w:color w:val="auto"/>
              </w:rPr>
            </w:pPr>
            <w:r>
              <w:rPr>
                <w:rFonts w:ascii="Arial" w:cs="Arial" w:eastAsia="Arial" w:hAnsi="Arial"/>
                <w:sz w:val="14"/>
                <w:szCs w:val="14"/>
                <w:b w:val="1"/>
                <w:bCs w:val="1"/>
                <w:color w:val="auto"/>
              </w:rPr>
              <w:t>As of December 31,</w:t>
            </w:r>
          </w:p>
        </w:tc>
        <w:tc>
          <w:tcPr>
            <w:tcW w:w="1340" w:type="dxa"/>
            <w:vAlign w:val="bottom"/>
            <w:gridSpan w:val="3"/>
          </w:tcPr>
          <w:p>
            <w:pPr>
              <w:spacing w:after="0"/>
              <w:rPr>
                <w:sz w:val="20"/>
                <w:szCs w:val="20"/>
                <w:color w:val="auto"/>
              </w:rPr>
            </w:pPr>
            <w:r>
              <w:rPr>
                <w:rFonts w:ascii="Arial" w:cs="Arial" w:eastAsia="Arial" w:hAnsi="Arial"/>
                <w:sz w:val="14"/>
                <w:szCs w:val="14"/>
                <w:b w:val="1"/>
                <w:bCs w:val="1"/>
                <w:color w:val="auto"/>
                <w:w w:val="98"/>
              </w:rPr>
              <w:t>As of September 30,</w:t>
            </w:r>
          </w:p>
        </w:tc>
      </w:tr>
      <w:tr>
        <w:trPr>
          <w:trHeight w:val="142"/>
        </w:trPr>
        <w:tc>
          <w:tcPr>
            <w:tcW w:w="3380" w:type="dxa"/>
            <w:vAlign w:val="bottom"/>
          </w:tcPr>
          <w:p>
            <w:pPr>
              <w:spacing w:after="0"/>
              <w:rPr>
                <w:sz w:val="12"/>
                <w:szCs w:val="12"/>
                <w:color w:val="auto"/>
              </w:rPr>
            </w:pPr>
          </w:p>
        </w:tc>
        <w:tc>
          <w:tcPr>
            <w:tcW w:w="1680" w:type="dxa"/>
            <w:vAlign w:val="bottom"/>
          </w:tcPr>
          <w:p>
            <w:pPr>
              <w:spacing w:after="0"/>
              <w:rPr>
                <w:sz w:val="12"/>
                <w:szCs w:val="12"/>
                <w:color w:val="auto"/>
              </w:rPr>
            </w:pPr>
          </w:p>
        </w:tc>
        <w:tc>
          <w:tcPr>
            <w:tcW w:w="1100" w:type="dxa"/>
            <w:vAlign w:val="bottom"/>
            <w:tcBorders>
              <w:top w:val="single" w:sz="8" w:color="auto"/>
              <w:bottom w:val="single" w:sz="8" w:color="auto"/>
            </w:tcBorders>
          </w:tcPr>
          <w:p>
            <w:pPr>
              <w:jc w:val="right"/>
              <w:ind w:right="568"/>
              <w:spacing w:after="0" w:line="142" w:lineRule="exact"/>
              <w:rPr>
                <w:sz w:val="20"/>
                <w:szCs w:val="20"/>
                <w:color w:val="auto"/>
              </w:rPr>
            </w:pPr>
            <w:r>
              <w:rPr>
                <w:rFonts w:ascii="Arial" w:cs="Arial" w:eastAsia="Arial" w:hAnsi="Arial"/>
                <w:sz w:val="14"/>
                <w:szCs w:val="14"/>
                <w:b w:val="1"/>
                <w:bCs w:val="1"/>
                <w:color w:val="auto"/>
              </w:rPr>
              <w:t>2015</w:t>
            </w:r>
          </w:p>
        </w:tc>
        <w:tc>
          <w:tcPr>
            <w:tcW w:w="1040" w:type="dxa"/>
            <w:vAlign w:val="bottom"/>
            <w:tcBorders>
              <w:top w:val="single" w:sz="8" w:color="auto"/>
              <w:bottom w:val="single" w:sz="8" w:color="auto"/>
            </w:tcBorders>
          </w:tcPr>
          <w:p>
            <w:pPr>
              <w:jc w:val="right"/>
              <w:ind w:right="94"/>
              <w:spacing w:after="0" w:line="142" w:lineRule="exact"/>
              <w:rPr>
                <w:sz w:val="20"/>
                <w:szCs w:val="20"/>
                <w:color w:val="auto"/>
              </w:rPr>
            </w:pPr>
            <w:r>
              <w:rPr>
                <w:rFonts w:ascii="Arial" w:cs="Arial" w:eastAsia="Arial" w:hAnsi="Arial"/>
                <w:sz w:val="14"/>
                <w:szCs w:val="14"/>
                <w:b w:val="1"/>
                <w:bCs w:val="1"/>
                <w:color w:val="auto"/>
              </w:rPr>
              <w:t>2016</w:t>
            </w:r>
          </w:p>
        </w:tc>
        <w:tc>
          <w:tcPr>
            <w:tcW w:w="880" w:type="dxa"/>
            <w:vAlign w:val="bottom"/>
            <w:tcBorders>
              <w:bottom w:val="single" w:sz="8" w:color="auto"/>
            </w:tcBorders>
          </w:tcPr>
          <w:p>
            <w:pPr>
              <w:spacing w:after="0"/>
              <w:rPr>
                <w:sz w:val="12"/>
                <w:szCs w:val="12"/>
                <w:color w:val="auto"/>
              </w:rPr>
            </w:pPr>
          </w:p>
        </w:tc>
        <w:tc>
          <w:tcPr>
            <w:tcW w:w="280" w:type="dxa"/>
            <w:vAlign w:val="bottom"/>
            <w:tcBorders>
              <w:top w:val="single" w:sz="8" w:color="auto"/>
              <w:bottom w:val="single" w:sz="8" w:color="auto"/>
            </w:tcBorders>
          </w:tcPr>
          <w:p>
            <w:pPr>
              <w:spacing w:after="0"/>
              <w:rPr>
                <w:sz w:val="12"/>
                <w:szCs w:val="12"/>
                <w:color w:val="auto"/>
              </w:rPr>
            </w:pPr>
          </w:p>
        </w:tc>
        <w:tc>
          <w:tcPr>
            <w:tcW w:w="940" w:type="dxa"/>
            <w:vAlign w:val="bottom"/>
            <w:tcBorders>
              <w:top w:val="single" w:sz="8" w:color="auto"/>
              <w:bottom w:val="single" w:sz="8" w:color="auto"/>
            </w:tcBorders>
          </w:tcPr>
          <w:p>
            <w:pPr>
              <w:jc w:val="right"/>
              <w:ind w:right="372"/>
              <w:spacing w:after="0" w:line="142" w:lineRule="exact"/>
              <w:rPr>
                <w:sz w:val="20"/>
                <w:szCs w:val="20"/>
                <w:color w:val="auto"/>
              </w:rPr>
            </w:pPr>
            <w:r>
              <w:rPr>
                <w:rFonts w:ascii="Arial" w:cs="Arial" w:eastAsia="Arial" w:hAnsi="Arial"/>
                <w:sz w:val="14"/>
                <w:szCs w:val="14"/>
                <w:b w:val="1"/>
                <w:bCs w:val="1"/>
                <w:color w:val="auto"/>
              </w:rPr>
              <w:t>2017</w:t>
            </w:r>
          </w:p>
        </w:tc>
        <w:tc>
          <w:tcPr>
            <w:tcW w:w="120" w:type="dxa"/>
            <w:vAlign w:val="bottom"/>
          </w:tcPr>
          <w:p>
            <w:pPr>
              <w:spacing w:after="0"/>
              <w:rPr>
                <w:sz w:val="12"/>
                <w:szCs w:val="12"/>
                <w:color w:val="auto"/>
              </w:rPr>
            </w:pPr>
          </w:p>
        </w:tc>
      </w:tr>
      <w:tr>
        <w:trPr>
          <w:trHeight w:val="142"/>
        </w:trPr>
        <w:tc>
          <w:tcPr>
            <w:tcW w:w="3380" w:type="dxa"/>
            <w:vAlign w:val="bottom"/>
          </w:tcPr>
          <w:p>
            <w:pPr>
              <w:spacing w:after="0"/>
              <w:rPr>
                <w:sz w:val="12"/>
                <w:szCs w:val="12"/>
                <w:color w:val="auto"/>
              </w:rPr>
            </w:pPr>
          </w:p>
        </w:tc>
        <w:tc>
          <w:tcPr>
            <w:tcW w:w="168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920" w:type="dxa"/>
            <w:vAlign w:val="bottom"/>
            <w:gridSpan w:val="2"/>
          </w:tcPr>
          <w:p>
            <w:pPr>
              <w:jc w:val="right"/>
              <w:ind w:right="540"/>
              <w:spacing w:after="0" w:line="142" w:lineRule="exact"/>
              <w:rPr>
                <w:sz w:val="20"/>
                <w:szCs w:val="20"/>
                <w:color w:val="auto"/>
              </w:rPr>
            </w:pPr>
            <w:r>
              <w:rPr>
                <w:rFonts w:ascii="Arial" w:cs="Arial" w:eastAsia="Arial" w:hAnsi="Arial"/>
                <w:sz w:val="14"/>
                <w:szCs w:val="14"/>
                <w:i w:val="1"/>
                <w:iCs w:val="1"/>
                <w:color w:val="auto"/>
              </w:rPr>
              <w:t>(In millions)</w:t>
            </w:r>
          </w:p>
        </w:tc>
        <w:tc>
          <w:tcPr>
            <w:tcW w:w="2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20" w:type="dxa"/>
            <w:vAlign w:val="bottom"/>
          </w:tcPr>
          <w:p>
            <w:pPr>
              <w:spacing w:after="0"/>
              <w:rPr>
                <w:sz w:val="12"/>
                <w:szCs w:val="12"/>
                <w:color w:val="auto"/>
              </w:rPr>
            </w:pPr>
          </w:p>
        </w:tc>
      </w:tr>
      <w:tr>
        <w:trPr>
          <w:trHeight w:val="216"/>
        </w:trPr>
        <w:tc>
          <w:tcPr>
            <w:tcW w:w="338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w:t>
            </w:r>
          </w:p>
        </w:tc>
        <w:tc>
          <w:tcPr>
            <w:tcW w:w="2780" w:type="dxa"/>
            <w:vAlign w:val="bottom"/>
            <w:gridSpan w:val="2"/>
            <w:shd w:val="clear" w:color="auto" w:fill="CCEEFF"/>
          </w:tcPr>
          <w:p>
            <w:pPr>
              <w:jc w:val="right"/>
              <w:ind w:right="388"/>
              <w:spacing w:after="0"/>
              <w:rPr>
                <w:sz w:val="20"/>
                <w:szCs w:val="20"/>
                <w:color w:val="auto"/>
              </w:rPr>
            </w:pPr>
            <w:r>
              <w:rPr>
                <w:rFonts w:ascii="Arial" w:cs="Arial" w:eastAsia="Arial" w:hAnsi="Arial"/>
                <w:sz w:val="18"/>
                <w:szCs w:val="18"/>
                <w:color w:val="auto"/>
              </w:rPr>
              <w:t>$  356.9</w:t>
            </w:r>
          </w:p>
        </w:tc>
        <w:tc>
          <w:tcPr>
            <w:tcW w:w="1920" w:type="dxa"/>
            <w:vAlign w:val="bottom"/>
            <w:gridSpan w:val="2"/>
            <w:shd w:val="clear" w:color="auto" w:fill="CCEEFF"/>
          </w:tcPr>
          <w:p>
            <w:pPr>
              <w:jc w:val="right"/>
              <w:ind w:right="880"/>
              <w:spacing w:after="0"/>
              <w:rPr>
                <w:sz w:val="20"/>
                <w:szCs w:val="20"/>
                <w:color w:val="auto"/>
              </w:rPr>
            </w:pPr>
            <w:r>
              <w:rPr>
                <w:rFonts w:ascii="Arial" w:cs="Arial" w:eastAsia="Arial" w:hAnsi="Arial"/>
                <w:sz w:val="18"/>
                <w:szCs w:val="18"/>
                <w:color w:val="auto"/>
              </w:rPr>
              <w:t>$  352.7</w:t>
            </w:r>
          </w:p>
        </w:tc>
        <w:tc>
          <w:tcPr>
            <w:tcW w:w="2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422.7</w:t>
            </w:r>
          </w:p>
        </w:tc>
      </w:tr>
      <w:tr>
        <w:trPr>
          <w:trHeight w:val="216"/>
        </w:trPr>
        <w:tc>
          <w:tcPr>
            <w:tcW w:w="3380" w:type="dxa"/>
            <w:vAlign w:val="bottom"/>
          </w:tcPr>
          <w:p>
            <w:pPr>
              <w:spacing w:after="0"/>
              <w:rPr>
                <w:sz w:val="20"/>
                <w:szCs w:val="20"/>
                <w:color w:val="auto"/>
              </w:rPr>
            </w:pPr>
            <w:r>
              <w:rPr>
                <w:rFonts w:ascii="Arial" w:cs="Arial" w:eastAsia="Arial" w:hAnsi="Arial"/>
                <w:sz w:val="18"/>
                <w:szCs w:val="18"/>
                <w:color w:val="auto"/>
              </w:rPr>
              <w:t>Working capital</w:t>
            </w:r>
          </w:p>
        </w:tc>
        <w:tc>
          <w:tcPr>
            <w:tcW w:w="2780" w:type="dxa"/>
            <w:vAlign w:val="bottom"/>
            <w:gridSpan w:val="2"/>
          </w:tcPr>
          <w:p>
            <w:pPr>
              <w:jc w:val="right"/>
              <w:ind w:right="328"/>
              <w:spacing w:after="0"/>
              <w:rPr>
                <w:sz w:val="20"/>
                <w:szCs w:val="20"/>
                <w:color w:val="auto"/>
              </w:rPr>
            </w:pPr>
            <w:r>
              <w:rPr>
                <w:rFonts w:ascii="Arial" w:cs="Arial" w:eastAsia="Arial" w:hAnsi="Arial"/>
                <w:sz w:val="18"/>
                <w:szCs w:val="18"/>
                <w:color w:val="auto"/>
              </w:rPr>
              <w:t>(105.7)</w:t>
            </w:r>
          </w:p>
        </w:tc>
        <w:tc>
          <w:tcPr>
            <w:tcW w:w="1920" w:type="dxa"/>
            <w:vAlign w:val="bottom"/>
            <w:gridSpan w:val="2"/>
          </w:tcPr>
          <w:p>
            <w:pPr>
              <w:jc w:val="right"/>
              <w:ind w:right="820"/>
              <w:spacing w:after="0"/>
              <w:rPr>
                <w:sz w:val="20"/>
                <w:szCs w:val="20"/>
                <w:color w:val="auto"/>
              </w:rPr>
            </w:pPr>
            <w:r>
              <w:rPr>
                <w:rFonts w:ascii="Arial" w:cs="Arial" w:eastAsia="Arial" w:hAnsi="Arial"/>
                <w:sz w:val="18"/>
                <w:szCs w:val="18"/>
                <w:color w:val="auto"/>
              </w:rPr>
              <w:t>(221.9)</w:t>
            </w:r>
          </w:p>
        </w:tc>
        <w:tc>
          <w:tcPr>
            <w:tcW w:w="280" w:type="dxa"/>
            <w:vAlign w:val="bottom"/>
          </w:tcPr>
          <w:p>
            <w:pPr>
              <w:spacing w:after="0"/>
              <w:rPr>
                <w:sz w:val="18"/>
                <w:szCs w:val="18"/>
                <w:color w:val="auto"/>
              </w:rPr>
            </w:pPr>
          </w:p>
        </w:tc>
        <w:tc>
          <w:tcPr>
            <w:tcW w:w="1060" w:type="dxa"/>
            <w:vAlign w:val="bottom"/>
            <w:gridSpan w:val="2"/>
          </w:tcPr>
          <w:p>
            <w:pPr>
              <w:jc w:val="right"/>
              <w:ind w:right="60"/>
              <w:spacing w:after="0"/>
              <w:rPr>
                <w:sz w:val="20"/>
                <w:szCs w:val="20"/>
                <w:color w:val="auto"/>
              </w:rPr>
            </w:pPr>
            <w:r>
              <w:rPr>
                <w:rFonts w:ascii="Arial" w:cs="Arial" w:eastAsia="Arial" w:hAnsi="Arial"/>
                <w:sz w:val="18"/>
                <w:szCs w:val="18"/>
                <w:color w:val="auto"/>
              </w:rPr>
              <w:t>(205.5)</w:t>
            </w:r>
          </w:p>
        </w:tc>
      </w:tr>
      <w:tr>
        <w:trPr>
          <w:trHeight w:val="216"/>
        </w:trPr>
        <w:tc>
          <w:tcPr>
            <w:tcW w:w="3380" w:type="dxa"/>
            <w:vAlign w:val="bottom"/>
            <w:shd w:val="clear" w:color="auto" w:fill="CCEEFF"/>
          </w:tcPr>
          <w:p>
            <w:pPr>
              <w:spacing w:after="0"/>
              <w:rPr>
                <w:sz w:val="20"/>
                <w:szCs w:val="20"/>
                <w:color w:val="auto"/>
              </w:rPr>
            </w:pPr>
            <w:r>
              <w:rPr>
                <w:rFonts w:ascii="Arial" w:cs="Arial" w:eastAsia="Arial" w:hAnsi="Arial"/>
                <w:sz w:val="18"/>
                <w:szCs w:val="18"/>
                <w:color w:val="auto"/>
              </w:rPr>
              <w:t>Property and equipment, net</w:t>
            </w:r>
          </w:p>
        </w:tc>
        <w:tc>
          <w:tcPr>
            <w:tcW w:w="2780" w:type="dxa"/>
            <w:vAlign w:val="bottom"/>
            <w:gridSpan w:val="2"/>
            <w:shd w:val="clear" w:color="auto" w:fill="CCEEFF"/>
          </w:tcPr>
          <w:p>
            <w:pPr>
              <w:jc w:val="right"/>
              <w:ind w:right="388"/>
              <w:spacing w:after="0"/>
              <w:rPr>
                <w:sz w:val="20"/>
                <w:szCs w:val="20"/>
                <w:color w:val="auto"/>
              </w:rPr>
            </w:pPr>
            <w:r>
              <w:rPr>
                <w:rFonts w:ascii="Arial" w:cs="Arial" w:eastAsia="Arial" w:hAnsi="Arial"/>
                <w:sz w:val="18"/>
                <w:szCs w:val="18"/>
                <w:color w:val="auto"/>
              </w:rPr>
              <w:t>437.6</w:t>
            </w:r>
          </w:p>
        </w:tc>
        <w:tc>
          <w:tcPr>
            <w:tcW w:w="1920" w:type="dxa"/>
            <w:vAlign w:val="bottom"/>
            <w:gridSpan w:val="2"/>
            <w:shd w:val="clear" w:color="auto" w:fill="CCEEFF"/>
          </w:tcPr>
          <w:p>
            <w:pPr>
              <w:jc w:val="right"/>
              <w:ind w:right="880"/>
              <w:spacing w:after="0"/>
              <w:rPr>
                <w:sz w:val="20"/>
                <w:szCs w:val="20"/>
                <w:color w:val="auto"/>
              </w:rPr>
            </w:pPr>
            <w:r>
              <w:rPr>
                <w:rFonts w:ascii="Arial" w:cs="Arial" w:eastAsia="Arial" w:hAnsi="Arial"/>
                <w:sz w:val="18"/>
                <w:szCs w:val="18"/>
                <w:color w:val="auto"/>
              </w:rPr>
              <w:t>444.0</w:t>
            </w:r>
          </w:p>
        </w:tc>
        <w:tc>
          <w:tcPr>
            <w:tcW w:w="2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345.0</w:t>
            </w:r>
          </w:p>
        </w:tc>
      </w:tr>
      <w:tr>
        <w:trPr>
          <w:trHeight w:val="216"/>
        </w:trPr>
        <w:tc>
          <w:tcPr>
            <w:tcW w:w="3380" w:type="dxa"/>
            <w:vAlign w:val="bottom"/>
          </w:tcPr>
          <w:p>
            <w:pPr>
              <w:spacing w:after="0"/>
              <w:rPr>
                <w:sz w:val="20"/>
                <w:szCs w:val="20"/>
                <w:color w:val="auto"/>
              </w:rPr>
            </w:pPr>
            <w:r>
              <w:rPr>
                <w:rFonts w:ascii="Arial" w:cs="Arial" w:eastAsia="Arial" w:hAnsi="Arial"/>
                <w:sz w:val="18"/>
                <w:szCs w:val="18"/>
                <w:color w:val="auto"/>
              </w:rPr>
              <w:t>Total assets</w:t>
            </w:r>
          </w:p>
        </w:tc>
        <w:tc>
          <w:tcPr>
            <w:tcW w:w="2780" w:type="dxa"/>
            <w:vAlign w:val="bottom"/>
            <w:gridSpan w:val="2"/>
          </w:tcPr>
          <w:p>
            <w:pPr>
              <w:jc w:val="right"/>
              <w:ind w:right="388"/>
              <w:spacing w:after="0"/>
              <w:rPr>
                <w:sz w:val="20"/>
                <w:szCs w:val="20"/>
                <w:color w:val="auto"/>
              </w:rPr>
            </w:pPr>
            <w:r>
              <w:rPr>
                <w:rFonts w:ascii="Arial" w:cs="Arial" w:eastAsia="Arial" w:hAnsi="Arial"/>
                <w:sz w:val="18"/>
                <w:szCs w:val="18"/>
                <w:color w:val="auto"/>
              </w:rPr>
              <w:t>1,010.5</w:t>
            </w:r>
          </w:p>
        </w:tc>
        <w:tc>
          <w:tcPr>
            <w:tcW w:w="1920" w:type="dxa"/>
            <w:vAlign w:val="bottom"/>
            <w:gridSpan w:val="2"/>
          </w:tcPr>
          <w:p>
            <w:pPr>
              <w:jc w:val="right"/>
              <w:ind w:right="880"/>
              <w:spacing w:after="0"/>
              <w:rPr>
                <w:sz w:val="20"/>
                <w:szCs w:val="20"/>
                <w:color w:val="auto"/>
              </w:rPr>
            </w:pPr>
            <w:r>
              <w:rPr>
                <w:rFonts w:ascii="Arial" w:cs="Arial" w:eastAsia="Arial" w:hAnsi="Arial"/>
                <w:sz w:val="18"/>
                <w:szCs w:val="18"/>
                <w:color w:val="auto"/>
              </w:rPr>
              <w:t>1,004.2</w:t>
            </w:r>
          </w:p>
        </w:tc>
        <w:tc>
          <w:tcPr>
            <w:tcW w:w="280" w:type="dxa"/>
            <w:vAlign w:val="bottom"/>
          </w:tcPr>
          <w:p>
            <w:pPr>
              <w:spacing w:after="0"/>
              <w:rPr>
                <w:sz w:val="18"/>
                <w:szCs w:val="18"/>
                <w:color w:val="auto"/>
              </w:rPr>
            </w:pPr>
          </w:p>
        </w:tc>
        <w:tc>
          <w:tcPr>
            <w:tcW w:w="1060" w:type="dxa"/>
            <w:vAlign w:val="bottom"/>
            <w:gridSpan w:val="2"/>
          </w:tcPr>
          <w:p>
            <w:pPr>
              <w:jc w:val="right"/>
              <w:ind w:right="120"/>
              <w:spacing w:after="0"/>
              <w:rPr>
                <w:sz w:val="20"/>
                <w:szCs w:val="20"/>
                <w:color w:val="auto"/>
              </w:rPr>
            </w:pPr>
            <w:r>
              <w:rPr>
                <w:rFonts w:ascii="Arial" w:cs="Arial" w:eastAsia="Arial" w:hAnsi="Arial"/>
                <w:sz w:val="18"/>
                <w:szCs w:val="18"/>
                <w:color w:val="auto"/>
              </w:rPr>
              <w:t>986.5</w:t>
            </w:r>
          </w:p>
        </w:tc>
      </w:tr>
      <w:tr>
        <w:trPr>
          <w:trHeight w:val="216"/>
        </w:trPr>
        <w:tc>
          <w:tcPr>
            <w:tcW w:w="3380" w:type="dxa"/>
            <w:vAlign w:val="bottom"/>
            <w:shd w:val="clear" w:color="auto" w:fill="CCEEFF"/>
          </w:tcPr>
          <w:p>
            <w:pPr>
              <w:spacing w:after="0"/>
              <w:rPr>
                <w:sz w:val="20"/>
                <w:szCs w:val="20"/>
                <w:color w:val="auto"/>
              </w:rPr>
            </w:pPr>
            <w:r>
              <w:rPr>
                <w:rFonts w:ascii="Arial" w:cs="Arial" w:eastAsia="Arial" w:hAnsi="Arial"/>
                <w:sz w:val="18"/>
                <w:szCs w:val="18"/>
                <w:color w:val="auto"/>
              </w:rPr>
              <w:t>Total deferred revenue</w:t>
            </w:r>
          </w:p>
        </w:tc>
        <w:tc>
          <w:tcPr>
            <w:tcW w:w="2780" w:type="dxa"/>
            <w:vAlign w:val="bottom"/>
            <w:gridSpan w:val="2"/>
            <w:shd w:val="clear" w:color="auto" w:fill="CCEEFF"/>
          </w:tcPr>
          <w:p>
            <w:pPr>
              <w:jc w:val="right"/>
              <w:ind w:right="388"/>
              <w:spacing w:after="0"/>
              <w:rPr>
                <w:sz w:val="20"/>
                <w:szCs w:val="20"/>
                <w:color w:val="auto"/>
              </w:rPr>
            </w:pPr>
            <w:r>
              <w:rPr>
                <w:rFonts w:ascii="Arial" w:cs="Arial" w:eastAsia="Arial" w:hAnsi="Arial"/>
                <w:sz w:val="18"/>
                <w:szCs w:val="18"/>
                <w:color w:val="auto"/>
              </w:rPr>
              <w:t>267.3</w:t>
            </w:r>
          </w:p>
        </w:tc>
        <w:tc>
          <w:tcPr>
            <w:tcW w:w="1920" w:type="dxa"/>
            <w:vAlign w:val="bottom"/>
            <w:gridSpan w:val="2"/>
            <w:shd w:val="clear" w:color="auto" w:fill="CCEEFF"/>
          </w:tcPr>
          <w:p>
            <w:pPr>
              <w:jc w:val="right"/>
              <w:ind w:right="880"/>
              <w:spacing w:after="0"/>
              <w:rPr>
                <w:sz w:val="20"/>
                <w:szCs w:val="20"/>
                <w:color w:val="auto"/>
              </w:rPr>
            </w:pPr>
            <w:r>
              <w:rPr>
                <w:rFonts w:ascii="Arial" w:cs="Arial" w:eastAsia="Arial" w:hAnsi="Arial"/>
                <w:sz w:val="18"/>
                <w:szCs w:val="18"/>
                <w:color w:val="auto"/>
              </w:rPr>
              <w:t>354.9</w:t>
            </w:r>
          </w:p>
        </w:tc>
        <w:tc>
          <w:tcPr>
            <w:tcW w:w="2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407.4</w:t>
            </w:r>
          </w:p>
        </w:tc>
      </w:tr>
      <w:tr>
        <w:trPr>
          <w:trHeight w:val="216"/>
        </w:trPr>
        <w:tc>
          <w:tcPr>
            <w:tcW w:w="3380" w:type="dxa"/>
            <w:vAlign w:val="bottom"/>
          </w:tcPr>
          <w:p>
            <w:pPr>
              <w:spacing w:after="0"/>
              <w:rPr>
                <w:sz w:val="20"/>
                <w:szCs w:val="20"/>
                <w:color w:val="auto"/>
              </w:rPr>
            </w:pPr>
            <w:r>
              <w:rPr>
                <w:rFonts w:ascii="Arial" w:cs="Arial" w:eastAsia="Arial" w:hAnsi="Arial"/>
                <w:sz w:val="18"/>
                <w:szCs w:val="18"/>
                <w:color w:val="auto"/>
              </w:rPr>
              <w:t>Total capital lease obligations</w:t>
            </w:r>
          </w:p>
        </w:tc>
        <w:tc>
          <w:tcPr>
            <w:tcW w:w="2780" w:type="dxa"/>
            <w:vAlign w:val="bottom"/>
            <w:gridSpan w:val="2"/>
          </w:tcPr>
          <w:p>
            <w:pPr>
              <w:jc w:val="right"/>
              <w:ind w:right="388"/>
              <w:spacing w:after="0"/>
              <w:rPr>
                <w:sz w:val="20"/>
                <w:szCs w:val="20"/>
                <w:color w:val="auto"/>
              </w:rPr>
            </w:pPr>
            <w:r>
              <w:rPr>
                <w:rFonts w:ascii="Arial" w:cs="Arial" w:eastAsia="Arial" w:hAnsi="Arial"/>
                <w:sz w:val="18"/>
                <w:szCs w:val="18"/>
                <w:color w:val="auto"/>
              </w:rPr>
              <w:t>304.2</w:t>
            </w:r>
          </w:p>
        </w:tc>
        <w:tc>
          <w:tcPr>
            <w:tcW w:w="1920" w:type="dxa"/>
            <w:vAlign w:val="bottom"/>
            <w:gridSpan w:val="2"/>
          </w:tcPr>
          <w:p>
            <w:pPr>
              <w:jc w:val="right"/>
              <w:ind w:right="880"/>
              <w:spacing w:after="0"/>
              <w:rPr>
                <w:sz w:val="20"/>
                <w:szCs w:val="20"/>
                <w:color w:val="auto"/>
              </w:rPr>
            </w:pPr>
            <w:r>
              <w:rPr>
                <w:rFonts w:ascii="Arial" w:cs="Arial" w:eastAsia="Arial" w:hAnsi="Arial"/>
                <w:sz w:val="18"/>
                <w:szCs w:val="18"/>
                <w:color w:val="auto"/>
              </w:rPr>
              <w:t>257.2</w:t>
            </w:r>
          </w:p>
        </w:tc>
        <w:tc>
          <w:tcPr>
            <w:tcW w:w="280" w:type="dxa"/>
            <w:vAlign w:val="bottom"/>
          </w:tcPr>
          <w:p>
            <w:pPr>
              <w:spacing w:after="0"/>
              <w:rPr>
                <w:sz w:val="18"/>
                <w:szCs w:val="18"/>
                <w:color w:val="auto"/>
              </w:rPr>
            </w:pPr>
          </w:p>
        </w:tc>
        <w:tc>
          <w:tcPr>
            <w:tcW w:w="1060" w:type="dxa"/>
            <w:vAlign w:val="bottom"/>
            <w:gridSpan w:val="2"/>
          </w:tcPr>
          <w:p>
            <w:pPr>
              <w:jc w:val="right"/>
              <w:ind w:right="120"/>
              <w:spacing w:after="0"/>
              <w:rPr>
                <w:sz w:val="20"/>
                <w:szCs w:val="20"/>
                <w:color w:val="auto"/>
              </w:rPr>
            </w:pPr>
            <w:r>
              <w:rPr>
                <w:rFonts w:ascii="Arial" w:cs="Arial" w:eastAsia="Arial" w:hAnsi="Arial"/>
                <w:sz w:val="18"/>
                <w:szCs w:val="18"/>
                <w:color w:val="auto"/>
              </w:rPr>
              <w:t>178.6</w:t>
            </w:r>
          </w:p>
        </w:tc>
      </w:tr>
      <w:tr>
        <w:trPr>
          <w:trHeight w:val="216"/>
        </w:trPr>
        <w:tc>
          <w:tcPr>
            <w:tcW w:w="3380" w:type="dxa"/>
            <w:vAlign w:val="bottom"/>
            <w:shd w:val="clear" w:color="auto" w:fill="CCEEFF"/>
          </w:tcPr>
          <w:p>
            <w:pPr>
              <w:spacing w:after="0"/>
              <w:rPr>
                <w:sz w:val="20"/>
                <w:szCs w:val="20"/>
                <w:color w:val="auto"/>
              </w:rPr>
            </w:pPr>
            <w:r>
              <w:rPr>
                <w:rFonts w:ascii="Arial" w:cs="Arial" w:eastAsia="Arial" w:hAnsi="Arial"/>
                <w:sz w:val="18"/>
                <w:szCs w:val="18"/>
                <w:color w:val="auto"/>
              </w:rPr>
              <w:t>Total stockholders’ equity</w:t>
            </w:r>
          </w:p>
        </w:tc>
        <w:tc>
          <w:tcPr>
            <w:tcW w:w="2780" w:type="dxa"/>
            <w:vAlign w:val="bottom"/>
            <w:gridSpan w:val="2"/>
            <w:shd w:val="clear" w:color="auto" w:fill="CCEEFF"/>
          </w:tcPr>
          <w:p>
            <w:pPr>
              <w:jc w:val="right"/>
              <w:ind w:right="388"/>
              <w:spacing w:after="0"/>
              <w:rPr>
                <w:sz w:val="20"/>
                <w:szCs w:val="20"/>
                <w:color w:val="auto"/>
              </w:rPr>
            </w:pPr>
            <w:r>
              <w:rPr>
                <w:rFonts w:ascii="Arial" w:cs="Arial" w:eastAsia="Arial" w:hAnsi="Arial"/>
                <w:sz w:val="18"/>
                <w:szCs w:val="18"/>
                <w:color w:val="auto"/>
              </w:rPr>
              <w:t>185.6</w:t>
            </w:r>
          </w:p>
        </w:tc>
        <w:tc>
          <w:tcPr>
            <w:tcW w:w="1920" w:type="dxa"/>
            <w:vAlign w:val="bottom"/>
            <w:gridSpan w:val="2"/>
            <w:shd w:val="clear" w:color="auto" w:fill="CCEEFF"/>
          </w:tcPr>
          <w:p>
            <w:pPr>
              <w:jc w:val="right"/>
              <w:ind w:right="880"/>
              <w:spacing w:after="0"/>
              <w:rPr>
                <w:sz w:val="20"/>
                <w:szCs w:val="20"/>
                <w:color w:val="auto"/>
              </w:rPr>
            </w:pPr>
            <w:r>
              <w:rPr>
                <w:rFonts w:ascii="Arial" w:cs="Arial" w:eastAsia="Arial" w:hAnsi="Arial"/>
                <w:sz w:val="18"/>
                <w:szCs w:val="18"/>
                <w:color w:val="auto"/>
              </w:rPr>
              <w:t>122.8</w:t>
            </w:r>
          </w:p>
        </w:tc>
        <w:tc>
          <w:tcPr>
            <w:tcW w:w="2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109.0</w:t>
            </w:r>
          </w:p>
        </w:tc>
      </w:tr>
      <w:tr>
        <w:trPr>
          <w:trHeight w:val="365"/>
        </w:trPr>
        <w:tc>
          <w:tcPr>
            <w:tcW w:w="3380" w:type="dxa"/>
            <w:vAlign w:val="bottom"/>
          </w:tcPr>
          <w:p>
            <w:pPr>
              <w:spacing w:after="0"/>
              <w:rPr>
                <w:sz w:val="24"/>
                <w:szCs w:val="24"/>
                <w:color w:val="auto"/>
              </w:rPr>
            </w:pPr>
          </w:p>
        </w:tc>
        <w:tc>
          <w:tcPr>
            <w:tcW w:w="1680" w:type="dxa"/>
            <w:vAlign w:val="bottom"/>
          </w:tcPr>
          <w:p>
            <w:pPr>
              <w:jc w:val="right"/>
              <w:ind w:right="170"/>
              <w:spacing w:after="0"/>
              <w:rPr>
                <w:sz w:val="20"/>
                <w:szCs w:val="20"/>
                <w:color w:val="auto"/>
              </w:rPr>
            </w:pPr>
            <w:r>
              <w:rPr>
                <w:rFonts w:ascii="Arial" w:cs="Arial" w:eastAsia="Arial" w:hAnsi="Arial"/>
                <w:sz w:val="18"/>
                <w:szCs w:val="18"/>
                <w:color w:val="auto"/>
              </w:rPr>
              <w:t>55</w:t>
            </w:r>
          </w:p>
        </w:tc>
        <w:tc>
          <w:tcPr>
            <w:tcW w:w="1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20" w:type="dxa"/>
            <w:vAlign w:val="bottom"/>
          </w:tcPr>
          <w:p>
            <w:pPr>
              <w:spacing w:after="0"/>
              <w:rPr>
                <w:sz w:val="24"/>
                <w:szCs w:val="24"/>
                <w:color w:val="auto"/>
              </w:rPr>
            </w:pPr>
          </w:p>
        </w:tc>
      </w:tr>
    </w:tbl>
    <w:p>
      <w:pPr>
        <w:sectPr>
          <w:pgSz w:w="11900" w:h="16838" w:orient="portrait"/>
          <w:cols w:equalWidth="0" w:num="1">
            <w:col w:w="10960"/>
          </w:cols>
          <w:pgMar w:left="320" w:top="459" w:right="619" w:bottom="1440" w:gutter="0" w:footer="0" w:header="0"/>
        </w:sectPr>
      </w:pPr>
    </w:p>
    <w:bookmarkStart w:id="58" w:name="page59"/>
    <w:bookmarkEnd w:id="5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MANAGEMENT’S DISCUSSION AND ANALYSIS OF FINANCIAL CONDITION AND RESULTS OF OPERATIONS</w:t>
      </w:r>
    </w:p>
    <w:p>
      <w:pPr>
        <w:spacing w:after="0" w:line="229" w:lineRule="exact"/>
        <w:rPr>
          <w:sz w:val="20"/>
          <w:szCs w:val="20"/>
          <w:color w:val="auto"/>
        </w:rPr>
      </w:pPr>
    </w:p>
    <w:p>
      <w:pPr>
        <w:ind w:right="40" w:firstLine="449"/>
        <w:spacing w:after="0" w:line="273" w:lineRule="auto"/>
        <w:rPr>
          <w:sz w:val="20"/>
          <w:szCs w:val="20"/>
          <w:color w:val="auto"/>
        </w:rPr>
      </w:pPr>
      <w:r>
        <w:rPr>
          <w:rFonts w:ascii="Arial" w:cs="Arial" w:eastAsia="Arial" w:hAnsi="Arial"/>
          <w:sz w:val="17"/>
          <w:szCs w:val="17"/>
          <w:i w:val="1"/>
          <w:iCs w:val="1"/>
          <w:color w:val="auto"/>
        </w:rPr>
        <w:t>The following discussion and analysis of our financial condition and results of operations should be read in conjunction with the section titled “Selected Consolidated Financial and Other Data” and the consolidated financial statements and related notes thereto included elsewhere in this prospectus. This discussion contains forward-looking statements that involve risks and uncertainties. Our actual results could differ materially from those discussed below. Additionally, our results for the nine months ended September 30, 2017 may not be indicative of the results to be expected for the full year or any other period. Factors that could cause or contribute to such differences include, but are not limited to, those identified below and those discussed in the section titled “Risk Factors” included elsewhere in this prospectus.</w:t>
      </w:r>
    </w:p>
    <w:p>
      <w:pPr>
        <w:spacing w:after="0" w:line="2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Business</w:t>
      </w:r>
    </w:p>
    <w:p>
      <w:pPr>
        <w:spacing w:after="0" w:line="121" w:lineRule="exact"/>
        <w:rPr>
          <w:sz w:val="20"/>
          <w:szCs w:val="20"/>
          <w:color w:val="auto"/>
        </w:rPr>
      </w:pPr>
    </w:p>
    <w:p>
      <w:pPr>
        <w:ind w:right="40" w:firstLine="449"/>
        <w:spacing w:after="0" w:line="277" w:lineRule="auto"/>
        <w:rPr>
          <w:sz w:val="20"/>
          <w:szCs w:val="20"/>
          <w:color w:val="auto"/>
        </w:rPr>
      </w:pPr>
      <w:r>
        <w:rPr>
          <w:rFonts w:ascii="Arial" w:cs="Arial" w:eastAsia="Arial" w:hAnsi="Arial"/>
          <w:sz w:val="18"/>
          <w:szCs w:val="18"/>
          <w:color w:val="auto"/>
        </w:rPr>
        <w:t>Dropbox is a global collaboration platform that’s transforming the way people work together. We serve more than 500 million registered users across 180 countries.</w:t>
      </w:r>
    </w:p>
    <w:p>
      <w:pPr>
        <w:spacing w:after="0" w:line="170" w:lineRule="exact"/>
        <w:rPr>
          <w:sz w:val="20"/>
          <w:szCs w:val="20"/>
          <w:color w:val="auto"/>
        </w:rPr>
      </w:pPr>
    </w:p>
    <w:p>
      <w:pPr>
        <w:ind w:right="100" w:firstLine="449"/>
        <w:spacing w:after="0" w:line="277" w:lineRule="auto"/>
        <w:rPr>
          <w:sz w:val="20"/>
          <w:szCs w:val="20"/>
          <w:color w:val="auto"/>
        </w:rPr>
      </w:pPr>
      <w:r>
        <w:rPr>
          <w:rFonts w:ascii="Arial" w:cs="Arial" w:eastAsia="Arial" w:hAnsi="Arial"/>
          <w:sz w:val="18"/>
          <w:szCs w:val="18"/>
          <w:color w:val="auto"/>
        </w:rPr>
        <w:t>Our modern economy runs on knowledge. Today, knowledge lives in the cloud as digital content, and Dropbox is the place where more and more of this content is created, accessed, and shared with the world.</w:t>
      </w:r>
    </w:p>
    <w:p>
      <w:pPr>
        <w:spacing w:after="0" w:line="170" w:lineRule="exact"/>
        <w:rPr>
          <w:sz w:val="20"/>
          <w:szCs w:val="20"/>
          <w:color w:val="auto"/>
        </w:rPr>
      </w:pPr>
    </w:p>
    <w:p>
      <w:pPr>
        <w:ind w:right="60" w:firstLine="449"/>
        <w:spacing w:after="0" w:line="263" w:lineRule="auto"/>
        <w:rPr>
          <w:sz w:val="20"/>
          <w:szCs w:val="20"/>
          <w:color w:val="auto"/>
        </w:rPr>
      </w:pPr>
      <w:r>
        <w:rPr>
          <w:rFonts w:ascii="Arial" w:cs="Arial" w:eastAsia="Arial" w:hAnsi="Arial"/>
          <w:sz w:val="18"/>
          <w:szCs w:val="18"/>
          <w:color w:val="auto"/>
        </w:rPr>
        <w:t>Dropbox was founded in 2007 with a simple idea: Life would be a lot better if everyone could access their most important information anytime from any device. Over the past decade, we’ve largely accomplished that mission—but along the way we recognized that for most of our users, sharing and collaborating on Dropbox was even more valuable than storing files.</w:t>
      </w:r>
    </w:p>
    <w:p>
      <w:pPr>
        <w:spacing w:after="0" w:line="184" w:lineRule="exact"/>
        <w:rPr>
          <w:sz w:val="20"/>
          <w:szCs w:val="20"/>
          <w:color w:val="auto"/>
        </w:rPr>
      </w:pPr>
    </w:p>
    <w:p>
      <w:pPr>
        <w:ind w:right="80" w:firstLine="449"/>
        <w:spacing w:after="0" w:line="263" w:lineRule="auto"/>
        <w:rPr>
          <w:sz w:val="20"/>
          <w:szCs w:val="20"/>
          <w:color w:val="auto"/>
        </w:rPr>
      </w:pPr>
      <w:r>
        <w:rPr>
          <w:rFonts w:ascii="Arial" w:cs="Arial" w:eastAsia="Arial" w:hAnsi="Arial"/>
          <w:sz w:val="18"/>
          <w:szCs w:val="18"/>
          <w:color w:val="auto"/>
        </w:rPr>
        <w:t>Our market opportunity has grown as we’ve expanded from keeping files in sync to keeping teams in sync. Today, Dropbox is well positioned to reimagine the way work gets done. We’re focused on reducing the inordinate amount of time and energy the world wastes on “work about work”—tedious tasks like searching for content, switching between applications, and managing workflows.</w:t>
      </w:r>
    </w:p>
    <w:p>
      <w:pPr>
        <w:spacing w:after="0" w:line="184" w:lineRule="exact"/>
        <w:rPr>
          <w:sz w:val="20"/>
          <w:szCs w:val="20"/>
          <w:color w:val="auto"/>
        </w:rPr>
      </w:pPr>
    </w:p>
    <w:p>
      <w:pPr>
        <w:ind w:firstLine="449"/>
        <w:spacing w:after="0" w:line="286" w:lineRule="auto"/>
        <w:rPr>
          <w:sz w:val="20"/>
          <w:szCs w:val="20"/>
          <w:color w:val="auto"/>
        </w:rPr>
      </w:pPr>
      <w:r>
        <w:rPr>
          <w:rFonts w:ascii="Arial" w:cs="Arial" w:eastAsia="Arial" w:hAnsi="Arial"/>
          <w:sz w:val="17"/>
          <w:szCs w:val="17"/>
          <w:color w:val="auto"/>
        </w:rPr>
        <w:t>We’ve built a thriving global business with more than 10 million paying users. Our revenue was $603.8 million and $844.8 million in 2015 and 2016, respectively, representing a growth rate of 40%. We generated net losses of $325.9 million and $210.2 million in 2015 and 2016, respectively. We also generated positive free cash flow of $137.4 million in 2016 compared to negative free cash flow of $63.9 million in 2015.</w:t>
      </w:r>
    </w:p>
    <w:p>
      <w:pPr>
        <w:spacing w:after="0" w:line="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56</w:t>
      </w:r>
    </w:p>
    <w:p>
      <w:pPr>
        <w:sectPr>
          <w:pgSz w:w="11900" w:h="16838" w:orient="portrait"/>
          <w:cols w:equalWidth="0" w:num="1">
            <w:col w:w="11220"/>
          </w:cols>
          <w:pgMar w:left="320" w:top="459" w:right="359" w:bottom="1440" w:gutter="0" w:footer="0" w:header="0"/>
        </w:sectPr>
      </w:pPr>
    </w:p>
    <w:bookmarkStart w:id="59" w:name="page60"/>
    <w:bookmarkEnd w:id="5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History</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Since our founding, we’ve built one of the largest collaboration platforms in the world.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1059180</wp:posOffset>
            </wp:positionH>
            <wp:positionV relativeFrom="paragraph">
              <wp:posOffset>246380</wp:posOffset>
            </wp:positionV>
            <wp:extent cx="5031740" cy="538353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5031740" cy="53835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Subscription Plans</w:t>
      </w:r>
    </w:p>
    <w:p>
      <w:pPr>
        <w:spacing w:after="0" w:line="121" w:lineRule="exact"/>
        <w:rPr>
          <w:sz w:val="20"/>
          <w:szCs w:val="20"/>
          <w:color w:val="auto"/>
        </w:rPr>
      </w:pPr>
    </w:p>
    <w:p>
      <w:pPr>
        <w:ind w:firstLine="449"/>
        <w:spacing w:after="0" w:line="257" w:lineRule="auto"/>
        <w:rPr>
          <w:sz w:val="20"/>
          <w:szCs w:val="20"/>
          <w:color w:val="auto"/>
        </w:rPr>
      </w:pPr>
      <w:r>
        <w:rPr>
          <w:rFonts w:ascii="Arial" w:cs="Arial" w:eastAsia="Arial" w:hAnsi="Arial"/>
          <w:sz w:val="18"/>
          <w:szCs w:val="18"/>
          <w:color w:val="auto"/>
        </w:rPr>
        <w:t>We generate revenue from individuals, teams, and organizations by selling subscriptions to our platform. Of our 10 million paying users, approximately 30% use Dropbox for work on a Dropbox Business team plan, and we estimate that an additional 50% use Dropbox for work on an individual plan, collectively totaling approximately 80% of paying users. As of September 30, 2017, we had more than 290,000 paying Dropbox Business teams. Customers can choose between an annual or monthly plan, with a small number of large organizations on multi-year plans. A majority of our customers opt for our annual plans. We typically bill our</w:t>
      </w:r>
    </w:p>
    <w:p>
      <w:pPr>
        <w:spacing w:after="0" w:line="120"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57</w:t>
      </w:r>
    </w:p>
    <w:p>
      <w:pPr>
        <w:sectPr>
          <w:pgSz w:w="11900" w:h="16838" w:orient="portrait"/>
          <w:cols w:equalWidth="0" w:num="1">
            <w:col w:w="11100"/>
          </w:cols>
          <w:pgMar w:left="320" w:top="459" w:right="479" w:bottom="1440" w:gutter="0" w:footer="0" w:header="0"/>
        </w:sectPr>
      </w:pPr>
    </w:p>
    <w:bookmarkStart w:id="60" w:name="page61"/>
    <w:bookmarkEnd w:id="6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customers at the beginning of their respective terms and recognize revenue ratably over the term of the subscription period. International customers can pay in U.S. dollars or a select number of foreign currencies.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982345</wp:posOffset>
            </wp:positionH>
            <wp:positionV relativeFrom="paragraph">
              <wp:posOffset>134620</wp:posOffset>
            </wp:positionV>
            <wp:extent cx="5186045" cy="603504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5186045" cy="60350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58</w:t>
      </w:r>
    </w:p>
    <w:p>
      <w:pPr>
        <w:sectPr>
          <w:pgSz w:w="11900" w:h="16838" w:orient="portrait"/>
          <w:cols w:equalWidth="0" w:num="1">
            <w:col w:w="11220"/>
          </w:cols>
          <w:pgMar w:left="320" w:top="459" w:right="359" w:bottom="1440" w:gutter="0" w:footer="0" w:header="0"/>
        </w:sectPr>
      </w:pPr>
    </w:p>
    <w:bookmarkStart w:id="61" w:name="page62"/>
    <w:bookmarkEnd w:id="6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Business Model</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Drive new signups</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7"/>
          <w:szCs w:val="17"/>
          <w:color w:val="auto"/>
        </w:rPr>
        <w:t>We acquire users efficiently and at relatively low costs through word-of-mouth referrals, direct in-product referrals, and sharing of content.</w:t>
      </w:r>
    </w:p>
    <w:p>
      <w:pPr>
        <w:spacing w:after="0" w:line="237" w:lineRule="exact"/>
        <w:rPr>
          <w:sz w:val="20"/>
          <w:szCs w:val="20"/>
          <w:color w:val="auto"/>
        </w:rPr>
      </w:pPr>
    </w:p>
    <w:p>
      <w:pPr>
        <w:ind w:right="20" w:firstLine="449"/>
        <w:spacing w:after="0" w:line="259" w:lineRule="auto"/>
        <w:rPr>
          <w:sz w:val="20"/>
          <w:szCs w:val="20"/>
          <w:color w:val="auto"/>
        </w:rPr>
      </w:pPr>
      <w:r>
        <w:rPr>
          <w:rFonts w:ascii="Arial" w:cs="Arial" w:eastAsia="Arial" w:hAnsi="Arial"/>
          <w:sz w:val="18"/>
          <w:szCs w:val="18"/>
          <w:color w:val="auto"/>
        </w:rPr>
        <w:t>Anyone can create a Dropbox account for free through our website or app and be up and running in minutes. These users often share and collaborate with other non-registered users, attracting new signups into our network. For example, many people use Dropbox for work and spread our platform by collaborating on projects or sharing content externally. We also acquire a small proportion of our registered users through paid marketing and distribution partnerships in which hardware manufacturers pre-install our software on their devices.</w:t>
      </w:r>
    </w:p>
    <w:p>
      <w:pPr>
        <w:spacing w:after="0" w:line="18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have over 500 million registered users on our platform, of which nearly 100 million signed up in the past year.</w:t>
      </w:r>
    </w:p>
    <w:p>
      <w:pPr>
        <w:spacing w:after="0" w:line="333"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Increase conversion of registered users to our paid subscription plans</w:t>
      </w:r>
    </w:p>
    <w:p>
      <w:pPr>
        <w:spacing w:after="0" w:line="117" w:lineRule="exact"/>
        <w:rPr>
          <w:sz w:val="20"/>
          <w:szCs w:val="20"/>
          <w:color w:val="auto"/>
        </w:rPr>
      </w:pPr>
    </w:p>
    <w:p>
      <w:pPr>
        <w:ind w:right="40" w:firstLine="449"/>
        <w:spacing w:after="0" w:line="293" w:lineRule="auto"/>
        <w:rPr>
          <w:sz w:val="20"/>
          <w:szCs w:val="20"/>
          <w:color w:val="auto"/>
        </w:rPr>
      </w:pPr>
      <w:r>
        <w:rPr>
          <w:rFonts w:ascii="Arial" w:cs="Arial" w:eastAsia="Arial" w:hAnsi="Arial"/>
          <w:sz w:val="16"/>
          <w:szCs w:val="16"/>
          <w:color w:val="auto"/>
        </w:rPr>
        <w:t>Dropbox Basic, the free version of our product, serves as a major funnel for conversions to our paid subscription plans. It fosters brand awareness, product familiarity, and organic adoption of Dropbox. When they purchase a subscription, our users gain access to premium features such as richer collaboration tools, administrative controls, and advanced security features, as well as larger storage capacity. We estimate that approximately 300 million of our registered users have at least one of the following characteristics that make them more likely to pay over time: (i) they have used a business domain email to sign up to our platform; (ii) they have used specific types of laptop, phone, or tablet devices to access our platform; or (iii) they signed up from certain countries in more developed markets in North America, Europe, and Asia Pacific, and have linked a desktop or laptop computer to our platform.</w:t>
      </w:r>
    </w:p>
    <w:p>
      <w:pPr>
        <w:spacing w:after="0" w:line="164" w:lineRule="exact"/>
        <w:rPr>
          <w:sz w:val="20"/>
          <w:szCs w:val="20"/>
          <w:color w:val="auto"/>
        </w:rPr>
      </w:pPr>
    </w:p>
    <w:p>
      <w:pPr>
        <w:ind w:right="280" w:firstLine="449"/>
        <w:spacing w:after="0" w:line="263" w:lineRule="auto"/>
        <w:rPr>
          <w:sz w:val="20"/>
          <w:szCs w:val="20"/>
          <w:color w:val="auto"/>
        </w:rPr>
      </w:pPr>
      <w:r>
        <w:rPr>
          <w:rFonts w:ascii="Arial" w:cs="Arial" w:eastAsia="Arial" w:hAnsi="Arial"/>
          <w:sz w:val="18"/>
          <w:szCs w:val="18"/>
          <w:color w:val="auto"/>
        </w:rPr>
        <w:t>We generate over 90% of our revenue from self-serve channels—users who purchase a subscription through our app or website. We actively encourage our registered users to become paying users through in-product prompts and notifications, time-limited free trials of paid subscription plans, email campaigns, and lifecycle marketing.</w:t>
      </w:r>
    </w:p>
    <w:p>
      <w:pPr>
        <w:spacing w:after="0" w:line="184" w:lineRule="exact"/>
        <w:rPr>
          <w:sz w:val="20"/>
          <w:szCs w:val="20"/>
          <w:color w:val="auto"/>
        </w:rPr>
      </w:pPr>
    </w:p>
    <w:p>
      <w:pPr>
        <w:ind w:right="140" w:firstLine="449"/>
        <w:spacing w:after="0" w:line="263" w:lineRule="auto"/>
        <w:rPr>
          <w:sz w:val="20"/>
          <w:szCs w:val="20"/>
          <w:color w:val="auto"/>
        </w:rPr>
      </w:pPr>
      <w:r>
        <w:rPr>
          <w:rFonts w:ascii="Arial" w:cs="Arial" w:eastAsia="Arial" w:hAnsi="Arial"/>
          <w:sz w:val="18"/>
          <w:szCs w:val="18"/>
          <w:color w:val="auto"/>
        </w:rPr>
        <w:t>In the third quarter of 2017, more than 400 million devices—including computers, phones, and tablets—were actively connected to the Dropbox platform. Because our users have installed Dropbox on many devices, we have multiple opportunities to inform them about new product experiences and premium subscription plans via in-product notifications, without any external marketing spend.</w:t>
      </w:r>
    </w:p>
    <w:p>
      <w:pPr>
        <w:spacing w:after="0" w:line="184" w:lineRule="exact"/>
        <w:rPr>
          <w:sz w:val="20"/>
          <w:szCs w:val="20"/>
          <w:color w:val="auto"/>
        </w:rPr>
      </w:pPr>
    </w:p>
    <w:p>
      <w:pPr>
        <w:ind w:right="580" w:firstLine="449"/>
        <w:spacing w:after="0" w:line="342" w:lineRule="auto"/>
        <w:rPr>
          <w:sz w:val="20"/>
          <w:szCs w:val="20"/>
          <w:color w:val="auto"/>
        </w:rPr>
      </w:pPr>
      <w:r>
        <w:rPr>
          <w:rFonts w:ascii="Arial" w:cs="Arial" w:eastAsia="Arial" w:hAnsi="Arial"/>
          <w:sz w:val="16"/>
          <w:szCs w:val="16"/>
          <w:color w:val="auto"/>
        </w:rPr>
        <w:t>Our scale enables us to experiment and optimize the conversion marketing process. We run hundreds of product tests and targeted marketing campaigns simultaneously, and analyze usage patterns within our network to continually improve our user targeting and marketing messaging.</w:t>
      </w:r>
    </w:p>
    <w:p>
      <w:pPr>
        <w:spacing w:after="0" w:line="232"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Upgrade and expand existing customers</w:t>
      </w:r>
    </w:p>
    <w:p>
      <w:pPr>
        <w:spacing w:after="0" w:line="117" w:lineRule="exact"/>
        <w:rPr>
          <w:sz w:val="20"/>
          <w:szCs w:val="20"/>
          <w:color w:val="auto"/>
        </w:rPr>
      </w:pPr>
    </w:p>
    <w:p>
      <w:pPr>
        <w:ind w:firstLine="449"/>
        <w:spacing w:after="0" w:line="296" w:lineRule="auto"/>
        <w:rPr>
          <w:sz w:val="20"/>
          <w:szCs w:val="20"/>
          <w:color w:val="auto"/>
        </w:rPr>
      </w:pPr>
      <w:r>
        <w:rPr>
          <w:rFonts w:ascii="Arial" w:cs="Arial" w:eastAsia="Arial" w:hAnsi="Arial"/>
          <w:sz w:val="16"/>
          <w:szCs w:val="16"/>
          <w:color w:val="auto"/>
        </w:rPr>
        <w:t>We offer a range of paid subscription plans, from Plus and Professional for individuals to Standard, Advanced, and Enterprise for teams. We analyze usage patterns within our network and run hundreds of targeted marketing campaigns to encourage paying users to upgrade their plans. For example, we prompt individual subscribers who collaborate with others on Dropbox to purchase our Standard or Advanced plans for a better team experience. They can do this by either joining an existing Dropbox Business team or by creating a new Dropbox Business team and inviting others to join. In the first three quarters of 2017, over 40% of new Dropbox Business teams included a member who was previously a Plus subscriber.</w:t>
      </w:r>
    </w:p>
    <w:p>
      <w:pPr>
        <w:spacing w:after="0" w:line="161" w:lineRule="exact"/>
        <w:rPr>
          <w:sz w:val="20"/>
          <w:szCs w:val="20"/>
          <w:color w:val="auto"/>
        </w:rPr>
      </w:pPr>
    </w:p>
    <w:p>
      <w:pPr>
        <w:ind w:right="60" w:firstLine="449"/>
        <w:spacing w:after="0" w:line="277" w:lineRule="auto"/>
        <w:rPr>
          <w:sz w:val="20"/>
          <w:szCs w:val="20"/>
          <w:color w:val="auto"/>
        </w:rPr>
      </w:pPr>
      <w:r>
        <w:rPr>
          <w:rFonts w:ascii="Arial" w:cs="Arial" w:eastAsia="Arial" w:hAnsi="Arial"/>
          <w:sz w:val="18"/>
          <w:szCs w:val="18"/>
          <w:color w:val="auto"/>
        </w:rPr>
        <w:t>We believe that a large majority of individual customers use Dropbox for work, which creates an opportunity to significantly increase conversion to Dropbox Business team offerings over time. We also</w:t>
      </w:r>
    </w:p>
    <w:p>
      <w:pPr>
        <w:spacing w:after="0" w:line="103"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59</w:t>
      </w:r>
    </w:p>
    <w:p>
      <w:pPr>
        <w:sectPr>
          <w:pgSz w:w="11900" w:h="16838" w:orient="portrait"/>
          <w:cols w:equalWidth="0" w:num="1">
            <w:col w:w="11160"/>
          </w:cols>
          <w:pgMar w:left="320" w:top="459" w:right="419" w:bottom="1440" w:gutter="0" w:footer="0" w:header="0"/>
        </w:sectPr>
      </w:pPr>
    </w:p>
    <w:bookmarkStart w:id="62" w:name="page63"/>
    <w:bookmarkEnd w:id="6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spacing w:after="0"/>
        <w:rPr>
          <w:sz w:val="20"/>
          <w:szCs w:val="20"/>
          <w:color w:val="auto"/>
        </w:rPr>
      </w:pPr>
      <w:r>
        <w:rPr>
          <w:rFonts w:ascii="Arial" w:cs="Arial" w:eastAsia="Arial" w:hAnsi="Arial"/>
          <w:sz w:val="18"/>
          <w:szCs w:val="18"/>
          <w:color w:val="auto"/>
        </w:rPr>
        <w:t>encourage existing Dropbox Business teams to purchase additional licenses or to upgrade to premium subscription plans.</w:t>
      </w:r>
    </w:p>
    <w:p>
      <w:pPr>
        <w:spacing w:after="0" w:line="225" w:lineRule="exact"/>
        <w:rPr>
          <w:sz w:val="20"/>
          <w:szCs w:val="20"/>
          <w:color w:val="auto"/>
        </w:rPr>
      </w:pPr>
    </w:p>
    <w:p>
      <w:pPr>
        <w:ind w:firstLine="449"/>
        <w:spacing w:after="0" w:line="263" w:lineRule="auto"/>
        <w:rPr>
          <w:sz w:val="20"/>
          <w:szCs w:val="20"/>
          <w:color w:val="auto"/>
        </w:rPr>
      </w:pPr>
      <w:r>
        <w:rPr>
          <w:rFonts w:ascii="Arial" w:cs="Arial" w:eastAsia="Arial" w:hAnsi="Arial"/>
          <w:sz w:val="18"/>
          <w:szCs w:val="18"/>
          <w:color w:val="auto"/>
        </w:rPr>
        <w:t>Within an organization, Dropbox usage may be spread between a mix of Basic users, Plus and Professional subscribers, and one or more Dropbox Business teams. Our outbound sales team focuses on converting and consolidating these separate pockets of usage into a centralized deployment. Nearly all of our largest outbound deals originated as smaller self-serve deployments.</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Attractive Cohort Economics</w:t>
      </w:r>
    </w:p>
    <w:p>
      <w:pPr>
        <w:spacing w:after="0" w:line="121" w:lineRule="exact"/>
        <w:rPr>
          <w:sz w:val="20"/>
          <w:szCs w:val="20"/>
          <w:color w:val="auto"/>
        </w:rPr>
      </w:pPr>
    </w:p>
    <w:p>
      <w:pPr>
        <w:ind w:right="20" w:firstLine="449"/>
        <w:spacing w:after="0" w:line="271" w:lineRule="auto"/>
        <w:rPr>
          <w:sz w:val="20"/>
          <w:szCs w:val="20"/>
          <w:color w:val="auto"/>
        </w:rPr>
      </w:pPr>
      <w:r>
        <w:rPr>
          <w:rFonts w:ascii="Arial" w:cs="Arial" w:eastAsia="Arial" w:hAnsi="Arial"/>
          <w:sz w:val="17"/>
          <w:szCs w:val="17"/>
          <w:color w:val="auto"/>
        </w:rPr>
        <w:t>We define a cohort as all registered users who signed up for Dropbox in a given period of time. We track the total monthly subscription amount of all paying users in each cohort as of the end of the month, or the monthly subscription amount. For paying users who opt for our monthly plans, the monthly subscription amount is equal to the price of the monthly plan. For paying users who opt for our annual plans, which a majority of our users do, the monthly subscription amount is equal to the price of the annual plan divided by twelve. These amounts increase as more registered users in each cohort convert to paying users, paying users upgrade to premium subscription offerings, and team administrators purchase additional licenses. These amounts decrease when paying users terminate their subscriptions, downgrade their subscriptions to a lower tier, or team administrators reduce the number of licenses on their subscription plans. We continuously focus on adding new users and increasing the value we offer to them. As a result, each cohort of new users typically generates higher subscription amounts over time.</w:t>
      </w:r>
    </w:p>
    <w:p>
      <w:pPr>
        <w:spacing w:after="0" w:line="178" w:lineRule="exact"/>
        <w:rPr>
          <w:sz w:val="20"/>
          <w:szCs w:val="20"/>
          <w:color w:val="auto"/>
        </w:rPr>
      </w:pPr>
    </w:p>
    <w:p>
      <w:pPr>
        <w:ind w:right="620" w:firstLine="449"/>
        <w:spacing w:after="0" w:line="277" w:lineRule="auto"/>
        <w:rPr>
          <w:sz w:val="20"/>
          <w:szCs w:val="20"/>
          <w:color w:val="auto"/>
        </w:rPr>
      </w:pPr>
      <w:r>
        <w:rPr>
          <w:rFonts w:ascii="Arial" w:cs="Arial" w:eastAsia="Arial" w:hAnsi="Arial"/>
          <w:sz w:val="18"/>
          <w:szCs w:val="18"/>
          <w:color w:val="auto"/>
        </w:rPr>
        <w:t>The chart below reflects the monthly subscription amount from January 2013 to September 2017 of all paying users in each quarterly cohort, including those who signed up for our platform prior to 2013.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1308100</wp:posOffset>
            </wp:positionH>
            <wp:positionV relativeFrom="paragraph">
              <wp:posOffset>134620</wp:posOffset>
            </wp:positionV>
            <wp:extent cx="4526280" cy="298323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4526280" cy="29832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both"/>
        <w:ind w:right="360" w:firstLine="449"/>
        <w:spacing w:after="0" w:line="263" w:lineRule="auto"/>
        <w:rPr>
          <w:sz w:val="20"/>
          <w:szCs w:val="20"/>
          <w:color w:val="auto"/>
        </w:rPr>
      </w:pPr>
      <w:r>
        <w:rPr>
          <w:rFonts w:ascii="Arial" w:cs="Arial" w:eastAsia="Arial" w:hAnsi="Arial"/>
          <w:sz w:val="18"/>
          <w:szCs w:val="18"/>
          <w:color w:val="auto"/>
        </w:rPr>
        <w:t>We continuously focus on adding new users and increasing the value we offer to them. As a result, each cohort of new users typically generates higher subscription amounts over time. For example, the monthly subscription amount generated by the January 2015 cohort doubled in less than three years after signup. We believe this cohort is representative of a typical cohort in recent periods.</w:t>
      </w:r>
    </w:p>
    <w:p>
      <w:pPr>
        <w:spacing w:after="0" w:line="11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60</w:t>
      </w:r>
    </w:p>
    <w:p>
      <w:pPr>
        <w:sectPr>
          <w:pgSz w:w="11900" w:h="16838" w:orient="portrait"/>
          <w:cols w:equalWidth="0" w:num="1">
            <w:col w:w="11220"/>
          </w:cols>
          <w:pgMar w:left="320" w:top="459" w:right="359" w:bottom="1440" w:gutter="0" w:footer="0" w:header="0"/>
        </w:sectPr>
      </w:pPr>
    </w:p>
    <w:bookmarkStart w:id="63" w:name="page64"/>
    <w:bookmarkEnd w:id="6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right="80" w:firstLine="449"/>
        <w:spacing w:after="0" w:line="311" w:lineRule="auto"/>
        <w:rPr>
          <w:sz w:val="20"/>
          <w:szCs w:val="20"/>
          <w:color w:val="auto"/>
        </w:rPr>
      </w:pPr>
      <w:r>
        <w:rPr>
          <w:rFonts w:ascii="Arial" w:cs="Arial" w:eastAsia="Arial" w:hAnsi="Arial"/>
          <w:sz w:val="16"/>
          <w:szCs w:val="16"/>
          <w:color w:val="auto"/>
        </w:rPr>
        <w:t>Moreover, as we continue to innovate and optimize our go-to-market strategy, we have successfully increased monetization for subsequent cohorts. Comparing January cohorts from the last three years, at virtually every point in time after signup, the January 2017 cohort generated a higher monthly subscription amount than the January 2016 cohort, which in turn generated a higher monthly subscription amount than the January 2015 cohort.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1308100</wp:posOffset>
            </wp:positionH>
            <wp:positionV relativeFrom="paragraph">
              <wp:posOffset>-33020</wp:posOffset>
            </wp:positionV>
            <wp:extent cx="4526280" cy="273431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4526280" cy="27343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Global, Diversified Customer Base</w:t>
      </w:r>
    </w:p>
    <w:p>
      <w:pPr>
        <w:spacing w:after="0" w:line="121" w:lineRule="exact"/>
        <w:rPr>
          <w:sz w:val="20"/>
          <w:szCs w:val="20"/>
          <w:color w:val="auto"/>
        </w:rPr>
      </w:pPr>
    </w:p>
    <w:p>
      <w:pPr>
        <w:ind w:right="20" w:firstLine="449"/>
        <w:spacing w:after="0" w:line="342" w:lineRule="auto"/>
        <w:rPr>
          <w:sz w:val="20"/>
          <w:szCs w:val="20"/>
          <w:color w:val="auto"/>
        </w:rPr>
      </w:pPr>
      <w:r>
        <w:rPr>
          <w:rFonts w:ascii="Arial" w:cs="Arial" w:eastAsia="Arial" w:hAnsi="Arial"/>
          <w:sz w:val="16"/>
          <w:szCs w:val="16"/>
          <w:color w:val="auto"/>
        </w:rPr>
        <w:t>The growing need for a unified home for content and the viral nature of our business have allowed us to scale globally. We have paying users across 180 countries, and we generated approximately half of our revenue in the first nine months of 2017 from customers outside the United States.</w:t>
      </w:r>
    </w:p>
    <w:p>
      <w:pPr>
        <w:spacing w:after="0" w:line="124" w:lineRule="exact"/>
        <w:rPr>
          <w:sz w:val="20"/>
          <w:szCs w:val="20"/>
          <w:color w:val="auto"/>
        </w:rPr>
      </w:pPr>
    </w:p>
    <w:p>
      <w:pPr>
        <w:ind w:firstLine="449"/>
        <w:spacing w:after="0" w:line="301" w:lineRule="auto"/>
        <w:rPr>
          <w:sz w:val="20"/>
          <w:szCs w:val="20"/>
          <w:color w:val="auto"/>
        </w:rPr>
      </w:pPr>
      <w:r>
        <w:rPr>
          <w:rFonts w:ascii="Arial" w:cs="Arial" w:eastAsia="Arial" w:hAnsi="Arial"/>
          <w:sz w:val="16"/>
          <w:szCs w:val="16"/>
          <w:color w:val="auto"/>
        </w:rPr>
        <w:t>Our customer base is highly diversified, and in the periods presented, no customer accounted for more than 1% of our revenue. Our customers include individuals, teams, and organizations of all sizes, from freelancers and small businesses to Fortune 100 companies. They work across a wide range of industries, including professional services, technology, media, education, industrials, consumer and retail, and financial services. Within companies, our platform is used by all types of teams and functions, including sales, marketing, product, design, engineering, finance, legal, and human resources.</w:t>
      </w:r>
    </w:p>
    <w:p>
      <w:pPr>
        <w:spacing w:after="0" w:line="90"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61</w:t>
      </w:r>
    </w:p>
    <w:p>
      <w:pPr>
        <w:sectPr>
          <w:pgSz w:w="11900" w:h="16838" w:orient="portrait"/>
          <w:cols w:equalWidth="0" w:num="1">
            <w:col w:w="11140"/>
          </w:cols>
          <w:pgMar w:left="320" w:top="459" w:right="439" w:bottom="1440" w:gutter="0" w:footer="0" w:header="0"/>
        </w:sectPr>
      </w:pPr>
    </w:p>
    <w:bookmarkStart w:id="64" w:name="page65"/>
    <w:bookmarkEnd w:id="6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Predictable Subscription Revenue</w:t>
      </w:r>
    </w:p>
    <w:p>
      <w:pPr>
        <w:spacing w:after="0" w:line="121" w:lineRule="exact"/>
        <w:rPr>
          <w:sz w:val="20"/>
          <w:szCs w:val="20"/>
          <w:color w:val="auto"/>
        </w:rPr>
      </w:pPr>
    </w:p>
    <w:p>
      <w:pPr>
        <w:ind w:right="160" w:firstLine="449"/>
        <w:spacing w:after="0" w:line="277" w:lineRule="auto"/>
        <w:rPr>
          <w:sz w:val="20"/>
          <w:szCs w:val="20"/>
          <w:color w:val="auto"/>
        </w:rPr>
      </w:pPr>
      <w:r>
        <w:rPr>
          <w:rFonts w:ascii="Arial" w:cs="Arial" w:eastAsia="Arial" w:hAnsi="Arial"/>
          <w:sz w:val="18"/>
          <w:szCs w:val="18"/>
          <w:color w:val="auto"/>
        </w:rPr>
        <w:t>Taken together, our subscription revenue model, consistent cohort trends, self-serve monetization engine, and large and diversified global customer base resulted in linear and predictable revenue generation over the duration of the quarters presented in the chart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-19050</wp:posOffset>
            </wp:positionV>
            <wp:extent cx="5151755" cy="356616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5151755" cy="35661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ind w:right="40" w:firstLine="449"/>
        <w:spacing w:after="0" w:line="277" w:lineRule="auto"/>
        <w:rPr>
          <w:sz w:val="20"/>
          <w:szCs w:val="20"/>
          <w:color w:val="auto"/>
        </w:rPr>
      </w:pPr>
      <w:r>
        <w:rPr>
          <w:rFonts w:ascii="Arial" w:cs="Arial" w:eastAsia="Arial" w:hAnsi="Arial"/>
          <w:sz w:val="18"/>
          <w:szCs w:val="18"/>
          <w:color w:val="auto"/>
        </w:rPr>
        <w:t>As of September 30, 2017, more than 80% of our annualized revenue came from existing individual users and Dropbox Business teams who were on our platform as of September 30, 2016.</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Key Factors Affecting Our Performance</w:t>
      </w:r>
    </w:p>
    <w:p>
      <w:pPr>
        <w:spacing w:after="0" w:line="121" w:lineRule="exact"/>
        <w:rPr>
          <w:sz w:val="20"/>
          <w:szCs w:val="20"/>
          <w:color w:val="auto"/>
        </w:rPr>
      </w:pPr>
    </w:p>
    <w:p>
      <w:pPr>
        <w:ind w:firstLine="449"/>
        <w:spacing w:after="0" w:line="263" w:lineRule="auto"/>
        <w:rPr>
          <w:sz w:val="20"/>
          <w:szCs w:val="20"/>
          <w:color w:val="auto"/>
        </w:rPr>
      </w:pPr>
      <w:r>
        <w:rPr>
          <w:rFonts w:ascii="Arial" w:cs="Arial" w:eastAsia="Arial" w:hAnsi="Arial"/>
          <w:sz w:val="18"/>
          <w:szCs w:val="18"/>
          <w:color w:val="auto"/>
        </w:rPr>
        <w:t>We believe that the growth and future success of our business depends on many factors. While each of these factors presents significant opportunities for our business, they also pose important challenges that we must successfully address in order to sustain our growth and improve our results of operations.</w:t>
      </w:r>
    </w:p>
    <w:p>
      <w:pPr>
        <w:spacing w:after="0" w:line="184" w:lineRule="exact"/>
        <w:rPr>
          <w:sz w:val="20"/>
          <w:szCs w:val="20"/>
          <w:color w:val="auto"/>
        </w:rPr>
      </w:pPr>
    </w:p>
    <w:p>
      <w:pPr>
        <w:ind w:right="160" w:firstLine="449"/>
        <w:spacing w:after="0" w:line="257" w:lineRule="auto"/>
        <w:rPr>
          <w:sz w:val="20"/>
          <w:szCs w:val="20"/>
          <w:color w:val="auto"/>
        </w:rPr>
      </w:pPr>
      <w:r>
        <w:rPr>
          <w:rFonts w:ascii="Arial" w:cs="Arial" w:eastAsia="Arial" w:hAnsi="Arial"/>
          <w:sz w:val="18"/>
          <w:szCs w:val="18"/>
          <w:b w:val="1"/>
          <w:bCs w:val="1"/>
          <w:i w:val="1"/>
          <w:iCs w:val="1"/>
          <w:color w:val="auto"/>
        </w:rPr>
        <w:t xml:space="preserve">Attract Users and Expand Relationships with Them. </w:t>
      </w:r>
      <w:r>
        <w:rPr>
          <w:rFonts w:ascii="Arial" w:cs="Arial" w:eastAsia="Arial" w:hAnsi="Arial"/>
          <w:sz w:val="18"/>
          <w:szCs w:val="18"/>
          <w:color w:val="auto"/>
        </w:rPr>
        <w:t>Our business model is based on attracting new users to our platform, converting registered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users to paying users, and retaining and expanding paying users’ subscriptions over time. Our continued success depends in part on our ability to offer compelling subscription plans with valuable capabilities, and to market these plans effectively to users. In addition, we must continue to provide a quality user experience to retain paying customers and encourage existing Dropbox Business teams to purchase additional licenses for their organizations over time.</w:t>
      </w:r>
    </w:p>
    <w:p>
      <w:pPr>
        <w:spacing w:after="0" w:line="188" w:lineRule="exact"/>
        <w:rPr>
          <w:sz w:val="20"/>
          <w:szCs w:val="20"/>
          <w:color w:val="auto"/>
        </w:rPr>
      </w:pPr>
    </w:p>
    <w:p>
      <w:pPr>
        <w:ind w:firstLine="449"/>
        <w:spacing w:after="0" w:line="311" w:lineRule="auto"/>
        <w:rPr>
          <w:sz w:val="20"/>
          <w:szCs w:val="20"/>
          <w:color w:val="auto"/>
        </w:rPr>
      </w:pPr>
      <w:r>
        <w:rPr>
          <w:rFonts w:ascii="Arial" w:cs="Arial" w:eastAsia="Arial" w:hAnsi="Arial"/>
          <w:sz w:val="16"/>
          <w:szCs w:val="16"/>
          <w:b w:val="1"/>
          <w:bCs w:val="1"/>
          <w:i w:val="1"/>
          <w:iCs w:val="1"/>
          <w:color w:val="auto"/>
        </w:rPr>
        <w:t xml:space="preserve">Continued Investment in Growth. </w:t>
      </w:r>
      <w:r>
        <w:rPr>
          <w:rFonts w:ascii="Arial" w:cs="Arial" w:eastAsia="Arial" w:hAnsi="Arial"/>
          <w:sz w:val="16"/>
          <w:szCs w:val="16"/>
          <w:color w:val="auto"/>
        </w:rPr>
        <w:t>We intend to continue to make focused investments to increase revenue and scale operations to support the growth</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of our business, and therefore expect expenses to increase. We plan to further invest in research and development as we hire employees in engineering, product, and design to enhance our platform and support the needs of our growing user base. We also plan to invest more in sales and marketing</w:t>
      </w:r>
    </w:p>
    <w:p>
      <w:pPr>
        <w:spacing w:after="0" w:line="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62</w:t>
      </w:r>
    </w:p>
    <w:p>
      <w:pPr>
        <w:sectPr>
          <w:pgSz w:w="11900" w:h="16838" w:orient="portrait"/>
          <w:cols w:equalWidth="0" w:num="1">
            <w:col w:w="11220"/>
          </w:cols>
          <w:pgMar w:left="320" w:top="459" w:right="359" w:bottom="1440" w:gutter="0" w:footer="0" w:header="0"/>
        </w:sectPr>
      </w:pPr>
    </w:p>
    <w:bookmarkStart w:id="65" w:name="page66"/>
    <w:bookmarkEnd w:id="6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right="60"/>
        <w:spacing w:after="0" w:line="275" w:lineRule="auto"/>
        <w:rPr>
          <w:sz w:val="20"/>
          <w:szCs w:val="20"/>
          <w:color w:val="auto"/>
        </w:rPr>
      </w:pPr>
      <w:r>
        <w:rPr>
          <w:rFonts w:ascii="Arial" w:cs="Arial" w:eastAsia="Arial" w:hAnsi="Arial"/>
          <w:sz w:val="17"/>
          <w:szCs w:val="17"/>
          <w:color w:val="auto"/>
        </w:rPr>
        <w:t>to drive our self-serve business model, and increase our brand awareness. We expect to incur additional general and administrative expenses to support our growth and our transition to being a publicly traded company. Further, we continue to make investments in our technical infrastructure to support user growth, and in our office locations to support employee growth, which will increase expenses and capital expenditures. As cost of revenue, operating expenses, and capital expenditures fluctuate over time, we may experience short-term, negative impacts to our results of operations and cash flows, but we are undertaking such investments in the belief that they will contribute to long-term growth.</w:t>
      </w:r>
    </w:p>
    <w:p>
      <w:pPr>
        <w:spacing w:after="0" w:line="176" w:lineRule="exact"/>
        <w:rPr>
          <w:sz w:val="20"/>
          <w:szCs w:val="20"/>
          <w:color w:val="auto"/>
        </w:rPr>
      </w:pPr>
    </w:p>
    <w:p>
      <w:pPr>
        <w:ind w:right="200" w:firstLine="449"/>
        <w:spacing w:after="0" w:line="275" w:lineRule="auto"/>
        <w:rPr>
          <w:sz w:val="20"/>
          <w:szCs w:val="20"/>
          <w:color w:val="auto"/>
        </w:rPr>
      </w:pPr>
      <w:r>
        <w:rPr>
          <w:rFonts w:ascii="Arial" w:cs="Arial" w:eastAsia="Arial" w:hAnsi="Arial"/>
          <w:sz w:val="17"/>
          <w:szCs w:val="17"/>
          <w:b w:val="1"/>
          <w:bCs w:val="1"/>
          <w:i w:val="1"/>
          <w:iCs w:val="1"/>
          <w:color w:val="auto"/>
        </w:rPr>
        <w:t>Ongoing Innovation in a Rapidly Changing Environment</w:t>
      </w:r>
      <w:r>
        <w:rPr>
          <w:rFonts w:ascii="Arial" w:cs="Arial" w:eastAsia="Arial" w:hAnsi="Arial"/>
          <w:sz w:val="17"/>
          <w:szCs w:val="17"/>
          <w:color w:val="auto"/>
        </w:rPr>
        <w:t>. The market for content collaboration platforms is characterized by rapid technological</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change and frequent new product and service introductions. Our ability to acquire, retain, and upgrade paying users will depend in part on our ability to enhance our platform, introduce new features, and interoperate across an increasing range of devices, operating systems, and third-party applications. Certain features of our platform compete directly with products offered by Amazon, Apple, Atlassian, Box, Google, and Microsoft. We will need to continue to innovate in the face of this rapidly changing landscape to remain competitive.</w:t>
      </w:r>
    </w:p>
    <w:p>
      <w:pPr>
        <w:spacing w:after="0" w:line="2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Key Business Metrics</w:t>
      </w:r>
    </w:p>
    <w:p>
      <w:pPr>
        <w:spacing w:after="0" w:line="121" w:lineRule="exact"/>
        <w:rPr>
          <w:sz w:val="20"/>
          <w:szCs w:val="20"/>
          <w:color w:val="auto"/>
        </w:rPr>
      </w:pPr>
    </w:p>
    <w:p>
      <w:pPr>
        <w:ind w:right="400" w:firstLine="449"/>
        <w:spacing w:after="0" w:line="277" w:lineRule="auto"/>
        <w:rPr>
          <w:sz w:val="20"/>
          <w:szCs w:val="20"/>
          <w:color w:val="auto"/>
        </w:rPr>
      </w:pPr>
      <w:r>
        <w:rPr>
          <w:rFonts w:ascii="Arial" w:cs="Arial" w:eastAsia="Arial" w:hAnsi="Arial"/>
          <w:sz w:val="18"/>
          <w:szCs w:val="18"/>
          <w:color w:val="auto"/>
        </w:rPr>
        <w:t>We review a number of operating and financial metrics, including the following key metrics to evaluate our business, measure our performance, identify trends affecting our business, formulate business plans, and make strategic decisions.</w:t>
      </w:r>
    </w:p>
    <w:p>
      <w:pPr>
        <w:spacing w:after="0" w:line="278"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Paying users</w:t>
      </w:r>
    </w:p>
    <w:p>
      <w:pPr>
        <w:spacing w:after="0" w:line="117" w:lineRule="exact"/>
        <w:rPr>
          <w:sz w:val="20"/>
          <w:szCs w:val="20"/>
          <w:color w:val="auto"/>
        </w:rPr>
      </w:pPr>
    </w:p>
    <w:p>
      <w:pPr>
        <w:ind w:firstLine="449"/>
        <w:spacing w:after="0" w:line="259" w:lineRule="auto"/>
        <w:rPr>
          <w:sz w:val="20"/>
          <w:szCs w:val="20"/>
          <w:color w:val="auto"/>
        </w:rPr>
      </w:pPr>
      <w:r>
        <w:rPr>
          <w:rFonts w:ascii="Arial" w:cs="Arial" w:eastAsia="Arial" w:hAnsi="Arial"/>
          <w:sz w:val="18"/>
          <w:szCs w:val="18"/>
          <w:color w:val="auto"/>
        </w:rPr>
        <w:t>We define paying users as the number of users who have active paid licenses for access to our platform as of the end of the period. One person would count as multiple paying users if the person had more than one active license. For example, a 50-person Dropbox Business team would count as 50 paying users, and an individual Dropbox Plus user would count as one paying user. If that individual Dropbox Plus user was also part of the 50-person Dropbox Business team, we would count the individual as two paying users.</w:t>
      </w:r>
    </w:p>
    <w:p>
      <w:pPr>
        <w:spacing w:after="0" w:line="187" w:lineRule="exact"/>
        <w:rPr>
          <w:sz w:val="20"/>
          <w:szCs w:val="20"/>
          <w:color w:val="auto"/>
        </w:rPr>
      </w:pPr>
    </w:p>
    <w:p>
      <w:pPr>
        <w:ind w:right="400" w:firstLine="449"/>
        <w:spacing w:after="0" w:line="277" w:lineRule="auto"/>
        <w:rPr>
          <w:sz w:val="20"/>
          <w:szCs w:val="20"/>
          <w:color w:val="auto"/>
        </w:rPr>
      </w:pPr>
      <w:r>
        <w:rPr>
          <w:rFonts w:ascii="Arial" w:cs="Arial" w:eastAsia="Arial" w:hAnsi="Arial"/>
          <w:sz w:val="18"/>
          <w:szCs w:val="18"/>
          <w:color w:val="auto"/>
        </w:rPr>
        <w:t>We have experienced growth in the number of paying users across our products, with the vast majority of paying users for the periods presented coming from our self-serve channels.</w:t>
      </w:r>
    </w:p>
    <w:p>
      <w:pPr>
        <w:spacing w:after="0" w:line="17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below table sets forth the number of paying users as of December 31, 2015, December 31, 2016, and September 30, 2017:</w:t>
      </w:r>
    </w:p>
    <w:p>
      <w:pPr>
        <w:spacing w:after="0" w:line="244" w:lineRule="exact"/>
        <w:rPr>
          <w:sz w:val="20"/>
          <w:szCs w:val="20"/>
          <w:color w:val="auto"/>
        </w:rPr>
      </w:pPr>
    </w:p>
    <w:tbl>
      <w:tblPr>
        <w:tblLayout w:type="fixed"/>
        <w:tblInd w:w="920" w:type="dxa"/>
        <w:tblCellMar>
          <w:top w:w="0" w:type="dxa"/>
          <w:left w:w="0" w:type="dxa"/>
          <w:bottom w:w="0" w:type="dxa"/>
          <w:right w:w="0" w:type="dxa"/>
        </w:tblCellMar>
      </w:tblPr>
      <w:tr>
        <w:trPr>
          <w:trHeight w:val="171"/>
        </w:trPr>
        <w:tc>
          <w:tcPr>
            <w:tcW w:w="5460" w:type="dxa"/>
            <w:vAlign w:val="bottom"/>
          </w:tcPr>
          <w:p>
            <w:pPr>
              <w:spacing w:after="0"/>
              <w:rPr>
                <w:sz w:val="14"/>
                <w:szCs w:val="14"/>
                <w:color w:val="auto"/>
              </w:rPr>
            </w:pPr>
          </w:p>
        </w:tc>
        <w:tc>
          <w:tcPr>
            <w:tcW w:w="2680" w:type="dxa"/>
            <w:vAlign w:val="bottom"/>
            <w:gridSpan w:val="3"/>
          </w:tcPr>
          <w:p>
            <w:pPr>
              <w:ind w:left="320"/>
              <w:spacing w:after="0"/>
              <w:rPr>
                <w:sz w:val="20"/>
                <w:szCs w:val="20"/>
                <w:color w:val="auto"/>
              </w:rPr>
            </w:pPr>
            <w:r>
              <w:rPr>
                <w:rFonts w:ascii="Arial" w:cs="Arial" w:eastAsia="Arial" w:hAnsi="Arial"/>
                <w:sz w:val="14"/>
                <w:szCs w:val="14"/>
                <w:b w:val="1"/>
                <w:bCs w:val="1"/>
                <w:color w:val="auto"/>
              </w:rPr>
              <w:t>As of December 31,</w:t>
            </w:r>
          </w:p>
        </w:tc>
        <w:tc>
          <w:tcPr>
            <w:tcW w:w="1280" w:type="dxa"/>
            <w:vAlign w:val="bottom"/>
            <w:gridSpan w:val="2"/>
          </w:tcPr>
          <w:p>
            <w:pPr>
              <w:jc w:val="right"/>
              <w:ind w:right="60"/>
              <w:spacing w:after="0"/>
              <w:rPr>
                <w:sz w:val="20"/>
                <w:szCs w:val="20"/>
                <w:color w:val="auto"/>
              </w:rPr>
            </w:pPr>
            <w:r>
              <w:rPr>
                <w:rFonts w:ascii="Arial" w:cs="Arial" w:eastAsia="Arial" w:hAnsi="Arial"/>
                <w:sz w:val="14"/>
                <w:szCs w:val="14"/>
                <w:b w:val="1"/>
                <w:bCs w:val="1"/>
                <w:color w:val="auto"/>
                <w:w w:val="89"/>
              </w:rPr>
              <w:t>As of September 30,</w:t>
            </w:r>
          </w:p>
        </w:tc>
      </w:tr>
      <w:tr>
        <w:trPr>
          <w:trHeight w:val="142"/>
        </w:trPr>
        <w:tc>
          <w:tcPr>
            <w:tcW w:w="5460" w:type="dxa"/>
            <w:vAlign w:val="bottom"/>
          </w:tcPr>
          <w:p>
            <w:pPr>
              <w:spacing w:after="0"/>
              <w:rPr>
                <w:sz w:val="12"/>
                <w:szCs w:val="12"/>
                <w:color w:val="auto"/>
              </w:rPr>
            </w:pPr>
          </w:p>
        </w:tc>
        <w:tc>
          <w:tcPr>
            <w:tcW w:w="960" w:type="dxa"/>
            <w:vAlign w:val="bottom"/>
            <w:tcBorders>
              <w:top w:val="single" w:sz="8" w:color="auto"/>
              <w:bottom w:val="single" w:sz="8" w:color="auto"/>
            </w:tcBorders>
          </w:tcPr>
          <w:p>
            <w:pPr>
              <w:jc w:val="right"/>
              <w:ind w:right="502"/>
              <w:spacing w:after="0" w:line="142" w:lineRule="exact"/>
              <w:rPr>
                <w:sz w:val="20"/>
                <w:szCs w:val="20"/>
                <w:color w:val="auto"/>
              </w:rPr>
            </w:pPr>
            <w:r>
              <w:rPr>
                <w:rFonts w:ascii="Arial" w:cs="Arial" w:eastAsia="Arial" w:hAnsi="Arial"/>
                <w:sz w:val="14"/>
                <w:szCs w:val="14"/>
                <w:b w:val="1"/>
                <w:bCs w:val="1"/>
                <w:color w:val="auto"/>
              </w:rPr>
              <w:t>2015</w:t>
            </w:r>
          </w:p>
        </w:tc>
        <w:tc>
          <w:tcPr>
            <w:tcW w:w="880" w:type="dxa"/>
            <w:vAlign w:val="bottom"/>
            <w:tcBorders>
              <w:top w:val="single" w:sz="8" w:color="auto"/>
              <w:bottom w:val="single" w:sz="8" w:color="auto"/>
            </w:tcBorders>
          </w:tcPr>
          <w:p>
            <w:pPr>
              <w:jc w:val="right"/>
              <w:ind w:right="22"/>
              <w:spacing w:after="0" w:line="142" w:lineRule="exact"/>
              <w:rPr>
                <w:sz w:val="20"/>
                <w:szCs w:val="20"/>
                <w:color w:val="auto"/>
              </w:rPr>
            </w:pPr>
            <w:r>
              <w:rPr>
                <w:rFonts w:ascii="Arial" w:cs="Arial" w:eastAsia="Arial" w:hAnsi="Arial"/>
                <w:sz w:val="14"/>
                <w:szCs w:val="14"/>
                <w:b w:val="1"/>
                <w:bCs w:val="1"/>
                <w:color w:val="auto"/>
              </w:rPr>
              <w:t>2016</w:t>
            </w:r>
          </w:p>
        </w:tc>
        <w:tc>
          <w:tcPr>
            <w:tcW w:w="840" w:type="dxa"/>
            <w:vAlign w:val="bottom"/>
            <w:tcBorders>
              <w:bottom w:val="single" w:sz="8" w:color="auto"/>
            </w:tcBorders>
          </w:tcPr>
          <w:p>
            <w:pPr>
              <w:spacing w:after="0"/>
              <w:rPr>
                <w:sz w:val="12"/>
                <w:szCs w:val="12"/>
                <w:color w:val="auto"/>
              </w:rPr>
            </w:pPr>
          </w:p>
        </w:tc>
        <w:tc>
          <w:tcPr>
            <w:tcW w:w="1220" w:type="dxa"/>
            <w:vAlign w:val="bottom"/>
            <w:tcBorders>
              <w:top w:val="single" w:sz="8" w:color="auto"/>
              <w:bottom w:val="single" w:sz="8" w:color="auto"/>
            </w:tcBorders>
          </w:tcPr>
          <w:p>
            <w:pPr>
              <w:jc w:val="right"/>
              <w:ind w:right="382"/>
              <w:spacing w:after="0" w:line="142" w:lineRule="exact"/>
              <w:rPr>
                <w:sz w:val="20"/>
                <w:szCs w:val="20"/>
                <w:color w:val="auto"/>
              </w:rPr>
            </w:pPr>
            <w:r>
              <w:rPr>
                <w:rFonts w:ascii="Arial" w:cs="Arial" w:eastAsia="Arial" w:hAnsi="Arial"/>
                <w:sz w:val="14"/>
                <w:szCs w:val="14"/>
                <w:b w:val="1"/>
                <w:bCs w:val="1"/>
                <w:color w:val="auto"/>
              </w:rPr>
              <w:t>2017</w:t>
            </w:r>
          </w:p>
        </w:tc>
        <w:tc>
          <w:tcPr>
            <w:tcW w:w="60" w:type="dxa"/>
            <w:vAlign w:val="bottom"/>
          </w:tcPr>
          <w:p>
            <w:pPr>
              <w:spacing w:after="0"/>
              <w:rPr>
                <w:sz w:val="12"/>
                <w:szCs w:val="12"/>
                <w:color w:val="auto"/>
              </w:rPr>
            </w:pPr>
          </w:p>
        </w:tc>
      </w:tr>
      <w:tr>
        <w:trPr>
          <w:trHeight w:val="142"/>
        </w:trPr>
        <w:tc>
          <w:tcPr>
            <w:tcW w:w="546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720" w:type="dxa"/>
            <w:vAlign w:val="bottom"/>
            <w:gridSpan w:val="2"/>
          </w:tcPr>
          <w:p>
            <w:pPr>
              <w:ind w:left="640"/>
              <w:spacing w:after="0" w:line="142" w:lineRule="exact"/>
              <w:rPr>
                <w:sz w:val="20"/>
                <w:szCs w:val="20"/>
                <w:color w:val="auto"/>
              </w:rPr>
            </w:pPr>
            <w:r>
              <w:rPr>
                <w:rFonts w:ascii="Arial" w:cs="Arial" w:eastAsia="Arial" w:hAnsi="Arial"/>
                <w:sz w:val="14"/>
                <w:szCs w:val="14"/>
                <w:i w:val="1"/>
                <w:iCs w:val="1"/>
                <w:color w:val="auto"/>
              </w:rPr>
              <w:t>(In millions)</w:t>
            </w:r>
          </w:p>
        </w:tc>
        <w:tc>
          <w:tcPr>
            <w:tcW w:w="1220" w:type="dxa"/>
            <w:vAlign w:val="bottom"/>
          </w:tcPr>
          <w:p>
            <w:pPr>
              <w:spacing w:after="0"/>
              <w:rPr>
                <w:sz w:val="12"/>
                <w:szCs w:val="12"/>
                <w:color w:val="auto"/>
              </w:rPr>
            </w:pPr>
          </w:p>
        </w:tc>
        <w:tc>
          <w:tcPr>
            <w:tcW w:w="60" w:type="dxa"/>
            <w:vAlign w:val="bottom"/>
          </w:tcPr>
          <w:p>
            <w:pPr>
              <w:spacing w:after="0"/>
              <w:rPr>
                <w:sz w:val="12"/>
                <w:szCs w:val="12"/>
                <w:color w:val="auto"/>
              </w:rPr>
            </w:pPr>
          </w:p>
        </w:tc>
      </w:tr>
      <w:tr>
        <w:trPr>
          <w:trHeight w:val="216"/>
        </w:trPr>
        <w:tc>
          <w:tcPr>
            <w:tcW w:w="5460" w:type="dxa"/>
            <w:vAlign w:val="bottom"/>
            <w:shd w:val="clear" w:color="auto" w:fill="CCEEFF"/>
          </w:tcPr>
          <w:p>
            <w:pPr>
              <w:spacing w:after="0"/>
              <w:rPr>
                <w:sz w:val="20"/>
                <w:szCs w:val="20"/>
                <w:color w:val="auto"/>
              </w:rPr>
            </w:pPr>
            <w:r>
              <w:rPr>
                <w:rFonts w:ascii="Arial" w:cs="Arial" w:eastAsia="Arial" w:hAnsi="Arial"/>
                <w:sz w:val="18"/>
                <w:szCs w:val="18"/>
                <w:color w:val="auto"/>
              </w:rPr>
              <w:t>Paying users</w:t>
            </w:r>
          </w:p>
        </w:tc>
        <w:tc>
          <w:tcPr>
            <w:tcW w:w="960" w:type="dxa"/>
            <w:vAlign w:val="bottom"/>
            <w:shd w:val="clear" w:color="auto" w:fill="CCEEFF"/>
          </w:tcPr>
          <w:p>
            <w:pPr>
              <w:jc w:val="right"/>
              <w:ind w:right="422"/>
              <w:spacing w:after="0"/>
              <w:rPr>
                <w:sz w:val="20"/>
                <w:szCs w:val="20"/>
                <w:color w:val="auto"/>
              </w:rPr>
            </w:pPr>
            <w:r>
              <w:rPr>
                <w:rFonts w:ascii="Arial" w:cs="Arial" w:eastAsia="Arial" w:hAnsi="Arial"/>
                <w:sz w:val="18"/>
                <w:szCs w:val="18"/>
                <w:color w:val="auto"/>
              </w:rPr>
              <w:t>6.5</w:t>
            </w:r>
          </w:p>
        </w:tc>
        <w:tc>
          <w:tcPr>
            <w:tcW w:w="1720" w:type="dxa"/>
            <w:vAlign w:val="bottom"/>
            <w:gridSpan w:val="2"/>
            <w:shd w:val="clear" w:color="auto" w:fill="CCEEFF"/>
          </w:tcPr>
          <w:p>
            <w:pPr>
              <w:ind w:left="660"/>
              <w:spacing w:after="0"/>
              <w:rPr>
                <w:sz w:val="20"/>
                <w:szCs w:val="20"/>
                <w:color w:val="auto"/>
              </w:rPr>
            </w:pPr>
            <w:r>
              <w:rPr>
                <w:rFonts w:ascii="Arial" w:cs="Arial" w:eastAsia="Arial" w:hAnsi="Arial"/>
                <w:sz w:val="18"/>
                <w:szCs w:val="18"/>
                <w:color w:val="auto"/>
              </w:rPr>
              <w:t>8.8</w:t>
            </w:r>
          </w:p>
        </w:tc>
        <w:tc>
          <w:tcPr>
            <w:tcW w:w="12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10.4</w:t>
            </w:r>
          </w:p>
        </w:tc>
      </w:tr>
    </w:tbl>
    <w:p>
      <w:pPr>
        <w:spacing w:after="0" w:line="310"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Average revenue per paying user</w:t>
      </w:r>
    </w:p>
    <w:p>
      <w:pPr>
        <w:spacing w:after="0" w:line="117" w:lineRule="exact"/>
        <w:rPr>
          <w:sz w:val="20"/>
          <w:szCs w:val="20"/>
          <w:color w:val="auto"/>
        </w:rPr>
      </w:pPr>
    </w:p>
    <w:p>
      <w:pPr>
        <w:jc w:val="both"/>
        <w:ind w:right="120" w:firstLine="449"/>
        <w:spacing w:after="0" w:line="279" w:lineRule="auto"/>
        <w:rPr>
          <w:sz w:val="20"/>
          <w:szCs w:val="20"/>
          <w:color w:val="auto"/>
        </w:rPr>
      </w:pPr>
      <w:r>
        <w:rPr>
          <w:rFonts w:ascii="Arial" w:cs="Arial" w:eastAsia="Arial" w:hAnsi="Arial"/>
          <w:sz w:val="17"/>
          <w:szCs w:val="17"/>
          <w:color w:val="auto"/>
        </w:rPr>
        <w:t>We define average revenue per paying user, or ARPU, as our revenue for the period presented divided by the average paying users during the same period. For interim periods, we use annualized revenue, which is calculated by dividing the revenue for the particular period by the number of days in that period and multiplying this value by 365 days. Average paying users are calculated based on adding the number of paying users as of the beginning of the period to the number of paying users as of the end of the period, and then dividing by two.</w:t>
      </w:r>
    </w:p>
    <w:p>
      <w:pPr>
        <w:spacing w:after="0" w:line="171" w:lineRule="exact"/>
        <w:rPr>
          <w:sz w:val="20"/>
          <w:szCs w:val="20"/>
          <w:color w:val="auto"/>
        </w:rPr>
      </w:pPr>
    </w:p>
    <w:p>
      <w:pPr>
        <w:ind w:right="40" w:firstLine="449"/>
        <w:spacing w:after="0" w:line="259" w:lineRule="auto"/>
        <w:rPr>
          <w:sz w:val="20"/>
          <w:szCs w:val="20"/>
          <w:color w:val="auto"/>
        </w:rPr>
      </w:pPr>
      <w:r>
        <w:rPr>
          <w:rFonts w:ascii="Arial" w:cs="Arial" w:eastAsia="Arial" w:hAnsi="Arial"/>
          <w:sz w:val="18"/>
          <w:szCs w:val="18"/>
          <w:color w:val="auto"/>
        </w:rPr>
        <w:t>Our ARPU declined for the year ended December 31, 2016, compared to the year ended December 31, 2015, primarily due to foreign currency fluctuations related to our sales that are denominated in foreign currencies. Our ARPU increased for the nine months ended September 30, 2017, compared to the nine months ended September 30, 2016, primarily due to an increased mix of sales towards our higher priced subscription plans, including our new Dropbox Business Advanced plan.</w:t>
      </w:r>
    </w:p>
    <w:p>
      <w:pPr>
        <w:spacing w:after="0" w:line="11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63</w:t>
      </w:r>
    </w:p>
    <w:p>
      <w:pPr>
        <w:sectPr>
          <w:pgSz w:w="11900" w:h="16838" w:orient="portrait"/>
          <w:cols w:equalWidth="0" w:num="1">
            <w:col w:w="11220"/>
          </w:cols>
          <w:pgMar w:left="320" w:top="459" w:right="359" w:bottom="1440" w:gutter="0" w:footer="0" w:header="0"/>
        </w:sectPr>
      </w:pPr>
    </w:p>
    <w:bookmarkStart w:id="66" w:name="page67"/>
    <w:bookmarkEnd w:id="6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below table sets forth our ARPU for the years ended December 31, 2015 and 2016, and the nine months ended September 30, 2016 and 2017.</w:t>
      </w:r>
    </w:p>
    <w:p>
      <w:pPr>
        <w:spacing w:after="0" w:line="254"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3700" w:type="dxa"/>
            <w:vAlign w:val="bottom"/>
          </w:tcPr>
          <w:p>
            <w:pPr>
              <w:spacing w:after="0"/>
              <w:rPr>
                <w:sz w:val="14"/>
                <w:szCs w:val="14"/>
                <w:color w:val="auto"/>
              </w:rPr>
            </w:pPr>
          </w:p>
        </w:tc>
        <w:tc>
          <w:tcPr>
            <w:tcW w:w="3220" w:type="dxa"/>
            <w:vAlign w:val="bottom"/>
          </w:tcPr>
          <w:p>
            <w:pPr>
              <w:spacing w:after="0"/>
              <w:rPr>
                <w:sz w:val="14"/>
                <w:szCs w:val="14"/>
                <w:color w:val="auto"/>
              </w:rPr>
            </w:pPr>
          </w:p>
        </w:tc>
        <w:tc>
          <w:tcPr>
            <w:tcW w:w="1460" w:type="dxa"/>
            <w:vAlign w:val="bottom"/>
            <w:gridSpan w:val="3"/>
          </w:tcPr>
          <w:p>
            <w:pPr>
              <w:jc w:val="center"/>
              <w:spacing w:after="0"/>
              <w:rPr>
                <w:sz w:val="20"/>
                <w:szCs w:val="20"/>
                <w:color w:val="auto"/>
              </w:rPr>
            </w:pPr>
            <w:r>
              <w:rPr>
                <w:rFonts w:ascii="Arial" w:cs="Arial" w:eastAsia="Arial" w:hAnsi="Arial"/>
                <w:sz w:val="14"/>
                <w:szCs w:val="14"/>
                <w:b w:val="1"/>
                <w:bCs w:val="1"/>
                <w:color w:val="auto"/>
                <w:w w:val="90"/>
              </w:rPr>
              <w:t>Year ended</w:t>
            </w:r>
          </w:p>
        </w:tc>
        <w:tc>
          <w:tcPr>
            <w:tcW w:w="460" w:type="dxa"/>
            <w:vAlign w:val="bottom"/>
          </w:tcPr>
          <w:p>
            <w:pPr>
              <w:spacing w:after="0"/>
              <w:rPr>
                <w:sz w:val="14"/>
                <w:szCs w:val="14"/>
                <w:color w:val="auto"/>
              </w:rPr>
            </w:pPr>
          </w:p>
        </w:tc>
        <w:tc>
          <w:tcPr>
            <w:tcW w:w="1500" w:type="dxa"/>
            <w:vAlign w:val="bottom"/>
            <w:gridSpan w:val="4"/>
          </w:tcPr>
          <w:p>
            <w:pPr>
              <w:jc w:val="center"/>
              <w:ind w:right="80"/>
              <w:spacing w:after="0"/>
              <w:rPr>
                <w:sz w:val="20"/>
                <w:szCs w:val="20"/>
                <w:color w:val="auto"/>
              </w:rPr>
            </w:pPr>
            <w:r>
              <w:rPr>
                <w:rFonts w:ascii="Arial" w:cs="Arial" w:eastAsia="Arial" w:hAnsi="Arial"/>
                <w:sz w:val="14"/>
                <w:szCs w:val="14"/>
                <w:b w:val="1"/>
                <w:bCs w:val="1"/>
                <w:color w:val="auto"/>
                <w:w w:val="90"/>
              </w:rPr>
              <w:t>Nine months ended</w:t>
            </w:r>
          </w:p>
        </w:tc>
      </w:tr>
      <w:tr>
        <w:trPr>
          <w:trHeight w:val="171"/>
        </w:trPr>
        <w:tc>
          <w:tcPr>
            <w:tcW w:w="3700" w:type="dxa"/>
            <w:vAlign w:val="bottom"/>
          </w:tcPr>
          <w:p>
            <w:pPr>
              <w:spacing w:after="0"/>
              <w:rPr>
                <w:sz w:val="14"/>
                <w:szCs w:val="14"/>
                <w:color w:val="auto"/>
              </w:rPr>
            </w:pPr>
          </w:p>
        </w:tc>
        <w:tc>
          <w:tcPr>
            <w:tcW w:w="3220" w:type="dxa"/>
            <w:vAlign w:val="bottom"/>
          </w:tcPr>
          <w:p>
            <w:pPr>
              <w:spacing w:after="0"/>
              <w:rPr>
                <w:sz w:val="14"/>
                <w:szCs w:val="14"/>
                <w:color w:val="auto"/>
              </w:rPr>
            </w:pPr>
          </w:p>
        </w:tc>
        <w:tc>
          <w:tcPr>
            <w:tcW w:w="1460" w:type="dxa"/>
            <w:vAlign w:val="bottom"/>
            <w:gridSpan w:val="3"/>
          </w:tcPr>
          <w:p>
            <w:pPr>
              <w:jc w:val="center"/>
              <w:spacing w:after="0"/>
              <w:rPr>
                <w:sz w:val="20"/>
                <w:szCs w:val="20"/>
                <w:color w:val="auto"/>
              </w:rPr>
            </w:pPr>
            <w:r>
              <w:rPr>
                <w:rFonts w:ascii="Arial" w:cs="Arial" w:eastAsia="Arial" w:hAnsi="Arial"/>
                <w:sz w:val="14"/>
                <w:szCs w:val="14"/>
                <w:b w:val="1"/>
                <w:bCs w:val="1"/>
                <w:color w:val="auto"/>
                <w:w w:val="92"/>
              </w:rPr>
              <w:t>December 31,</w:t>
            </w:r>
          </w:p>
        </w:tc>
        <w:tc>
          <w:tcPr>
            <w:tcW w:w="460" w:type="dxa"/>
            <w:vAlign w:val="bottom"/>
          </w:tcPr>
          <w:p>
            <w:pPr>
              <w:spacing w:after="0"/>
              <w:rPr>
                <w:sz w:val="14"/>
                <w:szCs w:val="14"/>
                <w:color w:val="auto"/>
              </w:rPr>
            </w:pPr>
          </w:p>
        </w:tc>
        <w:tc>
          <w:tcPr>
            <w:tcW w:w="1500" w:type="dxa"/>
            <w:vAlign w:val="bottom"/>
            <w:gridSpan w:val="4"/>
          </w:tcPr>
          <w:p>
            <w:pPr>
              <w:jc w:val="center"/>
              <w:ind w:right="80"/>
              <w:spacing w:after="0"/>
              <w:rPr>
                <w:sz w:val="20"/>
                <w:szCs w:val="20"/>
                <w:color w:val="auto"/>
              </w:rPr>
            </w:pPr>
            <w:r>
              <w:rPr>
                <w:rFonts w:ascii="Arial" w:cs="Arial" w:eastAsia="Arial" w:hAnsi="Arial"/>
                <w:sz w:val="14"/>
                <w:szCs w:val="14"/>
                <w:b w:val="1"/>
                <w:bCs w:val="1"/>
                <w:color w:val="auto"/>
                <w:w w:val="89"/>
              </w:rPr>
              <w:t>September 30,</w:t>
            </w:r>
          </w:p>
        </w:tc>
      </w:tr>
      <w:tr>
        <w:trPr>
          <w:trHeight w:val="142"/>
        </w:trPr>
        <w:tc>
          <w:tcPr>
            <w:tcW w:w="3700" w:type="dxa"/>
            <w:vAlign w:val="bottom"/>
          </w:tcPr>
          <w:p>
            <w:pPr>
              <w:spacing w:after="0"/>
              <w:rPr>
                <w:sz w:val="12"/>
                <w:szCs w:val="12"/>
                <w:color w:val="auto"/>
              </w:rPr>
            </w:pPr>
          </w:p>
        </w:tc>
        <w:tc>
          <w:tcPr>
            <w:tcW w:w="3220" w:type="dxa"/>
            <w:vAlign w:val="bottom"/>
          </w:tcPr>
          <w:p>
            <w:pPr>
              <w:spacing w:after="0"/>
              <w:rPr>
                <w:sz w:val="12"/>
                <w:szCs w:val="12"/>
                <w:color w:val="auto"/>
              </w:rPr>
            </w:pPr>
          </w:p>
        </w:tc>
        <w:tc>
          <w:tcPr>
            <w:tcW w:w="500" w:type="dxa"/>
            <w:vAlign w:val="bottom"/>
            <w:tcBorders>
              <w:top w:val="single" w:sz="8" w:color="auto"/>
            </w:tcBorders>
          </w:tcPr>
          <w:p>
            <w:pPr>
              <w:jc w:val="right"/>
              <w:ind w:right="44"/>
              <w:spacing w:after="0" w:line="142" w:lineRule="exact"/>
              <w:rPr>
                <w:sz w:val="20"/>
                <w:szCs w:val="20"/>
                <w:color w:val="auto"/>
              </w:rPr>
            </w:pPr>
            <w:r>
              <w:rPr>
                <w:rFonts w:ascii="Arial" w:cs="Arial" w:eastAsia="Arial" w:hAnsi="Arial"/>
                <w:sz w:val="14"/>
                <w:szCs w:val="14"/>
                <w:b w:val="1"/>
                <w:bCs w:val="1"/>
                <w:color w:val="auto"/>
              </w:rPr>
              <w:t>2015</w:t>
            </w:r>
          </w:p>
        </w:tc>
        <w:tc>
          <w:tcPr>
            <w:tcW w:w="960" w:type="dxa"/>
            <w:vAlign w:val="bottom"/>
            <w:tcBorders>
              <w:top w:val="single" w:sz="8" w:color="auto"/>
            </w:tcBorders>
            <w:gridSpan w:val="2"/>
          </w:tcPr>
          <w:p>
            <w:pPr>
              <w:jc w:val="right"/>
              <w:ind w:right="30"/>
              <w:spacing w:after="0" w:line="142" w:lineRule="exact"/>
              <w:rPr>
                <w:sz w:val="20"/>
                <w:szCs w:val="20"/>
                <w:color w:val="auto"/>
              </w:rPr>
            </w:pPr>
            <w:r>
              <w:rPr>
                <w:rFonts w:ascii="Arial" w:cs="Arial" w:eastAsia="Arial" w:hAnsi="Arial"/>
                <w:sz w:val="14"/>
                <w:szCs w:val="14"/>
                <w:b w:val="1"/>
                <w:bCs w:val="1"/>
                <w:color w:val="auto"/>
              </w:rPr>
              <w:t>2016</w:t>
            </w:r>
          </w:p>
        </w:tc>
        <w:tc>
          <w:tcPr>
            <w:tcW w:w="460" w:type="dxa"/>
            <w:vAlign w:val="bottom"/>
          </w:tcPr>
          <w:p>
            <w:pPr>
              <w:spacing w:after="0"/>
              <w:rPr>
                <w:sz w:val="12"/>
                <w:szCs w:val="12"/>
                <w:color w:val="auto"/>
              </w:rPr>
            </w:pPr>
          </w:p>
        </w:tc>
        <w:tc>
          <w:tcPr>
            <w:tcW w:w="500" w:type="dxa"/>
            <w:vAlign w:val="bottom"/>
            <w:tcBorders>
              <w:top w:val="single" w:sz="8" w:color="auto"/>
            </w:tcBorders>
          </w:tcPr>
          <w:p>
            <w:pPr>
              <w:jc w:val="right"/>
              <w:ind w:right="44"/>
              <w:spacing w:after="0" w:line="142" w:lineRule="exact"/>
              <w:rPr>
                <w:sz w:val="20"/>
                <w:szCs w:val="20"/>
                <w:color w:val="auto"/>
              </w:rPr>
            </w:pPr>
            <w:r>
              <w:rPr>
                <w:rFonts w:ascii="Arial" w:cs="Arial" w:eastAsia="Arial" w:hAnsi="Arial"/>
                <w:sz w:val="14"/>
                <w:szCs w:val="14"/>
                <w:b w:val="1"/>
                <w:bCs w:val="1"/>
                <w:color w:val="auto"/>
              </w:rPr>
              <w:t>2016</w:t>
            </w:r>
          </w:p>
        </w:tc>
        <w:tc>
          <w:tcPr>
            <w:tcW w:w="940" w:type="dxa"/>
            <w:vAlign w:val="bottom"/>
            <w:tcBorders>
              <w:top w:val="single" w:sz="8" w:color="auto"/>
            </w:tcBorders>
            <w:gridSpan w:val="2"/>
          </w:tcPr>
          <w:p>
            <w:pPr>
              <w:jc w:val="right"/>
              <w:ind w:right="10"/>
              <w:spacing w:after="0" w:line="142" w:lineRule="exact"/>
              <w:rPr>
                <w:sz w:val="20"/>
                <w:szCs w:val="20"/>
                <w:color w:val="auto"/>
              </w:rPr>
            </w:pPr>
            <w:r>
              <w:rPr>
                <w:rFonts w:ascii="Arial" w:cs="Arial" w:eastAsia="Arial" w:hAnsi="Arial"/>
                <w:sz w:val="14"/>
                <w:szCs w:val="14"/>
                <w:b w:val="1"/>
                <w:bCs w:val="1"/>
                <w:color w:val="auto"/>
              </w:rPr>
              <w:t>2017</w:t>
            </w:r>
          </w:p>
        </w:tc>
        <w:tc>
          <w:tcPr>
            <w:tcW w:w="60" w:type="dxa"/>
            <w:vAlign w:val="bottom"/>
          </w:tcPr>
          <w:p>
            <w:pPr>
              <w:spacing w:after="0"/>
              <w:rPr>
                <w:sz w:val="12"/>
                <w:szCs w:val="12"/>
                <w:color w:val="auto"/>
              </w:rPr>
            </w:pPr>
          </w:p>
        </w:tc>
      </w:tr>
      <w:tr>
        <w:trPr>
          <w:trHeight w:val="209"/>
        </w:trPr>
        <w:tc>
          <w:tcPr>
            <w:tcW w:w="37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ARPU</w:t>
            </w:r>
          </w:p>
        </w:tc>
        <w:tc>
          <w:tcPr>
            <w:tcW w:w="322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$113.5</w:t>
            </w:r>
          </w:p>
        </w:tc>
        <w:tc>
          <w:tcPr>
            <w:tcW w:w="46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$110.5</w:t>
            </w:r>
          </w:p>
        </w:tc>
        <w:tc>
          <w:tcPr>
            <w:tcW w:w="46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3"/>
              </w:rPr>
              <w:t>$109.5</w:t>
            </w:r>
          </w:p>
        </w:tc>
        <w:tc>
          <w:tcPr>
            <w:tcW w:w="460" w:type="dxa"/>
            <w:vAlign w:val="bottom"/>
            <w:tcBorders>
              <w:top w:val="single" w:sz="8" w:color="CCEEFF"/>
            </w:tcBorders>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3"/>
              </w:rPr>
              <w:t>$111.5</w:t>
            </w:r>
          </w:p>
        </w:tc>
        <w:tc>
          <w:tcPr>
            <w:tcW w:w="60" w:type="dxa"/>
            <w:vAlign w:val="bottom"/>
            <w:tcBorders>
              <w:top w:val="single" w:sz="8" w:color="CCEEFF"/>
            </w:tcBorders>
            <w:shd w:val="clear" w:color="auto" w:fill="CCEEFF"/>
          </w:tcPr>
          <w:p>
            <w:pPr>
              <w:spacing w:after="0"/>
              <w:rPr>
                <w:sz w:val="18"/>
                <w:szCs w:val="18"/>
                <w:color w:val="auto"/>
              </w:rPr>
            </w:pPr>
          </w:p>
        </w:tc>
      </w:tr>
    </w:tbl>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Non-GAAP Financial Measure</w:t>
      </w:r>
    </w:p>
    <w:p>
      <w:pPr>
        <w:spacing w:after="0" w:line="121" w:lineRule="exact"/>
        <w:rPr>
          <w:sz w:val="20"/>
          <w:szCs w:val="20"/>
          <w:color w:val="auto"/>
        </w:rPr>
      </w:pPr>
    </w:p>
    <w:p>
      <w:pPr>
        <w:ind w:right="180" w:firstLine="449"/>
        <w:spacing w:after="0" w:line="277" w:lineRule="auto"/>
        <w:rPr>
          <w:sz w:val="20"/>
          <w:szCs w:val="20"/>
          <w:color w:val="auto"/>
        </w:rPr>
      </w:pPr>
      <w:r>
        <w:rPr>
          <w:rFonts w:ascii="Arial" w:cs="Arial" w:eastAsia="Arial" w:hAnsi="Arial"/>
          <w:sz w:val="18"/>
          <w:szCs w:val="18"/>
          <w:color w:val="auto"/>
        </w:rPr>
        <w:t>In addition to our results determined in accordance with U.S. generally accepted accounting principles, or GAAP, we believe that free cash flow, or FCF, a non-GAAP financial measure, is useful in evaluating our liquidity.</w:t>
      </w:r>
    </w:p>
    <w:p>
      <w:pPr>
        <w:spacing w:after="0" w:line="278"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Free cash flow</w:t>
      </w:r>
    </w:p>
    <w:p>
      <w:pPr>
        <w:spacing w:after="0" w:line="117" w:lineRule="exact"/>
        <w:rPr>
          <w:sz w:val="20"/>
          <w:szCs w:val="20"/>
          <w:color w:val="auto"/>
        </w:rPr>
      </w:pPr>
    </w:p>
    <w:p>
      <w:pPr>
        <w:ind w:right="120" w:firstLine="449"/>
        <w:spacing w:after="0" w:line="272" w:lineRule="auto"/>
        <w:rPr>
          <w:sz w:val="20"/>
          <w:szCs w:val="20"/>
          <w:color w:val="auto"/>
        </w:rPr>
      </w:pPr>
      <w:r>
        <w:rPr>
          <w:rFonts w:ascii="Arial" w:cs="Arial" w:eastAsia="Arial" w:hAnsi="Arial"/>
          <w:sz w:val="17"/>
          <w:szCs w:val="17"/>
          <w:color w:val="auto"/>
        </w:rPr>
        <w:t>We define FCF as GAAP net cash provided by operating activities less capital expenditures. We believe that FCF is a liquidity measure and that it provides useful information regarding cash provided by operating activities and cash used for investments in property and equipment required to maintain and grow our business. FCF is presented for supplemental informational purposes only and should not be considered a substitute for financial information presented in accordance with GAAP. FCF has limitations as an analytical tool, and it should not be considered in isolation or as a substitute for analysis of other GAAP financial measures, such as net cash provided by operating activities. Some of the limitations of FCF are that FCF does not reflect our future contractual commitments, excludes investments made to acquire assets under capital leases, and may be presented differently by other companies in our industry, limiting its usefulness as a comparative measure.</w:t>
      </w:r>
    </w:p>
    <w:p>
      <w:pPr>
        <w:spacing w:after="0" w:line="177" w:lineRule="exact"/>
        <w:rPr>
          <w:sz w:val="20"/>
          <w:szCs w:val="20"/>
          <w:color w:val="auto"/>
        </w:rPr>
      </w:pPr>
    </w:p>
    <w:p>
      <w:pPr>
        <w:ind w:right="60" w:firstLine="449"/>
        <w:spacing w:after="0" w:line="255" w:lineRule="auto"/>
        <w:rPr>
          <w:sz w:val="20"/>
          <w:szCs w:val="20"/>
          <w:color w:val="auto"/>
        </w:rPr>
      </w:pPr>
      <w:r>
        <w:rPr>
          <w:rFonts w:ascii="Arial" w:cs="Arial" w:eastAsia="Arial" w:hAnsi="Arial"/>
          <w:sz w:val="18"/>
          <w:szCs w:val="18"/>
          <w:color w:val="auto"/>
        </w:rPr>
        <w:t>We have experienced an increase in our FCF as a result of an increase in net cash provided by operating activities, primarily due to our Infrastructure Optimization discussed below in “ —Recent Initiative,” increased sales in the periods presented, and a decrease in capital expenditures relating to infrastructure equipment and leasehold improvements for our office spaces. We expect our FCF to fluctuate in future periods as we purchase infrastructure equipment to support our user base and invest in our new and existing office spaces, including our new corporate headquarters, to support our plans for growth. These activities, along with certain increased operating expenses as described below, may result in a decrease in FCF as a percentage of revenue in future periods.</w:t>
      </w:r>
    </w:p>
    <w:p>
      <w:pPr>
        <w:spacing w:after="0" w:line="19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is a reconciliation of FCF to the most comparable GAAP measure, net cash provided by operating activities:</w:t>
      </w:r>
    </w:p>
    <w:p>
      <w:pPr>
        <w:spacing w:after="0" w:line="231"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780" w:type="dxa"/>
            <w:vAlign w:val="bottom"/>
          </w:tcPr>
          <w:p>
            <w:pPr>
              <w:spacing w:after="0"/>
              <w:rPr>
                <w:sz w:val="14"/>
                <w:szCs w:val="14"/>
                <w:color w:val="auto"/>
              </w:rPr>
            </w:pPr>
          </w:p>
        </w:tc>
        <w:tc>
          <w:tcPr>
            <w:tcW w:w="1840" w:type="dxa"/>
            <w:vAlign w:val="bottom"/>
          </w:tcPr>
          <w:p>
            <w:pPr>
              <w:spacing w:after="0"/>
              <w:rPr>
                <w:sz w:val="14"/>
                <w:szCs w:val="14"/>
                <w:color w:val="auto"/>
              </w:rPr>
            </w:pPr>
          </w:p>
        </w:tc>
        <w:tc>
          <w:tcPr>
            <w:tcW w:w="1800" w:type="dxa"/>
            <w:vAlign w:val="bottom"/>
            <w:gridSpan w:val="5"/>
          </w:tcPr>
          <w:p>
            <w:pPr>
              <w:jc w:val="right"/>
              <w:ind w:right="680"/>
              <w:spacing w:after="0"/>
              <w:rPr>
                <w:sz w:val="20"/>
                <w:szCs w:val="20"/>
                <w:color w:val="auto"/>
              </w:rPr>
            </w:pPr>
            <w:r>
              <w:rPr>
                <w:rFonts w:ascii="Arial" w:cs="Arial" w:eastAsia="Arial" w:hAnsi="Arial"/>
                <w:sz w:val="14"/>
                <w:szCs w:val="14"/>
                <w:b w:val="1"/>
                <w:bCs w:val="1"/>
                <w:color w:val="auto"/>
              </w:rPr>
              <w:t>Year ended</w:t>
            </w: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580" w:type="dxa"/>
            <w:vAlign w:val="bottom"/>
            <w:gridSpan w:val="5"/>
          </w:tcPr>
          <w:p>
            <w:pPr>
              <w:jc w:val="right"/>
              <w:ind w:right="300"/>
              <w:spacing w:after="0"/>
              <w:rPr>
                <w:sz w:val="20"/>
                <w:szCs w:val="20"/>
                <w:color w:val="auto"/>
              </w:rPr>
            </w:pPr>
            <w:r>
              <w:rPr>
                <w:rFonts w:ascii="Arial" w:cs="Arial" w:eastAsia="Arial" w:hAnsi="Arial"/>
                <w:sz w:val="14"/>
                <w:szCs w:val="14"/>
                <w:b w:val="1"/>
                <w:bCs w:val="1"/>
                <w:color w:val="auto"/>
                <w:w w:val="96"/>
              </w:rPr>
              <w:t>Nine months ended</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780" w:type="dxa"/>
            <w:vAlign w:val="bottom"/>
          </w:tcPr>
          <w:p>
            <w:pPr>
              <w:spacing w:after="0"/>
              <w:rPr>
                <w:sz w:val="14"/>
                <w:szCs w:val="14"/>
                <w:color w:val="auto"/>
              </w:rPr>
            </w:pPr>
          </w:p>
        </w:tc>
        <w:tc>
          <w:tcPr>
            <w:tcW w:w="1840" w:type="dxa"/>
            <w:vAlign w:val="bottom"/>
          </w:tcPr>
          <w:p>
            <w:pPr>
              <w:spacing w:after="0"/>
              <w:rPr>
                <w:sz w:val="14"/>
                <w:szCs w:val="14"/>
                <w:color w:val="auto"/>
              </w:rPr>
            </w:pPr>
          </w:p>
        </w:tc>
        <w:tc>
          <w:tcPr>
            <w:tcW w:w="1800" w:type="dxa"/>
            <w:vAlign w:val="bottom"/>
            <w:gridSpan w:val="5"/>
          </w:tcPr>
          <w:p>
            <w:pPr>
              <w:jc w:val="right"/>
              <w:ind w:right="620"/>
              <w:spacing w:after="0"/>
              <w:rPr>
                <w:sz w:val="20"/>
                <w:szCs w:val="20"/>
                <w:color w:val="auto"/>
              </w:rPr>
            </w:pPr>
            <w:r>
              <w:rPr>
                <w:rFonts w:ascii="Arial" w:cs="Arial" w:eastAsia="Arial" w:hAnsi="Arial"/>
                <w:sz w:val="14"/>
                <w:szCs w:val="14"/>
                <w:b w:val="1"/>
                <w:bCs w:val="1"/>
                <w:color w:val="auto"/>
              </w:rPr>
              <w:t>December 31,</w:t>
            </w: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580" w:type="dxa"/>
            <w:vAlign w:val="bottom"/>
            <w:gridSpan w:val="5"/>
          </w:tcPr>
          <w:p>
            <w:pPr>
              <w:jc w:val="right"/>
              <w:ind w:right="460"/>
              <w:spacing w:after="0"/>
              <w:rPr>
                <w:sz w:val="20"/>
                <w:szCs w:val="20"/>
                <w:color w:val="auto"/>
              </w:rPr>
            </w:pPr>
            <w:r>
              <w:rPr>
                <w:rFonts w:ascii="Arial" w:cs="Arial" w:eastAsia="Arial" w:hAnsi="Arial"/>
                <w:sz w:val="14"/>
                <w:szCs w:val="14"/>
                <w:b w:val="1"/>
                <w:bCs w:val="1"/>
                <w:color w:val="auto"/>
              </w:rPr>
              <w:t>September 30,</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780" w:type="dxa"/>
            <w:vAlign w:val="bottom"/>
          </w:tcPr>
          <w:p>
            <w:pPr>
              <w:spacing w:after="0"/>
              <w:rPr>
                <w:sz w:val="12"/>
                <w:szCs w:val="12"/>
                <w:color w:val="auto"/>
              </w:rPr>
            </w:pPr>
          </w:p>
        </w:tc>
        <w:tc>
          <w:tcPr>
            <w:tcW w:w="1840" w:type="dxa"/>
            <w:vAlign w:val="bottom"/>
          </w:tcPr>
          <w:p>
            <w:pPr>
              <w:spacing w:after="0"/>
              <w:rPr>
                <w:sz w:val="12"/>
                <w:szCs w:val="12"/>
                <w:color w:val="auto"/>
              </w:rPr>
            </w:pPr>
          </w:p>
        </w:tc>
        <w:tc>
          <w:tcPr>
            <w:tcW w:w="480" w:type="dxa"/>
            <w:vAlign w:val="bottom"/>
            <w:tcBorders>
              <w:top w:val="single" w:sz="8" w:color="auto"/>
              <w:bottom w:val="single" w:sz="8" w:color="auto"/>
            </w:tcBorders>
          </w:tcPr>
          <w:p>
            <w:pPr>
              <w:jc w:val="right"/>
              <w:ind w:right="21"/>
              <w:spacing w:after="0" w:line="142" w:lineRule="exact"/>
              <w:rPr>
                <w:sz w:val="20"/>
                <w:szCs w:val="20"/>
                <w:color w:val="auto"/>
              </w:rPr>
            </w:pPr>
            <w:r>
              <w:rPr>
                <w:rFonts w:ascii="Arial" w:cs="Arial" w:eastAsia="Arial" w:hAnsi="Arial"/>
                <w:sz w:val="14"/>
                <w:szCs w:val="14"/>
                <w:b w:val="1"/>
                <w:bCs w:val="1"/>
                <w:color w:val="auto"/>
              </w:rPr>
              <w:t>2015</w:t>
            </w:r>
          </w:p>
        </w:tc>
        <w:tc>
          <w:tcPr>
            <w:tcW w:w="280" w:type="dxa"/>
            <w:vAlign w:val="bottom"/>
            <w:tcBorders>
              <w:top w:val="single" w:sz="8" w:color="auto"/>
              <w:bottom w:val="single" w:sz="8" w:color="auto"/>
            </w:tcBorders>
          </w:tcPr>
          <w:p>
            <w:pPr>
              <w:spacing w:after="0"/>
              <w:rPr>
                <w:sz w:val="12"/>
                <w:szCs w:val="12"/>
                <w:color w:val="auto"/>
              </w:rPr>
            </w:pPr>
          </w:p>
        </w:tc>
        <w:tc>
          <w:tcPr>
            <w:tcW w:w="780" w:type="dxa"/>
            <w:vAlign w:val="bottom"/>
            <w:tcBorders>
              <w:top w:val="single" w:sz="8" w:color="auto"/>
              <w:bottom w:val="single" w:sz="8" w:color="auto"/>
            </w:tcBorders>
            <w:gridSpan w:val="2"/>
          </w:tcPr>
          <w:p>
            <w:pPr>
              <w:jc w:val="right"/>
              <w:ind w:right="68"/>
              <w:spacing w:after="0" w:line="142" w:lineRule="exact"/>
              <w:rPr>
                <w:sz w:val="20"/>
                <w:szCs w:val="20"/>
                <w:color w:val="auto"/>
              </w:rPr>
            </w:pPr>
            <w:r>
              <w:rPr>
                <w:rFonts w:ascii="Arial" w:cs="Arial" w:eastAsia="Arial" w:hAnsi="Arial"/>
                <w:sz w:val="14"/>
                <w:szCs w:val="14"/>
                <w:b w:val="1"/>
                <w:bCs w:val="1"/>
                <w:color w:val="auto"/>
              </w:rPr>
              <w:t>2016</w:t>
            </w:r>
          </w:p>
        </w:tc>
        <w:tc>
          <w:tcPr>
            <w:tcW w:w="260" w:type="dxa"/>
            <w:vAlign w:val="bottom"/>
            <w:tcBorders>
              <w:bottom w:val="single" w:sz="8" w:color="auto"/>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460" w:type="dxa"/>
            <w:vAlign w:val="bottom"/>
            <w:tcBorders>
              <w:top w:val="single" w:sz="8" w:color="auto"/>
              <w:bottom w:val="single" w:sz="8" w:color="auto"/>
            </w:tcBorders>
          </w:tcPr>
          <w:p>
            <w:pPr>
              <w:jc w:val="right"/>
              <w:ind w:right="59"/>
              <w:spacing w:after="0" w:line="142" w:lineRule="exact"/>
              <w:rPr>
                <w:sz w:val="20"/>
                <w:szCs w:val="20"/>
                <w:color w:val="auto"/>
              </w:rPr>
            </w:pPr>
            <w:r>
              <w:rPr>
                <w:rFonts w:ascii="Arial" w:cs="Arial" w:eastAsia="Arial" w:hAnsi="Arial"/>
                <w:sz w:val="14"/>
                <w:szCs w:val="14"/>
                <w:b w:val="1"/>
                <w:bCs w:val="1"/>
                <w:color w:val="auto"/>
                <w:w w:val="96"/>
              </w:rPr>
              <w:t>2016</w:t>
            </w:r>
          </w:p>
        </w:tc>
        <w:tc>
          <w:tcPr>
            <w:tcW w:w="280" w:type="dxa"/>
            <w:vAlign w:val="bottom"/>
            <w:tcBorders>
              <w:top w:val="single" w:sz="8" w:color="auto"/>
              <w:bottom w:val="single" w:sz="8" w:color="auto"/>
            </w:tcBorders>
          </w:tcPr>
          <w:p>
            <w:pPr>
              <w:spacing w:after="0"/>
              <w:rPr>
                <w:sz w:val="12"/>
                <w:szCs w:val="12"/>
                <w:color w:val="auto"/>
              </w:rPr>
            </w:pPr>
          </w:p>
        </w:tc>
        <w:tc>
          <w:tcPr>
            <w:tcW w:w="720" w:type="dxa"/>
            <w:vAlign w:val="bottom"/>
            <w:tcBorders>
              <w:top w:val="single" w:sz="8" w:color="auto"/>
              <w:bottom w:val="single" w:sz="8" w:color="auto"/>
            </w:tcBorders>
            <w:gridSpan w:val="2"/>
          </w:tcPr>
          <w:p>
            <w:pPr>
              <w:jc w:val="right"/>
              <w:ind w:right="100"/>
              <w:spacing w:after="0" w:line="142" w:lineRule="exact"/>
              <w:rPr>
                <w:sz w:val="20"/>
                <w:szCs w:val="20"/>
                <w:color w:val="auto"/>
              </w:rPr>
            </w:pPr>
            <w:r>
              <w:rPr>
                <w:rFonts w:ascii="Arial" w:cs="Arial" w:eastAsia="Arial" w:hAnsi="Arial"/>
                <w:sz w:val="14"/>
                <w:szCs w:val="14"/>
                <w:b w:val="1"/>
                <w:bCs w:val="1"/>
                <w:color w:val="auto"/>
              </w:rPr>
              <w:t>2017</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780" w:type="dxa"/>
            <w:vAlign w:val="bottom"/>
          </w:tcPr>
          <w:p>
            <w:pPr>
              <w:spacing w:after="0"/>
              <w:rPr>
                <w:sz w:val="12"/>
                <w:szCs w:val="12"/>
                <w:color w:val="auto"/>
              </w:rPr>
            </w:pPr>
          </w:p>
        </w:tc>
        <w:tc>
          <w:tcPr>
            <w:tcW w:w="18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880" w:type="dxa"/>
            <w:vAlign w:val="bottom"/>
            <w:gridSpan w:val="6"/>
          </w:tcPr>
          <w:p>
            <w:pPr>
              <w:jc w:val="right"/>
              <w:ind w:right="720"/>
              <w:spacing w:after="0" w:line="142" w:lineRule="exact"/>
              <w:rPr>
                <w:sz w:val="20"/>
                <w:szCs w:val="20"/>
                <w:color w:val="auto"/>
              </w:rPr>
            </w:pPr>
            <w:r>
              <w:rPr>
                <w:rFonts w:ascii="Arial" w:cs="Arial" w:eastAsia="Arial" w:hAnsi="Arial"/>
                <w:sz w:val="14"/>
                <w:szCs w:val="14"/>
                <w:i w:val="1"/>
                <w:iCs w:val="1"/>
                <w:color w:val="auto"/>
              </w:rPr>
              <w:t>(In millions)</w:t>
            </w:r>
          </w:p>
        </w:tc>
        <w:tc>
          <w:tcPr>
            <w:tcW w:w="2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80" w:type="dxa"/>
            <w:vAlign w:val="bottom"/>
            <w:shd w:val="clear" w:color="auto" w:fill="CCEEFF"/>
          </w:tcPr>
          <w:p>
            <w:pPr>
              <w:spacing w:after="0"/>
              <w:rPr>
                <w:sz w:val="20"/>
                <w:szCs w:val="20"/>
                <w:color w:val="auto"/>
              </w:rPr>
            </w:pPr>
            <w:r>
              <w:rPr>
                <w:rFonts w:ascii="Arial" w:cs="Arial" w:eastAsia="Arial" w:hAnsi="Arial"/>
                <w:sz w:val="18"/>
                <w:szCs w:val="18"/>
                <w:color w:val="auto"/>
              </w:rPr>
              <w:t>Net cash provided by operating activities</w:t>
            </w:r>
          </w:p>
        </w:tc>
        <w:tc>
          <w:tcPr>
            <w:tcW w:w="2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$ 14.8</w:t>
            </w:r>
          </w:p>
        </w:tc>
        <w:tc>
          <w:tcPr>
            <w:tcW w:w="2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$ 252.6</w:t>
            </w:r>
          </w:p>
        </w:tc>
        <w:tc>
          <w:tcPr>
            <w:tcW w:w="260" w:type="dxa"/>
            <w:vAlign w:val="bottom"/>
            <w:shd w:val="clear" w:color="auto" w:fill="CCEEFF"/>
          </w:tcPr>
          <w:p>
            <w:pPr>
              <w:spacing w:after="0"/>
              <w:rPr>
                <w:sz w:val="18"/>
                <w:szCs w:val="18"/>
                <w:color w:val="auto"/>
              </w:rPr>
            </w:pP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186.7</w:t>
            </w:r>
          </w:p>
        </w:tc>
        <w:tc>
          <w:tcPr>
            <w:tcW w:w="2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$259.2</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80" w:type="dxa"/>
            <w:vAlign w:val="bottom"/>
          </w:tcPr>
          <w:p>
            <w:pPr>
              <w:spacing w:after="0"/>
              <w:rPr>
                <w:sz w:val="20"/>
                <w:szCs w:val="20"/>
                <w:color w:val="auto"/>
              </w:rPr>
            </w:pPr>
            <w:r>
              <w:rPr>
                <w:rFonts w:ascii="Arial" w:cs="Arial" w:eastAsia="Arial" w:hAnsi="Arial"/>
                <w:sz w:val="18"/>
                <w:szCs w:val="18"/>
                <w:color w:val="auto"/>
              </w:rPr>
              <w:t>Capital expenditures</w:t>
            </w:r>
          </w:p>
        </w:tc>
        <w:tc>
          <w:tcPr>
            <w:tcW w:w="1840" w:type="dxa"/>
            <w:vAlign w:val="bottom"/>
          </w:tcPr>
          <w:p>
            <w:pPr>
              <w:spacing w:after="0"/>
              <w:rPr>
                <w:sz w:val="18"/>
                <w:szCs w:val="18"/>
                <w:color w:val="auto"/>
              </w:rPr>
            </w:pPr>
          </w:p>
        </w:tc>
        <w:tc>
          <w:tcPr>
            <w:tcW w:w="760" w:type="dxa"/>
            <w:vAlign w:val="bottom"/>
            <w:gridSpan w:val="2"/>
          </w:tcPr>
          <w:p>
            <w:pPr>
              <w:jc w:val="right"/>
              <w:ind w:right="220"/>
              <w:spacing w:after="0"/>
              <w:rPr>
                <w:sz w:val="20"/>
                <w:szCs w:val="20"/>
                <w:color w:val="auto"/>
              </w:rPr>
            </w:pPr>
            <w:r>
              <w:rPr>
                <w:rFonts w:ascii="Arial" w:cs="Arial" w:eastAsia="Arial" w:hAnsi="Arial"/>
                <w:sz w:val="18"/>
                <w:szCs w:val="18"/>
                <w:color w:val="auto"/>
              </w:rPr>
              <w:t>(78.7)</w:t>
            </w:r>
          </w:p>
        </w:tc>
        <w:tc>
          <w:tcPr>
            <w:tcW w:w="1040" w:type="dxa"/>
            <w:vAlign w:val="bottom"/>
            <w:gridSpan w:val="3"/>
          </w:tcPr>
          <w:p>
            <w:pPr>
              <w:jc w:val="right"/>
              <w:ind w:right="220"/>
              <w:spacing w:after="0"/>
              <w:rPr>
                <w:sz w:val="20"/>
                <w:szCs w:val="20"/>
                <w:color w:val="auto"/>
              </w:rPr>
            </w:pPr>
            <w:r>
              <w:rPr>
                <w:rFonts w:ascii="Arial" w:cs="Arial" w:eastAsia="Arial" w:hAnsi="Arial"/>
                <w:sz w:val="18"/>
                <w:szCs w:val="18"/>
                <w:color w:val="auto"/>
              </w:rPr>
              <w:t>(115.2)</w:t>
            </w: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gridSpan w:val="2"/>
          </w:tcPr>
          <w:p>
            <w:pPr>
              <w:jc w:val="right"/>
              <w:ind w:right="220"/>
              <w:spacing w:after="0"/>
              <w:rPr>
                <w:sz w:val="20"/>
                <w:szCs w:val="20"/>
                <w:color w:val="auto"/>
              </w:rPr>
            </w:pPr>
            <w:r>
              <w:rPr>
                <w:rFonts w:ascii="Arial" w:cs="Arial" w:eastAsia="Arial" w:hAnsi="Arial"/>
                <w:sz w:val="18"/>
                <w:szCs w:val="18"/>
                <w:color w:val="auto"/>
                <w:w w:val="87"/>
              </w:rPr>
              <w:t>(111.6)</w:t>
            </w:r>
          </w:p>
        </w:tc>
        <w:tc>
          <w:tcPr>
            <w:tcW w:w="840" w:type="dxa"/>
            <w:vAlign w:val="bottom"/>
            <w:gridSpan w:val="3"/>
          </w:tcPr>
          <w:p>
            <w:pPr>
              <w:jc w:val="right"/>
              <w:ind w:right="60"/>
              <w:spacing w:after="0"/>
              <w:rPr>
                <w:sz w:val="20"/>
                <w:szCs w:val="20"/>
                <w:color w:val="auto"/>
              </w:rPr>
            </w:pPr>
            <w:r>
              <w:rPr>
                <w:rFonts w:ascii="Arial" w:cs="Arial" w:eastAsia="Arial" w:hAnsi="Arial"/>
                <w:sz w:val="18"/>
                <w:szCs w:val="18"/>
                <w:color w:val="auto"/>
              </w:rPr>
              <w:t>(12.0)</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780" w:type="dxa"/>
            <w:vAlign w:val="bottom"/>
          </w:tcPr>
          <w:p>
            <w:pPr>
              <w:spacing w:after="0"/>
              <w:rPr>
                <w:sz w:val="2"/>
                <w:szCs w:val="2"/>
                <w:color w:val="auto"/>
              </w:rPr>
            </w:pPr>
          </w:p>
        </w:tc>
        <w:tc>
          <w:tcPr>
            <w:tcW w:w="1840" w:type="dxa"/>
            <w:vAlign w:val="bottom"/>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220" w:type="dxa"/>
            <w:vAlign w:val="bottom"/>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22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780" w:type="dxa"/>
            <w:vAlign w:val="bottom"/>
            <w:shd w:val="clear" w:color="auto" w:fill="CCEEFF"/>
          </w:tcPr>
          <w:p>
            <w:pPr>
              <w:spacing w:after="0"/>
              <w:rPr>
                <w:sz w:val="20"/>
                <w:szCs w:val="20"/>
                <w:color w:val="auto"/>
              </w:rPr>
            </w:pPr>
            <w:r>
              <w:rPr>
                <w:rFonts w:ascii="Arial" w:cs="Arial" w:eastAsia="Arial" w:hAnsi="Arial"/>
                <w:sz w:val="18"/>
                <w:szCs w:val="18"/>
                <w:color w:val="auto"/>
              </w:rPr>
              <w:t>Free cash flow</w:t>
            </w:r>
          </w:p>
        </w:tc>
        <w:tc>
          <w:tcPr>
            <w:tcW w:w="18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u w:val="single" w:color="auto"/>
                <w:color w:val="auto"/>
                <w:w w:val="91"/>
              </w:rPr>
              <w:t>$</w:t>
            </w:r>
            <w:r>
              <w:rPr>
                <w:rFonts w:ascii="Arial" w:cs="Arial" w:eastAsia="Arial" w:hAnsi="Arial"/>
                <w:sz w:val="18"/>
                <w:szCs w:val="18"/>
                <w:color w:val="auto"/>
                <w:w w:val="91"/>
              </w:rPr>
              <w:t>(63.9)</w:t>
            </w: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$ 137.4</w:t>
            </w:r>
          </w:p>
        </w:tc>
        <w:tc>
          <w:tcPr>
            <w:tcW w:w="260" w:type="dxa"/>
            <w:vAlign w:val="bottom"/>
            <w:shd w:val="clear" w:color="auto" w:fill="CCEEFF"/>
          </w:tcPr>
          <w:p>
            <w:pPr>
              <w:spacing w:after="0"/>
              <w:rPr>
                <w:sz w:val="18"/>
                <w:szCs w:val="18"/>
                <w:color w:val="auto"/>
              </w:rPr>
            </w:pP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75.1</w:t>
            </w:r>
          </w:p>
        </w:tc>
        <w:tc>
          <w:tcPr>
            <w:tcW w:w="2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247.2</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78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Initiative</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Infrastructure Optimization</w:t>
      </w:r>
    </w:p>
    <w:p>
      <w:pPr>
        <w:spacing w:after="0" w:line="117" w:lineRule="exact"/>
        <w:rPr>
          <w:sz w:val="20"/>
          <w:szCs w:val="20"/>
          <w:color w:val="auto"/>
        </w:rPr>
      </w:pPr>
    </w:p>
    <w:p>
      <w:pPr>
        <w:ind w:firstLine="449"/>
        <w:spacing w:after="0" w:line="263" w:lineRule="auto"/>
        <w:rPr>
          <w:sz w:val="20"/>
          <w:szCs w:val="20"/>
          <w:color w:val="auto"/>
        </w:rPr>
      </w:pPr>
      <w:r>
        <w:rPr>
          <w:rFonts w:ascii="Arial" w:cs="Arial" w:eastAsia="Arial" w:hAnsi="Arial"/>
          <w:sz w:val="18"/>
          <w:szCs w:val="18"/>
          <w:color w:val="auto"/>
        </w:rPr>
        <w:t>In recent years, we have taken several steps to improve the efficiency of the infrastructure that supports our platform. These efforts include an initiative that focused on migrating the vast majority of user data stored on the infrastructure of third-party service providers to our own lower cost, custom-built infrastructure in co-location</w:t>
      </w:r>
    </w:p>
    <w:p>
      <w:pPr>
        <w:spacing w:after="0" w:line="11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64</w:t>
      </w:r>
    </w:p>
    <w:p>
      <w:pPr>
        <w:sectPr>
          <w:pgSz w:w="11900" w:h="16838" w:orient="portrait"/>
          <w:cols w:equalWidth="0" w:num="1">
            <w:col w:w="11240"/>
          </w:cols>
          <w:pgMar w:left="320" w:top="459" w:right="339" w:bottom="1440" w:gutter="0" w:footer="0" w:header="0"/>
        </w:sectPr>
      </w:pPr>
    </w:p>
    <w:bookmarkStart w:id="67" w:name="page68"/>
    <w:bookmarkEnd w:id="6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spacing w:after="0" w:line="296" w:lineRule="auto"/>
        <w:rPr>
          <w:sz w:val="20"/>
          <w:szCs w:val="20"/>
          <w:color w:val="auto"/>
        </w:rPr>
      </w:pPr>
      <w:r>
        <w:rPr>
          <w:rFonts w:ascii="Arial" w:cs="Arial" w:eastAsia="Arial" w:hAnsi="Arial"/>
          <w:sz w:val="16"/>
          <w:szCs w:val="16"/>
          <w:color w:val="auto"/>
        </w:rPr>
        <w:t>facilities that we directly lease and operate. In order to host user data on our own infrastructure, we leased or purchased infrastructure that is depreciated within our cost of revenue. During the migration to our internal infrastructure, we duplicated our users’ data between our internal infrastructure and that of our third-party service providers, resulting in higher storage costs. We reduced this practice over time until we completed the migration in the fourth quarter of 2016. Related to this initiative, we no longer duplicate data between our internal infrastructure and that of any third-party service providers. We expect to continue to realize benefits from expanding our internal infrastructure due to our operating scale and lower unit costs.</w:t>
      </w:r>
    </w:p>
    <w:p>
      <w:pPr>
        <w:spacing w:after="0" w:line="161" w:lineRule="exact"/>
        <w:rPr>
          <w:sz w:val="20"/>
          <w:szCs w:val="20"/>
          <w:color w:val="auto"/>
        </w:rPr>
      </w:pPr>
    </w:p>
    <w:p>
      <w:pPr>
        <w:jc w:val="both"/>
        <w:ind w:right="100" w:firstLine="449"/>
        <w:spacing w:after="0" w:line="263" w:lineRule="auto"/>
        <w:rPr>
          <w:sz w:val="20"/>
          <w:szCs w:val="20"/>
          <w:color w:val="auto"/>
        </w:rPr>
      </w:pPr>
      <w:r>
        <w:rPr>
          <w:rFonts w:ascii="Arial" w:cs="Arial" w:eastAsia="Arial" w:hAnsi="Arial"/>
          <w:sz w:val="18"/>
          <w:szCs w:val="18"/>
          <w:color w:val="auto"/>
        </w:rPr>
        <w:t>Throughout 2016, we also took measures to manage the storage footprint of certain long-inactive Basic users, freeing up additional storage capacity. This effort, along with additional usage optimizations, enabled us to continue operating our business within our existing infrastructure base without a need for extensive incremental capital expenditures and leasing activity.</w:t>
      </w:r>
    </w:p>
    <w:p>
      <w:pPr>
        <w:spacing w:after="0" w:line="18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These efforts are collectively referred to as our Infrastructure Optimization.</w:t>
      </w:r>
    </w:p>
    <w:p>
      <w:pPr>
        <w:spacing w:after="0" w:line="225" w:lineRule="exact"/>
        <w:rPr>
          <w:sz w:val="20"/>
          <w:szCs w:val="20"/>
          <w:color w:val="auto"/>
        </w:rPr>
      </w:pPr>
    </w:p>
    <w:p>
      <w:pPr>
        <w:jc w:val="both"/>
        <w:ind w:right="140" w:firstLine="449"/>
        <w:spacing w:after="0" w:line="263" w:lineRule="auto"/>
        <w:rPr>
          <w:sz w:val="20"/>
          <w:szCs w:val="20"/>
          <w:color w:val="auto"/>
        </w:rPr>
      </w:pPr>
      <w:r>
        <w:rPr>
          <w:rFonts w:ascii="Arial" w:cs="Arial" w:eastAsia="Arial" w:hAnsi="Arial"/>
          <w:sz w:val="18"/>
          <w:szCs w:val="18"/>
          <w:color w:val="auto"/>
        </w:rPr>
        <w:t>Our Infrastructure Optimization reduced unit costs and helped limit capital expenditures and associated depreciation. Combined with the concurrent increase in our base of paying users, we experienced a reduction in our cost of revenue, an increase in our gross margins, and an improvement in our free cash flow in the periods presented.</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Components of Our Results of Operations</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Revenue</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generate revenue from sales of subscriptions to our platform.</w:t>
      </w:r>
    </w:p>
    <w:p>
      <w:pPr>
        <w:spacing w:after="0" w:line="225" w:lineRule="exact"/>
        <w:rPr>
          <w:sz w:val="20"/>
          <w:szCs w:val="20"/>
          <w:color w:val="auto"/>
        </w:rPr>
      </w:pPr>
    </w:p>
    <w:p>
      <w:pPr>
        <w:ind w:firstLine="449"/>
        <w:spacing w:after="0" w:line="279" w:lineRule="auto"/>
        <w:rPr>
          <w:sz w:val="20"/>
          <w:szCs w:val="20"/>
          <w:color w:val="auto"/>
        </w:rPr>
      </w:pPr>
      <w:r>
        <w:rPr>
          <w:rFonts w:ascii="Arial" w:cs="Arial" w:eastAsia="Arial" w:hAnsi="Arial"/>
          <w:sz w:val="17"/>
          <w:szCs w:val="17"/>
          <w:color w:val="auto"/>
        </w:rPr>
        <w:t>Revenue is recognized ratably over the related contractual term generally beginning on the date that our platform is made available to a customer. Our subscription agreements typically have monthly or annual contractual terms, although a small percentage have multi-year contractual terms. Our agreements are generally non-cancelable. We typically bill in advance for monthly contracts and annually in advance for contracts with terms of one year or longer. Amounts that have been billed are initially recorded as deferred revenue until the revenue is recognized.</w:t>
      </w:r>
    </w:p>
    <w:p>
      <w:pPr>
        <w:spacing w:after="0" w:line="171" w:lineRule="exact"/>
        <w:rPr>
          <w:sz w:val="20"/>
          <w:szCs w:val="20"/>
          <w:color w:val="auto"/>
        </w:rPr>
      </w:pPr>
    </w:p>
    <w:p>
      <w:pPr>
        <w:ind w:right="140" w:firstLine="449"/>
        <w:spacing w:after="0" w:line="263" w:lineRule="auto"/>
        <w:rPr>
          <w:sz w:val="20"/>
          <w:szCs w:val="20"/>
          <w:color w:val="auto"/>
        </w:rPr>
      </w:pPr>
      <w:r>
        <w:rPr>
          <w:rFonts w:ascii="Arial" w:cs="Arial" w:eastAsia="Arial" w:hAnsi="Arial"/>
          <w:sz w:val="18"/>
          <w:szCs w:val="18"/>
          <w:color w:val="auto"/>
        </w:rPr>
        <w:t>Our revenue is driven primarily by the number of paying users and the price we charge for access to our platform, which varies based on the type of plan to which a customer subscribes. We generate over 90% of our revenue from self-serve channels. No customer represented more than 1% of our revenue in the periods presented.</w:t>
      </w:r>
    </w:p>
    <w:p>
      <w:pPr>
        <w:spacing w:after="0" w:line="292"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Cost of revenue and gross margin</w:t>
      </w:r>
    </w:p>
    <w:p>
      <w:pPr>
        <w:spacing w:after="0" w:line="117" w:lineRule="exact"/>
        <w:rPr>
          <w:sz w:val="20"/>
          <w:szCs w:val="20"/>
          <w:color w:val="auto"/>
        </w:rPr>
      </w:pPr>
    </w:p>
    <w:p>
      <w:pPr>
        <w:ind w:right="40" w:firstLine="449"/>
        <w:spacing w:after="0" w:line="270" w:lineRule="auto"/>
        <w:rPr>
          <w:sz w:val="20"/>
          <w:szCs w:val="20"/>
          <w:color w:val="auto"/>
        </w:rPr>
      </w:pPr>
      <w:r>
        <w:rPr>
          <w:rFonts w:ascii="Arial" w:cs="Arial" w:eastAsia="Arial" w:hAnsi="Arial"/>
          <w:sz w:val="17"/>
          <w:szCs w:val="17"/>
          <w:i w:val="1"/>
          <w:iCs w:val="1"/>
          <w:color w:val="auto"/>
        </w:rPr>
        <w:t xml:space="preserve">Cost of revenue. </w:t>
      </w:r>
      <w:r>
        <w:rPr>
          <w:rFonts w:ascii="Arial" w:cs="Arial" w:eastAsia="Arial" w:hAnsi="Arial"/>
          <w:sz w:val="17"/>
          <w:szCs w:val="17"/>
          <w:color w:val="auto"/>
        </w:rPr>
        <w:t>Our cost of revenue consists primarily of expenses associated with the storage, delivery, and distribution of our platform for both</w:t>
      </w:r>
      <w:r>
        <w:rPr>
          <w:rFonts w:ascii="Arial" w:cs="Arial" w:eastAsia="Arial" w:hAnsi="Arial"/>
          <w:sz w:val="17"/>
          <w:szCs w:val="17"/>
          <w:i w:val="1"/>
          <w:iCs w:val="1"/>
          <w:color w:val="auto"/>
        </w:rPr>
        <w:t xml:space="preserve"> </w:t>
      </w:r>
      <w:r>
        <w:rPr>
          <w:rFonts w:ascii="Arial" w:cs="Arial" w:eastAsia="Arial" w:hAnsi="Arial"/>
          <w:sz w:val="17"/>
          <w:szCs w:val="17"/>
          <w:color w:val="auto"/>
        </w:rPr>
        <w:t>paying users and Basic users. These costs, which we refer to as infrastructure costs, include depreciation of our servers located in co-location facilities that we lease and operate, rent and facilities expense for those datacenters, network and bandwidth costs, support and maintenance costs for our infrastructure equipment, and payments to third-party datacenter service providers. Cost of revenue also includes costs, such as salaries, bonuses, benefits, travel-related expenses, and stock-based compensation, which we refer to as employee-related costs, for employees whose primary responsibilities relate to supporting our infrastructure and delivering user support. Other non-employee costs included in cost of revenue include credit card fees related to processing customer transactions, and allocated overhead, such as facilities, including rent, utilities, depreciation on leasehold improvements and other equipment shared by all departments, and shared information technology costs. In addition, cost of revenue includes amortization of developed technologies, professional fees related to user support initiatives, and property taxes related to the datacenters.</w:t>
      </w:r>
    </w:p>
    <w:p>
      <w:pPr>
        <w:spacing w:after="0" w:line="11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65</w:t>
      </w:r>
    </w:p>
    <w:p>
      <w:pPr>
        <w:sectPr>
          <w:pgSz w:w="11900" w:h="16838" w:orient="portrait"/>
          <w:cols w:equalWidth="0" w:num="1">
            <w:col w:w="11240"/>
          </w:cols>
          <w:pgMar w:left="320" w:top="459" w:right="339" w:bottom="1440" w:gutter="0" w:footer="0" w:header="0"/>
        </w:sectPr>
      </w:pPr>
    </w:p>
    <w:bookmarkStart w:id="68" w:name="page69"/>
    <w:bookmarkEnd w:id="6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firstLine="449"/>
        <w:spacing w:after="0" w:line="277" w:lineRule="auto"/>
        <w:rPr>
          <w:sz w:val="20"/>
          <w:szCs w:val="20"/>
          <w:color w:val="auto"/>
        </w:rPr>
      </w:pPr>
      <w:r>
        <w:rPr>
          <w:rFonts w:ascii="Arial" w:cs="Arial" w:eastAsia="Arial" w:hAnsi="Arial"/>
          <w:sz w:val="18"/>
          <w:szCs w:val="18"/>
          <w:color w:val="auto"/>
        </w:rPr>
        <w:t>We plan to continue increasing the capacity and enhancing the capability and reliability of our infrastructure to support user growth and increased use of our platform. We expect that cost of revenue will increase in absolute dollars in future periods.</w:t>
      </w:r>
    </w:p>
    <w:p>
      <w:pPr>
        <w:spacing w:after="0" w:line="170" w:lineRule="exact"/>
        <w:rPr>
          <w:sz w:val="20"/>
          <w:szCs w:val="20"/>
          <w:color w:val="auto"/>
        </w:rPr>
      </w:pPr>
    </w:p>
    <w:p>
      <w:pPr>
        <w:ind w:right="40" w:firstLine="449"/>
        <w:spacing w:after="0" w:line="259" w:lineRule="auto"/>
        <w:rPr>
          <w:sz w:val="20"/>
          <w:szCs w:val="20"/>
          <w:color w:val="auto"/>
        </w:rPr>
      </w:pPr>
      <w:r>
        <w:rPr>
          <w:rFonts w:ascii="Arial" w:cs="Arial" w:eastAsia="Arial" w:hAnsi="Arial"/>
          <w:sz w:val="18"/>
          <w:szCs w:val="18"/>
          <w:i w:val="1"/>
          <w:iCs w:val="1"/>
          <w:color w:val="auto"/>
        </w:rPr>
        <w:t xml:space="preserve">Gross margin. </w:t>
      </w:r>
      <w:r>
        <w:rPr>
          <w:rFonts w:ascii="Arial" w:cs="Arial" w:eastAsia="Arial" w:hAnsi="Arial"/>
          <w:sz w:val="18"/>
          <w:szCs w:val="18"/>
          <w:color w:val="auto"/>
        </w:rPr>
        <w:t>Gross margin is gross profit expressed as a percentage of revenue. Our gross margin may fluctuate from period to period based on the</w:t>
      </w:r>
      <w:r>
        <w:rPr>
          <w:rFonts w:ascii="Arial" w:cs="Arial" w:eastAsia="Arial" w:hAnsi="Arial"/>
          <w:sz w:val="18"/>
          <w:szCs w:val="18"/>
          <w:i w:val="1"/>
          <w:iCs w:val="1"/>
          <w:color w:val="auto"/>
        </w:rPr>
        <w:t xml:space="preserve"> </w:t>
      </w:r>
      <w:r>
        <w:rPr>
          <w:rFonts w:ascii="Arial" w:cs="Arial" w:eastAsia="Arial" w:hAnsi="Arial"/>
          <w:sz w:val="18"/>
          <w:szCs w:val="18"/>
          <w:color w:val="auto"/>
        </w:rPr>
        <w:t>timing of additional capital expenditures and the related depreciation expense, or other increases in our infrastructure costs, as well as revenue fluctuations. As we continue to increase the utilization of our internal infrastructure, we generally expect our gross margin to increase in future periods, although we expect it to increase at a slower rate than it increased in prior periods.</w:t>
      </w:r>
    </w:p>
    <w:p>
      <w:pPr>
        <w:spacing w:after="0" w:line="295"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Operating expenses</w:t>
      </w:r>
    </w:p>
    <w:p>
      <w:pPr>
        <w:spacing w:after="0" w:line="117" w:lineRule="exact"/>
        <w:rPr>
          <w:sz w:val="20"/>
          <w:szCs w:val="20"/>
          <w:color w:val="auto"/>
        </w:rPr>
      </w:pPr>
    </w:p>
    <w:p>
      <w:pPr>
        <w:ind w:right="140" w:firstLine="449"/>
        <w:spacing w:after="0" w:line="263" w:lineRule="auto"/>
        <w:rPr>
          <w:sz w:val="20"/>
          <w:szCs w:val="20"/>
          <w:color w:val="auto"/>
        </w:rPr>
      </w:pPr>
      <w:r>
        <w:rPr>
          <w:rFonts w:ascii="Arial" w:cs="Arial" w:eastAsia="Arial" w:hAnsi="Arial"/>
          <w:sz w:val="18"/>
          <w:szCs w:val="18"/>
          <w:i w:val="1"/>
          <w:iCs w:val="1"/>
          <w:color w:val="auto"/>
        </w:rPr>
        <w:t>Research and development</w:t>
      </w:r>
      <w:r>
        <w:rPr>
          <w:rFonts w:ascii="Arial" w:cs="Arial" w:eastAsia="Arial" w:hAnsi="Arial"/>
          <w:sz w:val="18"/>
          <w:szCs w:val="18"/>
          <w:color w:val="auto"/>
        </w:rPr>
        <w:t>. Our research and development expenses consist primarily of employee-related costs for our engineering, product, and</w:t>
      </w:r>
      <w:r>
        <w:rPr>
          <w:rFonts w:ascii="Arial" w:cs="Arial" w:eastAsia="Arial" w:hAnsi="Arial"/>
          <w:sz w:val="18"/>
          <w:szCs w:val="18"/>
          <w:i w:val="1"/>
          <w:iCs w:val="1"/>
          <w:color w:val="auto"/>
        </w:rPr>
        <w:t xml:space="preserve"> </w:t>
      </w:r>
      <w:r>
        <w:rPr>
          <w:rFonts w:ascii="Arial" w:cs="Arial" w:eastAsia="Arial" w:hAnsi="Arial"/>
          <w:sz w:val="18"/>
          <w:szCs w:val="18"/>
          <w:color w:val="auto"/>
        </w:rPr>
        <w:t>design teams, and allocated overhead. Additionally, research and development expenses include internal development-related third-party hosting fees. We have expensed almost all of our research and development costs as they were incurred.</w:t>
      </w:r>
    </w:p>
    <w:p>
      <w:pPr>
        <w:spacing w:after="0" w:line="184" w:lineRule="exact"/>
        <w:rPr>
          <w:sz w:val="20"/>
          <w:szCs w:val="20"/>
          <w:color w:val="auto"/>
        </w:rPr>
      </w:pPr>
    </w:p>
    <w:p>
      <w:pPr>
        <w:ind w:right="260" w:firstLine="449"/>
        <w:spacing w:after="0" w:line="342" w:lineRule="auto"/>
        <w:rPr>
          <w:sz w:val="20"/>
          <w:szCs w:val="20"/>
          <w:color w:val="auto"/>
        </w:rPr>
      </w:pPr>
      <w:r>
        <w:rPr>
          <w:rFonts w:ascii="Arial" w:cs="Arial" w:eastAsia="Arial" w:hAnsi="Arial"/>
          <w:sz w:val="16"/>
          <w:szCs w:val="16"/>
          <w:color w:val="auto"/>
        </w:rPr>
        <w:t>We plan to continue to hire employees for our engineering, product, and design teams to support our research and development efforts. We expect that research and development costs will increase in absolute dollars in future periods and vary from period to period as a percentage of revenue.</w:t>
      </w:r>
    </w:p>
    <w:p>
      <w:pPr>
        <w:spacing w:after="0" w:line="124" w:lineRule="exact"/>
        <w:rPr>
          <w:sz w:val="20"/>
          <w:szCs w:val="20"/>
          <w:color w:val="auto"/>
        </w:rPr>
      </w:pPr>
    </w:p>
    <w:p>
      <w:pPr>
        <w:ind w:right="40" w:firstLine="449"/>
        <w:spacing w:after="0" w:line="275" w:lineRule="auto"/>
        <w:rPr>
          <w:sz w:val="20"/>
          <w:szCs w:val="20"/>
          <w:color w:val="auto"/>
        </w:rPr>
      </w:pPr>
      <w:r>
        <w:rPr>
          <w:rFonts w:ascii="Arial" w:cs="Arial" w:eastAsia="Arial" w:hAnsi="Arial"/>
          <w:sz w:val="17"/>
          <w:szCs w:val="17"/>
          <w:i w:val="1"/>
          <w:iCs w:val="1"/>
          <w:color w:val="auto"/>
        </w:rPr>
        <w:t>Sales and marketing</w:t>
      </w:r>
      <w:r>
        <w:rPr>
          <w:rFonts w:ascii="Arial" w:cs="Arial" w:eastAsia="Arial" w:hAnsi="Arial"/>
          <w:sz w:val="17"/>
          <w:szCs w:val="17"/>
          <w:color w:val="auto"/>
        </w:rPr>
        <w:t>. Our sales and marketing expenses relate to both self-serve and outbound sales activities, and consist primarily of employee-related costs, lead generation fees, brand campaign fees, and allocated overhead. Sales commissions earned by our outbound sales team and the related payroll taxes, as well as commissions earned by third-party resellers that we consider to be incremental and recoverable costs of obtaining a contract with a user, are deferred and amortized over an estimated period of benefit of five years. Additionally, sales and marketing expenses include non-employee costs related to app store fees and fees payable to third-party sales representatives.</w:t>
      </w:r>
    </w:p>
    <w:p>
      <w:pPr>
        <w:spacing w:after="0" w:line="176" w:lineRule="exact"/>
        <w:rPr>
          <w:sz w:val="20"/>
          <w:szCs w:val="20"/>
          <w:color w:val="auto"/>
        </w:rPr>
      </w:pPr>
    </w:p>
    <w:p>
      <w:pPr>
        <w:jc w:val="both"/>
        <w:ind w:firstLine="449"/>
        <w:spacing w:after="0" w:line="311" w:lineRule="auto"/>
        <w:rPr>
          <w:sz w:val="20"/>
          <w:szCs w:val="20"/>
          <w:color w:val="auto"/>
        </w:rPr>
      </w:pPr>
      <w:r>
        <w:rPr>
          <w:rFonts w:ascii="Arial" w:cs="Arial" w:eastAsia="Arial" w:hAnsi="Arial"/>
          <w:sz w:val="16"/>
          <w:szCs w:val="16"/>
          <w:color w:val="auto"/>
        </w:rPr>
        <w:t>We plan to continue to invest in sales and marketing to grow our user base and increase our brand awareness, including marketing efforts to continue to drive our self-serve business model. The trend and timing of sales and marketing expenses will depend in part on the timing of marketing campaigns. We expect that sales and marketing expenses will increase in absolute dollars in future periods and vary from period to period as a percentage of revenue.</w:t>
      </w:r>
    </w:p>
    <w:p>
      <w:pPr>
        <w:spacing w:after="0" w:line="149" w:lineRule="exact"/>
        <w:rPr>
          <w:sz w:val="20"/>
          <w:szCs w:val="20"/>
          <w:color w:val="auto"/>
        </w:rPr>
      </w:pPr>
    </w:p>
    <w:p>
      <w:pPr>
        <w:jc w:val="both"/>
        <w:ind w:right="460" w:firstLine="449"/>
        <w:spacing w:after="0" w:line="263" w:lineRule="auto"/>
        <w:rPr>
          <w:sz w:val="20"/>
          <w:szCs w:val="20"/>
          <w:color w:val="auto"/>
        </w:rPr>
      </w:pPr>
      <w:r>
        <w:rPr>
          <w:rFonts w:ascii="Arial" w:cs="Arial" w:eastAsia="Arial" w:hAnsi="Arial"/>
          <w:sz w:val="18"/>
          <w:szCs w:val="18"/>
          <w:i w:val="1"/>
          <w:iCs w:val="1"/>
          <w:color w:val="auto"/>
        </w:rPr>
        <w:t>General and administrative</w:t>
      </w:r>
      <w:r>
        <w:rPr>
          <w:rFonts w:ascii="Arial" w:cs="Arial" w:eastAsia="Arial" w:hAnsi="Arial"/>
          <w:sz w:val="18"/>
          <w:szCs w:val="18"/>
          <w:color w:val="auto"/>
        </w:rPr>
        <w:t>. Our general and administrative expenses consist primarily of employee-related costs for our legal, finance, human</w:t>
      </w:r>
      <w:r>
        <w:rPr>
          <w:rFonts w:ascii="Arial" w:cs="Arial" w:eastAsia="Arial" w:hAnsi="Arial"/>
          <w:sz w:val="18"/>
          <w:szCs w:val="18"/>
          <w:i w:val="1"/>
          <w:iCs w:val="1"/>
          <w:color w:val="auto"/>
        </w:rPr>
        <w:t xml:space="preserve"> </w:t>
      </w:r>
      <w:r>
        <w:rPr>
          <w:rFonts w:ascii="Arial" w:cs="Arial" w:eastAsia="Arial" w:hAnsi="Arial"/>
          <w:sz w:val="18"/>
          <w:szCs w:val="18"/>
          <w:color w:val="auto"/>
        </w:rPr>
        <w:t>resources, and other administrative teams, as well as certain executives. In addition, general and administrative expenses include allocated overhead, outside legal, accounting and other professional fees, and non-income based taxes.</w:t>
      </w:r>
    </w:p>
    <w:p>
      <w:pPr>
        <w:spacing w:after="0" w:line="184" w:lineRule="exact"/>
        <w:rPr>
          <w:sz w:val="20"/>
          <w:szCs w:val="20"/>
          <w:color w:val="auto"/>
        </w:rPr>
      </w:pPr>
    </w:p>
    <w:p>
      <w:pPr>
        <w:jc w:val="both"/>
        <w:ind w:right="100" w:firstLine="449"/>
        <w:spacing w:after="0" w:line="263" w:lineRule="auto"/>
        <w:rPr>
          <w:sz w:val="20"/>
          <w:szCs w:val="20"/>
          <w:color w:val="auto"/>
        </w:rPr>
      </w:pPr>
      <w:r>
        <w:rPr>
          <w:rFonts w:ascii="Arial" w:cs="Arial" w:eastAsia="Arial" w:hAnsi="Arial"/>
          <w:sz w:val="18"/>
          <w:szCs w:val="18"/>
          <w:color w:val="auto"/>
        </w:rPr>
        <w:t>We expect to incur additional general and administrative expenses to support the growth of the company as well as our transition to being a publicly traded company. We expect that general and administrative expenses will increase in absolute dollars in future periods and vary from period to period as a percentage of revenue.</w:t>
      </w:r>
    </w:p>
    <w:p>
      <w:pPr>
        <w:spacing w:after="0" w:line="292"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Interest expense, net</w:t>
      </w:r>
    </w:p>
    <w:p>
      <w:pPr>
        <w:spacing w:after="0" w:line="117" w:lineRule="exact"/>
        <w:rPr>
          <w:sz w:val="20"/>
          <w:szCs w:val="20"/>
          <w:color w:val="auto"/>
        </w:rPr>
      </w:pPr>
    </w:p>
    <w:p>
      <w:pPr>
        <w:ind w:right="360" w:firstLine="449"/>
        <w:spacing w:after="0" w:line="263" w:lineRule="auto"/>
        <w:rPr>
          <w:sz w:val="20"/>
          <w:szCs w:val="20"/>
          <w:color w:val="auto"/>
        </w:rPr>
      </w:pPr>
      <w:r>
        <w:rPr>
          <w:rFonts w:ascii="Arial" w:cs="Arial" w:eastAsia="Arial" w:hAnsi="Arial"/>
          <w:sz w:val="18"/>
          <w:szCs w:val="18"/>
          <w:color w:val="auto"/>
        </w:rPr>
        <w:t>Interest expense, net consists primarily of interest expense related to our capital lease obligations for infrastructure and our imputed financing obligation for our obligation to the legal owner of our previous corporate headquarters, partially offset by interest income earned on our money market funds classified as cash and cash equivalents.</w:t>
      </w:r>
    </w:p>
    <w:p>
      <w:pPr>
        <w:spacing w:after="0" w:line="11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66</w:t>
      </w:r>
    </w:p>
    <w:p>
      <w:pPr>
        <w:sectPr>
          <w:pgSz w:w="11900" w:h="16838" w:orient="portrait"/>
          <w:cols w:equalWidth="0" w:num="1">
            <w:col w:w="11220"/>
          </w:cols>
          <w:pgMar w:left="320" w:top="459" w:right="359" w:bottom="1440" w:gutter="0" w:footer="0" w:header="0"/>
        </w:sectPr>
      </w:pPr>
    </w:p>
    <w:bookmarkStart w:id="69" w:name="page70"/>
    <w:bookmarkEnd w:id="6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Other income (expense), net</w:t>
      </w:r>
    </w:p>
    <w:p>
      <w:pPr>
        <w:spacing w:after="0" w:line="117" w:lineRule="exact"/>
        <w:rPr>
          <w:sz w:val="20"/>
          <w:szCs w:val="20"/>
          <w:color w:val="auto"/>
        </w:rPr>
      </w:pPr>
    </w:p>
    <w:p>
      <w:pPr>
        <w:ind w:right="540" w:firstLine="449"/>
        <w:spacing w:after="0" w:line="277" w:lineRule="auto"/>
        <w:rPr>
          <w:sz w:val="20"/>
          <w:szCs w:val="20"/>
          <w:color w:val="auto"/>
        </w:rPr>
      </w:pPr>
      <w:r>
        <w:rPr>
          <w:rFonts w:ascii="Arial" w:cs="Arial" w:eastAsia="Arial" w:hAnsi="Arial"/>
          <w:sz w:val="18"/>
          <w:szCs w:val="18"/>
          <w:color w:val="auto"/>
        </w:rPr>
        <w:t>Other income (expense), net consists of other non-operating gains or losses, including those related to ongoing subleases and foreign currency transaction gains and losses.</w:t>
      </w:r>
    </w:p>
    <w:p>
      <w:pPr>
        <w:spacing w:after="0" w:line="278"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Provision for income taxes</w:t>
      </w:r>
    </w:p>
    <w:p>
      <w:pPr>
        <w:spacing w:after="0" w:line="117" w:lineRule="exact"/>
        <w:rPr>
          <w:sz w:val="20"/>
          <w:szCs w:val="20"/>
          <w:color w:val="auto"/>
        </w:rPr>
      </w:pPr>
    </w:p>
    <w:p>
      <w:pPr>
        <w:ind w:right="120" w:firstLine="449"/>
        <w:spacing w:after="0" w:line="275" w:lineRule="auto"/>
        <w:rPr>
          <w:sz w:val="20"/>
          <w:szCs w:val="20"/>
          <w:color w:val="auto"/>
        </w:rPr>
      </w:pPr>
      <w:r>
        <w:rPr>
          <w:rFonts w:ascii="Arial" w:cs="Arial" w:eastAsia="Arial" w:hAnsi="Arial"/>
          <w:sz w:val="17"/>
          <w:szCs w:val="17"/>
          <w:color w:val="auto"/>
        </w:rPr>
        <w:t>Provision for income taxes consists primarily of U.S. federal and state income taxes and income taxes in certain foreign jurisdictions in which we conduct business. For the periods presented, the difference between the U.S. statutory rate and our effective tax rate is primarily due to the valuation allowance on deferred tax assets. Our effective tax rate is also impacted by earnings realized in foreign jurisdictions with statutory tax rates lower than the federal statutory tax rate. We maintain a full valuation allowance on our net deferred tax assets for federal, state, and certain foreign jurisdictions as we have concluded that it is not more likely than not that the deferred assets will be realized.</w:t>
      </w:r>
    </w:p>
    <w:p>
      <w:pPr>
        <w:spacing w:after="0" w:line="176" w:lineRule="exact"/>
        <w:rPr>
          <w:sz w:val="20"/>
          <w:szCs w:val="20"/>
          <w:color w:val="auto"/>
        </w:rPr>
      </w:pPr>
    </w:p>
    <w:p>
      <w:pPr>
        <w:ind w:firstLine="449"/>
        <w:spacing w:after="0" w:line="287" w:lineRule="auto"/>
        <w:rPr>
          <w:sz w:val="20"/>
          <w:szCs w:val="20"/>
          <w:color w:val="auto"/>
        </w:rPr>
      </w:pPr>
      <w:r>
        <w:rPr>
          <w:rFonts w:ascii="Arial" w:cs="Arial" w:eastAsia="Arial" w:hAnsi="Arial"/>
          <w:sz w:val="16"/>
          <w:szCs w:val="16"/>
          <w:color w:val="auto"/>
        </w:rPr>
        <w:t>As of December 31, 2016, we had $254.8 million of federal and $94.9 million of state net operating loss carryforwards available to reduce future taxable income, which will begin to expire in 2031 for federal and 2030 for state tax purposes. As of December 31, 2016, we also had $247.9 million of foreign net operating loss carryforwards available to reduce future taxable income, which will carryforward indefinitely. In addition, we had $22.9 million of foreign acquired net operating losses, which will carryforward indefinitely. It is possible that we will not generate taxable income in time to use these net operating loss carryforwards before their expiration. In addition, under Section 382 and 383 of the Internal Revenue Code of 1986, as amended, or the Code, if a corporation undergoes an “ownership change,” the corporation’s ability to use its pre-change net operating loss carryforwards and other pre-change attributes, such as research tax credits, to offset its post-change income may be limited. In general, an “ownership change” will occur if there is a cumulative change in our ownership by “5-percent shareholders” that exceeds 50 percentage points over a rolling three-year period. Similar rules may apply under state tax laws. We performed a study for the period through June 30, 2017, and determined that no ownership changes exceeding 50 percentage points have occurred. Our ability to use net operating loss and tax credit carryforwards to reduce future taxable income and liabilities may be subject to annual limitations as a result of ownership changes from July 1, 2017, and subsequent years, or as a result of this offering.</w:t>
      </w:r>
    </w:p>
    <w:p>
      <w:pPr>
        <w:spacing w:after="0" w:line="10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67</w:t>
      </w:r>
    </w:p>
    <w:p>
      <w:pPr>
        <w:sectPr>
          <w:pgSz w:w="11900" w:h="16838" w:orient="portrait"/>
          <w:cols w:equalWidth="0" w:num="1">
            <w:col w:w="11220"/>
          </w:cols>
          <w:pgMar w:left="320" w:top="459" w:right="359" w:bottom="1440" w:gutter="0" w:footer="0" w:header="0"/>
        </w:sectPr>
      </w:pPr>
    </w:p>
    <w:bookmarkStart w:id="70" w:name="page71"/>
    <w:bookmarkEnd w:id="7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following tables set forth our results of operations for the periods presented and as a percentage of our total revenue for those periods:</w:t>
      </w:r>
    </w:p>
    <w:p>
      <w:pPr>
        <w:spacing w:after="0" w:line="254"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4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920" w:type="dxa"/>
            <w:vAlign w:val="bottom"/>
            <w:gridSpan w:val="5"/>
          </w:tcPr>
          <w:p>
            <w:pPr>
              <w:jc w:val="right"/>
              <w:ind w:right="741"/>
              <w:spacing w:after="0"/>
              <w:rPr>
                <w:sz w:val="20"/>
                <w:szCs w:val="20"/>
                <w:color w:val="auto"/>
              </w:rPr>
            </w:pPr>
            <w:r>
              <w:rPr>
                <w:rFonts w:ascii="Arial" w:cs="Arial" w:eastAsia="Arial" w:hAnsi="Arial"/>
                <w:sz w:val="14"/>
                <w:szCs w:val="14"/>
                <w:b w:val="1"/>
                <w:bCs w:val="1"/>
                <w:color w:val="auto"/>
              </w:rPr>
              <w:t>Year ended</w:t>
            </w:r>
          </w:p>
        </w:tc>
        <w:tc>
          <w:tcPr>
            <w:tcW w:w="220" w:type="dxa"/>
            <w:vAlign w:val="bottom"/>
          </w:tcPr>
          <w:p>
            <w:pPr>
              <w:spacing w:after="0"/>
              <w:rPr>
                <w:sz w:val="14"/>
                <w:szCs w:val="14"/>
                <w:color w:val="auto"/>
              </w:rPr>
            </w:pPr>
          </w:p>
        </w:tc>
        <w:tc>
          <w:tcPr>
            <w:tcW w:w="1700" w:type="dxa"/>
            <w:vAlign w:val="bottom"/>
            <w:gridSpan w:val="5"/>
          </w:tcPr>
          <w:p>
            <w:pPr>
              <w:jc w:val="right"/>
              <w:ind w:right="241"/>
              <w:spacing w:after="0"/>
              <w:rPr>
                <w:sz w:val="20"/>
                <w:szCs w:val="20"/>
                <w:color w:val="auto"/>
              </w:rPr>
            </w:pPr>
            <w:r>
              <w:rPr>
                <w:rFonts w:ascii="Arial" w:cs="Arial" w:eastAsia="Arial" w:hAnsi="Arial"/>
                <w:sz w:val="14"/>
                <w:szCs w:val="14"/>
                <w:b w:val="1"/>
                <w:bCs w:val="1"/>
                <w:color w:val="auto"/>
              </w:rPr>
              <w:t>Nine months ended</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64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920" w:type="dxa"/>
            <w:vAlign w:val="bottom"/>
            <w:gridSpan w:val="5"/>
          </w:tcPr>
          <w:p>
            <w:pPr>
              <w:jc w:val="right"/>
              <w:ind w:right="661"/>
              <w:spacing w:after="0"/>
              <w:rPr>
                <w:sz w:val="20"/>
                <w:szCs w:val="20"/>
                <w:color w:val="auto"/>
              </w:rPr>
            </w:pPr>
            <w:r>
              <w:rPr>
                <w:rFonts w:ascii="Arial" w:cs="Arial" w:eastAsia="Arial" w:hAnsi="Arial"/>
                <w:sz w:val="14"/>
                <w:szCs w:val="14"/>
                <w:b w:val="1"/>
                <w:bCs w:val="1"/>
                <w:color w:val="auto"/>
              </w:rPr>
              <w:t>December 31,</w:t>
            </w:r>
          </w:p>
        </w:tc>
        <w:tc>
          <w:tcPr>
            <w:tcW w:w="220" w:type="dxa"/>
            <w:vAlign w:val="bottom"/>
          </w:tcPr>
          <w:p>
            <w:pPr>
              <w:spacing w:after="0"/>
              <w:rPr>
                <w:sz w:val="14"/>
                <w:szCs w:val="14"/>
                <w:color w:val="auto"/>
              </w:rPr>
            </w:pPr>
          </w:p>
        </w:tc>
        <w:tc>
          <w:tcPr>
            <w:tcW w:w="1700" w:type="dxa"/>
            <w:vAlign w:val="bottom"/>
            <w:gridSpan w:val="5"/>
          </w:tcPr>
          <w:p>
            <w:pPr>
              <w:jc w:val="right"/>
              <w:ind w:right="401"/>
              <w:spacing w:after="0"/>
              <w:rPr>
                <w:sz w:val="20"/>
                <w:szCs w:val="20"/>
                <w:color w:val="auto"/>
              </w:rPr>
            </w:pPr>
            <w:r>
              <w:rPr>
                <w:rFonts w:ascii="Arial" w:cs="Arial" w:eastAsia="Arial" w:hAnsi="Arial"/>
                <w:sz w:val="14"/>
                <w:szCs w:val="14"/>
                <w:b w:val="1"/>
                <w:bCs w:val="1"/>
                <w:color w:val="auto"/>
              </w:rPr>
              <w:t>September 30,</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4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60" w:type="dxa"/>
            <w:vAlign w:val="bottom"/>
            <w:tcBorders>
              <w:top w:val="single" w:sz="8" w:color="auto"/>
              <w:bottom w:val="single" w:sz="8" w:color="auto"/>
            </w:tcBorders>
          </w:tcPr>
          <w:p>
            <w:pPr>
              <w:jc w:val="right"/>
              <w:ind w:right="77"/>
              <w:spacing w:after="0" w:line="142" w:lineRule="exact"/>
              <w:rPr>
                <w:sz w:val="20"/>
                <w:szCs w:val="20"/>
                <w:color w:val="auto"/>
              </w:rPr>
            </w:pPr>
            <w:r>
              <w:rPr>
                <w:rFonts w:ascii="Arial" w:cs="Arial" w:eastAsia="Arial" w:hAnsi="Arial"/>
                <w:sz w:val="14"/>
                <w:szCs w:val="14"/>
                <w:b w:val="1"/>
                <w:bCs w:val="1"/>
                <w:color w:val="auto"/>
              </w:rPr>
              <w:t>2015</w:t>
            </w:r>
          </w:p>
        </w:tc>
        <w:tc>
          <w:tcPr>
            <w:tcW w:w="280" w:type="dxa"/>
            <w:vAlign w:val="bottom"/>
            <w:tcBorders>
              <w:top w:val="single" w:sz="8" w:color="auto"/>
              <w:bottom w:val="single" w:sz="8" w:color="auto"/>
            </w:tcBorders>
          </w:tcPr>
          <w:p>
            <w:pPr>
              <w:spacing w:after="0"/>
              <w:rPr>
                <w:sz w:val="12"/>
                <w:szCs w:val="12"/>
                <w:color w:val="auto"/>
              </w:rPr>
            </w:pPr>
          </w:p>
        </w:tc>
        <w:tc>
          <w:tcPr>
            <w:tcW w:w="800" w:type="dxa"/>
            <w:vAlign w:val="bottom"/>
            <w:tcBorders>
              <w:top w:val="single" w:sz="8" w:color="auto"/>
              <w:bottom w:val="single" w:sz="8" w:color="auto"/>
            </w:tcBorders>
            <w:gridSpan w:val="2"/>
          </w:tcPr>
          <w:p>
            <w:pPr>
              <w:jc w:val="right"/>
              <w:ind w:right="74"/>
              <w:spacing w:after="0" w:line="142" w:lineRule="exact"/>
              <w:rPr>
                <w:sz w:val="20"/>
                <w:szCs w:val="20"/>
                <w:color w:val="auto"/>
              </w:rPr>
            </w:pPr>
            <w:r>
              <w:rPr>
                <w:rFonts w:ascii="Arial" w:cs="Arial" w:eastAsia="Arial" w:hAnsi="Arial"/>
                <w:sz w:val="14"/>
                <w:szCs w:val="14"/>
                <w:b w:val="1"/>
                <w:bCs w:val="1"/>
                <w:color w:val="auto"/>
              </w:rPr>
              <w:t>2016</w:t>
            </w:r>
          </w:p>
        </w:tc>
        <w:tc>
          <w:tcPr>
            <w:tcW w:w="280" w:type="dxa"/>
            <w:vAlign w:val="bottom"/>
            <w:tcBorders>
              <w:bottom w:val="single" w:sz="8" w:color="auto"/>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580" w:type="dxa"/>
            <w:vAlign w:val="bottom"/>
            <w:tcBorders>
              <w:top w:val="single" w:sz="8" w:color="auto"/>
              <w:bottom w:val="single" w:sz="8" w:color="auto"/>
            </w:tcBorders>
          </w:tcPr>
          <w:p>
            <w:pPr>
              <w:jc w:val="right"/>
              <w:ind w:right="78"/>
              <w:spacing w:after="0" w:line="142" w:lineRule="exact"/>
              <w:rPr>
                <w:sz w:val="20"/>
                <w:szCs w:val="20"/>
                <w:color w:val="auto"/>
              </w:rPr>
            </w:pPr>
            <w:r>
              <w:rPr>
                <w:rFonts w:ascii="Arial" w:cs="Arial" w:eastAsia="Arial" w:hAnsi="Arial"/>
                <w:sz w:val="14"/>
                <w:szCs w:val="14"/>
                <w:b w:val="1"/>
                <w:bCs w:val="1"/>
                <w:color w:val="auto"/>
              </w:rPr>
              <w:t>2016</w:t>
            </w:r>
          </w:p>
        </w:tc>
        <w:tc>
          <w:tcPr>
            <w:tcW w:w="280" w:type="dxa"/>
            <w:vAlign w:val="bottom"/>
            <w:tcBorders>
              <w:top w:val="single" w:sz="8" w:color="auto"/>
              <w:bottom w:val="single" w:sz="8" w:color="auto"/>
            </w:tcBorders>
          </w:tcPr>
          <w:p>
            <w:pPr>
              <w:spacing w:after="0"/>
              <w:rPr>
                <w:sz w:val="12"/>
                <w:szCs w:val="12"/>
                <w:color w:val="auto"/>
              </w:rPr>
            </w:pPr>
          </w:p>
        </w:tc>
        <w:tc>
          <w:tcPr>
            <w:tcW w:w="720" w:type="dxa"/>
            <w:vAlign w:val="bottom"/>
            <w:tcBorders>
              <w:top w:val="single" w:sz="8" w:color="auto"/>
              <w:bottom w:val="single" w:sz="8" w:color="auto"/>
            </w:tcBorders>
            <w:gridSpan w:val="2"/>
          </w:tcPr>
          <w:p>
            <w:pPr>
              <w:jc w:val="right"/>
              <w:ind w:right="10"/>
              <w:spacing w:after="0" w:line="142" w:lineRule="exact"/>
              <w:rPr>
                <w:sz w:val="20"/>
                <w:szCs w:val="20"/>
                <w:color w:val="auto"/>
              </w:rPr>
            </w:pPr>
            <w:r>
              <w:rPr>
                <w:rFonts w:ascii="Arial" w:cs="Arial" w:eastAsia="Arial" w:hAnsi="Arial"/>
                <w:sz w:val="14"/>
                <w:szCs w:val="14"/>
                <w:b w:val="1"/>
                <w:bCs w:val="1"/>
                <w:color w:val="auto"/>
              </w:rPr>
              <w:t>2017</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4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940" w:type="dxa"/>
            <w:vAlign w:val="bottom"/>
            <w:gridSpan w:val="5"/>
          </w:tcPr>
          <w:p>
            <w:pPr>
              <w:jc w:val="right"/>
              <w:ind w:right="761"/>
              <w:spacing w:after="0" w:line="142" w:lineRule="exact"/>
              <w:rPr>
                <w:sz w:val="20"/>
                <w:szCs w:val="20"/>
                <w:color w:val="auto"/>
              </w:rPr>
            </w:pPr>
            <w:r>
              <w:rPr>
                <w:rFonts w:ascii="Arial" w:cs="Arial" w:eastAsia="Arial" w:hAnsi="Arial"/>
                <w:sz w:val="14"/>
                <w:szCs w:val="14"/>
                <w:i w:val="1"/>
                <w:iCs w:val="1"/>
                <w:color w:val="auto"/>
              </w:rPr>
              <w:t>(In millions)</w:t>
            </w:r>
          </w:p>
        </w:tc>
        <w:tc>
          <w:tcPr>
            <w:tcW w:w="2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60" w:type="dxa"/>
            <w:vAlign w:val="bottom"/>
            <w:shd w:val="clear" w:color="auto" w:fill="CCEEFF"/>
          </w:tcPr>
          <w:p>
            <w:pPr>
              <w:spacing w:after="0"/>
              <w:rPr>
                <w:sz w:val="20"/>
                <w:szCs w:val="20"/>
                <w:color w:val="auto"/>
              </w:rPr>
            </w:pPr>
            <w:r>
              <w:rPr>
                <w:rFonts w:ascii="Arial" w:cs="Arial" w:eastAsia="Arial" w:hAnsi="Arial"/>
                <w:sz w:val="18"/>
                <w:szCs w:val="18"/>
                <w:color w:val="auto"/>
              </w:rPr>
              <w:t>Revenue</w:t>
            </w: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9"/>
              </w:rPr>
              <w:t>$ 603.8</w:t>
            </w:r>
          </w:p>
        </w:tc>
        <w:tc>
          <w:tcPr>
            <w:tcW w:w="2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$ 844.8</w:t>
            </w:r>
          </w:p>
        </w:tc>
        <w:tc>
          <w:tcPr>
            <w:tcW w:w="2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$ 606.8</w:t>
            </w:r>
          </w:p>
        </w:tc>
        <w:tc>
          <w:tcPr>
            <w:tcW w:w="2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$801.3</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460" w:type="dxa"/>
            <w:vAlign w:val="bottom"/>
          </w:tcPr>
          <w:p>
            <w:pPr>
              <w:spacing w:after="0"/>
              <w:rPr>
                <w:sz w:val="20"/>
                <w:szCs w:val="20"/>
                <w:color w:val="auto"/>
              </w:rPr>
            </w:pPr>
            <w:r>
              <w:rPr>
                <w:rFonts w:ascii="Arial" w:cs="Arial" w:eastAsia="Arial" w:hAnsi="Arial"/>
                <w:sz w:val="18"/>
                <w:szCs w:val="18"/>
                <w:color w:val="auto"/>
              </w:rPr>
              <w:t>Cost of revenue</w:t>
            </w:r>
            <w:r>
              <w:rPr>
                <w:rFonts w:ascii="Arial" w:cs="Arial" w:eastAsia="Arial" w:hAnsi="Arial"/>
                <w:sz w:val="15"/>
                <w:szCs w:val="15"/>
                <w:color w:val="auto"/>
              </w:rPr>
              <w:t>(1)</w:t>
            </w:r>
          </w:p>
        </w:tc>
        <w:tc>
          <w:tcPr>
            <w:tcW w:w="20" w:type="dxa"/>
            <w:vAlign w:val="bottom"/>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407.4</w:t>
            </w: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390.6</w:t>
            </w: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301.3</w:t>
            </w: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277.2</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60" w:type="dxa"/>
            <w:vAlign w:val="bottom"/>
            <w:shd w:val="clear" w:color="auto" w:fill="CCEEFF"/>
          </w:tcPr>
          <w:p>
            <w:pPr>
              <w:spacing w:after="0"/>
              <w:rPr>
                <w:sz w:val="20"/>
                <w:szCs w:val="20"/>
                <w:color w:val="auto"/>
              </w:rPr>
            </w:pPr>
            <w:r>
              <w:rPr>
                <w:rFonts w:ascii="Arial" w:cs="Arial" w:eastAsia="Arial" w:hAnsi="Arial"/>
                <w:sz w:val="18"/>
                <w:szCs w:val="18"/>
                <w:color w:val="auto"/>
              </w:rPr>
              <w:t>Gross profit</w:t>
            </w: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196.4</w:t>
            </w:r>
          </w:p>
        </w:tc>
        <w:tc>
          <w:tcPr>
            <w:tcW w:w="2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454.2</w:t>
            </w:r>
          </w:p>
        </w:tc>
        <w:tc>
          <w:tcPr>
            <w:tcW w:w="2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305.5</w:t>
            </w:r>
          </w:p>
        </w:tc>
        <w:tc>
          <w:tcPr>
            <w:tcW w:w="2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524.1</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60" w:type="dxa"/>
            <w:vAlign w:val="bottom"/>
          </w:tcPr>
          <w:p>
            <w:pPr>
              <w:spacing w:after="0"/>
              <w:rPr>
                <w:sz w:val="20"/>
                <w:szCs w:val="20"/>
                <w:color w:val="auto"/>
              </w:rPr>
            </w:pPr>
            <w:r>
              <w:rPr>
                <w:rFonts w:ascii="Arial" w:cs="Arial" w:eastAsia="Arial" w:hAnsi="Arial"/>
                <w:sz w:val="18"/>
                <w:szCs w:val="18"/>
                <w:color w:val="auto"/>
              </w:rPr>
              <w:t>Operating expenses:</w:t>
            </w:r>
            <w:r>
              <w:rPr>
                <w:rFonts w:ascii="Arial" w:cs="Arial" w:eastAsia="Arial" w:hAnsi="Arial"/>
                <w:sz w:val="15"/>
                <w:szCs w:val="15"/>
                <w:color w:val="auto"/>
              </w:rPr>
              <w:t>(1)</w:t>
            </w:r>
          </w:p>
        </w:tc>
        <w:tc>
          <w:tcPr>
            <w:tcW w:w="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Research and development</w:t>
            </w: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201.6</w:t>
            </w:r>
          </w:p>
        </w:tc>
        <w:tc>
          <w:tcPr>
            <w:tcW w:w="2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289.7</w:t>
            </w:r>
          </w:p>
        </w:tc>
        <w:tc>
          <w:tcPr>
            <w:tcW w:w="2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215.6</w:t>
            </w:r>
          </w:p>
        </w:tc>
        <w:tc>
          <w:tcPr>
            <w:tcW w:w="2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276.3</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60" w:type="dxa"/>
            <w:vAlign w:val="bottom"/>
          </w:tcPr>
          <w:p>
            <w:pPr>
              <w:ind w:left="340"/>
              <w:spacing w:after="0"/>
              <w:rPr>
                <w:sz w:val="20"/>
                <w:szCs w:val="20"/>
                <w:color w:val="auto"/>
              </w:rPr>
            </w:pPr>
            <w:r>
              <w:rPr>
                <w:rFonts w:ascii="Arial" w:cs="Arial" w:eastAsia="Arial" w:hAnsi="Arial"/>
                <w:sz w:val="18"/>
                <w:szCs w:val="18"/>
                <w:color w:val="auto"/>
              </w:rPr>
              <w:t>Sales and marketing</w:t>
            </w:r>
          </w:p>
        </w:tc>
        <w:tc>
          <w:tcPr>
            <w:tcW w:w="580" w:type="dxa"/>
            <w:vAlign w:val="bottom"/>
            <w:gridSpan w:val="2"/>
          </w:tcPr>
          <w:p>
            <w:pPr>
              <w:jc w:val="right"/>
              <w:spacing w:after="0"/>
              <w:rPr>
                <w:sz w:val="20"/>
                <w:szCs w:val="20"/>
                <w:color w:val="auto"/>
              </w:rPr>
            </w:pPr>
            <w:r>
              <w:rPr>
                <w:rFonts w:ascii="Arial" w:cs="Arial" w:eastAsia="Arial" w:hAnsi="Arial"/>
                <w:sz w:val="18"/>
                <w:szCs w:val="18"/>
                <w:color w:val="auto"/>
              </w:rPr>
              <w:t>193.1</w:t>
            </w:r>
          </w:p>
        </w:tc>
        <w:tc>
          <w:tcPr>
            <w:tcW w:w="280" w:type="dxa"/>
            <w:vAlign w:val="bottom"/>
          </w:tcPr>
          <w:p>
            <w:pPr>
              <w:spacing w:after="0"/>
              <w:rPr>
                <w:sz w:val="18"/>
                <w:szCs w:val="18"/>
                <w:color w:val="auto"/>
              </w:rPr>
            </w:pP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250.6</w:t>
            </w:r>
          </w:p>
        </w:tc>
        <w:tc>
          <w:tcPr>
            <w:tcW w:w="280" w:type="dxa"/>
            <w:vAlign w:val="bottom"/>
          </w:tcPr>
          <w:p>
            <w:pPr>
              <w:spacing w:after="0"/>
              <w:rPr>
                <w:sz w:val="18"/>
                <w:szCs w:val="18"/>
                <w:color w:val="auto"/>
              </w:rPr>
            </w:pP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186.7</w:t>
            </w:r>
          </w:p>
        </w:tc>
        <w:tc>
          <w:tcPr>
            <w:tcW w:w="280" w:type="dxa"/>
            <w:vAlign w:val="bottom"/>
          </w:tcPr>
          <w:p>
            <w:pPr>
              <w:spacing w:after="0"/>
              <w:rPr>
                <w:sz w:val="18"/>
                <w:szCs w:val="18"/>
                <w:color w:val="auto"/>
              </w:rPr>
            </w:pP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211.1</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General and administrative</w:t>
            </w: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107.9</w:t>
            </w:r>
          </w:p>
        </w:tc>
        <w:tc>
          <w:tcPr>
            <w:tcW w:w="2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107.4</w:t>
            </w:r>
          </w:p>
        </w:tc>
        <w:tc>
          <w:tcPr>
            <w:tcW w:w="2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76.5</w:t>
            </w:r>
          </w:p>
        </w:tc>
        <w:tc>
          <w:tcPr>
            <w:tcW w:w="2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113.1</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480" w:type="dxa"/>
            <w:vAlign w:val="bottom"/>
            <w:gridSpan w:val="2"/>
          </w:tcPr>
          <w:p>
            <w:pPr>
              <w:spacing w:after="0"/>
              <w:rPr>
                <w:sz w:val="20"/>
                <w:szCs w:val="20"/>
                <w:color w:val="auto"/>
              </w:rPr>
            </w:pPr>
            <w:r>
              <w:rPr>
                <w:rFonts w:ascii="Arial" w:cs="Arial" w:eastAsia="Arial" w:hAnsi="Arial"/>
                <w:sz w:val="18"/>
                <w:szCs w:val="18"/>
                <w:color w:val="auto"/>
              </w:rPr>
              <w:t>Total operating expenses</w:t>
            </w:r>
          </w:p>
        </w:tc>
        <w:tc>
          <w:tcPr>
            <w:tcW w:w="20" w:type="dxa"/>
            <w:vAlign w:val="bottom"/>
          </w:tcPr>
          <w:p>
            <w:pPr>
              <w:spacing w:after="0"/>
              <w:rPr>
                <w:sz w:val="20"/>
                <w:szCs w:val="20"/>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502.6</w:t>
            </w:r>
          </w:p>
        </w:tc>
        <w:tc>
          <w:tcPr>
            <w:tcW w:w="2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647.7</w:t>
            </w:r>
          </w:p>
        </w:tc>
        <w:tc>
          <w:tcPr>
            <w:tcW w:w="2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478.8</w:t>
            </w:r>
          </w:p>
        </w:tc>
        <w:tc>
          <w:tcPr>
            <w:tcW w:w="2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600.5</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60" w:type="dxa"/>
            <w:vAlign w:val="bottom"/>
            <w:shd w:val="clear" w:color="auto" w:fill="CCEEFF"/>
          </w:tcPr>
          <w:p>
            <w:pPr>
              <w:spacing w:after="0"/>
              <w:rPr>
                <w:sz w:val="20"/>
                <w:szCs w:val="20"/>
                <w:color w:val="auto"/>
              </w:rPr>
            </w:pPr>
            <w:r>
              <w:rPr>
                <w:rFonts w:ascii="Arial" w:cs="Arial" w:eastAsia="Arial" w:hAnsi="Arial"/>
                <w:sz w:val="18"/>
                <w:szCs w:val="18"/>
                <w:color w:val="auto"/>
              </w:rPr>
              <w:t>Loss from operations</w:t>
            </w:r>
          </w:p>
        </w:tc>
        <w:tc>
          <w:tcPr>
            <w:tcW w:w="860" w:type="dxa"/>
            <w:vAlign w:val="bottom"/>
            <w:gridSpan w:val="3"/>
            <w:shd w:val="clear" w:color="auto" w:fill="CCEEFF"/>
          </w:tcPr>
          <w:p>
            <w:pPr>
              <w:jc w:val="right"/>
              <w:ind w:right="201"/>
              <w:spacing w:after="0"/>
              <w:rPr>
                <w:sz w:val="20"/>
                <w:szCs w:val="20"/>
                <w:color w:val="auto"/>
              </w:rPr>
            </w:pPr>
            <w:r>
              <w:rPr>
                <w:rFonts w:ascii="Arial" w:cs="Arial" w:eastAsia="Arial" w:hAnsi="Arial"/>
                <w:sz w:val="18"/>
                <w:szCs w:val="18"/>
                <w:color w:val="auto"/>
              </w:rPr>
              <w:t>(306.2)</w:t>
            </w:r>
          </w:p>
        </w:tc>
        <w:tc>
          <w:tcPr>
            <w:tcW w:w="1080" w:type="dxa"/>
            <w:vAlign w:val="bottom"/>
            <w:gridSpan w:val="3"/>
            <w:shd w:val="clear" w:color="auto" w:fill="CCEEFF"/>
          </w:tcPr>
          <w:p>
            <w:pPr>
              <w:jc w:val="right"/>
              <w:ind w:right="201"/>
              <w:spacing w:after="0"/>
              <w:rPr>
                <w:sz w:val="20"/>
                <w:szCs w:val="20"/>
                <w:color w:val="auto"/>
              </w:rPr>
            </w:pPr>
            <w:r>
              <w:rPr>
                <w:rFonts w:ascii="Arial" w:cs="Arial" w:eastAsia="Arial" w:hAnsi="Arial"/>
                <w:sz w:val="18"/>
                <w:szCs w:val="18"/>
                <w:color w:val="auto"/>
              </w:rPr>
              <w:t>(193.5)</w:t>
            </w:r>
          </w:p>
        </w:tc>
        <w:tc>
          <w:tcPr>
            <w:tcW w:w="1080" w:type="dxa"/>
            <w:vAlign w:val="bottom"/>
            <w:gridSpan w:val="3"/>
            <w:shd w:val="clear" w:color="auto" w:fill="CCEEFF"/>
          </w:tcPr>
          <w:p>
            <w:pPr>
              <w:jc w:val="right"/>
              <w:ind w:right="201"/>
              <w:spacing w:after="0"/>
              <w:rPr>
                <w:sz w:val="20"/>
                <w:szCs w:val="20"/>
                <w:color w:val="auto"/>
              </w:rPr>
            </w:pPr>
            <w:r>
              <w:rPr>
                <w:rFonts w:ascii="Arial" w:cs="Arial" w:eastAsia="Arial" w:hAnsi="Arial"/>
                <w:sz w:val="18"/>
                <w:szCs w:val="18"/>
                <w:color w:val="auto"/>
              </w:rPr>
              <w:t>(173.3)</w:t>
            </w:r>
          </w:p>
        </w:tc>
        <w:tc>
          <w:tcPr>
            <w:tcW w:w="8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(76.4)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60" w:type="dxa"/>
            <w:vAlign w:val="bottom"/>
          </w:tcPr>
          <w:p>
            <w:pPr>
              <w:spacing w:after="0"/>
              <w:rPr>
                <w:sz w:val="20"/>
                <w:szCs w:val="20"/>
                <w:color w:val="auto"/>
              </w:rPr>
            </w:pPr>
            <w:r>
              <w:rPr>
                <w:rFonts w:ascii="Arial" w:cs="Arial" w:eastAsia="Arial" w:hAnsi="Arial"/>
                <w:sz w:val="18"/>
                <w:szCs w:val="18"/>
                <w:color w:val="auto"/>
              </w:rPr>
              <w:t>Interest expense, net</w:t>
            </w:r>
          </w:p>
        </w:tc>
        <w:tc>
          <w:tcPr>
            <w:tcW w:w="860" w:type="dxa"/>
            <w:vAlign w:val="bottom"/>
            <w:gridSpan w:val="3"/>
          </w:tcPr>
          <w:p>
            <w:pPr>
              <w:jc w:val="right"/>
              <w:ind w:right="201"/>
              <w:spacing w:after="0"/>
              <w:rPr>
                <w:sz w:val="20"/>
                <w:szCs w:val="20"/>
                <w:color w:val="auto"/>
              </w:rPr>
            </w:pPr>
            <w:r>
              <w:rPr>
                <w:rFonts w:ascii="Arial" w:cs="Arial" w:eastAsia="Arial" w:hAnsi="Arial"/>
                <w:sz w:val="18"/>
                <w:szCs w:val="18"/>
                <w:color w:val="auto"/>
              </w:rPr>
              <w:t>(15.2)</w:t>
            </w:r>
          </w:p>
        </w:tc>
        <w:tc>
          <w:tcPr>
            <w:tcW w:w="1080" w:type="dxa"/>
            <w:vAlign w:val="bottom"/>
            <w:gridSpan w:val="3"/>
          </w:tcPr>
          <w:p>
            <w:pPr>
              <w:jc w:val="right"/>
              <w:ind w:right="201"/>
              <w:spacing w:after="0"/>
              <w:rPr>
                <w:sz w:val="20"/>
                <w:szCs w:val="20"/>
                <w:color w:val="auto"/>
              </w:rPr>
            </w:pPr>
            <w:r>
              <w:rPr>
                <w:rFonts w:ascii="Arial" w:cs="Arial" w:eastAsia="Arial" w:hAnsi="Arial"/>
                <w:sz w:val="18"/>
                <w:szCs w:val="18"/>
                <w:color w:val="auto"/>
              </w:rPr>
              <w:t>(16.4)</w:t>
            </w:r>
          </w:p>
        </w:tc>
        <w:tc>
          <w:tcPr>
            <w:tcW w:w="1080" w:type="dxa"/>
            <w:vAlign w:val="bottom"/>
            <w:gridSpan w:val="3"/>
          </w:tcPr>
          <w:p>
            <w:pPr>
              <w:jc w:val="right"/>
              <w:ind w:right="201"/>
              <w:spacing w:after="0"/>
              <w:rPr>
                <w:sz w:val="20"/>
                <w:szCs w:val="20"/>
                <w:color w:val="auto"/>
              </w:rPr>
            </w:pPr>
            <w:r>
              <w:rPr>
                <w:rFonts w:ascii="Arial" w:cs="Arial" w:eastAsia="Arial" w:hAnsi="Arial"/>
                <w:sz w:val="18"/>
                <w:szCs w:val="18"/>
                <w:color w:val="auto"/>
              </w:rPr>
              <w:t>(12.7)</w:t>
            </w:r>
          </w:p>
        </w:tc>
        <w:tc>
          <w:tcPr>
            <w:tcW w:w="840" w:type="dxa"/>
            <w:vAlign w:val="bottom"/>
            <w:gridSpan w:val="3"/>
          </w:tcPr>
          <w:p>
            <w:pPr>
              <w:jc w:val="right"/>
              <w:spacing w:after="0"/>
              <w:rPr>
                <w:sz w:val="20"/>
                <w:szCs w:val="20"/>
                <w:color w:val="auto"/>
              </w:rPr>
            </w:pPr>
            <w:r>
              <w:rPr>
                <w:rFonts w:ascii="Arial" w:cs="Arial" w:eastAsia="Arial" w:hAnsi="Arial"/>
                <w:sz w:val="18"/>
                <w:szCs w:val="18"/>
                <w:color w:val="auto"/>
              </w:rPr>
              <w:t>(9.4)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60" w:type="dxa"/>
            <w:vAlign w:val="bottom"/>
            <w:shd w:val="clear" w:color="auto" w:fill="CCEEFF"/>
          </w:tcPr>
          <w:p>
            <w:pPr>
              <w:spacing w:after="0"/>
              <w:rPr>
                <w:sz w:val="20"/>
                <w:szCs w:val="20"/>
                <w:color w:val="auto"/>
              </w:rPr>
            </w:pPr>
            <w:r>
              <w:rPr>
                <w:rFonts w:ascii="Arial" w:cs="Arial" w:eastAsia="Arial" w:hAnsi="Arial"/>
                <w:sz w:val="18"/>
                <w:szCs w:val="18"/>
                <w:color w:val="auto"/>
              </w:rPr>
              <w:t>Other income (expense), net</w:t>
            </w:r>
          </w:p>
        </w:tc>
        <w:tc>
          <w:tcPr>
            <w:tcW w:w="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01"/>
              <w:spacing w:after="0"/>
              <w:rPr>
                <w:sz w:val="20"/>
                <w:szCs w:val="20"/>
                <w:color w:val="auto"/>
              </w:rPr>
            </w:pPr>
            <w:r>
              <w:rPr>
                <w:rFonts w:ascii="Arial" w:cs="Arial" w:eastAsia="Arial" w:hAnsi="Arial"/>
                <w:sz w:val="18"/>
                <w:szCs w:val="18"/>
                <w:color w:val="auto"/>
              </w:rPr>
              <w:t>(4.2)</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4.9</w:t>
            </w:r>
          </w:p>
        </w:tc>
        <w:tc>
          <w:tcPr>
            <w:tcW w:w="2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8.3</w:t>
            </w:r>
          </w:p>
        </w:tc>
        <w:tc>
          <w:tcPr>
            <w:tcW w:w="2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13.0</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480" w:type="dxa"/>
            <w:vAlign w:val="bottom"/>
            <w:gridSpan w:val="2"/>
            <w:vMerge w:val="restart"/>
          </w:tcPr>
          <w:p>
            <w:pPr>
              <w:spacing w:after="0"/>
              <w:rPr>
                <w:sz w:val="20"/>
                <w:szCs w:val="20"/>
                <w:color w:val="auto"/>
              </w:rPr>
            </w:pPr>
            <w:r>
              <w:rPr>
                <w:rFonts w:ascii="Arial" w:cs="Arial" w:eastAsia="Arial" w:hAnsi="Arial"/>
                <w:sz w:val="18"/>
                <w:szCs w:val="18"/>
                <w:color w:val="auto"/>
              </w:rPr>
              <w:t>Loss before income taxes</w:t>
            </w:r>
          </w:p>
        </w:tc>
        <w:tc>
          <w:tcPr>
            <w:tcW w:w="20" w:type="dxa"/>
            <w:vAlign w:val="bottom"/>
            <w:vMerge w:val="restart"/>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vMerge w:val="restart"/>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vMerge w:val="restart"/>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vMerge w:val="restart"/>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6480" w:type="dxa"/>
            <w:vAlign w:val="bottom"/>
            <w:gridSpan w:val="2"/>
            <w:vMerge w:val="continue"/>
          </w:tcPr>
          <w:p>
            <w:pPr>
              <w:spacing w:after="0"/>
              <w:rPr>
                <w:sz w:val="19"/>
                <w:szCs w:val="19"/>
                <w:color w:val="auto"/>
              </w:rPr>
            </w:pPr>
          </w:p>
        </w:tc>
        <w:tc>
          <w:tcPr>
            <w:tcW w:w="20" w:type="dxa"/>
            <w:vAlign w:val="bottom"/>
            <w:vMerge w:val="continue"/>
          </w:tcPr>
          <w:p>
            <w:pPr>
              <w:spacing w:after="0"/>
              <w:rPr>
                <w:sz w:val="19"/>
                <w:szCs w:val="19"/>
                <w:color w:val="auto"/>
              </w:rPr>
            </w:pPr>
          </w:p>
        </w:tc>
        <w:tc>
          <w:tcPr>
            <w:tcW w:w="840" w:type="dxa"/>
            <w:vAlign w:val="bottom"/>
            <w:gridSpan w:val="2"/>
          </w:tcPr>
          <w:p>
            <w:pPr>
              <w:jc w:val="right"/>
              <w:ind w:right="201"/>
              <w:spacing w:after="0"/>
              <w:rPr>
                <w:sz w:val="20"/>
                <w:szCs w:val="20"/>
                <w:color w:val="auto"/>
              </w:rPr>
            </w:pPr>
            <w:r>
              <w:rPr>
                <w:rFonts w:ascii="Arial" w:cs="Arial" w:eastAsia="Arial" w:hAnsi="Arial"/>
                <w:sz w:val="18"/>
                <w:szCs w:val="18"/>
                <w:color w:val="auto"/>
              </w:rPr>
              <w:t>(325.6)</w:t>
            </w:r>
          </w:p>
        </w:tc>
        <w:tc>
          <w:tcPr>
            <w:tcW w:w="220" w:type="dxa"/>
            <w:vAlign w:val="bottom"/>
            <w:vMerge w:val="continue"/>
          </w:tcPr>
          <w:p>
            <w:pPr>
              <w:spacing w:after="0"/>
              <w:rPr>
                <w:sz w:val="19"/>
                <w:szCs w:val="19"/>
                <w:color w:val="auto"/>
              </w:rPr>
            </w:pPr>
          </w:p>
        </w:tc>
        <w:tc>
          <w:tcPr>
            <w:tcW w:w="860" w:type="dxa"/>
            <w:vAlign w:val="bottom"/>
            <w:gridSpan w:val="2"/>
          </w:tcPr>
          <w:p>
            <w:pPr>
              <w:jc w:val="right"/>
              <w:ind w:right="201"/>
              <w:spacing w:after="0"/>
              <w:rPr>
                <w:sz w:val="20"/>
                <w:szCs w:val="20"/>
                <w:color w:val="auto"/>
              </w:rPr>
            </w:pPr>
            <w:r>
              <w:rPr>
                <w:rFonts w:ascii="Arial" w:cs="Arial" w:eastAsia="Arial" w:hAnsi="Arial"/>
                <w:sz w:val="18"/>
                <w:szCs w:val="18"/>
                <w:color w:val="auto"/>
              </w:rPr>
              <w:t>(205.0)</w:t>
            </w:r>
          </w:p>
        </w:tc>
        <w:tc>
          <w:tcPr>
            <w:tcW w:w="220" w:type="dxa"/>
            <w:vAlign w:val="bottom"/>
            <w:vMerge w:val="continue"/>
          </w:tcPr>
          <w:p>
            <w:pPr>
              <w:spacing w:after="0"/>
              <w:rPr>
                <w:sz w:val="19"/>
                <w:szCs w:val="19"/>
                <w:color w:val="auto"/>
              </w:rPr>
            </w:pPr>
          </w:p>
        </w:tc>
        <w:tc>
          <w:tcPr>
            <w:tcW w:w="860" w:type="dxa"/>
            <w:vAlign w:val="bottom"/>
            <w:gridSpan w:val="2"/>
          </w:tcPr>
          <w:p>
            <w:pPr>
              <w:jc w:val="right"/>
              <w:ind w:right="201"/>
              <w:spacing w:after="0"/>
              <w:rPr>
                <w:sz w:val="20"/>
                <w:szCs w:val="20"/>
                <w:color w:val="auto"/>
              </w:rPr>
            </w:pPr>
            <w:r>
              <w:rPr>
                <w:rFonts w:ascii="Arial" w:cs="Arial" w:eastAsia="Arial" w:hAnsi="Arial"/>
                <w:sz w:val="18"/>
                <w:szCs w:val="18"/>
                <w:color w:val="auto"/>
              </w:rPr>
              <w:t>(177.7)</w:t>
            </w:r>
          </w:p>
        </w:tc>
        <w:tc>
          <w:tcPr>
            <w:tcW w:w="220" w:type="dxa"/>
            <w:vAlign w:val="bottom"/>
            <w:vMerge w:val="continue"/>
          </w:tcPr>
          <w:p>
            <w:pPr>
              <w:spacing w:after="0"/>
              <w:rPr>
                <w:sz w:val="19"/>
                <w:szCs w:val="19"/>
                <w:color w:val="auto"/>
              </w:rPr>
            </w:pPr>
          </w:p>
        </w:tc>
        <w:tc>
          <w:tcPr>
            <w:tcW w:w="620" w:type="dxa"/>
            <w:vAlign w:val="bottom"/>
            <w:gridSpan w:val="2"/>
          </w:tcPr>
          <w:p>
            <w:pPr>
              <w:jc w:val="right"/>
              <w:spacing w:after="0"/>
              <w:rPr>
                <w:sz w:val="20"/>
                <w:szCs w:val="20"/>
                <w:color w:val="auto"/>
              </w:rPr>
            </w:pPr>
            <w:r>
              <w:rPr>
                <w:rFonts w:ascii="Arial" w:cs="Arial" w:eastAsia="Arial" w:hAnsi="Arial"/>
                <w:sz w:val="18"/>
                <w:szCs w:val="18"/>
                <w:color w:val="auto"/>
              </w:rPr>
              <w:t>(72.8)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60" w:type="dxa"/>
            <w:vAlign w:val="bottom"/>
            <w:shd w:val="clear" w:color="auto" w:fill="CCEEFF"/>
          </w:tcPr>
          <w:p>
            <w:pPr>
              <w:spacing w:after="0"/>
              <w:rPr>
                <w:sz w:val="20"/>
                <w:szCs w:val="20"/>
                <w:color w:val="auto"/>
              </w:rPr>
            </w:pPr>
            <w:r>
              <w:rPr>
                <w:rFonts w:ascii="Arial" w:cs="Arial" w:eastAsia="Arial" w:hAnsi="Arial"/>
                <w:sz w:val="18"/>
                <w:szCs w:val="18"/>
                <w:color w:val="auto"/>
              </w:rPr>
              <w:t>Provision for income taxes</w:t>
            </w:r>
          </w:p>
        </w:tc>
        <w:tc>
          <w:tcPr>
            <w:tcW w:w="860" w:type="dxa"/>
            <w:vAlign w:val="bottom"/>
            <w:gridSpan w:val="3"/>
            <w:shd w:val="clear" w:color="auto" w:fill="CCEEFF"/>
          </w:tcPr>
          <w:p>
            <w:pPr>
              <w:jc w:val="right"/>
              <w:ind w:right="201"/>
              <w:spacing w:after="0"/>
              <w:rPr>
                <w:sz w:val="20"/>
                <w:szCs w:val="20"/>
                <w:color w:val="auto"/>
              </w:rPr>
            </w:pPr>
            <w:r>
              <w:rPr>
                <w:rFonts w:ascii="Arial" w:cs="Arial" w:eastAsia="Arial" w:hAnsi="Arial"/>
                <w:sz w:val="18"/>
                <w:szCs w:val="18"/>
                <w:color w:val="auto"/>
              </w:rPr>
              <w:t>(0.3)</w:t>
            </w:r>
          </w:p>
        </w:tc>
        <w:tc>
          <w:tcPr>
            <w:tcW w:w="1080" w:type="dxa"/>
            <w:vAlign w:val="bottom"/>
            <w:gridSpan w:val="3"/>
            <w:shd w:val="clear" w:color="auto" w:fill="CCEEFF"/>
          </w:tcPr>
          <w:p>
            <w:pPr>
              <w:jc w:val="right"/>
              <w:ind w:right="201"/>
              <w:spacing w:after="0"/>
              <w:rPr>
                <w:sz w:val="20"/>
                <w:szCs w:val="20"/>
                <w:color w:val="auto"/>
              </w:rPr>
            </w:pPr>
            <w:r>
              <w:rPr>
                <w:rFonts w:ascii="Arial" w:cs="Arial" w:eastAsia="Arial" w:hAnsi="Arial"/>
                <w:sz w:val="18"/>
                <w:szCs w:val="18"/>
                <w:color w:val="auto"/>
              </w:rPr>
              <w:t>(5.2)</w:t>
            </w:r>
          </w:p>
        </w:tc>
        <w:tc>
          <w:tcPr>
            <w:tcW w:w="1080" w:type="dxa"/>
            <w:vAlign w:val="bottom"/>
            <w:gridSpan w:val="3"/>
            <w:shd w:val="clear" w:color="auto" w:fill="CCEEFF"/>
          </w:tcPr>
          <w:p>
            <w:pPr>
              <w:jc w:val="right"/>
              <w:ind w:right="201"/>
              <w:spacing w:after="0"/>
              <w:rPr>
                <w:sz w:val="20"/>
                <w:szCs w:val="20"/>
                <w:color w:val="auto"/>
              </w:rPr>
            </w:pPr>
            <w:r>
              <w:rPr>
                <w:rFonts w:ascii="Arial" w:cs="Arial" w:eastAsia="Arial" w:hAnsi="Arial"/>
                <w:sz w:val="18"/>
                <w:szCs w:val="18"/>
                <w:color w:val="auto"/>
              </w:rPr>
              <w:t>(3.4)</w:t>
            </w:r>
          </w:p>
        </w:tc>
        <w:tc>
          <w:tcPr>
            <w:tcW w:w="8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23"/>
        </w:trPr>
        <w:tc>
          <w:tcPr>
            <w:tcW w:w="6480" w:type="dxa"/>
            <w:vAlign w:val="bottom"/>
            <w:gridSpan w:val="2"/>
          </w:tcPr>
          <w:p>
            <w:pPr>
              <w:spacing w:after="0"/>
              <w:rPr>
                <w:sz w:val="20"/>
                <w:szCs w:val="20"/>
                <w:color w:val="auto"/>
              </w:rPr>
            </w:pPr>
            <w:r>
              <w:rPr>
                <w:rFonts w:ascii="Arial" w:cs="Arial" w:eastAsia="Arial" w:hAnsi="Arial"/>
                <w:sz w:val="18"/>
                <w:szCs w:val="18"/>
                <w:color w:val="auto"/>
              </w:rPr>
              <w:t>Net loss</w:t>
            </w:r>
          </w:p>
        </w:tc>
        <w:tc>
          <w:tcPr>
            <w:tcW w:w="20" w:type="dxa"/>
            <w:vAlign w:val="bottom"/>
            <w:tcBorders>
              <w:bottom w:val="single" w:sz="8" w:color="auto"/>
            </w:tcBorders>
          </w:tcPr>
          <w:p>
            <w:pPr>
              <w:spacing w:after="0"/>
              <w:rPr>
                <w:sz w:val="19"/>
                <w:szCs w:val="19"/>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85"/>
              </w:rPr>
              <w:t>$</w:t>
            </w:r>
            <w:r>
              <w:rPr>
                <w:rFonts w:ascii="Arial" w:cs="Arial" w:eastAsia="Arial" w:hAnsi="Arial"/>
                <w:sz w:val="18"/>
                <w:szCs w:val="18"/>
                <w:color w:val="auto"/>
                <w:w w:val="85"/>
              </w:rPr>
              <w:t>(325.9</w:t>
            </w:r>
          </w:p>
        </w:tc>
        <w:tc>
          <w:tcPr>
            <w:tcW w:w="280" w:type="dxa"/>
            <w:vAlign w:val="bottom"/>
          </w:tcPr>
          <w:p>
            <w:pPr>
              <w:jc w:val="right"/>
              <w:ind w:right="201"/>
              <w:spacing w:after="0"/>
              <w:rPr>
                <w:sz w:val="20"/>
                <w:szCs w:val="20"/>
                <w:color w:val="auto"/>
              </w:rPr>
            </w:pPr>
            <w:r>
              <w:rPr>
                <w:rFonts w:ascii="Arial" w:cs="Arial" w:eastAsia="Arial" w:hAnsi="Arial"/>
                <w:sz w:val="8"/>
                <w:szCs w:val="8"/>
                <w:color w:val="auto"/>
                <w:w w:val="73"/>
              </w:rPr>
              <w:t>)</w:t>
            </w:r>
          </w:p>
        </w:tc>
        <w:tc>
          <w:tcPr>
            <w:tcW w:w="220" w:type="dxa"/>
            <w:vAlign w:val="bottom"/>
          </w:tcPr>
          <w:p>
            <w:pPr>
              <w:spacing w:after="0"/>
              <w:rPr>
                <w:sz w:val="19"/>
                <w:szCs w:val="19"/>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88"/>
              </w:rPr>
              <w:t>$</w:t>
            </w:r>
            <w:r>
              <w:rPr>
                <w:rFonts w:ascii="Arial" w:cs="Arial" w:eastAsia="Arial" w:hAnsi="Arial"/>
                <w:sz w:val="18"/>
                <w:szCs w:val="18"/>
                <w:color w:val="auto"/>
                <w:w w:val="88"/>
              </w:rPr>
              <w:t>(210.2</w:t>
            </w:r>
          </w:p>
        </w:tc>
        <w:tc>
          <w:tcPr>
            <w:tcW w:w="280" w:type="dxa"/>
            <w:vAlign w:val="bottom"/>
          </w:tcPr>
          <w:p>
            <w:pPr>
              <w:jc w:val="right"/>
              <w:ind w:right="201"/>
              <w:spacing w:after="0"/>
              <w:rPr>
                <w:sz w:val="20"/>
                <w:szCs w:val="20"/>
                <w:color w:val="auto"/>
              </w:rPr>
            </w:pPr>
            <w:r>
              <w:rPr>
                <w:rFonts w:ascii="Arial" w:cs="Arial" w:eastAsia="Arial" w:hAnsi="Arial"/>
                <w:sz w:val="8"/>
                <w:szCs w:val="8"/>
                <w:color w:val="auto"/>
                <w:w w:val="73"/>
              </w:rPr>
              <w:t>)</w:t>
            </w:r>
          </w:p>
        </w:tc>
        <w:tc>
          <w:tcPr>
            <w:tcW w:w="220" w:type="dxa"/>
            <w:vAlign w:val="bottom"/>
          </w:tcPr>
          <w:p>
            <w:pPr>
              <w:spacing w:after="0"/>
              <w:rPr>
                <w:sz w:val="19"/>
                <w:szCs w:val="19"/>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88"/>
              </w:rPr>
              <w:t>$</w:t>
            </w:r>
            <w:r>
              <w:rPr>
                <w:rFonts w:ascii="Arial" w:cs="Arial" w:eastAsia="Arial" w:hAnsi="Arial"/>
                <w:sz w:val="18"/>
                <w:szCs w:val="18"/>
                <w:color w:val="auto"/>
                <w:w w:val="88"/>
              </w:rPr>
              <w:t>(181.1</w:t>
            </w:r>
          </w:p>
        </w:tc>
        <w:tc>
          <w:tcPr>
            <w:tcW w:w="280" w:type="dxa"/>
            <w:vAlign w:val="bottom"/>
          </w:tcPr>
          <w:p>
            <w:pPr>
              <w:jc w:val="right"/>
              <w:ind w:right="201"/>
              <w:spacing w:after="0"/>
              <w:rPr>
                <w:sz w:val="20"/>
                <w:szCs w:val="20"/>
                <w:color w:val="auto"/>
              </w:rPr>
            </w:pPr>
            <w:r>
              <w:rPr>
                <w:rFonts w:ascii="Arial" w:cs="Arial" w:eastAsia="Arial" w:hAnsi="Arial"/>
                <w:sz w:val="8"/>
                <w:szCs w:val="8"/>
                <w:color w:val="auto"/>
                <w:w w:val="73"/>
              </w:rPr>
              <w:t>)</w:t>
            </w:r>
          </w:p>
        </w:tc>
        <w:tc>
          <w:tcPr>
            <w:tcW w:w="220" w:type="dxa"/>
            <w:vAlign w:val="bottom"/>
          </w:tcPr>
          <w:p>
            <w:pPr>
              <w:spacing w:after="0"/>
              <w:rPr>
                <w:sz w:val="19"/>
                <w:szCs w:val="19"/>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5"/>
              </w:rPr>
              <w:t>$ (74.0</w:t>
            </w:r>
          </w:p>
        </w:tc>
        <w:tc>
          <w:tcPr>
            <w:tcW w:w="120" w:type="dxa"/>
            <w:vAlign w:val="bottom"/>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31" w:lineRule="exact"/>
        <w:rPr>
          <w:sz w:val="20"/>
          <w:szCs w:val="20"/>
          <w:color w:val="auto"/>
        </w:rPr>
      </w:pPr>
    </w:p>
    <w:p>
      <w:pPr>
        <w:ind w:left="340" w:hanging="332"/>
        <w:spacing w:after="0"/>
        <w:tabs>
          <w:tab w:leader="none" w:pos="340" w:val="left"/>
        </w:tabs>
        <w:numPr>
          <w:ilvl w:val="0"/>
          <w:numId w:val="43"/>
        </w:numPr>
        <w:rPr>
          <w:rFonts w:ascii="Arial" w:cs="Arial" w:eastAsia="Arial" w:hAnsi="Arial"/>
          <w:sz w:val="28"/>
          <w:szCs w:val="28"/>
          <w:color w:val="auto"/>
          <w:vertAlign w:val="superscript"/>
        </w:rPr>
      </w:pPr>
      <w:r>
        <w:rPr>
          <w:rFonts w:ascii="Arial" w:cs="Arial" w:eastAsia="Arial" w:hAnsi="Arial"/>
          <w:sz w:val="16"/>
          <w:szCs w:val="16"/>
          <w:color w:val="auto"/>
        </w:rPr>
        <w:t>Includes stock-based compensation expense as follows:</w:t>
      </w:r>
    </w:p>
    <w:p>
      <w:pPr>
        <w:spacing w:after="0" w:line="216" w:lineRule="exact"/>
        <w:rPr>
          <w:sz w:val="20"/>
          <w:szCs w:val="20"/>
          <w:color w:val="auto"/>
        </w:rPr>
      </w:pPr>
    </w:p>
    <w:tbl>
      <w:tblPr>
        <w:tblLayout w:type="fixed"/>
        <w:tblInd w:w="46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4640" w:type="dxa"/>
            <w:vAlign w:val="bottom"/>
          </w:tcPr>
          <w:p>
            <w:pPr>
              <w:spacing w:after="0"/>
              <w:rPr>
                <w:sz w:val="13"/>
                <w:szCs w:val="13"/>
                <w:color w:val="auto"/>
              </w:rPr>
            </w:pPr>
          </w:p>
        </w:tc>
        <w:tc>
          <w:tcPr>
            <w:tcW w:w="20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80" w:type="dxa"/>
            <w:vAlign w:val="bottom"/>
            <w:gridSpan w:val="3"/>
          </w:tcPr>
          <w:p>
            <w:pPr>
              <w:jc w:val="right"/>
              <w:ind w:right="40"/>
              <w:spacing w:after="0"/>
              <w:rPr>
                <w:sz w:val="20"/>
                <w:szCs w:val="20"/>
                <w:color w:val="auto"/>
              </w:rPr>
            </w:pPr>
            <w:r>
              <w:rPr>
                <w:rFonts w:ascii="Arial" w:cs="Arial" w:eastAsia="Arial" w:hAnsi="Arial"/>
                <w:sz w:val="13"/>
                <w:szCs w:val="13"/>
                <w:b w:val="1"/>
                <w:bCs w:val="1"/>
                <w:color w:val="auto"/>
              </w:rPr>
              <w:t>Year ended</w:t>
            </w:r>
          </w:p>
        </w:tc>
        <w:tc>
          <w:tcPr>
            <w:tcW w:w="3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560" w:type="dxa"/>
            <w:vAlign w:val="bottom"/>
            <w:gridSpan w:val="5"/>
          </w:tcPr>
          <w:p>
            <w:pPr>
              <w:ind w:left="140"/>
              <w:spacing w:after="0"/>
              <w:rPr>
                <w:sz w:val="20"/>
                <w:szCs w:val="20"/>
                <w:color w:val="auto"/>
              </w:rPr>
            </w:pPr>
            <w:r>
              <w:rPr>
                <w:rFonts w:ascii="Arial" w:cs="Arial" w:eastAsia="Arial" w:hAnsi="Arial"/>
                <w:sz w:val="13"/>
                <w:szCs w:val="13"/>
                <w:b w:val="1"/>
                <w:bCs w:val="1"/>
                <w:color w:val="auto"/>
              </w:rPr>
              <w:t>Nine months ended</w:t>
            </w:r>
          </w:p>
        </w:tc>
      </w:tr>
      <w:tr>
        <w:trPr>
          <w:trHeight w:val="153"/>
        </w:trPr>
        <w:tc>
          <w:tcPr>
            <w:tcW w:w="20" w:type="dxa"/>
            <w:vAlign w:val="bottom"/>
          </w:tcPr>
          <w:p>
            <w:pPr>
              <w:spacing w:after="0"/>
              <w:rPr>
                <w:sz w:val="13"/>
                <w:szCs w:val="13"/>
                <w:color w:val="auto"/>
              </w:rPr>
            </w:pPr>
          </w:p>
        </w:tc>
        <w:tc>
          <w:tcPr>
            <w:tcW w:w="4640" w:type="dxa"/>
            <w:vAlign w:val="bottom"/>
          </w:tcPr>
          <w:p>
            <w:pPr>
              <w:spacing w:after="0"/>
              <w:rPr>
                <w:sz w:val="13"/>
                <w:szCs w:val="13"/>
                <w:color w:val="auto"/>
              </w:rPr>
            </w:pPr>
          </w:p>
        </w:tc>
        <w:tc>
          <w:tcPr>
            <w:tcW w:w="202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360" w:type="dxa"/>
            <w:vAlign w:val="bottom"/>
            <w:tcBorders>
              <w:bottom w:val="single" w:sz="8" w:color="auto"/>
            </w:tcBorders>
            <w:gridSpan w:val="4"/>
          </w:tcPr>
          <w:p>
            <w:pPr>
              <w:jc w:val="right"/>
              <w:ind w:right="282"/>
              <w:spacing w:after="0"/>
              <w:rPr>
                <w:sz w:val="20"/>
                <w:szCs w:val="20"/>
                <w:color w:val="auto"/>
              </w:rPr>
            </w:pPr>
            <w:r>
              <w:rPr>
                <w:rFonts w:ascii="Arial" w:cs="Arial" w:eastAsia="Arial" w:hAnsi="Arial"/>
                <w:sz w:val="13"/>
                <w:szCs w:val="13"/>
                <w:b w:val="1"/>
                <w:bCs w:val="1"/>
                <w:color w:val="auto"/>
              </w:rPr>
              <w:t>December 31,</w:t>
            </w:r>
          </w:p>
        </w:tc>
        <w:tc>
          <w:tcPr>
            <w:tcW w:w="50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1040" w:type="dxa"/>
            <w:vAlign w:val="bottom"/>
            <w:tcBorders>
              <w:bottom w:val="single" w:sz="8" w:color="auto"/>
            </w:tcBorders>
            <w:gridSpan w:val="3"/>
          </w:tcPr>
          <w:p>
            <w:pPr>
              <w:jc w:val="right"/>
              <w:spacing w:after="0"/>
              <w:rPr>
                <w:sz w:val="20"/>
                <w:szCs w:val="20"/>
                <w:color w:val="auto"/>
              </w:rPr>
            </w:pPr>
            <w:r>
              <w:rPr>
                <w:rFonts w:ascii="Arial" w:cs="Arial" w:eastAsia="Arial" w:hAnsi="Arial"/>
                <w:sz w:val="13"/>
                <w:szCs w:val="13"/>
                <w:b w:val="1"/>
                <w:bCs w:val="1"/>
                <w:color w:val="auto"/>
              </w:rPr>
              <w:t>September 30,</w:t>
            </w:r>
          </w:p>
        </w:tc>
        <w:tc>
          <w:tcPr>
            <w:tcW w:w="440" w:type="dxa"/>
            <w:vAlign w:val="bottom"/>
            <w:tcBorders>
              <w:bottom w:val="single" w:sz="8" w:color="auto"/>
            </w:tcBorders>
          </w:tcPr>
          <w:p>
            <w:pPr>
              <w:spacing w:after="0"/>
              <w:rPr>
                <w:sz w:val="13"/>
                <w:szCs w:val="13"/>
                <w:color w:val="auto"/>
              </w:rPr>
            </w:pPr>
          </w:p>
        </w:tc>
        <w:tc>
          <w:tcPr>
            <w:tcW w:w="80" w:type="dxa"/>
            <w:vAlign w:val="bottom"/>
          </w:tcPr>
          <w:p>
            <w:pPr>
              <w:spacing w:after="0"/>
              <w:rPr>
                <w:sz w:val="13"/>
                <w:szCs w:val="13"/>
                <w:color w:val="auto"/>
              </w:rPr>
            </w:pPr>
          </w:p>
        </w:tc>
      </w:tr>
      <w:tr>
        <w:trPr>
          <w:trHeight w:val="128"/>
        </w:trPr>
        <w:tc>
          <w:tcPr>
            <w:tcW w:w="20" w:type="dxa"/>
            <w:vAlign w:val="bottom"/>
          </w:tcPr>
          <w:p>
            <w:pPr>
              <w:spacing w:after="0"/>
              <w:rPr>
                <w:sz w:val="11"/>
                <w:szCs w:val="11"/>
                <w:color w:val="auto"/>
              </w:rPr>
            </w:pPr>
          </w:p>
        </w:tc>
        <w:tc>
          <w:tcPr>
            <w:tcW w:w="4640" w:type="dxa"/>
            <w:vAlign w:val="bottom"/>
          </w:tcPr>
          <w:p>
            <w:pPr>
              <w:spacing w:after="0"/>
              <w:rPr>
                <w:sz w:val="11"/>
                <w:szCs w:val="11"/>
                <w:color w:val="auto"/>
              </w:rPr>
            </w:pPr>
          </w:p>
        </w:tc>
        <w:tc>
          <w:tcPr>
            <w:tcW w:w="202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400" w:type="dxa"/>
            <w:vAlign w:val="bottom"/>
            <w:tcBorders>
              <w:bottom w:val="single" w:sz="8" w:color="auto"/>
            </w:tcBorders>
          </w:tcPr>
          <w:p>
            <w:pPr>
              <w:jc w:val="right"/>
              <w:ind w:right="46"/>
              <w:spacing w:after="0" w:line="129" w:lineRule="exact"/>
              <w:rPr>
                <w:sz w:val="20"/>
                <w:szCs w:val="20"/>
                <w:color w:val="auto"/>
              </w:rPr>
            </w:pPr>
            <w:r>
              <w:rPr>
                <w:rFonts w:ascii="Arial" w:cs="Arial" w:eastAsia="Arial" w:hAnsi="Arial"/>
                <w:sz w:val="13"/>
                <w:szCs w:val="13"/>
                <w:b w:val="1"/>
                <w:bCs w:val="1"/>
                <w:color w:val="auto"/>
                <w:w w:val="89"/>
              </w:rPr>
              <w:t>2015</w:t>
            </w:r>
          </w:p>
        </w:tc>
        <w:tc>
          <w:tcPr>
            <w:tcW w:w="48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380" w:type="dxa"/>
            <w:vAlign w:val="bottom"/>
            <w:tcBorders>
              <w:bottom w:val="single" w:sz="8" w:color="auto"/>
            </w:tcBorders>
          </w:tcPr>
          <w:p>
            <w:pPr>
              <w:jc w:val="right"/>
              <w:ind w:right="42"/>
              <w:spacing w:after="0" w:line="129" w:lineRule="exact"/>
              <w:rPr>
                <w:sz w:val="20"/>
                <w:szCs w:val="20"/>
                <w:color w:val="auto"/>
              </w:rPr>
            </w:pPr>
            <w:r>
              <w:rPr>
                <w:rFonts w:ascii="Arial" w:cs="Arial" w:eastAsia="Arial" w:hAnsi="Arial"/>
                <w:sz w:val="13"/>
                <w:szCs w:val="13"/>
                <w:b w:val="1"/>
                <w:bCs w:val="1"/>
                <w:color w:val="auto"/>
                <w:w w:val="82"/>
              </w:rPr>
              <w:t>2016</w:t>
            </w:r>
          </w:p>
        </w:tc>
        <w:tc>
          <w:tcPr>
            <w:tcW w:w="500" w:type="dxa"/>
            <w:vAlign w:val="bottom"/>
            <w:tcBorders>
              <w:bottom w:val="single" w:sz="8" w:color="auto"/>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420" w:type="dxa"/>
            <w:vAlign w:val="bottom"/>
            <w:tcBorders>
              <w:bottom w:val="single" w:sz="8" w:color="auto"/>
            </w:tcBorders>
          </w:tcPr>
          <w:p>
            <w:pPr>
              <w:jc w:val="right"/>
              <w:ind w:right="86"/>
              <w:spacing w:after="0" w:line="129" w:lineRule="exact"/>
              <w:rPr>
                <w:sz w:val="20"/>
                <w:szCs w:val="20"/>
                <w:color w:val="auto"/>
              </w:rPr>
            </w:pPr>
            <w:r>
              <w:rPr>
                <w:rFonts w:ascii="Arial" w:cs="Arial" w:eastAsia="Arial" w:hAnsi="Arial"/>
                <w:sz w:val="13"/>
                <w:szCs w:val="13"/>
                <w:b w:val="1"/>
                <w:bCs w:val="1"/>
                <w:color w:val="auto"/>
                <w:w w:val="82"/>
              </w:rPr>
              <w:t>2016</w:t>
            </w:r>
          </w:p>
        </w:tc>
        <w:tc>
          <w:tcPr>
            <w:tcW w:w="480" w:type="dxa"/>
            <w:vAlign w:val="bottom"/>
            <w:tcBorders>
              <w:bottom w:val="single" w:sz="8" w:color="auto"/>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440" w:type="dxa"/>
            <w:vAlign w:val="bottom"/>
            <w:tcBorders>
              <w:bottom w:val="single" w:sz="8" w:color="auto"/>
            </w:tcBorders>
          </w:tcPr>
          <w:p>
            <w:pPr>
              <w:jc w:val="right"/>
              <w:ind w:right="102"/>
              <w:spacing w:after="0" w:line="129" w:lineRule="exact"/>
              <w:rPr>
                <w:sz w:val="20"/>
                <w:szCs w:val="20"/>
                <w:color w:val="auto"/>
              </w:rPr>
            </w:pPr>
            <w:r>
              <w:rPr>
                <w:rFonts w:ascii="Arial" w:cs="Arial" w:eastAsia="Arial" w:hAnsi="Arial"/>
                <w:sz w:val="13"/>
                <w:szCs w:val="13"/>
                <w:b w:val="1"/>
                <w:bCs w:val="1"/>
                <w:color w:val="auto"/>
                <w:w w:val="82"/>
              </w:rPr>
              <w:t>2017</w:t>
            </w:r>
          </w:p>
        </w:tc>
        <w:tc>
          <w:tcPr>
            <w:tcW w:w="80" w:type="dxa"/>
            <w:vAlign w:val="bottom"/>
          </w:tcPr>
          <w:p>
            <w:pPr>
              <w:spacing w:after="0"/>
              <w:rPr>
                <w:sz w:val="11"/>
                <w:szCs w:val="11"/>
                <w:color w:val="auto"/>
              </w:rPr>
            </w:pPr>
          </w:p>
        </w:tc>
      </w:tr>
      <w:tr>
        <w:trPr>
          <w:trHeight w:val="128"/>
        </w:trPr>
        <w:tc>
          <w:tcPr>
            <w:tcW w:w="20" w:type="dxa"/>
            <w:vAlign w:val="bottom"/>
          </w:tcPr>
          <w:p>
            <w:pPr>
              <w:spacing w:after="0"/>
              <w:rPr>
                <w:sz w:val="11"/>
                <w:szCs w:val="11"/>
                <w:color w:val="auto"/>
              </w:rPr>
            </w:pPr>
          </w:p>
        </w:tc>
        <w:tc>
          <w:tcPr>
            <w:tcW w:w="4640" w:type="dxa"/>
            <w:vAlign w:val="bottom"/>
          </w:tcPr>
          <w:p>
            <w:pPr>
              <w:spacing w:after="0"/>
              <w:rPr>
                <w:sz w:val="11"/>
                <w:szCs w:val="11"/>
                <w:color w:val="auto"/>
              </w:rPr>
            </w:pPr>
          </w:p>
        </w:tc>
        <w:tc>
          <w:tcPr>
            <w:tcW w:w="20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640" w:type="dxa"/>
            <w:vAlign w:val="bottom"/>
            <w:gridSpan w:val="2"/>
          </w:tcPr>
          <w:p>
            <w:pPr>
              <w:jc w:val="right"/>
              <w:spacing w:after="0" w:line="129" w:lineRule="exact"/>
              <w:rPr>
                <w:sz w:val="20"/>
                <w:szCs w:val="20"/>
                <w:color w:val="auto"/>
              </w:rPr>
            </w:pPr>
            <w:r>
              <w:rPr>
                <w:rFonts w:ascii="Arial" w:cs="Arial" w:eastAsia="Arial" w:hAnsi="Arial"/>
                <w:sz w:val="13"/>
                <w:szCs w:val="13"/>
                <w:i w:val="1"/>
                <w:iCs w:val="1"/>
                <w:color w:val="auto"/>
                <w:w w:val="93"/>
              </w:rPr>
              <w:t>(In millions)</w:t>
            </w:r>
          </w:p>
        </w:tc>
        <w:tc>
          <w:tcPr>
            <w:tcW w:w="4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80" w:type="dxa"/>
            <w:vAlign w:val="bottom"/>
          </w:tcPr>
          <w:p>
            <w:pPr>
              <w:spacing w:after="0"/>
              <w:rPr>
                <w:sz w:val="11"/>
                <w:szCs w:val="11"/>
                <w:color w:val="auto"/>
              </w:rPr>
            </w:pPr>
          </w:p>
        </w:tc>
      </w:tr>
      <w:tr>
        <w:trPr>
          <w:trHeight w:val="203"/>
        </w:trPr>
        <w:tc>
          <w:tcPr>
            <w:tcW w:w="20" w:type="dxa"/>
            <w:vAlign w:val="bottom"/>
          </w:tcPr>
          <w:p>
            <w:pPr>
              <w:spacing w:after="0"/>
              <w:rPr>
                <w:sz w:val="17"/>
                <w:szCs w:val="17"/>
                <w:color w:val="auto"/>
              </w:rPr>
            </w:pPr>
          </w:p>
        </w:tc>
        <w:tc>
          <w:tcPr>
            <w:tcW w:w="4640" w:type="dxa"/>
            <w:vAlign w:val="bottom"/>
            <w:shd w:val="clear" w:color="auto" w:fill="CCEEFF"/>
          </w:tcPr>
          <w:p>
            <w:pPr>
              <w:ind w:left="300"/>
              <w:spacing w:after="0"/>
              <w:rPr>
                <w:sz w:val="20"/>
                <w:szCs w:val="20"/>
                <w:color w:val="auto"/>
              </w:rPr>
            </w:pPr>
            <w:r>
              <w:rPr>
                <w:rFonts w:ascii="Arial" w:cs="Arial" w:eastAsia="Arial" w:hAnsi="Arial"/>
                <w:sz w:val="16"/>
                <w:szCs w:val="16"/>
                <w:color w:val="auto"/>
              </w:rPr>
              <w:t>Cost of revenue</w:t>
            </w:r>
          </w:p>
        </w:tc>
        <w:tc>
          <w:tcPr>
            <w:tcW w:w="212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w:t>
            </w:r>
          </w:p>
        </w:tc>
        <w:tc>
          <w:tcPr>
            <w:tcW w:w="58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8.2</w:t>
            </w:r>
          </w:p>
        </w:tc>
        <w:tc>
          <w:tcPr>
            <w:tcW w:w="64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5.9</w:t>
            </w:r>
          </w:p>
        </w:tc>
        <w:tc>
          <w:tcPr>
            <w:tcW w:w="62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9.3</w:t>
            </w:r>
          </w:p>
        </w:tc>
        <w:tc>
          <w:tcPr>
            <w:tcW w:w="80" w:type="dxa"/>
            <w:vAlign w:val="bottom"/>
            <w:shd w:val="clear" w:color="auto" w:fill="CCEEFF"/>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4640" w:type="dxa"/>
            <w:vAlign w:val="bottom"/>
          </w:tcPr>
          <w:p>
            <w:pPr>
              <w:ind w:left="300"/>
              <w:spacing w:after="0"/>
              <w:rPr>
                <w:sz w:val="20"/>
                <w:szCs w:val="20"/>
                <w:color w:val="auto"/>
              </w:rPr>
            </w:pPr>
            <w:r>
              <w:rPr>
                <w:rFonts w:ascii="Arial" w:cs="Arial" w:eastAsia="Arial" w:hAnsi="Arial"/>
                <w:sz w:val="16"/>
                <w:szCs w:val="16"/>
                <w:color w:val="auto"/>
              </w:rPr>
              <w:t>Research and development</w:t>
            </w:r>
          </w:p>
        </w:tc>
        <w:tc>
          <w:tcPr>
            <w:tcW w:w="2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0" w:type="dxa"/>
            <w:vAlign w:val="bottom"/>
          </w:tcPr>
          <w:p>
            <w:pPr>
              <w:jc w:val="right"/>
              <w:spacing w:after="0"/>
              <w:rPr>
                <w:sz w:val="20"/>
                <w:szCs w:val="20"/>
                <w:color w:val="auto"/>
              </w:rPr>
            </w:pPr>
            <w:r>
              <w:rPr>
                <w:rFonts w:ascii="Arial" w:cs="Arial" w:eastAsia="Arial" w:hAnsi="Arial"/>
                <w:sz w:val="16"/>
                <w:szCs w:val="16"/>
                <w:color w:val="auto"/>
              </w:rPr>
              <w:t>36.1</w:t>
            </w:r>
          </w:p>
        </w:tc>
        <w:tc>
          <w:tcPr>
            <w:tcW w:w="4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80" w:type="dxa"/>
            <w:vAlign w:val="bottom"/>
          </w:tcPr>
          <w:p>
            <w:pPr>
              <w:jc w:val="right"/>
              <w:spacing w:after="0"/>
              <w:rPr>
                <w:sz w:val="20"/>
                <w:szCs w:val="20"/>
                <w:color w:val="auto"/>
              </w:rPr>
            </w:pPr>
            <w:r>
              <w:rPr>
                <w:rFonts w:ascii="Arial" w:cs="Arial" w:eastAsia="Arial" w:hAnsi="Arial"/>
                <w:sz w:val="16"/>
                <w:szCs w:val="16"/>
                <w:color w:val="auto"/>
              </w:rPr>
              <w:t>72.7</w:t>
            </w:r>
          </w:p>
        </w:tc>
        <w:tc>
          <w:tcPr>
            <w:tcW w:w="5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20" w:type="dxa"/>
            <w:vAlign w:val="bottom"/>
          </w:tcPr>
          <w:p>
            <w:pPr>
              <w:jc w:val="right"/>
              <w:spacing w:after="0"/>
              <w:rPr>
                <w:sz w:val="20"/>
                <w:szCs w:val="20"/>
                <w:color w:val="auto"/>
              </w:rPr>
            </w:pPr>
            <w:r>
              <w:rPr>
                <w:rFonts w:ascii="Arial" w:cs="Arial" w:eastAsia="Arial" w:hAnsi="Arial"/>
                <w:sz w:val="16"/>
                <w:szCs w:val="16"/>
                <w:color w:val="auto"/>
              </w:rPr>
              <w:t>52.8</w:t>
            </w:r>
          </w:p>
        </w:tc>
        <w:tc>
          <w:tcPr>
            <w:tcW w:w="4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40" w:type="dxa"/>
            <w:vAlign w:val="bottom"/>
          </w:tcPr>
          <w:p>
            <w:pPr>
              <w:jc w:val="right"/>
              <w:spacing w:after="0"/>
              <w:rPr>
                <w:sz w:val="20"/>
                <w:szCs w:val="20"/>
                <w:color w:val="auto"/>
              </w:rPr>
            </w:pPr>
            <w:r>
              <w:rPr>
                <w:rFonts w:ascii="Arial" w:cs="Arial" w:eastAsia="Arial" w:hAnsi="Arial"/>
                <w:sz w:val="16"/>
                <w:szCs w:val="16"/>
                <w:color w:val="auto"/>
              </w:rPr>
              <w:t>66.4</w:t>
            </w:r>
          </w:p>
        </w:tc>
        <w:tc>
          <w:tcPr>
            <w:tcW w:w="80" w:type="dxa"/>
            <w:vAlign w:val="bottom"/>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4640" w:type="dxa"/>
            <w:vAlign w:val="bottom"/>
            <w:shd w:val="clear" w:color="auto" w:fill="CCEEFF"/>
          </w:tcPr>
          <w:p>
            <w:pPr>
              <w:ind w:left="300"/>
              <w:spacing w:after="0"/>
              <w:rPr>
                <w:sz w:val="20"/>
                <w:szCs w:val="20"/>
                <w:color w:val="auto"/>
              </w:rPr>
            </w:pPr>
            <w:r>
              <w:rPr>
                <w:rFonts w:ascii="Arial" w:cs="Arial" w:eastAsia="Arial" w:hAnsi="Arial"/>
                <w:sz w:val="16"/>
                <w:szCs w:val="16"/>
                <w:color w:val="auto"/>
              </w:rPr>
              <w:t>Sales and marketing</w:t>
            </w:r>
          </w:p>
        </w:tc>
        <w:tc>
          <w:tcPr>
            <w:tcW w:w="20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19.8</w:t>
            </w:r>
          </w:p>
        </w:tc>
        <w:tc>
          <w:tcPr>
            <w:tcW w:w="4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44.6</w:t>
            </w:r>
          </w:p>
        </w:tc>
        <w:tc>
          <w:tcPr>
            <w:tcW w:w="5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37.7</w:t>
            </w:r>
          </w:p>
        </w:tc>
        <w:tc>
          <w:tcPr>
            <w:tcW w:w="4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22.9</w:t>
            </w:r>
          </w:p>
        </w:tc>
        <w:tc>
          <w:tcPr>
            <w:tcW w:w="80" w:type="dxa"/>
            <w:vAlign w:val="bottom"/>
            <w:shd w:val="clear" w:color="auto" w:fill="CCEEFF"/>
          </w:tcPr>
          <w:p>
            <w:pPr>
              <w:spacing w:after="0"/>
              <w:rPr>
                <w:sz w:val="17"/>
                <w:szCs w:val="17"/>
                <w:color w:val="auto"/>
              </w:rPr>
            </w:pPr>
          </w:p>
        </w:tc>
      </w:tr>
      <w:tr>
        <w:trPr>
          <w:trHeight w:val="210"/>
        </w:trPr>
        <w:tc>
          <w:tcPr>
            <w:tcW w:w="20" w:type="dxa"/>
            <w:vAlign w:val="bottom"/>
          </w:tcPr>
          <w:p>
            <w:pPr>
              <w:spacing w:after="0"/>
              <w:rPr>
                <w:sz w:val="18"/>
                <w:szCs w:val="18"/>
                <w:color w:val="auto"/>
              </w:rPr>
            </w:pPr>
          </w:p>
        </w:tc>
        <w:tc>
          <w:tcPr>
            <w:tcW w:w="4640" w:type="dxa"/>
            <w:vAlign w:val="bottom"/>
          </w:tcPr>
          <w:p>
            <w:pPr>
              <w:ind w:left="300"/>
              <w:spacing w:after="0"/>
              <w:rPr>
                <w:sz w:val="20"/>
                <w:szCs w:val="20"/>
                <w:color w:val="auto"/>
              </w:rPr>
            </w:pPr>
            <w:r>
              <w:rPr>
                <w:rFonts w:ascii="Arial" w:cs="Arial" w:eastAsia="Arial" w:hAnsi="Arial"/>
                <w:sz w:val="16"/>
                <w:szCs w:val="16"/>
                <w:color w:val="auto"/>
              </w:rPr>
              <w:t>General and administrative</w:t>
            </w:r>
          </w:p>
        </w:tc>
        <w:tc>
          <w:tcPr>
            <w:tcW w:w="202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7.6</w:t>
            </w:r>
          </w:p>
        </w:tc>
        <w:tc>
          <w:tcPr>
            <w:tcW w:w="48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22.1</w:t>
            </w:r>
          </w:p>
        </w:tc>
        <w:tc>
          <w:tcPr>
            <w:tcW w:w="50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17.2</w:t>
            </w:r>
          </w:p>
        </w:tc>
        <w:tc>
          <w:tcPr>
            <w:tcW w:w="48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18.6</w:t>
            </w:r>
          </w:p>
        </w:tc>
        <w:tc>
          <w:tcPr>
            <w:tcW w:w="8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640" w:type="dxa"/>
            <w:vAlign w:val="bottom"/>
            <w:shd w:val="clear" w:color="auto" w:fill="CCEEFF"/>
          </w:tcPr>
          <w:p>
            <w:pPr>
              <w:spacing w:after="0"/>
              <w:rPr>
                <w:sz w:val="20"/>
                <w:szCs w:val="20"/>
                <w:color w:val="auto"/>
              </w:rPr>
            </w:pPr>
            <w:r>
              <w:rPr>
                <w:rFonts w:ascii="Arial" w:cs="Arial" w:eastAsia="Arial" w:hAnsi="Arial"/>
                <w:sz w:val="16"/>
                <w:szCs w:val="16"/>
                <w:color w:val="auto"/>
              </w:rPr>
              <w:t>Total stock-based compensation expense</w:t>
            </w:r>
          </w:p>
        </w:tc>
        <w:tc>
          <w:tcPr>
            <w:tcW w:w="212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66.1</w:t>
            </w:r>
          </w:p>
        </w:tc>
        <w:tc>
          <w:tcPr>
            <w:tcW w:w="58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3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147.6</w:t>
            </w:r>
          </w:p>
        </w:tc>
        <w:tc>
          <w:tcPr>
            <w:tcW w:w="64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9"/>
              </w:rPr>
              <w:t>113.6</w:t>
            </w:r>
          </w:p>
        </w:tc>
        <w:tc>
          <w:tcPr>
            <w:tcW w:w="62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9"/>
              </w:rPr>
              <w:t>117.2</w:t>
            </w:r>
          </w:p>
        </w:tc>
        <w:tc>
          <w:tcPr>
            <w:tcW w:w="80" w:type="dxa"/>
            <w:vAlign w:val="bottom"/>
            <w:shd w:val="clear" w:color="auto" w:fill="CCEEFF"/>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464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48" w:lineRule="exact"/>
        <w:rPr>
          <w:sz w:val="20"/>
          <w:szCs w:val="20"/>
          <w:color w:val="auto"/>
        </w:rPr>
      </w:pPr>
    </w:p>
    <w:p>
      <w:pPr>
        <w:jc w:val="center"/>
        <w:ind w:right="-439"/>
        <w:spacing w:after="0"/>
        <w:rPr>
          <w:sz w:val="20"/>
          <w:szCs w:val="20"/>
          <w:color w:val="auto"/>
        </w:rPr>
      </w:pPr>
      <w:r>
        <w:rPr>
          <w:rFonts w:ascii="Arial" w:cs="Arial" w:eastAsia="Arial" w:hAnsi="Arial"/>
          <w:sz w:val="18"/>
          <w:szCs w:val="18"/>
          <w:color w:val="auto"/>
        </w:rPr>
        <w:t>68</w:t>
      </w:r>
    </w:p>
    <w:p>
      <w:pPr>
        <w:sectPr>
          <w:pgSz w:w="11900" w:h="16838" w:orient="portrait"/>
          <w:cols w:equalWidth="0" w:num="1">
            <w:col w:w="10800"/>
          </w:cols>
          <w:pgMar w:left="320" w:top="459" w:right="779" w:bottom="1440" w:gutter="0" w:footer="0" w:header="0"/>
        </w:sectPr>
      </w:pPr>
    </w:p>
    <w:bookmarkStart w:id="71" w:name="page72"/>
    <w:bookmarkEnd w:id="7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89"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5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420" w:type="dxa"/>
            <w:vAlign w:val="bottom"/>
            <w:gridSpan w:val="5"/>
          </w:tcPr>
          <w:p>
            <w:pPr>
              <w:jc w:val="right"/>
              <w:ind w:right="630"/>
              <w:spacing w:after="0"/>
              <w:rPr>
                <w:sz w:val="20"/>
                <w:szCs w:val="20"/>
                <w:color w:val="auto"/>
              </w:rPr>
            </w:pPr>
            <w:r>
              <w:rPr>
                <w:rFonts w:ascii="Arial" w:cs="Arial" w:eastAsia="Arial" w:hAnsi="Arial"/>
                <w:sz w:val="14"/>
                <w:szCs w:val="14"/>
                <w:b w:val="1"/>
                <w:bCs w:val="1"/>
                <w:color w:val="auto"/>
                <w:w w:val="90"/>
              </w:rPr>
              <w:t>Year ended</w:t>
            </w:r>
          </w:p>
        </w:tc>
        <w:tc>
          <w:tcPr>
            <w:tcW w:w="1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860" w:type="dxa"/>
            <w:vAlign w:val="bottom"/>
            <w:gridSpan w:val="7"/>
          </w:tcPr>
          <w:p>
            <w:pPr>
              <w:jc w:val="right"/>
              <w:ind w:right="480"/>
              <w:spacing w:after="0"/>
              <w:rPr>
                <w:sz w:val="20"/>
                <w:szCs w:val="20"/>
                <w:color w:val="auto"/>
              </w:rPr>
            </w:pPr>
            <w:r>
              <w:rPr>
                <w:rFonts w:ascii="Arial" w:cs="Arial" w:eastAsia="Arial" w:hAnsi="Arial"/>
                <w:sz w:val="14"/>
                <w:szCs w:val="14"/>
                <w:b w:val="1"/>
                <w:bCs w:val="1"/>
                <w:color w:val="auto"/>
              </w:rPr>
              <w:t>Nine months ended</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55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740" w:type="dxa"/>
            <w:vAlign w:val="bottom"/>
            <w:gridSpan w:val="6"/>
          </w:tcPr>
          <w:p>
            <w:pPr>
              <w:jc w:val="right"/>
              <w:ind w:right="550"/>
              <w:spacing w:after="0"/>
              <w:rPr>
                <w:sz w:val="20"/>
                <w:szCs w:val="20"/>
                <w:color w:val="auto"/>
              </w:rPr>
            </w:pPr>
            <w:r>
              <w:rPr>
                <w:rFonts w:ascii="Arial" w:cs="Arial" w:eastAsia="Arial" w:hAnsi="Arial"/>
                <w:sz w:val="14"/>
                <w:szCs w:val="14"/>
                <w:b w:val="1"/>
                <w:bCs w:val="1"/>
                <w:color w:val="auto"/>
              </w:rPr>
              <w:t>December 31,</w:t>
            </w:r>
          </w:p>
        </w:tc>
        <w:tc>
          <w:tcPr>
            <w:tcW w:w="1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860" w:type="dxa"/>
            <w:vAlign w:val="bottom"/>
            <w:gridSpan w:val="7"/>
          </w:tcPr>
          <w:p>
            <w:pPr>
              <w:jc w:val="right"/>
              <w:ind w:right="620"/>
              <w:spacing w:after="0"/>
              <w:rPr>
                <w:sz w:val="20"/>
                <w:szCs w:val="20"/>
                <w:color w:val="auto"/>
              </w:rPr>
            </w:pPr>
            <w:r>
              <w:rPr>
                <w:rFonts w:ascii="Arial" w:cs="Arial" w:eastAsia="Arial" w:hAnsi="Arial"/>
                <w:sz w:val="14"/>
                <w:szCs w:val="14"/>
                <w:b w:val="1"/>
                <w:bCs w:val="1"/>
                <w:color w:val="auto"/>
              </w:rPr>
              <w:t>September 30,</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5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32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89"/>
              </w:rPr>
              <w:t>2015</w:t>
            </w:r>
          </w:p>
        </w:tc>
        <w:tc>
          <w:tcPr>
            <w:tcW w:w="320" w:type="dxa"/>
            <w:vAlign w:val="bottom"/>
            <w:tcBorders>
              <w:top w:val="single" w:sz="8" w:color="auto"/>
              <w:bottom w:val="single" w:sz="8" w:color="auto"/>
            </w:tcBorders>
          </w:tcPr>
          <w:p>
            <w:pPr>
              <w:spacing w:after="0"/>
              <w:rPr>
                <w:sz w:val="12"/>
                <w:szCs w:val="12"/>
                <w:color w:val="auto"/>
              </w:rPr>
            </w:pPr>
          </w:p>
        </w:tc>
        <w:tc>
          <w:tcPr>
            <w:tcW w:w="740" w:type="dxa"/>
            <w:vAlign w:val="bottom"/>
            <w:tcBorders>
              <w:top w:val="single" w:sz="8" w:color="auto"/>
              <w:bottom w:val="single" w:sz="8" w:color="auto"/>
            </w:tcBorders>
            <w:gridSpan w:val="3"/>
          </w:tcPr>
          <w:p>
            <w:pPr>
              <w:jc w:val="right"/>
              <w:ind w:right="20"/>
              <w:spacing w:after="0" w:line="142" w:lineRule="exact"/>
              <w:rPr>
                <w:sz w:val="20"/>
                <w:szCs w:val="20"/>
                <w:color w:val="auto"/>
              </w:rPr>
            </w:pPr>
            <w:r>
              <w:rPr>
                <w:rFonts w:ascii="Arial" w:cs="Arial" w:eastAsia="Arial" w:hAnsi="Arial"/>
                <w:sz w:val="14"/>
                <w:szCs w:val="14"/>
                <w:b w:val="1"/>
                <w:bCs w:val="1"/>
                <w:color w:val="auto"/>
              </w:rPr>
              <w:t>2016</w:t>
            </w:r>
          </w:p>
        </w:tc>
        <w:tc>
          <w:tcPr>
            <w:tcW w:w="360" w:type="dxa"/>
            <w:vAlign w:val="bottom"/>
            <w:tcBorders>
              <w:bottom w:val="single" w:sz="8" w:color="auto"/>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40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2016</w:t>
            </w:r>
          </w:p>
        </w:tc>
        <w:tc>
          <w:tcPr>
            <w:tcW w:w="400" w:type="dxa"/>
            <w:vAlign w:val="bottom"/>
            <w:tcBorders>
              <w:top w:val="single" w:sz="8" w:color="auto"/>
              <w:bottom w:val="single" w:sz="8" w:color="auto"/>
            </w:tcBorders>
          </w:tcPr>
          <w:p>
            <w:pPr>
              <w:spacing w:after="0"/>
              <w:rPr>
                <w:sz w:val="12"/>
                <w:szCs w:val="12"/>
                <w:color w:val="auto"/>
              </w:rPr>
            </w:pPr>
          </w:p>
        </w:tc>
        <w:tc>
          <w:tcPr>
            <w:tcW w:w="800" w:type="dxa"/>
            <w:vAlign w:val="bottom"/>
            <w:tcBorders>
              <w:top w:val="single" w:sz="8" w:color="auto"/>
              <w:bottom w:val="single" w:sz="8" w:color="auto"/>
            </w:tcBorders>
            <w:gridSpan w:val="3"/>
          </w:tcPr>
          <w:p>
            <w:pPr>
              <w:jc w:val="right"/>
              <w:spacing w:after="0" w:line="142" w:lineRule="exact"/>
              <w:rPr>
                <w:sz w:val="20"/>
                <w:szCs w:val="20"/>
                <w:color w:val="auto"/>
              </w:rPr>
            </w:pPr>
            <w:r>
              <w:rPr>
                <w:rFonts w:ascii="Arial" w:cs="Arial" w:eastAsia="Arial" w:hAnsi="Arial"/>
                <w:sz w:val="14"/>
                <w:szCs w:val="14"/>
                <w:b w:val="1"/>
                <w:bCs w:val="1"/>
                <w:color w:val="auto"/>
              </w:rPr>
              <w:t>2017</w:t>
            </w:r>
          </w:p>
        </w:tc>
        <w:tc>
          <w:tcPr>
            <w:tcW w:w="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5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840" w:type="dxa"/>
            <w:vAlign w:val="bottom"/>
            <w:gridSpan w:val="7"/>
          </w:tcPr>
          <w:p>
            <w:pPr>
              <w:jc w:val="right"/>
              <w:ind w:right="390"/>
              <w:spacing w:after="0" w:line="142" w:lineRule="exact"/>
              <w:rPr>
                <w:sz w:val="20"/>
                <w:szCs w:val="20"/>
                <w:color w:val="auto"/>
              </w:rPr>
            </w:pPr>
            <w:r>
              <w:rPr>
                <w:rFonts w:ascii="Arial" w:cs="Arial" w:eastAsia="Arial" w:hAnsi="Arial"/>
                <w:sz w:val="14"/>
                <w:szCs w:val="14"/>
                <w:i w:val="1"/>
                <w:iCs w:val="1"/>
                <w:color w:val="auto"/>
              </w:rPr>
              <w:t>(As a % of revenue)</w:t>
            </w:r>
          </w:p>
        </w:tc>
        <w:tc>
          <w:tcPr>
            <w:tcW w:w="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20" w:type="dxa"/>
            <w:vAlign w:val="bottom"/>
            <w:shd w:val="clear" w:color="auto" w:fill="CCEEFF"/>
          </w:tcPr>
          <w:p>
            <w:pPr>
              <w:spacing w:after="0"/>
              <w:rPr>
                <w:sz w:val="20"/>
                <w:szCs w:val="20"/>
                <w:color w:val="auto"/>
              </w:rPr>
            </w:pPr>
            <w:r>
              <w:rPr>
                <w:rFonts w:ascii="Arial" w:cs="Arial" w:eastAsia="Arial" w:hAnsi="Arial"/>
                <w:sz w:val="18"/>
                <w:szCs w:val="18"/>
                <w:color w:val="auto"/>
              </w:rPr>
              <w:t>Revenue</w:t>
            </w:r>
          </w:p>
        </w:tc>
        <w:tc>
          <w:tcPr>
            <w:tcW w:w="1480" w:type="dxa"/>
            <w:vAlign w:val="bottom"/>
            <w:gridSpan w:val="4"/>
            <w:shd w:val="clear" w:color="auto" w:fill="CCEEFF"/>
          </w:tcPr>
          <w:p>
            <w:pPr>
              <w:jc w:val="right"/>
              <w:ind w:right="99"/>
              <w:spacing w:after="0"/>
              <w:rPr>
                <w:sz w:val="20"/>
                <w:szCs w:val="20"/>
                <w:color w:val="auto"/>
              </w:rPr>
            </w:pPr>
            <w:r>
              <w:rPr>
                <w:rFonts w:ascii="Arial" w:cs="Arial" w:eastAsia="Arial" w:hAnsi="Arial"/>
                <w:sz w:val="18"/>
                <w:szCs w:val="18"/>
                <w:color w:val="auto"/>
              </w:rPr>
              <w:t>100%</w:t>
            </w:r>
          </w:p>
        </w:tc>
        <w:tc>
          <w:tcPr>
            <w:tcW w:w="1100" w:type="dxa"/>
            <w:vAlign w:val="bottom"/>
            <w:gridSpan w:val="4"/>
            <w:shd w:val="clear" w:color="auto" w:fill="CCEEFF"/>
          </w:tcPr>
          <w:p>
            <w:pPr>
              <w:jc w:val="right"/>
              <w:ind w:right="130"/>
              <w:spacing w:after="0"/>
              <w:rPr>
                <w:sz w:val="20"/>
                <w:szCs w:val="20"/>
                <w:color w:val="auto"/>
              </w:rPr>
            </w:pPr>
            <w:r>
              <w:rPr>
                <w:rFonts w:ascii="Arial" w:cs="Arial" w:eastAsia="Arial" w:hAnsi="Arial"/>
                <w:sz w:val="18"/>
                <w:szCs w:val="18"/>
                <w:color w:val="auto"/>
              </w:rPr>
              <w:t>100%</w:t>
            </w:r>
          </w:p>
        </w:tc>
        <w:tc>
          <w:tcPr>
            <w:tcW w:w="1160" w:type="dxa"/>
            <w:vAlign w:val="bottom"/>
            <w:gridSpan w:val="4"/>
            <w:shd w:val="clear" w:color="auto" w:fill="CCEEFF"/>
          </w:tcPr>
          <w:p>
            <w:pPr>
              <w:jc w:val="right"/>
              <w:ind w:right="170"/>
              <w:spacing w:after="0"/>
              <w:rPr>
                <w:sz w:val="20"/>
                <w:szCs w:val="20"/>
                <w:color w:val="auto"/>
              </w:rPr>
            </w:pPr>
            <w:r>
              <w:rPr>
                <w:rFonts w:ascii="Arial" w:cs="Arial" w:eastAsia="Arial" w:hAnsi="Arial"/>
                <w:sz w:val="18"/>
                <w:szCs w:val="18"/>
                <w:color w:val="auto"/>
              </w:rPr>
              <w:t>100%</w:t>
            </w:r>
          </w:p>
        </w:tc>
        <w:tc>
          <w:tcPr>
            <w:tcW w:w="1060" w:type="dxa"/>
            <w:vAlign w:val="bottom"/>
            <w:gridSpan w:val="5"/>
            <w:shd w:val="clear" w:color="auto" w:fill="CCEEFF"/>
          </w:tcPr>
          <w:p>
            <w:pPr>
              <w:jc w:val="right"/>
              <w:ind w:right="120"/>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520" w:type="dxa"/>
            <w:vAlign w:val="bottom"/>
          </w:tcPr>
          <w:p>
            <w:pPr>
              <w:spacing w:after="0"/>
              <w:rPr>
                <w:sz w:val="20"/>
                <w:szCs w:val="20"/>
                <w:color w:val="auto"/>
              </w:rPr>
            </w:pPr>
            <w:r>
              <w:rPr>
                <w:rFonts w:ascii="Arial" w:cs="Arial" w:eastAsia="Arial" w:hAnsi="Arial"/>
                <w:sz w:val="18"/>
                <w:szCs w:val="18"/>
                <w:color w:val="auto"/>
              </w:rPr>
              <w:t>Cost of revenue</w:t>
            </w:r>
          </w:p>
        </w:tc>
        <w:tc>
          <w:tcPr>
            <w:tcW w:w="840" w:type="dxa"/>
            <w:vAlign w:val="bottom"/>
            <w:gridSpan w:val="2"/>
          </w:tcPr>
          <w:p>
            <w:pPr>
              <w:spacing w:after="0"/>
              <w:rPr>
                <w:sz w:val="19"/>
                <w:szCs w:val="19"/>
                <w:color w:val="auto"/>
              </w:rPr>
            </w:pPr>
          </w:p>
        </w:tc>
        <w:tc>
          <w:tcPr>
            <w:tcW w:w="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67</w:t>
            </w:r>
          </w:p>
        </w:tc>
        <w:tc>
          <w:tcPr>
            <w:tcW w:w="3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32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46</w:t>
            </w:r>
          </w:p>
        </w:tc>
        <w:tc>
          <w:tcPr>
            <w:tcW w:w="360" w:type="dxa"/>
            <w:vAlign w:val="bottom"/>
          </w:tcPr>
          <w:p>
            <w:pPr>
              <w:spacing w:after="0"/>
              <w:rPr>
                <w:sz w:val="19"/>
                <w:szCs w:val="19"/>
                <w:color w:val="auto"/>
              </w:rPr>
            </w:pPr>
          </w:p>
        </w:tc>
        <w:tc>
          <w:tcPr>
            <w:tcW w:w="360" w:type="dxa"/>
            <w:vAlign w:val="bottom"/>
            <w:gridSpan w:val="2"/>
          </w:tcPr>
          <w:p>
            <w:pPr>
              <w:spacing w:after="0"/>
              <w:rPr>
                <w:sz w:val="19"/>
                <w:szCs w:val="19"/>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w:t>
            </w:r>
          </w:p>
        </w:tc>
        <w:tc>
          <w:tcPr>
            <w:tcW w:w="400" w:type="dxa"/>
            <w:vAlign w:val="bottom"/>
          </w:tcPr>
          <w:p>
            <w:pPr>
              <w:spacing w:after="0"/>
              <w:rPr>
                <w:sz w:val="19"/>
                <w:szCs w:val="19"/>
                <w:color w:val="auto"/>
              </w:rPr>
            </w:pPr>
          </w:p>
        </w:tc>
        <w:tc>
          <w:tcPr>
            <w:tcW w:w="380" w:type="dxa"/>
            <w:vAlign w:val="bottom"/>
            <w:gridSpan w:val="2"/>
          </w:tcPr>
          <w:p>
            <w:pPr>
              <w:spacing w:after="0"/>
              <w:rPr>
                <w:sz w:val="19"/>
                <w:szCs w:val="19"/>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w:t>
            </w:r>
          </w:p>
        </w:tc>
        <w:tc>
          <w:tcPr>
            <w:tcW w:w="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20" w:type="dxa"/>
            <w:vAlign w:val="bottom"/>
            <w:shd w:val="clear" w:color="auto" w:fill="CCEEFF"/>
          </w:tcPr>
          <w:p>
            <w:pPr>
              <w:spacing w:after="0"/>
              <w:rPr>
                <w:sz w:val="20"/>
                <w:szCs w:val="20"/>
                <w:color w:val="auto"/>
              </w:rPr>
            </w:pPr>
            <w:r>
              <w:rPr>
                <w:rFonts w:ascii="Arial" w:cs="Arial" w:eastAsia="Arial" w:hAnsi="Arial"/>
                <w:sz w:val="18"/>
                <w:szCs w:val="18"/>
                <w:color w:val="auto"/>
              </w:rPr>
              <w:t>Gross profit</w:t>
            </w:r>
          </w:p>
        </w:tc>
        <w:tc>
          <w:tcPr>
            <w:tcW w:w="11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33</w:t>
            </w:r>
          </w:p>
        </w:tc>
        <w:tc>
          <w:tcPr>
            <w:tcW w:w="320" w:type="dxa"/>
            <w:vAlign w:val="bottom"/>
            <w:shd w:val="clear" w:color="auto" w:fill="CCEEFF"/>
          </w:tcPr>
          <w:p>
            <w:pPr>
              <w:spacing w:after="0"/>
              <w:rPr>
                <w:sz w:val="18"/>
                <w:szCs w:val="18"/>
                <w:color w:val="auto"/>
              </w:rPr>
            </w:pPr>
          </w:p>
        </w:tc>
        <w:tc>
          <w:tcPr>
            <w:tcW w:w="74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54</w:t>
            </w:r>
          </w:p>
        </w:tc>
        <w:tc>
          <w:tcPr>
            <w:tcW w:w="360" w:type="dxa"/>
            <w:vAlign w:val="bottom"/>
            <w:shd w:val="clear" w:color="auto" w:fill="CCEEFF"/>
          </w:tcPr>
          <w:p>
            <w:pPr>
              <w:spacing w:after="0"/>
              <w:rPr>
                <w:sz w:val="18"/>
                <w:szCs w:val="18"/>
                <w:color w:val="auto"/>
              </w:rPr>
            </w:pPr>
          </w:p>
        </w:tc>
        <w:tc>
          <w:tcPr>
            <w:tcW w:w="760" w:type="dxa"/>
            <w:vAlign w:val="bottom"/>
            <w:tcBorders>
              <w:right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50</w:t>
            </w:r>
          </w:p>
        </w:tc>
        <w:tc>
          <w:tcPr>
            <w:tcW w:w="400" w:type="dxa"/>
            <w:vAlign w:val="bottom"/>
            <w:shd w:val="clear" w:color="auto" w:fill="CCEEFF"/>
          </w:tcPr>
          <w:p>
            <w:pPr>
              <w:spacing w:after="0"/>
              <w:rPr>
                <w:sz w:val="18"/>
                <w:szCs w:val="18"/>
                <w:color w:val="auto"/>
              </w:rPr>
            </w:pPr>
          </w:p>
        </w:tc>
        <w:tc>
          <w:tcPr>
            <w:tcW w:w="8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65</w:t>
            </w:r>
          </w:p>
        </w:tc>
        <w:tc>
          <w:tcPr>
            <w:tcW w:w="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20" w:type="dxa"/>
            <w:vAlign w:val="bottom"/>
          </w:tcPr>
          <w:p>
            <w:pPr>
              <w:spacing w:after="0"/>
              <w:rPr>
                <w:sz w:val="20"/>
                <w:szCs w:val="20"/>
                <w:color w:val="auto"/>
              </w:rPr>
            </w:pPr>
            <w:r>
              <w:rPr>
                <w:rFonts w:ascii="Arial" w:cs="Arial" w:eastAsia="Arial" w:hAnsi="Arial"/>
                <w:sz w:val="18"/>
                <w:szCs w:val="18"/>
                <w:color w:val="auto"/>
              </w:rPr>
              <w:t>Operating expenses:</w:t>
            </w:r>
          </w:p>
        </w:tc>
        <w:tc>
          <w:tcPr>
            <w:tcW w:w="4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Research and development</w:t>
            </w:r>
          </w:p>
        </w:tc>
        <w:tc>
          <w:tcPr>
            <w:tcW w:w="11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33</w:t>
            </w:r>
          </w:p>
        </w:tc>
        <w:tc>
          <w:tcPr>
            <w:tcW w:w="320" w:type="dxa"/>
            <w:vAlign w:val="bottom"/>
            <w:shd w:val="clear" w:color="auto" w:fill="CCEEFF"/>
          </w:tcPr>
          <w:p>
            <w:pPr>
              <w:spacing w:after="0"/>
              <w:rPr>
                <w:sz w:val="18"/>
                <w:szCs w:val="18"/>
                <w:color w:val="auto"/>
              </w:rPr>
            </w:pPr>
          </w:p>
        </w:tc>
        <w:tc>
          <w:tcPr>
            <w:tcW w:w="74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34</w:t>
            </w:r>
          </w:p>
        </w:tc>
        <w:tc>
          <w:tcPr>
            <w:tcW w:w="360" w:type="dxa"/>
            <w:vAlign w:val="bottom"/>
            <w:shd w:val="clear" w:color="auto" w:fill="CCEEFF"/>
          </w:tcPr>
          <w:p>
            <w:pPr>
              <w:spacing w:after="0"/>
              <w:rPr>
                <w:sz w:val="18"/>
                <w:szCs w:val="18"/>
                <w:color w:val="auto"/>
              </w:rPr>
            </w:pPr>
          </w:p>
        </w:tc>
        <w:tc>
          <w:tcPr>
            <w:tcW w:w="760" w:type="dxa"/>
            <w:vAlign w:val="bottom"/>
            <w:tcBorders>
              <w:right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36</w:t>
            </w:r>
          </w:p>
        </w:tc>
        <w:tc>
          <w:tcPr>
            <w:tcW w:w="400" w:type="dxa"/>
            <w:vAlign w:val="bottom"/>
            <w:shd w:val="clear" w:color="auto" w:fill="CCEEFF"/>
          </w:tcPr>
          <w:p>
            <w:pPr>
              <w:spacing w:after="0"/>
              <w:rPr>
                <w:sz w:val="18"/>
                <w:szCs w:val="18"/>
                <w:color w:val="auto"/>
              </w:rPr>
            </w:pPr>
          </w:p>
        </w:tc>
        <w:tc>
          <w:tcPr>
            <w:tcW w:w="8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34</w:t>
            </w:r>
          </w:p>
        </w:tc>
        <w:tc>
          <w:tcPr>
            <w:tcW w:w="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20" w:type="dxa"/>
            <w:vAlign w:val="bottom"/>
          </w:tcPr>
          <w:p>
            <w:pPr>
              <w:ind w:left="340"/>
              <w:spacing w:after="0"/>
              <w:rPr>
                <w:sz w:val="20"/>
                <w:szCs w:val="20"/>
                <w:color w:val="auto"/>
              </w:rPr>
            </w:pPr>
            <w:r>
              <w:rPr>
                <w:rFonts w:ascii="Arial" w:cs="Arial" w:eastAsia="Arial" w:hAnsi="Arial"/>
                <w:sz w:val="18"/>
                <w:szCs w:val="18"/>
                <w:color w:val="auto"/>
              </w:rPr>
              <w:t>Sales and marketing</w:t>
            </w:r>
          </w:p>
        </w:tc>
        <w:tc>
          <w:tcPr>
            <w:tcW w:w="1160" w:type="dxa"/>
            <w:vAlign w:val="bottom"/>
            <w:gridSpan w:val="3"/>
          </w:tcPr>
          <w:p>
            <w:pPr>
              <w:jc w:val="right"/>
              <w:spacing w:after="0"/>
              <w:rPr>
                <w:sz w:val="20"/>
                <w:szCs w:val="20"/>
                <w:color w:val="auto"/>
              </w:rPr>
            </w:pPr>
            <w:r>
              <w:rPr>
                <w:rFonts w:ascii="Arial" w:cs="Arial" w:eastAsia="Arial" w:hAnsi="Arial"/>
                <w:sz w:val="18"/>
                <w:szCs w:val="18"/>
                <w:color w:val="auto"/>
              </w:rPr>
              <w:t>32</w:t>
            </w:r>
          </w:p>
        </w:tc>
        <w:tc>
          <w:tcPr>
            <w:tcW w:w="320" w:type="dxa"/>
            <w:vAlign w:val="bottom"/>
          </w:tcPr>
          <w:p>
            <w:pPr>
              <w:spacing w:after="0"/>
              <w:rPr>
                <w:sz w:val="18"/>
                <w:szCs w:val="18"/>
                <w:color w:val="auto"/>
              </w:rPr>
            </w:pPr>
          </w:p>
        </w:tc>
        <w:tc>
          <w:tcPr>
            <w:tcW w:w="740" w:type="dxa"/>
            <w:vAlign w:val="bottom"/>
            <w:gridSpan w:val="3"/>
          </w:tcPr>
          <w:p>
            <w:pPr>
              <w:jc w:val="right"/>
              <w:ind w:right="20"/>
              <w:spacing w:after="0"/>
              <w:rPr>
                <w:sz w:val="20"/>
                <w:szCs w:val="20"/>
                <w:color w:val="auto"/>
              </w:rPr>
            </w:pPr>
            <w:r>
              <w:rPr>
                <w:rFonts w:ascii="Arial" w:cs="Arial" w:eastAsia="Arial" w:hAnsi="Arial"/>
                <w:sz w:val="18"/>
                <w:szCs w:val="18"/>
                <w:color w:val="auto"/>
              </w:rPr>
              <w:t>30</w:t>
            </w:r>
          </w:p>
        </w:tc>
        <w:tc>
          <w:tcPr>
            <w:tcW w:w="360" w:type="dxa"/>
            <w:vAlign w:val="bottom"/>
          </w:tcPr>
          <w:p>
            <w:pPr>
              <w:spacing w:after="0"/>
              <w:rPr>
                <w:sz w:val="18"/>
                <w:szCs w:val="18"/>
                <w:color w:val="auto"/>
              </w:rPr>
            </w:pPr>
          </w:p>
        </w:tc>
        <w:tc>
          <w:tcPr>
            <w:tcW w:w="760" w:type="dxa"/>
            <w:vAlign w:val="bottom"/>
            <w:gridSpan w:val="3"/>
          </w:tcPr>
          <w:p>
            <w:pPr>
              <w:jc w:val="right"/>
              <w:spacing w:after="0"/>
              <w:rPr>
                <w:sz w:val="20"/>
                <w:szCs w:val="20"/>
                <w:color w:val="auto"/>
              </w:rPr>
            </w:pPr>
            <w:r>
              <w:rPr>
                <w:rFonts w:ascii="Arial" w:cs="Arial" w:eastAsia="Arial" w:hAnsi="Arial"/>
                <w:sz w:val="18"/>
                <w:szCs w:val="18"/>
                <w:color w:val="auto"/>
              </w:rPr>
              <w:t>31</w:t>
            </w:r>
          </w:p>
        </w:tc>
        <w:tc>
          <w:tcPr>
            <w:tcW w:w="400" w:type="dxa"/>
            <w:vAlign w:val="bottom"/>
          </w:tcPr>
          <w:p>
            <w:pPr>
              <w:spacing w:after="0"/>
              <w:rPr>
                <w:sz w:val="18"/>
                <w:szCs w:val="18"/>
                <w:color w:val="auto"/>
              </w:rPr>
            </w:pPr>
          </w:p>
        </w:tc>
        <w:tc>
          <w:tcPr>
            <w:tcW w:w="800" w:type="dxa"/>
            <w:vAlign w:val="bottom"/>
            <w:gridSpan w:val="3"/>
          </w:tcPr>
          <w:p>
            <w:pPr>
              <w:jc w:val="right"/>
              <w:spacing w:after="0"/>
              <w:rPr>
                <w:sz w:val="20"/>
                <w:szCs w:val="20"/>
                <w:color w:val="auto"/>
              </w:rPr>
            </w:pPr>
            <w:r>
              <w:rPr>
                <w:rFonts w:ascii="Arial" w:cs="Arial" w:eastAsia="Arial" w:hAnsi="Arial"/>
                <w:sz w:val="18"/>
                <w:szCs w:val="18"/>
                <w:color w:val="auto"/>
              </w:rPr>
              <w:t>26</w:t>
            </w: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General and administrative</w:t>
            </w:r>
          </w:p>
        </w:tc>
        <w:tc>
          <w:tcPr>
            <w:tcW w:w="11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320" w:type="dxa"/>
            <w:vAlign w:val="bottom"/>
            <w:shd w:val="clear" w:color="auto" w:fill="CCEEFF"/>
          </w:tcPr>
          <w:p>
            <w:pPr>
              <w:spacing w:after="0"/>
              <w:rPr>
                <w:sz w:val="18"/>
                <w:szCs w:val="18"/>
                <w:color w:val="auto"/>
              </w:rPr>
            </w:pPr>
          </w:p>
        </w:tc>
        <w:tc>
          <w:tcPr>
            <w:tcW w:w="74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13</w:t>
            </w:r>
          </w:p>
        </w:tc>
        <w:tc>
          <w:tcPr>
            <w:tcW w:w="360" w:type="dxa"/>
            <w:vAlign w:val="bottom"/>
            <w:shd w:val="clear" w:color="auto" w:fill="CCEEFF"/>
          </w:tcPr>
          <w:p>
            <w:pPr>
              <w:spacing w:after="0"/>
              <w:rPr>
                <w:sz w:val="18"/>
                <w:szCs w:val="18"/>
                <w:color w:val="auto"/>
              </w:rPr>
            </w:pPr>
          </w:p>
        </w:tc>
        <w:tc>
          <w:tcPr>
            <w:tcW w:w="760" w:type="dxa"/>
            <w:vAlign w:val="bottom"/>
            <w:tcBorders>
              <w:right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400" w:type="dxa"/>
            <w:vAlign w:val="bottom"/>
            <w:shd w:val="clear" w:color="auto" w:fill="CCEEFF"/>
          </w:tcPr>
          <w:p>
            <w:pPr>
              <w:spacing w:after="0"/>
              <w:rPr>
                <w:sz w:val="18"/>
                <w:szCs w:val="18"/>
                <w:color w:val="auto"/>
              </w:rPr>
            </w:pPr>
          </w:p>
        </w:tc>
        <w:tc>
          <w:tcPr>
            <w:tcW w:w="8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540" w:type="dxa"/>
            <w:vAlign w:val="bottom"/>
            <w:gridSpan w:val="2"/>
          </w:tcPr>
          <w:p>
            <w:pPr>
              <w:spacing w:after="0"/>
              <w:rPr>
                <w:sz w:val="20"/>
                <w:szCs w:val="20"/>
                <w:color w:val="auto"/>
              </w:rPr>
            </w:pPr>
            <w:r>
              <w:rPr>
                <w:rFonts w:ascii="Arial" w:cs="Arial" w:eastAsia="Arial" w:hAnsi="Arial"/>
                <w:sz w:val="18"/>
                <w:szCs w:val="18"/>
                <w:color w:val="auto"/>
              </w:rPr>
              <w:t>Total operating expenses</w:t>
            </w:r>
          </w:p>
        </w:tc>
        <w:tc>
          <w:tcPr>
            <w:tcW w:w="4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3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83</w:t>
            </w:r>
          </w:p>
        </w:tc>
        <w:tc>
          <w:tcPr>
            <w:tcW w:w="3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320" w:type="dxa"/>
            <w:vAlign w:val="bottom"/>
            <w:tcBorders>
              <w:top w:val="single" w:sz="8" w:color="auto"/>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77</w:t>
            </w:r>
          </w:p>
        </w:tc>
        <w:tc>
          <w:tcPr>
            <w:tcW w:w="3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79</w:t>
            </w:r>
          </w:p>
        </w:tc>
        <w:tc>
          <w:tcPr>
            <w:tcW w:w="4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75</w:t>
            </w:r>
          </w:p>
        </w:tc>
        <w:tc>
          <w:tcPr>
            <w:tcW w:w="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20" w:type="dxa"/>
            <w:vAlign w:val="bottom"/>
            <w:shd w:val="clear" w:color="auto" w:fill="CCEEFF"/>
          </w:tcPr>
          <w:p>
            <w:pPr>
              <w:spacing w:after="0"/>
              <w:rPr>
                <w:sz w:val="20"/>
                <w:szCs w:val="20"/>
                <w:color w:val="auto"/>
              </w:rPr>
            </w:pPr>
            <w:r>
              <w:rPr>
                <w:rFonts w:ascii="Arial" w:cs="Arial" w:eastAsia="Arial" w:hAnsi="Arial"/>
                <w:sz w:val="18"/>
                <w:szCs w:val="18"/>
                <w:color w:val="auto"/>
              </w:rPr>
              <w:t>Loss from operations</w:t>
            </w:r>
          </w:p>
        </w:tc>
        <w:tc>
          <w:tcPr>
            <w:tcW w:w="1480" w:type="dxa"/>
            <w:vAlign w:val="bottom"/>
            <w:gridSpan w:val="4"/>
            <w:shd w:val="clear" w:color="auto" w:fill="CCEEFF"/>
          </w:tcPr>
          <w:p>
            <w:pPr>
              <w:jc w:val="right"/>
              <w:ind w:right="179"/>
              <w:spacing w:after="0"/>
              <w:rPr>
                <w:sz w:val="20"/>
                <w:szCs w:val="20"/>
                <w:color w:val="auto"/>
              </w:rPr>
            </w:pPr>
            <w:r>
              <w:rPr>
                <w:rFonts w:ascii="Arial" w:cs="Arial" w:eastAsia="Arial" w:hAnsi="Arial"/>
                <w:sz w:val="18"/>
                <w:szCs w:val="18"/>
                <w:color w:val="auto"/>
              </w:rPr>
              <w:t>(51)</w:t>
            </w:r>
          </w:p>
        </w:tc>
        <w:tc>
          <w:tcPr>
            <w:tcW w:w="1100" w:type="dxa"/>
            <w:vAlign w:val="bottom"/>
            <w:gridSpan w:val="4"/>
            <w:shd w:val="clear" w:color="auto" w:fill="CCEEFF"/>
          </w:tcPr>
          <w:p>
            <w:pPr>
              <w:jc w:val="right"/>
              <w:ind w:right="230"/>
              <w:spacing w:after="0"/>
              <w:rPr>
                <w:sz w:val="20"/>
                <w:szCs w:val="20"/>
                <w:color w:val="auto"/>
              </w:rPr>
            </w:pPr>
            <w:r>
              <w:rPr>
                <w:rFonts w:ascii="Arial" w:cs="Arial" w:eastAsia="Arial" w:hAnsi="Arial"/>
                <w:sz w:val="18"/>
                <w:szCs w:val="18"/>
                <w:color w:val="auto"/>
              </w:rPr>
              <w:t>(23)</w:t>
            </w:r>
          </w:p>
        </w:tc>
        <w:tc>
          <w:tcPr>
            <w:tcW w:w="1160" w:type="dxa"/>
            <w:vAlign w:val="bottom"/>
            <w:gridSpan w:val="4"/>
            <w:shd w:val="clear" w:color="auto" w:fill="CCEEFF"/>
          </w:tcPr>
          <w:p>
            <w:pPr>
              <w:jc w:val="right"/>
              <w:ind w:right="270"/>
              <w:spacing w:after="0"/>
              <w:rPr>
                <w:sz w:val="20"/>
                <w:szCs w:val="20"/>
                <w:color w:val="auto"/>
              </w:rPr>
            </w:pPr>
            <w:r>
              <w:rPr>
                <w:rFonts w:ascii="Arial" w:cs="Arial" w:eastAsia="Arial" w:hAnsi="Arial"/>
                <w:sz w:val="18"/>
                <w:szCs w:val="18"/>
                <w:color w:val="auto"/>
              </w:rPr>
              <w:t>(29)</w:t>
            </w:r>
          </w:p>
        </w:tc>
        <w:tc>
          <w:tcPr>
            <w:tcW w:w="86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20" w:type="dxa"/>
            <w:vAlign w:val="bottom"/>
          </w:tcPr>
          <w:p>
            <w:pPr>
              <w:spacing w:after="0"/>
              <w:rPr>
                <w:sz w:val="20"/>
                <w:szCs w:val="20"/>
                <w:color w:val="auto"/>
              </w:rPr>
            </w:pPr>
            <w:r>
              <w:rPr>
                <w:rFonts w:ascii="Arial" w:cs="Arial" w:eastAsia="Arial" w:hAnsi="Arial"/>
                <w:sz w:val="18"/>
                <w:szCs w:val="18"/>
                <w:color w:val="auto"/>
              </w:rPr>
              <w:t>Interest expense, net</w:t>
            </w:r>
          </w:p>
        </w:tc>
        <w:tc>
          <w:tcPr>
            <w:tcW w:w="1480" w:type="dxa"/>
            <w:vAlign w:val="bottom"/>
            <w:gridSpan w:val="4"/>
          </w:tcPr>
          <w:p>
            <w:pPr>
              <w:jc w:val="right"/>
              <w:ind w:right="179"/>
              <w:spacing w:after="0"/>
              <w:rPr>
                <w:sz w:val="20"/>
                <w:szCs w:val="20"/>
                <w:color w:val="auto"/>
              </w:rPr>
            </w:pPr>
            <w:r>
              <w:rPr>
                <w:rFonts w:ascii="Arial" w:cs="Arial" w:eastAsia="Arial" w:hAnsi="Arial"/>
                <w:sz w:val="18"/>
                <w:szCs w:val="18"/>
                <w:color w:val="auto"/>
              </w:rPr>
              <w:t>(3)</w:t>
            </w:r>
          </w:p>
        </w:tc>
        <w:tc>
          <w:tcPr>
            <w:tcW w:w="1100" w:type="dxa"/>
            <w:vAlign w:val="bottom"/>
            <w:gridSpan w:val="4"/>
          </w:tcPr>
          <w:p>
            <w:pPr>
              <w:jc w:val="right"/>
              <w:ind w:right="230"/>
              <w:spacing w:after="0"/>
              <w:rPr>
                <w:sz w:val="20"/>
                <w:szCs w:val="20"/>
                <w:color w:val="auto"/>
              </w:rPr>
            </w:pPr>
            <w:r>
              <w:rPr>
                <w:rFonts w:ascii="Arial" w:cs="Arial" w:eastAsia="Arial" w:hAnsi="Arial"/>
                <w:sz w:val="18"/>
                <w:szCs w:val="18"/>
                <w:color w:val="auto"/>
              </w:rPr>
              <w:t>(2)</w:t>
            </w:r>
          </w:p>
        </w:tc>
        <w:tc>
          <w:tcPr>
            <w:tcW w:w="1160" w:type="dxa"/>
            <w:vAlign w:val="bottom"/>
            <w:gridSpan w:val="4"/>
          </w:tcPr>
          <w:p>
            <w:pPr>
              <w:jc w:val="right"/>
              <w:ind w:right="270"/>
              <w:spacing w:after="0"/>
              <w:rPr>
                <w:sz w:val="20"/>
                <w:szCs w:val="20"/>
                <w:color w:val="auto"/>
              </w:rPr>
            </w:pPr>
            <w:r>
              <w:rPr>
                <w:rFonts w:ascii="Arial" w:cs="Arial" w:eastAsia="Arial" w:hAnsi="Arial"/>
                <w:sz w:val="18"/>
                <w:szCs w:val="18"/>
                <w:color w:val="auto"/>
              </w:rPr>
              <w:t>(2)</w:t>
            </w:r>
          </w:p>
        </w:tc>
        <w:tc>
          <w:tcPr>
            <w:tcW w:w="860" w:type="dxa"/>
            <w:vAlign w:val="bottom"/>
            <w:gridSpan w:val="4"/>
          </w:tcPr>
          <w:p>
            <w:pPr>
              <w:jc w:val="right"/>
              <w:spacing w:after="0"/>
              <w:rPr>
                <w:sz w:val="20"/>
                <w:szCs w:val="20"/>
                <w:color w:val="auto"/>
              </w:rPr>
            </w:pPr>
            <w:r>
              <w:rPr>
                <w:rFonts w:ascii="Arial" w:cs="Arial" w:eastAsia="Arial" w:hAnsi="Arial"/>
                <w:sz w:val="18"/>
                <w:szCs w:val="18"/>
                <w:color w:val="auto"/>
              </w:rPr>
              <w:t>(1)</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20" w:type="dxa"/>
            <w:vAlign w:val="bottom"/>
            <w:shd w:val="clear" w:color="auto" w:fill="CCEEFF"/>
          </w:tcPr>
          <w:p>
            <w:pPr>
              <w:spacing w:after="0"/>
              <w:rPr>
                <w:sz w:val="20"/>
                <w:szCs w:val="20"/>
                <w:color w:val="auto"/>
              </w:rPr>
            </w:pPr>
            <w:r>
              <w:rPr>
                <w:rFonts w:ascii="Arial" w:cs="Arial" w:eastAsia="Arial" w:hAnsi="Arial"/>
                <w:sz w:val="18"/>
                <w:szCs w:val="18"/>
                <w:color w:val="auto"/>
              </w:rPr>
              <w:t>Other income (expense), net</w:t>
            </w:r>
          </w:p>
        </w:tc>
        <w:tc>
          <w:tcPr>
            <w:tcW w:w="840" w:type="dxa"/>
            <w:vAlign w:val="bottom"/>
            <w:gridSpan w:val="2"/>
            <w:shd w:val="clear" w:color="auto" w:fill="CCEEFF"/>
          </w:tcPr>
          <w:p>
            <w:pPr>
              <w:spacing w:after="0"/>
              <w:rPr>
                <w:sz w:val="18"/>
                <w:szCs w:val="18"/>
                <w:color w:val="auto"/>
              </w:rPr>
            </w:pPr>
          </w:p>
        </w:tc>
        <w:tc>
          <w:tcPr>
            <w:tcW w:w="640" w:type="dxa"/>
            <w:vAlign w:val="bottom"/>
            <w:gridSpan w:val="2"/>
            <w:shd w:val="clear" w:color="auto" w:fill="CCEEFF"/>
          </w:tcPr>
          <w:p>
            <w:pPr>
              <w:jc w:val="right"/>
              <w:ind w:right="179"/>
              <w:spacing w:after="0"/>
              <w:rPr>
                <w:sz w:val="20"/>
                <w:szCs w:val="20"/>
                <w:color w:val="auto"/>
              </w:rPr>
            </w:pPr>
            <w:r>
              <w:rPr>
                <w:rFonts w:ascii="Arial" w:cs="Arial" w:eastAsia="Arial" w:hAnsi="Arial"/>
                <w:sz w:val="18"/>
                <w:szCs w:val="18"/>
                <w:color w:val="auto"/>
              </w:rPr>
              <w:t>(1)</w:t>
            </w:r>
          </w:p>
        </w:tc>
        <w:tc>
          <w:tcPr>
            <w:tcW w:w="74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1</w:t>
            </w:r>
          </w:p>
        </w:tc>
        <w:tc>
          <w:tcPr>
            <w:tcW w:w="360" w:type="dxa"/>
            <w:vAlign w:val="bottom"/>
            <w:shd w:val="clear" w:color="auto" w:fill="CCEEFF"/>
          </w:tcPr>
          <w:p>
            <w:pPr>
              <w:spacing w:after="0"/>
              <w:rPr>
                <w:sz w:val="18"/>
                <w:szCs w:val="18"/>
                <w:color w:val="auto"/>
              </w:rPr>
            </w:pPr>
          </w:p>
        </w:tc>
        <w:tc>
          <w:tcPr>
            <w:tcW w:w="760" w:type="dxa"/>
            <w:vAlign w:val="bottom"/>
            <w:tcBorders>
              <w:right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400" w:type="dxa"/>
            <w:vAlign w:val="bottom"/>
            <w:shd w:val="clear" w:color="auto" w:fill="CCEEFF"/>
          </w:tcPr>
          <w:p>
            <w:pPr>
              <w:spacing w:after="0"/>
              <w:rPr>
                <w:sz w:val="18"/>
                <w:szCs w:val="18"/>
                <w:color w:val="auto"/>
              </w:rPr>
            </w:pPr>
          </w:p>
        </w:tc>
        <w:tc>
          <w:tcPr>
            <w:tcW w:w="8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540" w:type="dxa"/>
            <w:vAlign w:val="bottom"/>
            <w:gridSpan w:val="2"/>
            <w:vMerge w:val="restart"/>
          </w:tcPr>
          <w:p>
            <w:pPr>
              <w:spacing w:after="0"/>
              <w:rPr>
                <w:sz w:val="20"/>
                <w:szCs w:val="20"/>
                <w:color w:val="auto"/>
              </w:rPr>
            </w:pPr>
            <w:r>
              <w:rPr>
                <w:rFonts w:ascii="Arial" w:cs="Arial" w:eastAsia="Arial" w:hAnsi="Arial"/>
                <w:sz w:val="18"/>
                <w:szCs w:val="18"/>
                <w:color w:val="auto"/>
              </w:rPr>
              <w:t>Loss before income taxes</w:t>
            </w:r>
          </w:p>
        </w:tc>
        <w:tc>
          <w:tcPr>
            <w:tcW w:w="480" w:type="dxa"/>
            <w:vAlign w:val="bottom"/>
            <w:vMerge w:val="restart"/>
          </w:tcPr>
          <w:p>
            <w:pPr>
              <w:spacing w:after="0" w:line="20" w:lineRule="exact"/>
              <w:rPr>
                <w:sz w:val="1"/>
                <w:szCs w:val="1"/>
                <w:color w:val="auto"/>
              </w:rPr>
            </w:pPr>
          </w:p>
        </w:tc>
        <w:tc>
          <w:tcPr>
            <w:tcW w:w="360" w:type="dxa"/>
            <w:vAlign w:val="bottom"/>
            <w:vMerge w:val="restart"/>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320" w:type="dxa"/>
            <w:vAlign w:val="bottom"/>
            <w:vMerge w:val="restart"/>
          </w:tcPr>
          <w:p>
            <w:pPr>
              <w:spacing w:after="0" w:line="20" w:lineRule="exact"/>
              <w:rPr>
                <w:sz w:val="1"/>
                <w:szCs w:val="1"/>
                <w:color w:val="auto"/>
              </w:rPr>
            </w:pPr>
          </w:p>
        </w:tc>
        <w:tc>
          <w:tcPr>
            <w:tcW w:w="420" w:type="dxa"/>
            <w:vAlign w:val="bottom"/>
            <w:vMerge w:val="restart"/>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60" w:type="dxa"/>
            <w:vAlign w:val="bottom"/>
            <w:vMerge w:val="restart"/>
          </w:tcPr>
          <w:p>
            <w:pPr>
              <w:spacing w:after="0" w:line="20" w:lineRule="exact"/>
              <w:rPr>
                <w:sz w:val="1"/>
                <w:szCs w:val="1"/>
                <w:color w:val="auto"/>
              </w:rPr>
            </w:pPr>
          </w:p>
        </w:tc>
        <w:tc>
          <w:tcPr>
            <w:tcW w:w="160" w:type="dxa"/>
            <w:vAlign w:val="bottom"/>
            <w:vMerge w:val="restart"/>
          </w:tcPr>
          <w:p>
            <w:pPr>
              <w:spacing w:after="0" w:line="20" w:lineRule="exact"/>
              <w:rPr>
                <w:sz w:val="1"/>
                <w:szCs w:val="1"/>
                <w:color w:val="auto"/>
              </w:rPr>
            </w:pPr>
          </w:p>
        </w:tc>
        <w:tc>
          <w:tcPr>
            <w:tcW w:w="200" w:type="dxa"/>
            <w:vAlign w:val="bottom"/>
            <w:vMerge w:val="restart"/>
          </w:tcPr>
          <w:p>
            <w:pPr>
              <w:spacing w:after="0" w:line="20" w:lineRule="exact"/>
              <w:rPr>
                <w:sz w:val="1"/>
                <w:szCs w:val="1"/>
                <w:color w:val="auto"/>
              </w:rPr>
            </w:pPr>
          </w:p>
        </w:tc>
        <w:tc>
          <w:tcPr>
            <w:tcW w:w="400" w:type="dxa"/>
            <w:vAlign w:val="bottom"/>
            <w:tcBorders>
              <w:right w:val="single" w:sz="8" w:color="auto"/>
            </w:tcBorders>
            <w:shd w:val="clear" w:color="auto" w:fill="000000"/>
          </w:tcPr>
          <w:p>
            <w:pPr>
              <w:spacing w:after="0" w:line="20" w:lineRule="exact"/>
              <w:rPr>
                <w:sz w:val="1"/>
                <w:szCs w:val="1"/>
                <w:color w:val="auto"/>
              </w:rPr>
            </w:pPr>
          </w:p>
        </w:tc>
        <w:tc>
          <w:tcPr>
            <w:tcW w:w="400" w:type="dxa"/>
            <w:vAlign w:val="bottom"/>
            <w:vMerge w:val="restart"/>
          </w:tcPr>
          <w:p>
            <w:pPr>
              <w:spacing w:after="0" w:line="20" w:lineRule="exact"/>
              <w:rPr>
                <w:sz w:val="1"/>
                <w:szCs w:val="1"/>
                <w:color w:val="auto"/>
              </w:rPr>
            </w:pPr>
          </w:p>
        </w:tc>
        <w:tc>
          <w:tcPr>
            <w:tcW w:w="200" w:type="dxa"/>
            <w:vAlign w:val="bottom"/>
            <w:vMerge w:val="restart"/>
          </w:tcPr>
          <w:p>
            <w:pPr>
              <w:spacing w:after="0" w:line="20" w:lineRule="exact"/>
              <w:rPr>
                <w:sz w:val="1"/>
                <w:szCs w:val="1"/>
                <w:color w:val="auto"/>
              </w:rPr>
            </w:pPr>
          </w:p>
        </w:tc>
        <w:tc>
          <w:tcPr>
            <w:tcW w:w="180" w:type="dxa"/>
            <w:vAlign w:val="bottom"/>
            <w:vMerge w:val="restart"/>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5540" w:type="dxa"/>
            <w:vAlign w:val="bottom"/>
            <w:gridSpan w:val="2"/>
            <w:vMerge w:val="continue"/>
          </w:tcPr>
          <w:p>
            <w:pPr>
              <w:spacing w:after="0"/>
              <w:rPr>
                <w:sz w:val="19"/>
                <w:szCs w:val="19"/>
                <w:color w:val="auto"/>
              </w:rPr>
            </w:pPr>
          </w:p>
        </w:tc>
        <w:tc>
          <w:tcPr>
            <w:tcW w:w="480" w:type="dxa"/>
            <w:vAlign w:val="bottom"/>
            <w:vMerge w:val="continue"/>
          </w:tcPr>
          <w:p>
            <w:pPr>
              <w:spacing w:after="0"/>
              <w:rPr>
                <w:sz w:val="19"/>
                <w:szCs w:val="19"/>
                <w:color w:val="auto"/>
              </w:rPr>
            </w:pPr>
          </w:p>
        </w:tc>
        <w:tc>
          <w:tcPr>
            <w:tcW w:w="360" w:type="dxa"/>
            <w:vAlign w:val="bottom"/>
            <w:vMerge w:val="continue"/>
          </w:tcPr>
          <w:p>
            <w:pPr>
              <w:spacing w:after="0"/>
              <w:rPr>
                <w:sz w:val="19"/>
                <w:szCs w:val="19"/>
                <w:color w:val="auto"/>
              </w:rPr>
            </w:pPr>
          </w:p>
        </w:tc>
        <w:tc>
          <w:tcPr>
            <w:tcW w:w="320" w:type="dxa"/>
            <w:vAlign w:val="bottom"/>
          </w:tcPr>
          <w:p>
            <w:pPr>
              <w:jc w:val="right"/>
              <w:spacing w:after="0"/>
              <w:rPr>
                <w:sz w:val="20"/>
                <w:szCs w:val="20"/>
                <w:color w:val="auto"/>
              </w:rPr>
            </w:pPr>
            <w:r>
              <w:rPr>
                <w:rFonts w:ascii="Arial" w:cs="Arial" w:eastAsia="Arial" w:hAnsi="Arial"/>
                <w:sz w:val="18"/>
                <w:szCs w:val="18"/>
                <w:color w:val="auto"/>
                <w:w w:val="93"/>
              </w:rPr>
              <w:t>(54)</w:t>
            </w:r>
          </w:p>
        </w:tc>
        <w:tc>
          <w:tcPr>
            <w:tcW w:w="320" w:type="dxa"/>
            <w:vAlign w:val="bottom"/>
            <w:vMerge w:val="continue"/>
          </w:tcPr>
          <w:p>
            <w:pPr>
              <w:spacing w:after="0"/>
              <w:rPr>
                <w:sz w:val="19"/>
                <w:szCs w:val="19"/>
                <w:color w:val="auto"/>
              </w:rPr>
            </w:pPr>
          </w:p>
        </w:tc>
        <w:tc>
          <w:tcPr>
            <w:tcW w:w="420" w:type="dxa"/>
            <w:vAlign w:val="bottom"/>
            <w:vMerge w:val="continue"/>
          </w:tcPr>
          <w:p>
            <w:pPr>
              <w:spacing w:after="0"/>
              <w:rPr>
                <w:sz w:val="19"/>
                <w:szCs w:val="19"/>
                <w:color w:val="auto"/>
              </w:rPr>
            </w:pPr>
          </w:p>
        </w:tc>
        <w:tc>
          <w:tcPr>
            <w:tcW w:w="320" w:type="dxa"/>
            <w:vAlign w:val="bottom"/>
            <w:gridSpan w:val="2"/>
          </w:tcPr>
          <w:p>
            <w:pPr>
              <w:jc w:val="right"/>
              <w:spacing w:after="0"/>
              <w:rPr>
                <w:sz w:val="20"/>
                <w:szCs w:val="20"/>
                <w:color w:val="auto"/>
              </w:rPr>
            </w:pPr>
            <w:r>
              <w:rPr>
                <w:rFonts w:ascii="Arial" w:cs="Arial" w:eastAsia="Arial" w:hAnsi="Arial"/>
                <w:sz w:val="18"/>
                <w:szCs w:val="18"/>
                <w:color w:val="auto"/>
                <w:w w:val="93"/>
              </w:rPr>
              <w:t>(24)</w:t>
            </w:r>
          </w:p>
        </w:tc>
        <w:tc>
          <w:tcPr>
            <w:tcW w:w="360" w:type="dxa"/>
            <w:vAlign w:val="bottom"/>
            <w:vMerge w:val="continue"/>
          </w:tcPr>
          <w:p>
            <w:pPr>
              <w:spacing w:after="0"/>
              <w:rPr>
                <w:sz w:val="19"/>
                <w:szCs w:val="19"/>
                <w:color w:val="auto"/>
              </w:rPr>
            </w:pPr>
          </w:p>
        </w:tc>
        <w:tc>
          <w:tcPr>
            <w:tcW w:w="160" w:type="dxa"/>
            <w:vAlign w:val="bottom"/>
            <w:vMerge w:val="continue"/>
          </w:tcPr>
          <w:p>
            <w:pPr>
              <w:spacing w:after="0"/>
              <w:rPr>
                <w:sz w:val="19"/>
                <w:szCs w:val="19"/>
                <w:color w:val="auto"/>
              </w:rPr>
            </w:pPr>
          </w:p>
        </w:tc>
        <w:tc>
          <w:tcPr>
            <w:tcW w:w="200" w:type="dxa"/>
            <w:vAlign w:val="bottom"/>
            <w:vMerge w:val="continue"/>
          </w:tcPr>
          <w:p>
            <w:pPr>
              <w:spacing w:after="0"/>
              <w:rPr>
                <w:sz w:val="19"/>
                <w:szCs w:val="19"/>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(29)</w:t>
            </w:r>
          </w:p>
        </w:tc>
        <w:tc>
          <w:tcPr>
            <w:tcW w:w="400" w:type="dxa"/>
            <w:vAlign w:val="bottom"/>
            <w:vMerge w:val="continue"/>
          </w:tcPr>
          <w:p>
            <w:pPr>
              <w:spacing w:after="0"/>
              <w:rPr>
                <w:sz w:val="19"/>
                <w:szCs w:val="19"/>
                <w:color w:val="auto"/>
              </w:rPr>
            </w:pPr>
          </w:p>
        </w:tc>
        <w:tc>
          <w:tcPr>
            <w:tcW w:w="200" w:type="dxa"/>
            <w:vAlign w:val="bottom"/>
            <w:vMerge w:val="continue"/>
          </w:tcPr>
          <w:p>
            <w:pPr>
              <w:spacing w:after="0"/>
              <w:rPr>
                <w:sz w:val="19"/>
                <w:szCs w:val="19"/>
                <w:color w:val="auto"/>
              </w:rPr>
            </w:pPr>
          </w:p>
        </w:tc>
        <w:tc>
          <w:tcPr>
            <w:tcW w:w="180" w:type="dxa"/>
            <w:vAlign w:val="bottom"/>
            <w:vMerge w:val="continue"/>
          </w:tcPr>
          <w:p>
            <w:pPr>
              <w:spacing w:after="0"/>
              <w:rPr>
                <w:sz w:val="19"/>
                <w:szCs w:val="19"/>
                <w:color w:val="auto"/>
              </w:rPr>
            </w:pPr>
          </w:p>
        </w:tc>
        <w:tc>
          <w:tcPr>
            <w:tcW w:w="480" w:type="dxa"/>
            <w:vAlign w:val="bottom"/>
            <w:gridSpan w:val="2"/>
          </w:tcPr>
          <w:p>
            <w:pPr>
              <w:jc w:val="right"/>
              <w:spacing w:after="0"/>
              <w:rPr>
                <w:sz w:val="20"/>
                <w:szCs w:val="20"/>
                <w:color w:val="auto"/>
              </w:rPr>
            </w:pPr>
            <w:r>
              <w:rPr>
                <w:rFonts w:ascii="Arial" w:cs="Arial" w:eastAsia="Arial" w:hAnsi="Arial"/>
                <w:sz w:val="18"/>
                <w:szCs w:val="18"/>
                <w:color w:val="auto"/>
              </w:rPr>
              <w:t>(9)</w:t>
            </w: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20" w:type="dxa"/>
            <w:vAlign w:val="bottom"/>
            <w:shd w:val="clear" w:color="auto" w:fill="CCEEFF"/>
          </w:tcPr>
          <w:p>
            <w:pPr>
              <w:spacing w:after="0"/>
              <w:rPr>
                <w:sz w:val="20"/>
                <w:szCs w:val="20"/>
                <w:color w:val="auto"/>
              </w:rPr>
            </w:pPr>
            <w:r>
              <w:rPr>
                <w:rFonts w:ascii="Arial" w:cs="Arial" w:eastAsia="Arial" w:hAnsi="Arial"/>
                <w:sz w:val="18"/>
                <w:szCs w:val="18"/>
                <w:color w:val="auto"/>
              </w:rPr>
              <w:t>Provision for income taxes</w:t>
            </w:r>
          </w:p>
        </w:tc>
        <w:tc>
          <w:tcPr>
            <w:tcW w:w="4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7"/>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680" w:type="dxa"/>
            <w:vAlign w:val="bottom"/>
            <w:gridSpan w:val="3"/>
            <w:shd w:val="clear" w:color="auto" w:fill="CCEEFF"/>
          </w:tcPr>
          <w:p>
            <w:pPr>
              <w:jc w:val="right"/>
              <w:ind w:right="230"/>
              <w:spacing w:after="0"/>
              <w:rPr>
                <w:sz w:val="20"/>
                <w:szCs w:val="20"/>
                <w:color w:val="auto"/>
              </w:rPr>
            </w:pPr>
            <w:r>
              <w:rPr>
                <w:rFonts w:ascii="Arial" w:cs="Arial" w:eastAsia="Arial" w:hAnsi="Arial"/>
                <w:sz w:val="18"/>
                <w:szCs w:val="18"/>
                <w:color w:val="auto"/>
              </w:rPr>
              <w:t>(1)</w:t>
            </w:r>
          </w:p>
        </w:tc>
        <w:tc>
          <w:tcPr>
            <w:tcW w:w="1160" w:type="dxa"/>
            <w:vAlign w:val="bottom"/>
            <w:gridSpan w:val="4"/>
            <w:shd w:val="clear" w:color="auto" w:fill="CCEEFF"/>
          </w:tcPr>
          <w:p>
            <w:pPr>
              <w:jc w:val="right"/>
              <w:ind w:right="270"/>
              <w:spacing w:after="0"/>
              <w:rPr>
                <w:sz w:val="20"/>
                <w:szCs w:val="20"/>
                <w:color w:val="auto"/>
              </w:rPr>
            </w:pPr>
            <w:r>
              <w:rPr>
                <w:rFonts w:ascii="Arial" w:cs="Arial" w:eastAsia="Arial" w:hAnsi="Arial"/>
                <w:sz w:val="18"/>
                <w:szCs w:val="18"/>
                <w:color w:val="auto"/>
              </w:rPr>
              <w:t>(1)</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gridSpan w:val="3"/>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5540" w:type="dxa"/>
            <w:vAlign w:val="bottom"/>
            <w:gridSpan w:val="2"/>
            <w:vMerge w:val="restart"/>
          </w:tcPr>
          <w:p>
            <w:pPr>
              <w:spacing w:after="0"/>
              <w:rPr>
                <w:sz w:val="20"/>
                <w:szCs w:val="20"/>
                <w:color w:val="auto"/>
              </w:rPr>
            </w:pPr>
            <w:r>
              <w:rPr>
                <w:rFonts w:ascii="Arial" w:cs="Arial" w:eastAsia="Arial" w:hAnsi="Arial"/>
                <w:sz w:val="18"/>
                <w:szCs w:val="18"/>
                <w:color w:val="auto"/>
              </w:rPr>
              <w:t>Net loss</w:t>
            </w:r>
          </w:p>
        </w:tc>
        <w:tc>
          <w:tcPr>
            <w:tcW w:w="480" w:type="dxa"/>
            <w:vAlign w:val="bottom"/>
            <w:vMerge w:val="restart"/>
          </w:tcPr>
          <w:p>
            <w:pPr>
              <w:spacing w:after="0" w:line="20" w:lineRule="exact"/>
              <w:rPr>
                <w:sz w:val="1"/>
                <w:szCs w:val="1"/>
                <w:color w:val="auto"/>
              </w:rPr>
            </w:pPr>
          </w:p>
        </w:tc>
        <w:tc>
          <w:tcPr>
            <w:tcW w:w="360" w:type="dxa"/>
            <w:vAlign w:val="bottom"/>
            <w:vMerge w:val="restart"/>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320" w:type="dxa"/>
            <w:vAlign w:val="bottom"/>
            <w:vMerge w:val="restart"/>
          </w:tcPr>
          <w:p>
            <w:pPr>
              <w:jc w:val="center"/>
              <w:spacing w:after="0"/>
              <w:rPr>
                <w:sz w:val="20"/>
                <w:szCs w:val="20"/>
                <w:color w:val="auto"/>
              </w:rPr>
            </w:pPr>
            <w:r>
              <w:rPr>
                <w:rFonts w:ascii="Arial" w:cs="Arial" w:eastAsia="Arial" w:hAnsi="Arial"/>
                <w:sz w:val="18"/>
                <w:szCs w:val="18"/>
                <w:color w:val="auto"/>
                <w:w w:val="87"/>
              </w:rPr>
              <w:t>%</w:t>
            </w:r>
          </w:p>
        </w:tc>
        <w:tc>
          <w:tcPr>
            <w:tcW w:w="420" w:type="dxa"/>
            <w:vAlign w:val="bottom"/>
            <w:vMerge w:val="restart"/>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60" w:type="dxa"/>
            <w:vAlign w:val="bottom"/>
            <w:vMerge w:val="restart"/>
          </w:tcPr>
          <w:p>
            <w:pPr>
              <w:jc w:val="right"/>
              <w:ind w:right="70"/>
              <w:spacing w:after="0"/>
              <w:rPr>
                <w:sz w:val="20"/>
                <w:szCs w:val="20"/>
                <w:color w:val="auto"/>
              </w:rPr>
            </w:pPr>
            <w:r>
              <w:rPr>
                <w:rFonts w:ascii="Arial" w:cs="Arial" w:eastAsia="Arial" w:hAnsi="Arial"/>
                <w:sz w:val="18"/>
                <w:szCs w:val="18"/>
                <w:color w:val="auto"/>
              </w:rPr>
              <w:t>%</w:t>
            </w:r>
          </w:p>
        </w:tc>
        <w:tc>
          <w:tcPr>
            <w:tcW w:w="160" w:type="dxa"/>
            <w:vAlign w:val="bottom"/>
            <w:vMerge w:val="restart"/>
          </w:tcPr>
          <w:p>
            <w:pPr>
              <w:spacing w:after="0" w:line="20" w:lineRule="exact"/>
              <w:rPr>
                <w:sz w:val="1"/>
                <w:szCs w:val="1"/>
                <w:color w:val="auto"/>
              </w:rPr>
            </w:pPr>
          </w:p>
        </w:tc>
        <w:tc>
          <w:tcPr>
            <w:tcW w:w="200" w:type="dxa"/>
            <w:vAlign w:val="bottom"/>
            <w:vMerge w:val="restart"/>
          </w:tcPr>
          <w:p>
            <w:pPr>
              <w:spacing w:after="0" w:line="20" w:lineRule="exact"/>
              <w:rPr>
                <w:sz w:val="1"/>
                <w:szCs w:val="1"/>
                <w:color w:val="auto"/>
              </w:rPr>
            </w:pPr>
          </w:p>
        </w:tc>
        <w:tc>
          <w:tcPr>
            <w:tcW w:w="400" w:type="dxa"/>
            <w:vAlign w:val="bottom"/>
            <w:tcBorders>
              <w:right w:val="single" w:sz="8" w:color="auto"/>
            </w:tcBorders>
            <w:shd w:val="clear" w:color="auto" w:fill="000000"/>
          </w:tcPr>
          <w:p>
            <w:pPr>
              <w:spacing w:after="0" w:line="20" w:lineRule="exact"/>
              <w:rPr>
                <w:sz w:val="1"/>
                <w:szCs w:val="1"/>
                <w:color w:val="auto"/>
              </w:rPr>
            </w:pPr>
          </w:p>
        </w:tc>
        <w:tc>
          <w:tcPr>
            <w:tcW w:w="400" w:type="dxa"/>
            <w:vAlign w:val="bottom"/>
            <w:vMerge w:val="restart"/>
          </w:tcPr>
          <w:p>
            <w:pPr>
              <w:jc w:val="right"/>
              <w:ind w:right="110"/>
              <w:spacing w:after="0"/>
              <w:rPr>
                <w:sz w:val="20"/>
                <w:szCs w:val="20"/>
                <w:color w:val="auto"/>
              </w:rPr>
            </w:pPr>
            <w:r>
              <w:rPr>
                <w:rFonts w:ascii="Arial" w:cs="Arial" w:eastAsia="Arial" w:hAnsi="Arial"/>
                <w:sz w:val="18"/>
                <w:szCs w:val="18"/>
                <w:color w:val="auto"/>
              </w:rPr>
              <w:t>%</w:t>
            </w:r>
          </w:p>
        </w:tc>
        <w:tc>
          <w:tcPr>
            <w:tcW w:w="200" w:type="dxa"/>
            <w:vAlign w:val="bottom"/>
            <w:vMerge w:val="restart"/>
          </w:tcPr>
          <w:p>
            <w:pPr>
              <w:spacing w:after="0" w:line="20" w:lineRule="exact"/>
              <w:rPr>
                <w:sz w:val="1"/>
                <w:szCs w:val="1"/>
                <w:color w:val="auto"/>
              </w:rPr>
            </w:pPr>
          </w:p>
        </w:tc>
        <w:tc>
          <w:tcPr>
            <w:tcW w:w="180" w:type="dxa"/>
            <w:vAlign w:val="bottom"/>
            <w:vMerge w:val="restart"/>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5540" w:type="dxa"/>
            <w:vAlign w:val="bottom"/>
            <w:gridSpan w:val="2"/>
            <w:vMerge w:val="continue"/>
          </w:tcPr>
          <w:p>
            <w:pPr>
              <w:spacing w:after="0"/>
              <w:rPr>
                <w:sz w:val="19"/>
                <w:szCs w:val="19"/>
                <w:color w:val="auto"/>
              </w:rPr>
            </w:pPr>
          </w:p>
        </w:tc>
        <w:tc>
          <w:tcPr>
            <w:tcW w:w="480" w:type="dxa"/>
            <w:vAlign w:val="bottom"/>
            <w:vMerge w:val="continue"/>
          </w:tcPr>
          <w:p>
            <w:pPr>
              <w:spacing w:after="0"/>
              <w:rPr>
                <w:sz w:val="19"/>
                <w:szCs w:val="19"/>
                <w:color w:val="auto"/>
              </w:rPr>
            </w:pPr>
          </w:p>
        </w:tc>
        <w:tc>
          <w:tcPr>
            <w:tcW w:w="360" w:type="dxa"/>
            <w:vAlign w:val="bottom"/>
            <w:vMerge w:val="continue"/>
          </w:tcPr>
          <w:p>
            <w:pPr>
              <w:spacing w:after="0"/>
              <w:rPr>
                <w:sz w:val="19"/>
                <w:szCs w:val="19"/>
                <w:color w:val="auto"/>
              </w:rPr>
            </w:pPr>
          </w:p>
        </w:tc>
        <w:tc>
          <w:tcPr>
            <w:tcW w:w="320" w:type="dxa"/>
            <w:vAlign w:val="bottom"/>
          </w:tcPr>
          <w:p>
            <w:pPr>
              <w:jc w:val="right"/>
              <w:spacing w:after="0"/>
              <w:rPr>
                <w:sz w:val="20"/>
                <w:szCs w:val="20"/>
                <w:color w:val="auto"/>
              </w:rPr>
            </w:pPr>
            <w:r>
              <w:rPr>
                <w:rFonts w:ascii="Arial" w:cs="Arial" w:eastAsia="Arial" w:hAnsi="Arial"/>
                <w:sz w:val="18"/>
                <w:szCs w:val="18"/>
                <w:color w:val="auto"/>
                <w:w w:val="93"/>
              </w:rPr>
              <w:t>(54)</w:t>
            </w:r>
          </w:p>
        </w:tc>
        <w:tc>
          <w:tcPr>
            <w:tcW w:w="320" w:type="dxa"/>
            <w:vAlign w:val="bottom"/>
            <w:vMerge w:val="continue"/>
          </w:tcPr>
          <w:p>
            <w:pPr>
              <w:spacing w:after="0"/>
              <w:rPr>
                <w:sz w:val="19"/>
                <w:szCs w:val="19"/>
                <w:color w:val="auto"/>
              </w:rPr>
            </w:pPr>
          </w:p>
        </w:tc>
        <w:tc>
          <w:tcPr>
            <w:tcW w:w="420" w:type="dxa"/>
            <w:vAlign w:val="bottom"/>
            <w:vMerge w:val="continue"/>
          </w:tcPr>
          <w:p>
            <w:pPr>
              <w:spacing w:after="0"/>
              <w:rPr>
                <w:sz w:val="19"/>
                <w:szCs w:val="19"/>
                <w:color w:val="auto"/>
              </w:rPr>
            </w:pPr>
          </w:p>
        </w:tc>
        <w:tc>
          <w:tcPr>
            <w:tcW w:w="320" w:type="dxa"/>
            <w:vAlign w:val="bottom"/>
            <w:gridSpan w:val="2"/>
          </w:tcPr>
          <w:p>
            <w:pPr>
              <w:jc w:val="right"/>
              <w:spacing w:after="0"/>
              <w:rPr>
                <w:sz w:val="20"/>
                <w:szCs w:val="20"/>
                <w:color w:val="auto"/>
              </w:rPr>
            </w:pPr>
            <w:r>
              <w:rPr>
                <w:rFonts w:ascii="Arial" w:cs="Arial" w:eastAsia="Arial" w:hAnsi="Arial"/>
                <w:sz w:val="18"/>
                <w:szCs w:val="18"/>
                <w:color w:val="auto"/>
                <w:w w:val="93"/>
              </w:rPr>
              <w:t>(25)</w:t>
            </w:r>
          </w:p>
        </w:tc>
        <w:tc>
          <w:tcPr>
            <w:tcW w:w="360" w:type="dxa"/>
            <w:vAlign w:val="bottom"/>
            <w:vMerge w:val="continue"/>
          </w:tcPr>
          <w:p>
            <w:pPr>
              <w:spacing w:after="0"/>
              <w:rPr>
                <w:sz w:val="19"/>
                <w:szCs w:val="19"/>
                <w:color w:val="auto"/>
              </w:rPr>
            </w:pPr>
          </w:p>
        </w:tc>
        <w:tc>
          <w:tcPr>
            <w:tcW w:w="160" w:type="dxa"/>
            <w:vAlign w:val="bottom"/>
            <w:vMerge w:val="continue"/>
          </w:tcPr>
          <w:p>
            <w:pPr>
              <w:spacing w:after="0"/>
              <w:rPr>
                <w:sz w:val="19"/>
                <w:szCs w:val="19"/>
                <w:color w:val="auto"/>
              </w:rPr>
            </w:pPr>
          </w:p>
        </w:tc>
        <w:tc>
          <w:tcPr>
            <w:tcW w:w="200" w:type="dxa"/>
            <w:vAlign w:val="bottom"/>
            <w:vMerge w:val="continue"/>
          </w:tcPr>
          <w:p>
            <w:pPr>
              <w:spacing w:after="0"/>
              <w:rPr>
                <w:sz w:val="19"/>
                <w:szCs w:val="19"/>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(30)</w:t>
            </w:r>
          </w:p>
        </w:tc>
        <w:tc>
          <w:tcPr>
            <w:tcW w:w="400" w:type="dxa"/>
            <w:vAlign w:val="bottom"/>
            <w:vMerge w:val="continue"/>
          </w:tcPr>
          <w:p>
            <w:pPr>
              <w:spacing w:after="0"/>
              <w:rPr>
                <w:sz w:val="19"/>
                <w:szCs w:val="19"/>
                <w:color w:val="auto"/>
              </w:rPr>
            </w:pPr>
          </w:p>
        </w:tc>
        <w:tc>
          <w:tcPr>
            <w:tcW w:w="200" w:type="dxa"/>
            <w:vAlign w:val="bottom"/>
            <w:vMerge w:val="continue"/>
          </w:tcPr>
          <w:p>
            <w:pPr>
              <w:spacing w:after="0"/>
              <w:rPr>
                <w:sz w:val="19"/>
                <w:szCs w:val="19"/>
                <w:color w:val="auto"/>
              </w:rPr>
            </w:pPr>
          </w:p>
        </w:tc>
        <w:tc>
          <w:tcPr>
            <w:tcW w:w="180" w:type="dxa"/>
            <w:vAlign w:val="bottom"/>
            <w:vMerge w:val="continue"/>
          </w:tcPr>
          <w:p>
            <w:pPr>
              <w:spacing w:after="0"/>
              <w:rPr>
                <w:sz w:val="19"/>
                <w:szCs w:val="19"/>
                <w:color w:val="auto"/>
              </w:rPr>
            </w:pPr>
          </w:p>
        </w:tc>
        <w:tc>
          <w:tcPr>
            <w:tcW w:w="680" w:type="dxa"/>
            <w:vAlign w:val="bottom"/>
            <w:gridSpan w:val="3"/>
          </w:tcPr>
          <w:p>
            <w:pPr>
              <w:jc w:val="right"/>
              <w:ind w:right="60"/>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0"/>
        </w:trPr>
        <w:tc>
          <w:tcPr>
            <w:tcW w:w="5540" w:type="dxa"/>
            <w:vAlign w:val="bottom"/>
            <w:gridSpan w:val="2"/>
            <w:vMerge w:val="restart"/>
          </w:tcPr>
          <w:p>
            <w:pPr>
              <w:spacing w:after="0"/>
              <w:rPr>
                <w:sz w:val="20"/>
                <w:szCs w:val="20"/>
                <w:color w:val="auto"/>
              </w:rPr>
            </w:pPr>
            <w:r>
              <w:rPr>
                <w:rFonts w:ascii="Arial" w:cs="Arial" w:eastAsia="Arial" w:hAnsi="Arial"/>
                <w:sz w:val="18"/>
                <w:szCs w:val="18"/>
                <w:b w:val="1"/>
                <w:bCs w:val="1"/>
                <w:i w:val="1"/>
                <w:iCs w:val="1"/>
                <w:color w:val="auto"/>
                <w:w w:val="94"/>
              </w:rPr>
              <w:t>Comparison of the nine months ended September 30, 2016 and 2017</w:t>
            </w:r>
          </w:p>
        </w:tc>
        <w:tc>
          <w:tcPr>
            <w:tcW w:w="4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34"/>
        </w:trPr>
        <w:tc>
          <w:tcPr>
            <w:tcW w:w="5540" w:type="dxa"/>
            <w:vAlign w:val="bottom"/>
            <w:gridSpan w:val="2"/>
            <w:vMerge w:val="continue"/>
          </w:tcPr>
          <w:p>
            <w:pPr>
              <w:spacing w:after="0"/>
              <w:rPr>
                <w:sz w:val="24"/>
                <w:szCs w:val="24"/>
                <w:color w:val="auto"/>
              </w:rPr>
            </w:pPr>
          </w:p>
        </w:tc>
        <w:tc>
          <w:tcPr>
            <w:tcW w:w="4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5540" w:type="dxa"/>
            <w:vAlign w:val="bottom"/>
            <w:gridSpan w:val="2"/>
          </w:tcPr>
          <w:p>
            <w:pPr>
              <w:spacing w:after="0"/>
              <w:rPr>
                <w:sz w:val="20"/>
                <w:szCs w:val="20"/>
                <w:color w:val="auto"/>
              </w:rPr>
            </w:pPr>
            <w:r>
              <w:rPr>
                <w:rFonts w:ascii="Arial" w:cs="Arial" w:eastAsia="Arial" w:hAnsi="Arial"/>
                <w:sz w:val="18"/>
                <w:szCs w:val="18"/>
                <w:i w:val="1"/>
                <w:iCs w:val="1"/>
                <w:color w:val="auto"/>
              </w:rPr>
              <w:t>Revenue</w:t>
            </w:r>
          </w:p>
        </w:tc>
        <w:tc>
          <w:tcPr>
            <w:tcW w:w="4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9"/>
        </w:trPr>
        <w:tc>
          <w:tcPr>
            <w:tcW w:w="20" w:type="dxa"/>
            <w:vAlign w:val="bottom"/>
          </w:tcPr>
          <w:p>
            <w:pPr>
              <w:spacing w:after="0"/>
              <w:rPr>
                <w:sz w:val="24"/>
                <w:szCs w:val="24"/>
                <w:color w:val="auto"/>
              </w:rPr>
            </w:pPr>
          </w:p>
        </w:tc>
        <w:tc>
          <w:tcPr>
            <w:tcW w:w="55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100" w:type="dxa"/>
            <w:vAlign w:val="bottom"/>
            <w:gridSpan w:val="7"/>
          </w:tcPr>
          <w:p>
            <w:pPr>
              <w:jc w:val="center"/>
              <w:ind w:right="350"/>
              <w:spacing w:after="0"/>
              <w:rPr>
                <w:sz w:val="20"/>
                <w:szCs w:val="20"/>
                <w:color w:val="auto"/>
              </w:rPr>
            </w:pPr>
            <w:r>
              <w:rPr>
                <w:rFonts w:ascii="Arial" w:cs="Arial" w:eastAsia="Arial" w:hAnsi="Arial"/>
                <w:sz w:val="14"/>
                <w:szCs w:val="14"/>
                <w:b w:val="1"/>
                <w:bCs w:val="1"/>
                <w:color w:val="auto"/>
                <w:w w:val="90"/>
              </w:rPr>
              <w:t>Nine months ended</w:t>
            </w:r>
          </w:p>
        </w:tc>
        <w:tc>
          <w:tcPr>
            <w:tcW w:w="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55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740" w:type="dxa"/>
            <w:vAlign w:val="bottom"/>
            <w:gridSpan w:val="6"/>
          </w:tcPr>
          <w:p>
            <w:pPr>
              <w:jc w:val="center"/>
              <w:ind w:right="730"/>
              <w:spacing w:after="0"/>
              <w:rPr>
                <w:sz w:val="20"/>
                <w:szCs w:val="20"/>
                <w:color w:val="auto"/>
              </w:rPr>
            </w:pPr>
            <w:r>
              <w:rPr>
                <w:rFonts w:ascii="Arial" w:cs="Arial" w:eastAsia="Arial" w:hAnsi="Arial"/>
                <w:sz w:val="14"/>
                <w:szCs w:val="14"/>
                <w:b w:val="1"/>
                <w:bCs w:val="1"/>
                <w:color w:val="auto"/>
                <w:w w:val="91"/>
              </w:rPr>
              <w:t>September 30,</w:t>
            </w:r>
          </w:p>
        </w:tc>
        <w:tc>
          <w:tcPr>
            <w:tcW w:w="1160" w:type="dxa"/>
            <w:vAlign w:val="bottom"/>
            <w:gridSpan w:val="4"/>
            <w:vMerge w:val="restart"/>
          </w:tcPr>
          <w:p>
            <w:pPr>
              <w:jc w:val="right"/>
              <w:ind w:right="330"/>
              <w:spacing w:after="0"/>
              <w:rPr>
                <w:sz w:val="20"/>
                <w:szCs w:val="20"/>
                <w:color w:val="auto"/>
              </w:rPr>
            </w:pPr>
            <w:r>
              <w:rPr>
                <w:rFonts w:ascii="Arial" w:cs="Arial" w:eastAsia="Arial" w:hAnsi="Arial"/>
                <w:sz w:val="14"/>
                <w:szCs w:val="14"/>
                <w:b w:val="1"/>
                <w:bCs w:val="1"/>
                <w:color w:val="auto"/>
              </w:rPr>
              <w:t>$ Change</w:t>
            </w:r>
          </w:p>
        </w:tc>
        <w:tc>
          <w:tcPr>
            <w:tcW w:w="1060" w:type="dxa"/>
            <w:vAlign w:val="bottom"/>
            <w:gridSpan w:val="5"/>
            <w:vMerge w:val="restart"/>
          </w:tcPr>
          <w:p>
            <w:pPr>
              <w:jc w:val="right"/>
              <w:ind w:right="220"/>
              <w:spacing w:after="0"/>
              <w:rPr>
                <w:sz w:val="20"/>
                <w:szCs w:val="20"/>
                <w:color w:val="auto"/>
              </w:rPr>
            </w:pPr>
            <w:r>
              <w:rPr>
                <w:rFonts w:ascii="Arial" w:cs="Arial" w:eastAsia="Arial" w:hAnsi="Arial"/>
                <w:sz w:val="14"/>
                <w:szCs w:val="14"/>
                <w:b w:val="1"/>
                <w:bCs w:val="1"/>
                <w:color w:val="auto"/>
              </w:rPr>
              <w:t>% Change</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5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680" w:type="dxa"/>
            <w:vAlign w:val="bottom"/>
            <w:tcBorders>
              <w:top w:val="single" w:sz="8" w:color="auto"/>
            </w:tcBorders>
            <w:gridSpan w:val="2"/>
          </w:tcPr>
          <w:p>
            <w:pPr>
              <w:jc w:val="right"/>
              <w:ind w:right="197"/>
              <w:spacing w:after="0" w:line="142" w:lineRule="exact"/>
              <w:rPr>
                <w:sz w:val="20"/>
                <w:szCs w:val="20"/>
                <w:color w:val="auto"/>
              </w:rPr>
            </w:pPr>
            <w:r>
              <w:rPr>
                <w:rFonts w:ascii="Arial" w:cs="Arial" w:eastAsia="Arial" w:hAnsi="Arial"/>
                <w:sz w:val="14"/>
                <w:szCs w:val="14"/>
                <w:b w:val="1"/>
                <w:bCs w:val="1"/>
                <w:color w:val="auto"/>
              </w:rPr>
              <w:t>2016</w:t>
            </w:r>
          </w:p>
        </w:tc>
        <w:tc>
          <w:tcPr>
            <w:tcW w:w="320" w:type="dxa"/>
            <w:vAlign w:val="bottom"/>
            <w:tcBorders>
              <w:top w:val="single" w:sz="8" w:color="auto"/>
            </w:tcBorders>
          </w:tcPr>
          <w:p>
            <w:pPr>
              <w:spacing w:after="0"/>
              <w:rPr>
                <w:sz w:val="12"/>
                <w:szCs w:val="12"/>
                <w:color w:val="auto"/>
              </w:rPr>
            </w:pPr>
          </w:p>
        </w:tc>
        <w:tc>
          <w:tcPr>
            <w:tcW w:w="660" w:type="dxa"/>
            <w:vAlign w:val="bottom"/>
            <w:tcBorders>
              <w:top w:val="single" w:sz="8" w:color="auto"/>
            </w:tcBorders>
            <w:gridSpan w:val="2"/>
          </w:tcPr>
          <w:p>
            <w:pPr>
              <w:jc w:val="right"/>
              <w:ind w:right="53"/>
              <w:spacing w:after="0" w:line="142" w:lineRule="exact"/>
              <w:rPr>
                <w:sz w:val="20"/>
                <w:szCs w:val="20"/>
                <w:color w:val="auto"/>
              </w:rPr>
            </w:pPr>
            <w:r>
              <w:rPr>
                <w:rFonts w:ascii="Arial" w:cs="Arial" w:eastAsia="Arial" w:hAnsi="Arial"/>
                <w:sz w:val="14"/>
                <w:szCs w:val="14"/>
                <w:b w:val="1"/>
                <w:bCs w:val="1"/>
                <w:color w:val="auto"/>
              </w:rPr>
              <w:t>2017</w:t>
            </w:r>
          </w:p>
        </w:tc>
        <w:tc>
          <w:tcPr>
            <w:tcW w:w="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160" w:type="dxa"/>
            <w:vAlign w:val="bottom"/>
            <w:gridSpan w:val="4"/>
            <w:vMerge w:val="continue"/>
          </w:tcPr>
          <w:p>
            <w:pPr>
              <w:spacing w:after="0"/>
              <w:rPr>
                <w:sz w:val="12"/>
                <w:szCs w:val="12"/>
                <w:color w:val="auto"/>
              </w:rPr>
            </w:pPr>
          </w:p>
        </w:tc>
        <w:tc>
          <w:tcPr>
            <w:tcW w:w="1060" w:type="dxa"/>
            <w:vAlign w:val="bottom"/>
            <w:gridSpan w:val="5"/>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5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360" w:type="dxa"/>
            <w:vAlign w:val="bottom"/>
            <w:tcBorders>
              <w:top w:val="single" w:sz="8" w:color="auto"/>
            </w:tcBorders>
          </w:tcPr>
          <w:p>
            <w:pPr>
              <w:spacing w:after="0"/>
              <w:rPr>
                <w:sz w:val="12"/>
                <w:szCs w:val="12"/>
                <w:color w:val="auto"/>
              </w:rPr>
            </w:pPr>
          </w:p>
        </w:tc>
        <w:tc>
          <w:tcPr>
            <w:tcW w:w="1300" w:type="dxa"/>
            <w:vAlign w:val="bottom"/>
            <w:tcBorders>
              <w:top w:val="single" w:sz="8" w:color="auto"/>
            </w:tcBorders>
            <w:gridSpan w:val="4"/>
          </w:tcPr>
          <w:p>
            <w:pPr>
              <w:jc w:val="center"/>
              <w:ind w:right="293"/>
              <w:spacing w:after="0" w:line="142" w:lineRule="exact"/>
              <w:rPr>
                <w:sz w:val="20"/>
                <w:szCs w:val="20"/>
                <w:color w:val="auto"/>
              </w:rPr>
            </w:pPr>
            <w:r>
              <w:rPr>
                <w:rFonts w:ascii="Arial" w:cs="Arial" w:eastAsia="Arial" w:hAnsi="Arial"/>
                <w:sz w:val="14"/>
                <w:szCs w:val="14"/>
                <w:i w:val="1"/>
                <w:iCs w:val="1"/>
                <w:color w:val="auto"/>
              </w:rPr>
              <w:t>(In millions)</w:t>
            </w:r>
          </w:p>
        </w:tc>
        <w:tc>
          <w:tcPr>
            <w:tcW w:w="440" w:type="dxa"/>
            <w:vAlign w:val="bottom"/>
            <w:gridSpan w:val="2"/>
          </w:tcPr>
          <w:p>
            <w:pPr>
              <w:spacing w:after="0"/>
              <w:rPr>
                <w:sz w:val="12"/>
                <w:szCs w:val="12"/>
                <w:color w:val="auto"/>
              </w:rPr>
            </w:pPr>
          </w:p>
        </w:tc>
        <w:tc>
          <w:tcPr>
            <w:tcW w:w="160" w:type="dxa"/>
            <w:vAlign w:val="bottom"/>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400" w:type="dxa"/>
            <w:vAlign w:val="bottom"/>
            <w:tcBorders>
              <w:top w:val="single" w:sz="8" w:color="auto"/>
            </w:tcBorders>
          </w:tcPr>
          <w:p>
            <w:pPr>
              <w:spacing w:after="0"/>
              <w:rPr>
                <w:sz w:val="12"/>
                <w:szCs w:val="12"/>
                <w:color w:val="auto"/>
              </w:rPr>
            </w:pPr>
          </w:p>
        </w:tc>
        <w:tc>
          <w:tcPr>
            <w:tcW w:w="4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420" w:type="dxa"/>
            <w:vAlign w:val="bottom"/>
            <w:tcBorders>
              <w:top w:val="single" w:sz="8" w:color="auto"/>
            </w:tcBorders>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20" w:type="dxa"/>
            <w:vAlign w:val="bottom"/>
            <w:shd w:val="clear" w:color="auto" w:fill="CCEEFF"/>
          </w:tcPr>
          <w:p>
            <w:pPr>
              <w:spacing w:after="0"/>
              <w:rPr>
                <w:sz w:val="20"/>
                <w:szCs w:val="20"/>
                <w:color w:val="auto"/>
              </w:rPr>
            </w:pPr>
            <w:r>
              <w:rPr>
                <w:rFonts w:ascii="Arial" w:cs="Arial" w:eastAsia="Arial" w:hAnsi="Arial"/>
                <w:sz w:val="18"/>
                <w:szCs w:val="18"/>
                <w:color w:val="auto"/>
              </w:rPr>
              <w:t>Revenue</w:t>
            </w:r>
          </w:p>
        </w:tc>
        <w:tc>
          <w:tcPr>
            <w:tcW w:w="1160" w:type="dxa"/>
            <w:vAlign w:val="bottom"/>
            <w:gridSpan w:val="3"/>
            <w:shd w:val="clear" w:color="auto" w:fill="CCEEFF"/>
          </w:tcPr>
          <w:p>
            <w:pPr>
              <w:jc w:val="right"/>
              <w:ind w:right="77"/>
              <w:spacing w:after="0"/>
              <w:rPr>
                <w:sz w:val="20"/>
                <w:szCs w:val="20"/>
                <w:color w:val="auto"/>
              </w:rPr>
            </w:pPr>
            <w:r>
              <w:rPr>
                <w:rFonts w:ascii="Arial" w:cs="Arial" w:eastAsia="Arial" w:hAnsi="Arial"/>
                <w:sz w:val="18"/>
                <w:szCs w:val="18"/>
                <w:color w:val="auto"/>
              </w:rPr>
              <w:t>$606.8</w:t>
            </w:r>
          </w:p>
        </w:tc>
        <w:tc>
          <w:tcPr>
            <w:tcW w:w="32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$ 801.3</w:t>
            </w: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760" w:type="dxa"/>
            <w:vAlign w:val="bottom"/>
            <w:tcBorders>
              <w:right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$ 194.5</w:t>
            </w:r>
          </w:p>
        </w:tc>
        <w:tc>
          <w:tcPr>
            <w:tcW w:w="400" w:type="dxa"/>
            <w:vAlign w:val="bottom"/>
            <w:shd w:val="clear" w:color="auto" w:fill="CCEEFF"/>
          </w:tcPr>
          <w:p>
            <w:pPr>
              <w:spacing w:after="0"/>
              <w:rPr>
                <w:sz w:val="18"/>
                <w:szCs w:val="18"/>
                <w:color w:val="auto"/>
              </w:rPr>
            </w:pPr>
          </w:p>
        </w:tc>
        <w:tc>
          <w:tcPr>
            <w:tcW w:w="1060" w:type="dxa"/>
            <w:vAlign w:val="bottom"/>
            <w:gridSpan w:val="5"/>
            <w:shd w:val="clear" w:color="auto" w:fill="CCEEFF"/>
          </w:tcPr>
          <w:p>
            <w:pPr>
              <w:jc w:val="right"/>
              <w:ind w:right="60"/>
              <w:spacing w:after="0"/>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right="320" w:firstLine="449"/>
        <w:spacing w:after="0" w:line="259" w:lineRule="auto"/>
        <w:rPr>
          <w:sz w:val="20"/>
          <w:szCs w:val="20"/>
          <w:color w:val="auto"/>
        </w:rPr>
      </w:pPr>
      <w:r>
        <w:rPr>
          <w:rFonts w:ascii="Arial" w:cs="Arial" w:eastAsia="Arial" w:hAnsi="Arial"/>
          <w:sz w:val="18"/>
          <w:szCs w:val="18"/>
          <w:color w:val="auto"/>
        </w:rPr>
        <w:t>Revenue increased $194.5 million or 32% for the nine months ended September 30, 2017, as compared to the nine months ended September 30, 2016. This increase was primarily due to a 25% increase in the number of paying users between periods. The average revenue per paying user also increased slightly between periods primarily due to an increased mix of sales towards our higher priced subscription plans, including our new Dropbox Business Advanced plan.</w:t>
      </w:r>
    </w:p>
    <w:p>
      <w:pPr>
        <w:spacing w:after="0" w:line="295"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Cost of revenue, gross profit, and gross margin</w:t>
      </w:r>
    </w:p>
    <w:p>
      <w:pPr>
        <w:spacing w:after="0" w:line="231"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3640" w:type="dxa"/>
            <w:vAlign w:val="bottom"/>
          </w:tcPr>
          <w:p>
            <w:pPr>
              <w:spacing w:after="0"/>
              <w:rPr>
                <w:sz w:val="14"/>
                <w:szCs w:val="14"/>
                <w:color w:val="auto"/>
              </w:rPr>
            </w:pPr>
          </w:p>
        </w:tc>
        <w:tc>
          <w:tcPr>
            <w:tcW w:w="2500" w:type="dxa"/>
            <w:vAlign w:val="bottom"/>
          </w:tcPr>
          <w:p>
            <w:pPr>
              <w:spacing w:after="0"/>
              <w:rPr>
                <w:sz w:val="14"/>
                <w:szCs w:val="14"/>
                <w:color w:val="auto"/>
              </w:rPr>
            </w:pPr>
          </w:p>
        </w:tc>
        <w:tc>
          <w:tcPr>
            <w:tcW w:w="2060" w:type="dxa"/>
            <w:vAlign w:val="bottom"/>
            <w:gridSpan w:val="3"/>
          </w:tcPr>
          <w:p>
            <w:pPr>
              <w:jc w:val="center"/>
              <w:ind w:right="400"/>
              <w:spacing w:after="0"/>
              <w:rPr>
                <w:sz w:val="20"/>
                <w:szCs w:val="20"/>
                <w:color w:val="auto"/>
              </w:rPr>
            </w:pPr>
            <w:r>
              <w:rPr>
                <w:rFonts w:ascii="Arial" w:cs="Arial" w:eastAsia="Arial" w:hAnsi="Arial"/>
                <w:sz w:val="14"/>
                <w:szCs w:val="14"/>
                <w:b w:val="1"/>
                <w:bCs w:val="1"/>
                <w:color w:val="auto"/>
                <w:w w:val="90"/>
              </w:rPr>
              <w:t>Nine months ended</w:t>
            </w: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3640" w:type="dxa"/>
            <w:vAlign w:val="bottom"/>
          </w:tcPr>
          <w:p>
            <w:pPr>
              <w:spacing w:after="0"/>
              <w:rPr>
                <w:sz w:val="14"/>
                <w:szCs w:val="14"/>
                <w:color w:val="auto"/>
              </w:rPr>
            </w:pPr>
          </w:p>
        </w:tc>
        <w:tc>
          <w:tcPr>
            <w:tcW w:w="2500" w:type="dxa"/>
            <w:vAlign w:val="bottom"/>
          </w:tcPr>
          <w:p>
            <w:pPr>
              <w:spacing w:after="0"/>
              <w:rPr>
                <w:sz w:val="14"/>
                <w:szCs w:val="14"/>
                <w:color w:val="auto"/>
              </w:rPr>
            </w:pPr>
          </w:p>
        </w:tc>
        <w:tc>
          <w:tcPr>
            <w:tcW w:w="2060" w:type="dxa"/>
            <w:vAlign w:val="bottom"/>
            <w:gridSpan w:val="3"/>
          </w:tcPr>
          <w:p>
            <w:pPr>
              <w:jc w:val="center"/>
              <w:ind w:right="380"/>
              <w:spacing w:after="0"/>
              <w:rPr>
                <w:sz w:val="20"/>
                <w:szCs w:val="20"/>
                <w:color w:val="auto"/>
              </w:rPr>
            </w:pPr>
            <w:r>
              <w:rPr>
                <w:rFonts w:ascii="Arial" w:cs="Arial" w:eastAsia="Arial" w:hAnsi="Arial"/>
                <w:sz w:val="14"/>
                <w:szCs w:val="14"/>
                <w:b w:val="1"/>
                <w:bCs w:val="1"/>
                <w:color w:val="auto"/>
                <w:w w:val="91"/>
              </w:rPr>
              <w:t>September 30,</w:t>
            </w:r>
          </w:p>
        </w:tc>
        <w:tc>
          <w:tcPr>
            <w:tcW w:w="360" w:type="dxa"/>
            <w:vAlign w:val="bottom"/>
            <w:gridSpan w:val="2"/>
            <w:vMerge w:val="restart"/>
          </w:tcPr>
          <w:p>
            <w:pPr>
              <w:ind w:left="260"/>
              <w:spacing w:after="0"/>
              <w:rPr>
                <w:sz w:val="20"/>
                <w:szCs w:val="20"/>
                <w:color w:val="auto"/>
              </w:rPr>
            </w:pPr>
            <w:r>
              <w:rPr>
                <w:rFonts w:ascii="Arial" w:cs="Arial" w:eastAsia="Arial" w:hAnsi="Arial"/>
                <w:sz w:val="14"/>
                <w:szCs w:val="14"/>
                <w:b w:val="1"/>
                <w:bCs w:val="1"/>
                <w:color w:val="auto"/>
              </w:rPr>
              <w:t>$</w:t>
            </w:r>
          </w:p>
        </w:tc>
        <w:tc>
          <w:tcPr>
            <w:tcW w:w="800" w:type="dxa"/>
            <w:vAlign w:val="bottom"/>
            <w:gridSpan w:val="2"/>
            <w:vMerge w:val="restart"/>
          </w:tcPr>
          <w:p>
            <w:pPr>
              <w:jc w:val="right"/>
              <w:ind w:right="320"/>
              <w:spacing w:after="0"/>
              <w:rPr>
                <w:sz w:val="20"/>
                <w:szCs w:val="20"/>
                <w:color w:val="auto"/>
              </w:rPr>
            </w:pPr>
            <w:r>
              <w:rPr>
                <w:rFonts w:ascii="Arial" w:cs="Arial" w:eastAsia="Arial" w:hAnsi="Arial"/>
                <w:sz w:val="14"/>
                <w:szCs w:val="14"/>
                <w:b w:val="1"/>
                <w:bCs w:val="1"/>
                <w:color w:val="auto"/>
                <w:w w:val="89"/>
              </w:rPr>
              <w:t>Change</w:t>
            </w:r>
          </w:p>
        </w:tc>
        <w:tc>
          <w:tcPr>
            <w:tcW w:w="980" w:type="dxa"/>
            <w:vAlign w:val="bottom"/>
            <w:gridSpan w:val="3"/>
            <w:vMerge w:val="restart"/>
          </w:tcPr>
          <w:p>
            <w:pPr>
              <w:ind w:left="260"/>
              <w:spacing w:after="0"/>
              <w:rPr>
                <w:sz w:val="20"/>
                <w:szCs w:val="20"/>
                <w:color w:val="auto"/>
              </w:rPr>
            </w:pPr>
            <w:r>
              <w:rPr>
                <w:rFonts w:ascii="Arial" w:cs="Arial" w:eastAsia="Arial" w:hAnsi="Arial"/>
                <w:sz w:val="14"/>
                <w:szCs w:val="14"/>
                <w:b w:val="1"/>
                <w:bCs w:val="1"/>
                <w:color w:val="auto"/>
              </w:rPr>
              <w:t>% Change</w:t>
            </w:r>
          </w:p>
        </w:tc>
        <w:tc>
          <w:tcPr>
            <w:tcW w:w="0" w:type="dxa"/>
            <w:vAlign w:val="bottom"/>
          </w:tcPr>
          <w:p>
            <w:pPr>
              <w:spacing w:after="0"/>
              <w:rPr>
                <w:sz w:val="1"/>
                <w:szCs w:val="1"/>
                <w:color w:val="auto"/>
              </w:rPr>
            </w:pPr>
          </w:p>
        </w:tc>
      </w:tr>
      <w:tr>
        <w:trPr>
          <w:trHeight w:val="142"/>
        </w:trPr>
        <w:tc>
          <w:tcPr>
            <w:tcW w:w="3640" w:type="dxa"/>
            <w:vAlign w:val="bottom"/>
          </w:tcPr>
          <w:p>
            <w:pPr>
              <w:spacing w:after="0"/>
              <w:rPr>
                <w:sz w:val="12"/>
                <w:szCs w:val="12"/>
                <w:color w:val="auto"/>
              </w:rPr>
            </w:pPr>
          </w:p>
        </w:tc>
        <w:tc>
          <w:tcPr>
            <w:tcW w:w="2500" w:type="dxa"/>
            <w:vAlign w:val="bottom"/>
          </w:tcPr>
          <w:p>
            <w:pPr>
              <w:spacing w:after="0"/>
              <w:rPr>
                <w:sz w:val="12"/>
                <w:szCs w:val="12"/>
                <w:color w:val="auto"/>
              </w:rPr>
            </w:pPr>
          </w:p>
        </w:tc>
        <w:tc>
          <w:tcPr>
            <w:tcW w:w="900" w:type="dxa"/>
            <w:vAlign w:val="bottom"/>
            <w:tcBorders>
              <w:top w:val="single" w:sz="8" w:color="auto"/>
            </w:tcBorders>
          </w:tcPr>
          <w:p>
            <w:pPr>
              <w:jc w:val="right"/>
              <w:ind w:right="428"/>
              <w:spacing w:after="0" w:line="142" w:lineRule="exact"/>
              <w:rPr>
                <w:sz w:val="20"/>
                <w:szCs w:val="20"/>
                <w:color w:val="auto"/>
              </w:rPr>
            </w:pPr>
            <w:r>
              <w:rPr>
                <w:rFonts w:ascii="Arial" w:cs="Arial" w:eastAsia="Arial" w:hAnsi="Arial"/>
                <w:sz w:val="14"/>
                <w:szCs w:val="14"/>
                <w:b w:val="1"/>
                <w:bCs w:val="1"/>
                <w:color w:val="auto"/>
              </w:rPr>
              <w:t>2016</w:t>
            </w:r>
          </w:p>
        </w:tc>
        <w:tc>
          <w:tcPr>
            <w:tcW w:w="760" w:type="dxa"/>
            <w:vAlign w:val="bottom"/>
            <w:tcBorders>
              <w:top w:val="single" w:sz="8" w:color="auto"/>
            </w:tcBorders>
          </w:tcPr>
          <w:p>
            <w:pPr>
              <w:jc w:val="right"/>
              <w:ind w:right="15"/>
              <w:spacing w:after="0" w:line="142" w:lineRule="exact"/>
              <w:rPr>
                <w:sz w:val="20"/>
                <w:szCs w:val="20"/>
                <w:color w:val="auto"/>
              </w:rPr>
            </w:pPr>
            <w:r>
              <w:rPr>
                <w:rFonts w:ascii="Arial" w:cs="Arial" w:eastAsia="Arial" w:hAnsi="Arial"/>
                <w:sz w:val="14"/>
                <w:szCs w:val="14"/>
                <w:b w:val="1"/>
                <w:bCs w:val="1"/>
                <w:color w:val="auto"/>
              </w:rPr>
              <w:t>2017</w:t>
            </w:r>
          </w:p>
        </w:tc>
        <w:tc>
          <w:tcPr>
            <w:tcW w:w="400" w:type="dxa"/>
            <w:vAlign w:val="bottom"/>
          </w:tcPr>
          <w:p>
            <w:pPr>
              <w:spacing w:after="0"/>
              <w:rPr>
                <w:sz w:val="12"/>
                <w:szCs w:val="12"/>
                <w:color w:val="auto"/>
              </w:rPr>
            </w:pPr>
          </w:p>
        </w:tc>
        <w:tc>
          <w:tcPr>
            <w:tcW w:w="360" w:type="dxa"/>
            <w:vAlign w:val="bottom"/>
            <w:gridSpan w:val="2"/>
            <w:vMerge w:val="continue"/>
          </w:tcPr>
          <w:p>
            <w:pPr>
              <w:spacing w:after="0"/>
              <w:rPr>
                <w:sz w:val="12"/>
                <w:szCs w:val="12"/>
                <w:color w:val="auto"/>
              </w:rPr>
            </w:pPr>
          </w:p>
        </w:tc>
        <w:tc>
          <w:tcPr>
            <w:tcW w:w="800" w:type="dxa"/>
            <w:vAlign w:val="bottom"/>
            <w:gridSpan w:val="2"/>
            <w:vMerge w:val="continue"/>
          </w:tcPr>
          <w:p>
            <w:pPr>
              <w:spacing w:after="0"/>
              <w:rPr>
                <w:sz w:val="12"/>
                <w:szCs w:val="12"/>
                <w:color w:val="auto"/>
              </w:rPr>
            </w:pPr>
          </w:p>
        </w:tc>
        <w:tc>
          <w:tcPr>
            <w:tcW w:w="980" w:type="dxa"/>
            <w:vAlign w:val="bottom"/>
            <w:gridSpan w:val="3"/>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3640" w:type="dxa"/>
            <w:vAlign w:val="bottom"/>
          </w:tcPr>
          <w:p>
            <w:pPr>
              <w:spacing w:after="0"/>
              <w:rPr>
                <w:sz w:val="12"/>
                <w:szCs w:val="12"/>
                <w:color w:val="auto"/>
              </w:rPr>
            </w:pPr>
          </w:p>
        </w:tc>
        <w:tc>
          <w:tcPr>
            <w:tcW w:w="2500" w:type="dxa"/>
            <w:vAlign w:val="bottom"/>
          </w:tcPr>
          <w:p>
            <w:pPr>
              <w:spacing w:after="0"/>
              <w:rPr>
                <w:sz w:val="12"/>
                <w:szCs w:val="12"/>
                <w:color w:val="auto"/>
              </w:rPr>
            </w:pPr>
          </w:p>
        </w:tc>
        <w:tc>
          <w:tcPr>
            <w:tcW w:w="1660" w:type="dxa"/>
            <w:vAlign w:val="bottom"/>
            <w:tcBorders>
              <w:top w:val="single" w:sz="8" w:color="auto"/>
            </w:tcBorders>
            <w:gridSpan w:val="2"/>
          </w:tcPr>
          <w:p>
            <w:pPr>
              <w:jc w:val="center"/>
              <w:spacing w:after="0" w:line="142" w:lineRule="exact"/>
              <w:rPr>
                <w:sz w:val="20"/>
                <w:szCs w:val="20"/>
                <w:color w:val="auto"/>
              </w:rPr>
            </w:pPr>
            <w:r>
              <w:rPr>
                <w:rFonts w:ascii="Arial" w:cs="Arial" w:eastAsia="Arial" w:hAnsi="Arial"/>
                <w:sz w:val="14"/>
                <w:szCs w:val="14"/>
                <w:i w:val="1"/>
                <w:iCs w:val="1"/>
                <w:color w:val="auto"/>
              </w:rPr>
              <w:t>(In millions)</w:t>
            </w:r>
          </w:p>
        </w:tc>
        <w:tc>
          <w:tcPr>
            <w:tcW w:w="4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500" w:type="dxa"/>
            <w:vAlign w:val="bottom"/>
            <w:tcBorders>
              <w:top w:val="single" w:sz="8" w:color="auto"/>
            </w:tcBorders>
          </w:tcPr>
          <w:p>
            <w:pPr>
              <w:spacing w:after="0"/>
              <w:rPr>
                <w:sz w:val="12"/>
                <w:szCs w:val="12"/>
                <w:color w:val="auto"/>
              </w:rPr>
            </w:pPr>
          </w:p>
        </w:tc>
        <w:tc>
          <w:tcPr>
            <w:tcW w:w="3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60" w:type="dxa"/>
            <w:vAlign w:val="bottom"/>
            <w:tcBorders>
              <w:top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3640" w:type="dxa"/>
            <w:vAlign w:val="bottom"/>
            <w:shd w:val="clear" w:color="auto" w:fill="CCEEFF"/>
          </w:tcPr>
          <w:p>
            <w:pPr>
              <w:spacing w:after="0"/>
              <w:rPr>
                <w:sz w:val="20"/>
                <w:szCs w:val="20"/>
                <w:color w:val="auto"/>
              </w:rPr>
            </w:pPr>
            <w:r>
              <w:rPr>
                <w:rFonts w:ascii="Arial" w:cs="Arial" w:eastAsia="Arial" w:hAnsi="Arial"/>
                <w:sz w:val="18"/>
                <w:szCs w:val="18"/>
                <w:color w:val="auto"/>
              </w:rPr>
              <w:t>Cost of revenue</w:t>
            </w:r>
          </w:p>
        </w:tc>
        <w:tc>
          <w:tcPr>
            <w:tcW w:w="3400" w:type="dxa"/>
            <w:vAlign w:val="bottom"/>
            <w:gridSpan w:val="2"/>
            <w:shd w:val="clear" w:color="auto" w:fill="CCEEFF"/>
          </w:tcPr>
          <w:p>
            <w:pPr>
              <w:jc w:val="right"/>
              <w:ind w:right="328"/>
              <w:spacing w:after="0"/>
              <w:rPr>
                <w:sz w:val="20"/>
                <w:szCs w:val="20"/>
                <w:color w:val="auto"/>
              </w:rPr>
            </w:pPr>
            <w:r>
              <w:rPr>
                <w:rFonts w:ascii="Arial" w:cs="Arial" w:eastAsia="Arial" w:hAnsi="Arial"/>
                <w:sz w:val="18"/>
                <w:szCs w:val="18"/>
                <w:color w:val="auto"/>
              </w:rPr>
              <w:t>$301.3</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$277.2</w:t>
            </w:r>
          </w:p>
        </w:tc>
        <w:tc>
          <w:tcPr>
            <w:tcW w:w="400" w:type="dxa"/>
            <w:vAlign w:val="bottom"/>
            <w:shd w:val="clear" w:color="auto" w:fill="CCEEFF"/>
          </w:tcPr>
          <w:p>
            <w:pPr>
              <w:spacing w:after="0"/>
              <w:rPr>
                <w:sz w:val="18"/>
                <w:szCs w:val="18"/>
                <w:color w:val="auto"/>
              </w:rPr>
            </w:pPr>
          </w:p>
        </w:tc>
        <w:tc>
          <w:tcPr>
            <w:tcW w:w="36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w w:val="79"/>
              </w:rPr>
              <w:t>$</w:t>
            </w:r>
          </w:p>
        </w:tc>
        <w:tc>
          <w:tcPr>
            <w:tcW w:w="8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(24.1)</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40" w:type="dxa"/>
            <w:vAlign w:val="bottom"/>
          </w:tcPr>
          <w:p>
            <w:pPr>
              <w:spacing w:after="0"/>
              <w:rPr>
                <w:sz w:val="20"/>
                <w:szCs w:val="20"/>
                <w:color w:val="auto"/>
              </w:rPr>
            </w:pPr>
            <w:r>
              <w:rPr>
                <w:rFonts w:ascii="Arial" w:cs="Arial" w:eastAsia="Arial" w:hAnsi="Arial"/>
                <w:sz w:val="18"/>
                <w:szCs w:val="18"/>
                <w:color w:val="auto"/>
              </w:rPr>
              <w:t>Gross profit</w:t>
            </w:r>
          </w:p>
        </w:tc>
        <w:tc>
          <w:tcPr>
            <w:tcW w:w="3400" w:type="dxa"/>
            <w:vAlign w:val="bottom"/>
            <w:gridSpan w:val="2"/>
          </w:tcPr>
          <w:p>
            <w:pPr>
              <w:jc w:val="right"/>
              <w:ind w:right="328"/>
              <w:spacing w:after="0"/>
              <w:rPr>
                <w:sz w:val="20"/>
                <w:szCs w:val="20"/>
                <w:color w:val="auto"/>
              </w:rPr>
            </w:pPr>
            <w:r>
              <w:rPr>
                <w:rFonts w:ascii="Arial" w:cs="Arial" w:eastAsia="Arial" w:hAnsi="Arial"/>
                <w:sz w:val="18"/>
                <w:szCs w:val="18"/>
                <w:color w:val="auto"/>
              </w:rPr>
              <w:t>305.5</w:t>
            </w:r>
          </w:p>
        </w:tc>
        <w:tc>
          <w:tcPr>
            <w:tcW w:w="760" w:type="dxa"/>
            <w:vAlign w:val="bottom"/>
          </w:tcPr>
          <w:p>
            <w:pPr>
              <w:jc w:val="right"/>
              <w:spacing w:after="0"/>
              <w:rPr>
                <w:sz w:val="20"/>
                <w:szCs w:val="20"/>
                <w:color w:val="auto"/>
              </w:rPr>
            </w:pPr>
            <w:r>
              <w:rPr>
                <w:rFonts w:ascii="Arial" w:cs="Arial" w:eastAsia="Arial" w:hAnsi="Arial"/>
                <w:sz w:val="18"/>
                <w:szCs w:val="18"/>
                <w:color w:val="auto"/>
              </w:rPr>
              <w:t>524.1</w:t>
            </w:r>
          </w:p>
        </w:tc>
        <w:tc>
          <w:tcPr>
            <w:tcW w:w="4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218.6</w:t>
            </w:r>
          </w:p>
        </w:tc>
        <w:tc>
          <w:tcPr>
            <w:tcW w:w="300" w:type="dxa"/>
            <w:vAlign w:val="bottom"/>
          </w:tcPr>
          <w:p>
            <w:pPr>
              <w:spacing w:after="0"/>
              <w:rPr>
                <w:sz w:val="18"/>
                <w:szCs w:val="18"/>
                <w:color w:val="auto"/>
              </w:rPr>
            </w:pP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72%</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40" w:type="dxa"/>
            <w:vAlign w:val="bottom"/>
            <w:shd w:val="clear" w:color="auto" w:fill="CCEEFF"/>
          </w:tcPr>
          <w:p>
            <w:pPr>
              <w:spacing w:after="0"/>
              <w:rPr>
                <w:sz w:val="20"/>
                <w:szCs w:val="20"/>
                <w:color w:val="auto"/>
              </w:rPr>
            </w:pPr>
            <w:r>
              <w:rPr>
                <w:rFonts w:ascii="Arial" w:cs="Arial" w:eastAsia="Arial" w:hAnsi="Arial"/>
                <w:sz w:val="18"/>
                <w:szCs w:val="18"/>
                <w:color w:val="auto"/>
              </w:rPr>
              <w:t>Gross margin</w:t>
            </w:r>
          </w:p>
        </w:tc>
        <w:tc>
          <w:tcPr>
            <w:tcW w:w="3400" w:type="dxa"/>
            <w:vAlign w:val="bottom"/>
            <w:gridSpan w:val="2"/>
            <w:shd w:val="clear" w:color="auto" w:fill="CCEEFF"/>
          </w:tcPr>
          <w:p>
            <w:pPr>
              <w:jc w:val="right"/>
              <w:ind w:right="168"/>
              <w:spacing w:after="0"/>
              <w:rPr>
                <w:sz w:val="20"/>
                <w:szCs w:val="20"/>
                <w:color w:val="auto"/>
              </w:rPr>
            </w:pPr>
            <w:r>
              <w:rPr>
                <w:rFonts w:ascii="Arial" w:cs="Arial" w:eastAsia="Arial" w:hAnsi="Arial"/>
                <w:sz w:val="18"/>
                <w:szCs w:val="18"/>
                <w:color w:val="auto"/>
              </w:rPr>
              <w:t>50%</w:t>
            </w:r>
          </w:p>
        </w:tc>
        <w:tc>
          <w:tcPr>
            <w:tcW w:w="11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65%</w:t>
            </w: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firstLine="449"/>
        <w:spacing w:after="0" w:line="296" w:lineRule="auto"/>
        <w:rPr>
          <w:sz w:val="20"/>
          <w:szCs w:val="20"/>
          <w:color w:val="auto"/>
        </w:rPr>
      </w:pPr>
      <w:r>
        <w:rPr>
          <w:rFonts w:ascii="Arial" w:cs="Arial" w:eastAsia="Arial" w:hAnsi="Arial"/>
          <w:sz w:val="16"/>
          <w:szCs w:val="16"/>
          <w:color w:val="auto"/>
        </w:rPr>
        <w:t>Cost of revenue decreased $24.1 million or 8% for the nine months ended September 30, 2017, as compared to the nine months ended September 30, 2016, primarily due to a $33.8 million decrease in our infrastructure costs due to our Infrastructure Optimization. Further, the decrease in cost of revenue was due to a $5.6 million decrease in depreciation and amortization primarily of developed technologies, as certain intangible assets became fully amortized during 2016. The decrease in cost of revenue was partially offset by an increase of $9.8 million in employee-related expenses, which was due to headcount growth, as well as an increase of $3.9 million in credit card transaction fees due to higher sales.</w:t>
      </w:r>
    </w:p>
    <w:p>
      <w:pPr>
        <w:spacing w:after="0" w:line="9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69</w:t>
      </w:r>
    </w:p>
    <w:p>
      <w:pPr>
        <w:sectPr>
          <w:pgSz w:w="11900" w:h="16838" w:orient="portrait"/>
          <w:cols w:equalWidth="0" w:num="1">
            <w:col w:w="11200"/>
          </w:cols>
          <w:pgMar w:left="320" w:top="459" w:right="379" w:bottom="1440" w:gutter="0" w:footer="0" w:header="0"/>
        </w:sectPr>
      </w:pPr>
    </w:p>
    <w:bookmarkStart w:id="72" w:name="page73"/>
    <w:bookmarkEnd w:id="7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right="520" w:firstLine="449"/>
        <w:spacing w:after="0" w:line="277" w:lineRule="auto"/>
        <w:rPr>
          <w:sz w:val="20"/>
          <w:szCs w:val="20"/>
          <w:color w:val="auto"/>
        </w:rPr>
      </w:pPr>
      <w:r>
        <w:rPr>
          <w:rFonts w:ascii="Arial" w:cs="Arial" w:eastAsia="Arial" w:hAnsi="Arial"/>
          <w:sz w:val="18"/>
          <w:szCs w:val="18"/>
          <w:color w:val="auto"/>
        </w:rPr>
        <w:t>Our gross margin increased from 50% for the nine months ended September 30, 2016, to 65% for the nine months ended September 30, 2017, primarily due to a 32% increase in our revenue during the period and our Infrastructure Optimization.</w:t>
      </w:r>
    </w:p>
    <w:p>
      <w:pPr>
        <w:spacing w:after="0" w:line="278"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Research and development</w:t>
      </w:r>
    </w:p>
    <w:p>
      <w:pPr>
        <w:spacing w:after="0" w:line="231"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4020" w:type="dxa"/>
            <w:vAlign w:val="bottom"/>
          </w:tcPr>
          <w:p>
            <w:pPr>
              <w:spacing w:after="0"/>
              <w:rPr>
                <w:sz w:val="14"/>
                <w:szCs w:val="14"/>
                <w:color w:val="auto"/>
              </w:rPr>
            </w:pPr>
          </w:p>
        </w:tc>
        <w:tc>
          <w:tcPr>
            <w:tcW w:w="2080" w:type="dxa"/>
            <w:vAlign w:val="bottom"/>
          </w:tcPr>
          <w:p>
            <w:pPr>
              <w:spacing w:after="0"/>
              <w:rPr>
                <w:sz w:val="14"/>
                <w:szCs w:val="14"/>
                <w:color w:val="auto"/>
              </w:rPr>
            </w:pPr>
          </w:p>
        </w:tc>
        <w:tc>
          <w:tcPr>
            <w:tcW w:w="1600" w:type="dxa"/>
            <w:vAlign w:val="bottom"/>
            <w:gridSpan w:val="2"/>
          </w:tcPr>
          <w:p>
            <w:pPr>
              <w:jc w:val="center"/>
              <w:spacing w:after="0"/>
              <w:rPr>
                <w:sz w:val="20"/>
                <w:szCs w:val="20"/>
                <w:color w:val="auto"/>
              </w:rPr>
            </w:pPr>
            <w:r>
              <w:rPr>
                <w:rFonts w:ascii="Arial" w:cs="Arial" w:eastAsia="Arial" w:hAnsi="Arial"/>
                <w:sz w:val="14"/>
                <w:szCs w:val="14"/>
                <w:b w:val="1"/>
                <w:bCs w:val="1"/>
                <w:color w:val="auto"/>
                <w:w w:val="92"/>
              </w:rPr>
              <w:t>Nine months ended</w:t>
            </w:r>
          </w:p>
        </w:tc>
        <w:tc>
          <w:tcPr>
            <w:tcW w:w="6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4020" w:type="dxa"/>
            <w:vAlign w:val="bottom"/>
          </w:tcPr>
          <w:p>
            <w:pPr>
              <w:spacing w:after="0"/>
              <w:rPr>
                <w:sz w:val="14"/>
                <w:szCs w:val="14"/>
                <w:color w:val="auto"/>
              </w:rPr>
            </w:pPr>
          </w:p>
        </w:tc>
        <w:tc>
          <w:tcPr>
            <w:tcW w:w="2080" w:type="dxa"/>
            <w:vAlign w:val="bottom"/>
          </w:tcPr>
          <w:p>
            <w:pPr>
              <w:spacing w:after="0"/>
              <w:rPr>
                <w:sz w:val="14"/>
                <w:szCs w:val="14"/>
                <w:color w:val="auto"/>
              </w:rPr>
            </w:pPr>
          </w:p>
        </w:tc>
        <w:tc>
          <w:tcPr>
            <w:tcW w:w="160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91"/>
              </w:rPr>
              <w:t>September 30,</w:t>
            </w:r>
          </w:p>
        </w:tc>
        <w:tc>
          <w:tcPr>
            <w:tcW w:w="680" w:type="dxa"/>
            <w:vAlign w:val="bottom"/>
            <w:gridSpan w:val="2"/>
            <w:vMerge w:val="restart"/>
          </w:tcPr>
          <w:p>
            <w:pPr>
              <w:ind w:left="580"/>
              <w:spacing w:after="0"/>
              <w:rPr>
                <w:sz w:val="20"/>
                <w:szCs w:val="20"/>
                <w:color w:val="auto"/>
              </w:rPr>
            </w:pPr>
            <w:r>
              <w:rPr>
                <w:rFonts w:ascii="Arial" w:cs="Arial" w:eastAsia="Arial" w:hAnsi="Arial"/>
                <w:sz w:val="14"/>
                <w:szCs w:val="14"/>
                <w:b w:val="1"/>
                <w:bCs w:val="1"/>
                <w:color w:val="auto"/>
              </w:rPr>
              <w:t>$</w:t>
            </w:r>
          </w:p>
        </w:tc>
        <w:tc>
          <w:tcPr>
            <w:tcW w:w="500" w:type="dxa"/>
            <w:vAlign w:val="bottom"/>
            <w:vMerge w:val="restart"/>
          </w:tcPr>
          <w:p>
            <w:pPr>
              <w:jc w:val="right"/>
              <w:spacing w:after="0"/>
              <w:rPr>
                <w:sz w:val="20"/>
                <w:szCs w:val="20"/>
                <w:color w:val="auto"/>
              </w:rPr>
            </w:pPr>
            <w:r>
              <w:rPr>
                <w:rFonts w:ascii="Arial" w:cs="Arial" w:eastAsia="Arial" w:hAnsi="Arial"/>
                <w:sz w:val="14"/>
                <w:szCs w:val="14"/>
                <w:b w:val="1"/>
                <w:bCs w:val="1"/>
                <w:color w:val="auto"/>
                <w:w w:val="89"/>
              </w:rPr>
              <w:t>Change</w:t>
            </w:r>
          </w:p>
        </w:tc>
        <w:tc>
          <w:tcPr>
            <w:tcW w:w="1460" w:type="dxa"/>
            <w:vAlign w:val="bottom"/>
            <w:gridSpan w:val="3"/>
            <w:vMerge w:val="restart"/>
          </w:tcPr>
          <w:p>
            <w:pPr>
              <w:jc w:val="right"/>
              <w:ind w:right="220"/>
              <w:spacing w:after="0"/>
              <w:rPr>
                <w:sz w:val="20"/>
                <w:szCs w:val="20"/>
                <w:color w:val="auto"/>
              </w:rPr>
            </w:pPr>
            <w:r>
              <w:rPr>
                <w:rFonts w:ascii="Arial" w:cs="Arial" w:eastAsia="Arial" w:hAnsi="Arial"/>
                <w:sz w:val="14"/>
                <w:szCs w:val="14"/>
                <w:b w:val="1"/>
                <w:bCs w:val="1"/>
                <w:color w:val="auto"/>
              </w:rPr>
              <w:t>% Change</w:t>
            </w:r>
          </w:p>
        </w:tc>
        <w:tc>
          <w:tcPr>
            <w:tcW w:w="0" w:type="dxa"/>
            <w:vAlign w:val="bottom"/>
          </w:tcPr>
          <w:p>
            <w:pPr>
              <w:spacing w:after="0"/>
              <w:rPr>
                <w:sz w:val="1"/>
                <w:szCs w:val="1"/>
                <w:color w:val="auto"/>
              </w:rPr>
            </w:pPr>
          </w:p>
        </w:tc>
      </w:tr>
      <w:tr>
        <w:trPr>
          <w:trHeight w:val="142"/>
        </w:trPr>
        <w:tc>
          <w:tcPr>
            <w:tcW w:w="4020" w:type="dxa"/>
            <w:vAlign w:val="bottom"/>
          </w:tcPr>
          <w:p>
            <w:pPr>
              <w:spacing w:after="0"/>
              <w:rPr>
                <w:sz w:val="12"/>
                <w:szCs w:val="12"/>
                <w:color w:val="auto"/>
              </w:rPr>
            </w:pPr>
          </w:p>
        </w:tc>
        <w:tc>
          <w:tcPr>
            <w:tcW w:w="2080" w:type="dxa"/>
            <w:vAlign w:val="bottom"/>
          </w:tcPr>
          <w:p>
            <w:pPr>
              <w:spacing w:after="0"/>
              <w:rPr>
                <w:sz w:val="12"/>
                <w:szCs w:val="12"/>
                <w:color w:val="auto"/>
              </w:rPr>
            </w:pPr>
          </w:p>
        </w:tc>
        <w:tc>
          <w:tcPr>
            <w:tcW w:w="800" w:type="dxa"/>
            <w:vAlign w:val="bottom"/>
          </w:tcPr>
          <w:p>
            <w:pPr>
              <w:jc w:val="right"/>
              <w:ind w:right="328"/>
              <w:spacing w:after="0" w:line="142" w:lineRule="exact"/>
              <w:rPr>
                <w:sz w:val="20"/>
                <w:szCs w:val="20"/>
                <w:color w:val="auto"/>
              </w:rPr>
            </w:pPr>
            <w:r>
              <w:rPr>
                <w:rFonts w:ascii="Arial" w:cs="Arial" w:eastAsia="Arial" w:hAnsi="Arial"/>
                <w:sz w:val="14"/>
                <w:szCs w:val="14"/>
                <w:b w:val="1"/>
                <w:bCs w:val="1"/>
                <w:color w:val="auto"/>
              </w:rPr>
              <w:t>2016</w:t>
            </w:r>
          </w:p>
        </w:tc>
        <w:tc>
          <w:tcPr>
            <w:tcW w:w="800" w:type="dxa"/>
            <w:vAlign w:val="bottom"/>
          </w:tcPr>
          <w:p>
            <w:pPr>
              <w:jc w:val="right"/>
              <w:ind w:right="39"/>
              <w:spacing w:after="0" w:line="142" w:lineRule="exact"/>
              <w:rPr>
                <w:sz w:val="20"/>
                <w:szCs w:val="20"/>
                <w:color w:val="auto"/>
              </w:rPr>
            </w:pPr>
            <w:r>
              <w:rPr>
                <w:rFonts w:ascii="Arial" w:cs="Arial" w:eastAsia="Arial" w:hAnsi="Arial"/>
                <w:sz w:val="14"/>
                <w:szCs w:val="14"/>
                <w:b w:val="1"/>
                <w:bCs w:val="1"/>
                <w:color w:val="auto"/>
              </w:rPr>
              <w:t>2017</w:t>
            </w:r>
          </w:p>
        </w:tc>
        <w:tc>
          <w:tcPr>
            <w:tcW w:w="680" w:type="dxa"/>
            <w:vAlign w:val="bottom"/>
            <w:gridSpan w:val="2"/>
            <w:vMerge w:val="continue"/>
          </w:tcPr>
          <w:p>
            <w:pPr>
              <w:spacing w:after="0"/>
              <w:rPr>
                <w:sz w:val="12"/>
                <w:szCs w:val="12"/>
                <w:color w:val="auto"/>
              </w:rPr>
            </w:pPr>
          </w:p>
        </w:tc>
        <w:tc>
          <w:tcPr>
            <w:tcW w:w="500" w:type="dxa"/>
            <w:vAlign w:val="bottom"/>
            <w:vMerge w:val="continue"/>
          </w:tcPr>
          <w:p>
            <w:pPr>
              <w:spacing w:after="0"/>
              <w:rPr>
                <w:sz w:val="12"/>
                <w:szCs w:val="12"/>
                <w:color w:val="auto"/>
              </w:rPr>
            </w:pPr>
          </w:p>
        </w:tc>
        <w:tc>
          <w:tcPr>
            <w:tcW w:w="1460" w:type="dxa"/>
            <w:vAlign w:val="bottom"/>
            <w:gridSpan w:val="3"/>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4020" w:type="dxa"/>
            <w:vAlign w:val="bottom"/>
          </w:tcPr>
          <w:p>
            <w:pPr>
              <w:spacing w:after="0"/>
              <w:rPr>
                <w:sz w:val="12"/>
                <w:szCs w:val="12"/>
                <w:color w:val="auto"/>
              </w:rPr>
            </w:pPr>
          </w:p>
        </w:tc>
        <w:tc>
          <w:tcPr>
            <w:tcW w:w="2080" w:type="dxa"/>
            <w:vAlign w:val="bottom"/>
          </w:tcPr>
          <w:p>
            <w:pPr>
              <w:spacing w:after="0"/>
              <w:rPr>
                <w:sz w:val="12"/>
                <w:szCs w:val="12"/>
                <w:color w:val="auto"/>
              </w:rPr>
            </w:pPr>
          </w:p>
        </w:tc>
        <w:tc>
          <w:tcPr>
            <w:tcW w:w="1600" w:type="dxa"/>
            <w:vAlign w:val="bottom"/>
            <w:tcBorders>
              <w:top w:val="single" w:sz="8" w:color="auto"/>
            </w:tcBorders>
            <w:gridSpan w:val="2"/>
          </w:tcPr>
          <w:p>
            <w:pPr>
              <w:jc w:val="center"/>
              <w:spacing w:after="0" w:line="142" w:lineRule="exact"/>
              <w:rPr>
                <w:sz w:val="20"/>
                <w:szCs w:val="20"/>
                <w:color w:val="auto"/>
              </w:rPr>
            </w:pPr>
            <w:r>
              <w:rPr>
                <w:rFonts w:ascii="Arial" w:cs="Arial" w:eastAsia="Arial" w:hAnsi="Arial"/>
                <w:sz w:val="14"/>
                <w:szCs w:val="14"/>
                <w:i w:val="1"/>
                <w:iCs w:val="1"/>
                <w:color w:val="auto"/>
              </w:rPr>
              <w:t>(In millions)</w:t>
            </w:r>
          </w:p>
        </w:tc>
        <w:tc>
          <w:tcPr>
            <w:tcW w:w="60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500" w:type="dxa"/>
            <w:vAlign w:val="bottom"/>
            <w:tcBorders>
              <w:top w:val="single" w:sz="8" w:color="auto"/>
            </w:tcBorders>
          </w:tcPr>
          <w:p>
            <w:pPr>
              <w:spacing w:after="0"/>
              <w:rPr>
                <w:sz w:val="12"/>
                <w:szCs w:val="12"/>
                <w:color w:val="auto"/>
              </w:rPr>
            </w:pPr>
          </w:p>
        </w:tc>
        <w:tc>
          <w:tcPr>
            <w:tcW w:w="600" w:type="dxa"/>
            <w:vAlign w:val="bottom"/>
          </w:tcPr>
          <w:p>
            <w:pPr>
              <w:spacing w:after="0"/>
              <w:rPr>
                <w:sz w:val="12"/>
                <w:szCs w:val="12"/>
                <w:color w:val="auto"/>
              </w:rPr>
            </w:pPr>
          </w:p>
        </w:tc>
        <w:tc>
          <w:tcPr>
            <w:tcW w:w="66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4020" w:type="dxa"/>
            <w:vAlign w:val="bottom"/>
            <w:shd w:val="clear" w:color="auto" w:fill="CCEEFF"/>
          </w:tcPr>
          <w:p>
            <w:pPr>
              <w:spacing w:after="0"/>
              <w:rPr>
                <w:sz w:val="20"/>
                <w:szCs w:val="20"/>
                <w:color w:val="auto"/>
              </w:rPr>
            </w:pPr>
            <w:r>
              <w:rPr>
                <w:rFonts w:ascii="Arial" w:cs="Arial" w:eastAsia="Arial" w:hAnsi="Arial"/>
                <w:sz w:val="18"/>
                <w:szCs w:val="18"/>
                <w:color w:val="auto"/>
              </w:rPr>
              <w:t>Research and development</w:t>
            </w:r>
          </w:p>
        </w:tc>
        <w:tc>
          <w:tcPr>
            <w:tcW w:w="2880" w:type="dxa"/>
            <w:vAlign w:val="bottom"/>
            <w:gridSpan w:val="2"/>
            <w:shd w:val="clear" w:color="auto" w:fill="CCEEFF"/>
          </w:tcPr>
          <w:p>
            <w:pPr>
              <w:jc w:val="right"/>
              <w:ind w:right="228"/>
              <w:spacing w:after="0"/>
              <w:rPr>
                <w:sz w:val="20"/>
                <w:szCs w:val="20"/>
                <w:color w:val="auto"/>
              </w:rPr>
            </w:pPr>
            <w:r>
              <w:rPr>
                <w:rFonts w:ascii="Arial" w:cs="Arial" w:eastAsia="Arial" w:hAnsi="Arial"/>
                <w:sz w:val="18"/>
                <w:szCs w:val="18"/>
                <w:color w:val="auto"/>
              </w:rPr>
              <w:t>$215.6</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$276.3</w:t>
            </w:r>
          </w:p>
        </w:tc>
        <w:tc>
          <w:tcPr>
            <w:tcW w:w="680" w:type="dxa"/>
            <w:vAlign w:val="bottom"/>
            <w:gridSpan w:val="2"/>
            <w:shd w:val="clear" w:color="auto" w:fill="CCEEFF"/>
          </w:tcPr>
          <w:p>
            <w:pPr>
              <w:ind w:left="580"/>
              <w:spacing w:after="0"/>
              <w:rPr>
                <w:sz w:val="20"/>
                <w:szCs w:val="20"/>
                <w:color w:val="auto"/>
              </w:rPr>
            </w:pPr>
            <w:r>
              <w:rPr>
                <w:rFonts w:ascii="Arial" w:cs="Arial" w:eastAsia="Arial" w:hAnsi="Arial"/>
                <w:sz w:val="18"/>
                <w:szCs w:val="18"/>
                <w:color w:val="auto"/>
                <w:w w:val="79"/>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60.7</w:t>
            </w:r>
          </w:p>
        </w:tc>
        <w:tc>
          <w:tcPr>
            <w:tcW w:w="146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right="20" w:firstLine="449"/>
        <w:spacing w:after="0" w:line="259" w:lineRule="auto"/>
        <w:rPr>
          <w:sz w:val="20"/>
          <w:szCs w:val="20"/>
          <w:color w:val="auto"/>
        </w:rPr>
      </w:pPr>
      <w:r>
        <w:rPr>
          <w:rFonts w:ascii="Arial" w:cs="Arial" w:eastAsia="Arial" w:hAnsi="Arial"/>
          <w:sz w:val="18"/>
          <w:szCs w:val="18"/>
          <w:color w:val="auto"/>
        </w:rPr>
        <w:t>Research and development expenses increased $60.7 million or 28% for the nine months ended September 30, 2017, as compared to the nine months ended September 30, 2016, primarily due to an increase of $44.9 million in employee-related expenses, which was due to headcount growth. Further, the increase in research and development expense was due to an increase of $8.2 million in overhead-related costs and an increase of $3.8 million in internal development-related third-party hosting fees.</w:t>
      </w:r>
    </w:p>
    <w:p>
      <w:pPr>
        <w:spacing w:after="0" w:line="295"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Sales and marketing</w:t>
      </w:r>
    </w:p>
    <w:p>
      <w:pPr>
        <w:spacing w:after="0" w:line="231"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3780" w:type="dxa"/>
            <w:vAlign w:val="bottom"/>
          </w:tcPr>
          <w:p>
            <w:pPr>
              <w:spacing w:after="0"/>
              <w:rPr>
                <w:sz w:val="14"/>
                <w:szCs w:val="14"/>
                <w:color w:val="auto"/>
              </w:rPr>
            </w:pPr>
          </w:p>
        </w:tc>
        <w:tc>
          <w:tcPr>
            <w:tcW w:w="2320" w:type="dxa"/>
            <w:vAlign w:val="bottom"/>
          </w:tcPr>
          <w:p>
            <w:pPr>
              <w:spacing w:after="0"/>
              <w:rPr>
                <w:sz w:val="14"/>
                <w:szCs w:val="14"/>
                <w:color w:val="auto"/>
              </w:rPr>
            </w:pPr>
          </w:p>
        </w:tc>
        <w:tc>
          <w:tcPr>
            <w:tcW w:w="1600" w:type="dxa"/>
            <w:vAlign w:val="bottom"/>
            <w:gridSpan w:val="2"/>
          </w:tcPr>
          <w:p>
            <w:pPr>
              <w:jc w:val="center"/>
              <w:spacing w:after="0"/>
              <w:rPr>
                <w:sz w:val="20"/>
                <w:szCs w:val="20"/>
                <w:color w:val="auto"/>
              </w:rPr>
            </w:pPr>
            <w:r>
              <w:rPr>
                <w:rFonts w:ascii="Arial" w:cs="Arial" w:eastAsia="Arial" w:hAnsi="Arial"/>
                <w:sz w:val="14"/>
                <w:szCs w:val="14"/>
                <w:b w:val="1"/>
                <w:bCs w:val="1"/>
                <w:color w:val="auto"/>
                <w:w w:val="92"/>
              </w:rPr>
              <w:t>Nine months ended</w:t>
            </w:r>
          </w:p>
        </w:tc>
        <w:tc>
          <w:tcPr>
            <w:tcW w:w="6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3780" w:type="dxa"/>
            <w:vAlign w:val="bottom"/>
          </w:tcPr>
          <w:p>
            <w:pPr>
              <w:spacing w:after="0"/>
              <w:rPr>
                <w:sz w:val="14"/>
                <w:szCs w:val="14"/>
                <w:color w:val="auto"/>
              </w:rPr>
            </w:pPr>
          </w:p>
        </w:tc>
        <w:tc>
          <w:tcPr>
            <w:tcW w:w="2320" w:type="dxa"/>
            <w:vAlign w:val="bottom"/>
          </w:tcPr>
          <w:p>
            <w:pPr>
              <w:spacing w:after="0"/>
              <w:rPr>
                <w:sz w:val="14"/>
                <w:szCs w:val="14"/>
                <w:color w:val="auto"/>
              </w:rPr>
            </w:pPr>
          </w:p>
        </w:tc>
        <w:tc>
          <w:tcPr>
            <w:tcW w:w="160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91"/>
              </w:rPr>
              <w:t>September 30,</w:t>
            </w:r>
          </w:p>
        </w:tc>
        <w:tc>
          <w:tcPr>
            <w:tcW w:w="680" w:type="dxa"/>
            <w:vAlign w:val="bottom"/>
            <w:gridSpan w:val="2"/>
            <w:vMerge w:val="restart"/>
          </w:tcPr>
          <w:p>
            <w:pPr>
              <w:ind w:left="580"/>
              <w:spacing w:after="0"/>
              <w:rPr>
                <w:sz w:val="20"/>
                <w:szCs w:val="20"/>
                <w:color w:val="auto"/>
              </w:rPr>
            </w:pPr>
            <w:r>
              <w:rPr>
                <w:rFonts w:ascii="Arial" w:cs="Arial" w:eastAsia="Arial" w:hAnsi="Arial"/>
                <w:sz w:val="14"/>
                <w:szCs w:val="14"/>
                <w:b w:val="1"/>
                <w:bCs w:val="1"/>
                <w:color w:val="auto"/>
              </w:rPr>
              <w:t>$</w:t>
            </w:r>
          </w:p>
        </w:tc>
        <w:tc>
          <w:tcPr>
            <w:tcW w:w="500" w:type="dxa"/>
            <w:vAlign w:val="bottom"/>
            <w:vMerge w:val="restart"/>
          </w:tcPr>
          <w:p>
            <w:pPr>
              <w:jc w:val="right"/>
              <w:spacing w:after="0"/>
              <w:rPr>
                <w:sz w:val="20"/>
                <w:szCs w:val="20"/>
                <w:color w:val="auto"/>
              </w:rPr>
            </w:pPr>
            <w:r>
              <w:rPr>
                <w:rFonts w:ascii="Arial" w:cs="Arial" w:eastAsia="Arial" w:hAnsi="Arial"/>
                <w:sz w:val="14"/>
                <w:szCs w:val="14"/>
                <w:b w:val="1"/>
                <w:bCs w:val="1"/>
                <w:color w:val="auto"/>
                <w:w w:val="89"/>
              </w:rPr>
              <w:t>Change</w:t>
            </w:r>
          </w:p>
        </w:tc>
        <w:tc>
          <w:tcPr>
            <w:tcW w:w="1460" w:type="dxa"/>
            <w:vAlign w:val="bottom"/>
            <w:gridSpan w:val="3"/>
            <w:vMerge w:val="restart"/>
          </w:tcPr>
          <w:p>
            <w:pPr>
              <w:jc w:val="right"/>
              <w:ind w:right="220"/>
              <w:spacing w:after="0"/>
              <w:rPr>
                <w:sz w:val="20"/>
                <w:szCs w:val="20"/>
                <w:color w:val="auto"/>
              </w:rPr>
            </w:pPr>
            <w:r>
              <w:rPr>
                <w:rFonts w:ascii="Arial" w:cs="Arial" w:eastAsia="Arial" w:hAnsi="Arial"/>
                <w:sz w:val="14"/>
                <w:szCs w:val="14"/>
                <w:b w:val="1"/>
                <w:bCs w:val="1"/>
                <w:color w:val="auto"/>
              </w:rPr>
              <w:t>% Change</w:t>
            </w:r>
          </w:p>
        </w:tc>
        <w:tc>
          <w:tcPr>
            <w:tcW w:w="0" w:type="dxa"/>
            <w:vAlign w:val="bottom"/>
          </w:tcPr>
          <w:p>
            <w:pPr>
              <w:spacing w:after="0"/>
              <w:rPr>
                <w:sz w:val="1"/>
                <w:szCs w:val="1"/>
                <w:color w:val="auto"/>
              </w:rPr>
            </w:pPr>
          </w:p>
        </w:tc>
      </w:tr>
      <w:tr>
        <w:trPr>
          <w:trHeight w:val="142"/>
        </w:trPr>
        <w:tc>
          <w:tcPr>
            <w:tcW w:w="3780" w:type="dxa"/>
            <w:vAlign w:val="bottom"/>
          </w:tcPr>
          <w:p>
            <w:pPr>
              <w:spacing w:after="0"/>
              <w:rPr>
                <w:sz w:val="12"/>
                <w:szCs w:val="12"/>
                <w:color w:val="auto"/>
              </w:rPr>
            </w:pPr>
          </w:p>
        </w:tc>
        <w:tc>
          <w:tcPr>
            <w:tcW w:w="2320" w:type="dxa"/>
            <w:vAlign w:val="bottom"/>
          </w:tcPr>
          <w:p>
            <w:pPr>
              <w:spacing w:after="0"/>
              <w:rPr>
                <w:sz w:val="12"/>
                <w:szCs w:val="12"/>
                <w:color w:val="auto"/>
              </w:rPr>
            </w:pPr>
          </w:p>
        </w:tc>
        <w:tc>
          <w:tcPr>
            <w:tcW w:w="800" w:type="dxa"/>
            <w:vAlign w:val="bottom"/>
          </w:tcPr>
          <w:p>
            <w:pPr>
              <w:jc w:val="right"/>
              <w:ind w:right="328"/>
              <w:spacing w:after="0" w:line="142" w:lineRule="exact"/>
              <w:rPr>
                <w:sz w:val="20"/>
                <w:szCs w:val="20"/>
                <w:color w:val="auto"/>
              </w:rPr>
            </w:pPr>
            <w:r>
              <w:rPr>
                <w:rFonts w:ascii="Arial" w:cs="Arial" w:eastAsia="Arial" w:hAnsi="Arial"/>
                <w:sz w:val="14"/>
                <w:szCs w:val="14"/>
                <w:b w:val="1"/>
                <w:bCs w:val="1"/>
                <w:color w:val="auto"/>
              </w:rPr>
              <w:t>2016</w:t>
            </w:r>
          </w:p>
        </w:tc>
        <w:tc>
          <w:tcPr>
            <w:tcW w:w="800" w:type="dxa"/>
            <w:vAlign w:val="bottom"/>
          </w:tcPr>
          <w:p>
            <w:pPr>
              <w:jc w:val="right"/>
              <w:ind w:right="39"/>
              <w:spacing w:after="0" w:line="142" w:lineRule="exact"/>
              <w:rPr>
                <w:sz w:val="20"/>
                <w:szCs w:val="20"/>
                <w:color w:val="auto"/>
              </w:rPr>
            </w:pPr>
            <w:r>
              <w:rPr>
                <w:rFonts w:ascii="Arial" w:cs="Arial" w:eastAsia="Arial" w:hAnsi="Arial"/>
                <w:sz w:val="14"/>
                <w:szCs w:val="14"/>
                <w:b w:val="1"/>
                <w:bCs w:val="1"/>
                <w:color w:val="auto"/>
              </w:rPr>
              <w:t>2017</w:t>
            </w:r>
          </w:p>
        </w:tc>
        <w:tc>
          <w:tcPr>
            <w:tcW w:w="680" w:type="dxa"/>
            <w:vAlign w:val="bottom"/>
            <w:gridSpan w:val="2"/>
            <w:vMerge w:val="continue"/>
          </w:tcPr>
          <w:p>
            <w:pPr>
              <w:spacing w:after="0"/>
              <w:rPr>
                <w:sz w:val="12"/>
                <w:szCs w:val="12"/>
                <w:color w:val="auto"/>
              </w:rPr>
            </w:pPr>
          </w:p>
        </w:tc>
        <w:tc>
          <w:tcPr>
            <w:tcW w:w="500" w:type="dxa"/>
            <w:vAlign w:val="bottom"/>
            <w:vMerge w:val="continue"/>
          </w:tcPr>
          <w:p>
            <w:pPr>
              <w:spacing w:after="0"/>
              <w:rPr>
                <w:sz w:val="12"/>
                <w:szCs w:val="12"/>
                <w:color w:val="auto"/>
              </w:rPr>
            </w:pPr>
          </w:p>
        </w:tc>
        <w:tc>
          <w:tcPr>
            <w:tcW w:w="1460" w:type="dxa"/>
            <w:vAlign w:val="bottom"/>
            <w:gridSpan w:val="3"/>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3780" w:type="dxa"/>
            <w:vAlign w:val="bottom"/>
          </w:tcPr>
          <w:p>
            <w:pPr>
              <w:spacing w:after="0"/>
              <w:rPr>
                <w:sz w:val="12"/>
                <w:szCs w:val="12"/>
                <w:color w:val="auto"/>
              </w:rPr>
            </w:pPr>
          </w:p>
        </w:tc>
        <w:tc>
          <w:tcPr>
            <w:tcW w:w="2320" w:type="dxa"/>
            <w:vAlign w:val="bottom"/>
          </w:tcPr>
          <w:p>
            <w:pPr>
              <w:spacing w:after="0"/>
              <w:rPr>
                <w:sz w:val="12"/>
                <w:szCs w:val="12"/>
                <w:color w:val="auto"/>
              </w:rPr>
            </w:pPr>
          </w:p>
        </w:tc>
        <w:tc>
          <w:tcPr>
            <w:tcW w:w="1600" w:type="dxa"/>
            <w:vAlign w:val="bottom"/>
            <w:tcBorders>
              <w:top w:val="single" w:sz="8" w:color="auto"/>
            </w:tcBorders>
            <w:gridSpan w:val="2"/>
          </w:tcPr>
          <w:p>
            <w:pPr>
              <w:jc w:val="center"/>
              <w:spacing w:after="0" w:line="142" w:lineRule="exact"/>
              <w:rPr>
                <w:sz w:val="20"/>
                <w:szCs w:val="20"/>
                <w:color w:val="auto"/>
              </w:rPr>
            </w:pPr>
            <w:r>
              <w:rPr>
                <w:rFonts w:ascii="Arial" w:cs="Arial" w:eastAsia="Arial" w:hAnsi="Arial"/>
                <w:sz w:val="14"/>
                <w:szCs w:val="14"/>
                <w:i w:val="1"/>
                <w:iCs w:val="1"/>
                <w:color w:val="auto"/>
              </w:rPr>
              <w:t>(In millions)</w:t>
            </w:r>
          </w:p>
        </w:tc>
        <w:tc>
          <w:tcPr>
            <w:tcW w:w="60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500" w:type="dxa"/>
            <w:vAlign w:val="bottom"/>
            <w:tcBorders>
              <w:top w:val="single" w:sz="8" w:color="auto"/>
            </w:tcBorders>
          </w:tcPr>
          <w:p>
            <w:pPr>
              <w:spacing w:after="0"/>
              <w:rPr>
                <w:sz w:val="12"/>
                <w:szCs w:val="12"/>
                <w:color w:val="auto"/>
              </w:rPr>
            </w:pPr>
          </w:p>
        </w:tc>
        <w:tc>
          <w:tcPr>
            <w:tcW w:w="600" w:type="dxa"/>
            <w:vAlign w:val="bottom"/>
          </w:tcPr>
          <w:p>
            <w:pPr>
              <w:spacing w:after="0"/>
              <w:rPr>
                <w:sz w:val="12"/>
                <w:szCs w:val="12"/>
                <w:color w:val="auto"/>
              </w:rPr>
            </w:pPr>
          </w:p>
        </w:tc>
        <w:tc>
          <w:tcPr>
            <w:tcW w:w="66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3780" w:type="dxa"/>
            <w:vAlign w:val="bottom"/>
            <w:shd w:val="clear" w:color="auto" w:fill="CCEEFF"/>
          </w:tcPr>
          <w:p>
            <w:pPr>
              <w:spacing w:after="0"/>
              <w:rPr>
                <w:sz w:val="20"/>
                <w:szCs w:val="20"/>
                <w:color w:val="auto"/>
              </w:rPr>
            </w:pPr>
            <w:r>
              <w:rPr>
                <w:rFonts w:ascii="Arial" w:cs="Arial" w:eastAsia="Arial" w:hAnsi="Arial"/>
                <w:sz w:val="18"/>
                <w:szCs w:val="18"/>
                <w:color w:val="auto"/>
              </w:rPr>
              <w:t>Sales and marketing</w:t>
            </w:r>
          </w:p>
        </w:tc>
        <w:tc>
          <w:tcPr>
            <w:tcW w:w="3120" w:type="dxa"/>
            <w:vAlign w:val="bottom"/>
            <w:gridSpan w:val="2"/>
            <w:shd w:val="clear" w:color="auto" w:fill="CCEEFF"/>
          </w:tcPr>
          <w:p>
            <w:pPr>
              <w:jc w:val="right"/>
              <w:ind w:right="228"/>
              <w:spacing w:after="0"/>
              <w:rPr>
                <w:sz w:val="20"/>
                <w:szCs w:val="20"/>
                <w:color w:val="auto"/>
              </w:rPr>
            </w:pPr>
            <w:r>
              <w:rPr>
                <w:rFonts w:ascii="Arial" w:cs="Arial" w:eastAsia="Arial" w:hAnsi="Arial"/>
                <w:sz w:val="18"/>
                <w:szCs w:val="18"/>
                <w:color w:val="auto"/>
              </w:rPr>
              <w:t>$186.7</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$211.1</w:t>
            </w:r>
          </w:p>
        </w:tc>
        <w:tc>
          <w:tcPr>
            <w:tcW w:w="680" w:type="dxa"/>
            <w:vAlign w:val="bottom"/>
            <w:gridSpan w:val="2"/>
            <w:shd w:val="clear" w:color="auto" w:fill="CCEEFF"/>
          </w:tcPr>
          <w:p>
            <w:pPr>
              <w:ind w:left="580"/>
              <w:spacing w:after="0"/>
              <w:rPr>
                <w:sz w:val="20"/>
                <w:szCs w:val="20"/>
                <w:color w:val="auto"/>
              </w:rPr>
            </w:pPr>
            <w:r>
              <w:rPr>
                <w:rFonts w:ascii="Arial" w:cs="Arial" w:eastAsia="Arial" w:hAnsi="Arial"/>
                <w:sz w:val="18"/>
                <w:szCs w:val="18"/>
                <w:color w:val="auto"/>
                <w:w w:val="79"/>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24.4</w:t>
            </w:r>
          </w:p>
        </w:tc>
        <w:tc>
          <w:tcPr>
            <w:tcW w:w="146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right="20" w:firstLine="449"/>
        <w:spacing w:after="0" w:line="273" w:lineRule="auto"/>
        <w:rPr>
          <w:sz w:val="20"/>
          <w:szCs w:val="20"/>
          <w:color w:val="auto"/>
        </w:rPr>
      </w:pPr>
      <w:r>
        <w:rPr>
          <w:rFonts w:ascii="Arial" w:cs="Arial" w:eastAsia="Arial" w:hAnsi="Arial"/>
          <w:sz w:val="17"/>
          <w:szCs w:val="17"/>
          <w:color w:val="auto"/>
        </w:rPr>
        <w:t>Sales and marketing expenses increased $24.4 million or 13% for the nine months ended September 30, 2017, as compared to the nine months ended September 30, 2016, primarily due to an increase of $13.0 million in employee-related expenses excluding stock-based compensation, which was due to headcount growth. Stock-based compensation decreased $14.8 million due to the modification of an executive stock grant during the nine months ended September 30, 2016, that resulted in a charge of $18.8 million in that prior period. Further, the increase in sales and marketing expense was due to an increase of $16.7 million for brand campaign fees, third-party sales representative fees, and lead generation fees. Sales and marketing expenses also increased $5.1 million due to overhead-related costs and $4.7 million due to app store fees.</w:t>
      </w:r>
    </w:p>
    <w:p>
      <w:pPr>
        <w:spacing w:after="0" w:line="286"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General and administrative</w:t>
      </w:r>
    </w:p>
    <w:p>
      <w:pPr>
        <w:spacing w:after="0" w:line="231"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4020" w:type="dxa"/>
            <w:vAlign w:val="bottom"/>
          </w:tcPr>
          <w:p>
            <w:pPr>
              <w:spacing w:after="0"/>
              <w:rPr>
                <w:sz w:val="14"/>
                <w:szCs w:val="14"/>
                <w:color w:val="auto"/>
              </w:rPr>
            </w:pPr>
          </w:p>
        </w:tc>
        <w:tc>
          <w:tcPr>
            <w:tcW w:w="2080" w:type="dxa"/>
            <w:vAlign w:val="bottom"/>
          </w:tcPr>
          <w:p>
            <w:pPr>
              <w:spacing w:after="0"/>
              <w:rPr>
                <w:sz w:val="14"/>
                <w:szCs w:val="14"/>
                <w:color w:val="auto"/>
              </w:rPr>
            </w:pPr>
          </w:p>
        </w:tc>
        <w:tc>
          <w:tcPr>
            <w:tcW w:w="1620" w:type="dxa"/>
            <w:vAlign w:val="bottom"/>
            <w:gridSpan w:val="3"/>
          </w:tcPr>
          <w:p>
            <w:pPr>
              <w:jc w:val="center"/>
              <w:spacing w:after="0"/>
              <w:rPr>
                <w:sz w:val="20"/>
                <w:szCs w:val="20"/>
                <w:color w:val="auto"/>
              </w:rPr>
            </w:pPr>
            <w:r>
              <w:rPr>
                <w:rFonts w:ascii="Arial" w:cs="Arial" w:eastAsia="Arial" w:hAnsi="Arial"/>
                <w:sz w:val="14"/>
                <w:szCs w:val="14"/>
                <w:b w:val="1"/>
                <w:bCs w:val="1"/>
                <w:color w:val="auto"/>
                <w:w w:val="90"/>
              </w:rPr>
              <w:t>Nine months ended</w:t>
            </w:r>
          </w:p>
        </w:tc>
        <w:tc>
          <w:tcPr>
            <w:tcW w:w="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4020" w:type="dxa"/>
            <w:vAlign w:val="bottom"/>
          </w:tcPr>
          <w:p>
            <w:pPr>
              <w:spacing w:after="0"/>
              <w:rPr>
                <w:sz w:val="14"/>
                <w:szCs w:val="14"/>
                <w:color w:val="auto"/>
              </w:rPr>
            </w:pPr>
          </w:p>
        </w:tc>
        <w:tc>
          <w:tcPr>
            <w:tcW w:w="2080" w:type="dxa"/>
            <w:vAlign w:val="bottom"/>
          </w:tcPr>
          <w:p>
            <w:pPr>
              <w:spacing w:after="0"/>
              <w:rPr>
                <w:sz w:val="14"/>
                <w:szCs w:val="14"/>
                <w:color w:val="auto"/>
              </w:rPr>
            </w:pPr>
          </w:p>
        </w:tc>
        <w:tc>
          <w:tcPr>
            <w:tcW w:w="1620" w:type="dxa"/>
            <w:vAlign w:val="bottom"/>
            <w:tcBorders>
              <w:bottom w:val="single" w:sz="8" w:color="auto"/>
            </w:tcBorders>
            <w:gridSpan w:val="3"/>
          </w:tcPr>
          <w:p>
            <w:pPr>
              <w:jc w:val="center"/>
              <w:spacing w:after="0"/>
              <w:rPr>
                <w:sz w:val="20"/>
                <w:szCs w:val="20"/>
                <w:color w:val="auto"/>
              </w:rPr>
            </w:pPr>
            <w:r>
              <w:rPr>
                <w:rFonts w:ascii="Arial" w:cs="Arial" w:eastAsia="Arial" w:hAnsi="Arial"/>
                <w:sz w:val="14"/>
                <w:szCs w:val="14"/>
                <w:b w:val="1"/>
                <w:bCs w:val="1"/>
                <w:color w:val="auto"/>
                <w:w w:val="91"/>
              </w:rPr>
              <w:t>September 30,</w:t>
            </w:r>
          </w:p>
        </w:tc>
        <w:tc>
          <w:tcPr>
            <w:tcW w:w="680" w:type="dxa"/>
            <w:vAlign w:val="bottom"/>
            <w:gridSpan w:val="2"/>
            <w:vMerge w:val="restart"/>
          </w:tcPr>
          <w:p>
            <w:pPr>
              <w:ind w:left="580"/>
              <w:spacing w:after="0"/>
              <w:rPr>
                <w:sz w:val="20"/>
                <w:szCs w:val="20"/>
                <w:color w:val="auto"/>
              </w:rPr>
            </w:pPr>
            <w:r>
              <w:rPr>
                <w:rFonts w:ascii="Arial" w:cs="Arial" w:eastAsia="Arial" w:hAnsi="Arial"/>
                <w:sz w:val="14"/>
                <w:szCs w:val="14"/>
                <w:b w:val="1"/>
                <w:bCs w:val="1"/>
                <w:color w:val="auto"/>
              </w:rPr>
              <w:t>$</w:t>
            </w:r>
          </w:p>
        </w:tc>
        <w:tc>
          <w:tcPr>
            <w:tcW w:w="480" w:type="dxa"/>
            <w:vAlign w:val="bottom"/>
            <w:vMerge w:val="restart"/>
          </w:tcPr>
          <w:p>
            <w:pPr>
              <w:jc w:val="right"/>
              <w:spacing w:after="0"/>
              <w:rPr>
                <w:sz w:val="20"/>
                <w:szCs w:val="20"/>
                <w:color w:val="auto"/>
              </w:rPr>
            </w:pPr>
            <w:r>
              <w:rPr>
                <w:rFonts w:ascii="Arial" w:cs="Arial" w:eastAsia="Arial" w:hAnsi="Arial"/>
                <w:sz w:val="14"/>
                <w:szCs w:val="14"/>
                <w:b w:val="1"/>
                <w:bCs w:val="1"/>
                <w:color w:val="auto"/>
                <w:w w:val="89"/>
              </w:rPr>
              <w:t>Change</w:t>
            </w:r>
          </w:p>
        </w:tc>
        <w:tc>
          <w:tcPr>
            <w:tcW w:w="1460" w:type="dxa"/>
            <w:vAlign w:val="bottom"/>
            <w:gridSpan w:val="3"/>
            <w:vMerge w:val="restart"/>
          </w:tcPr>
          <w:p>
            <w:pPr>
              <w:jc w:val="right"/>
              <w:ind w:right="220"/>
              <w:spacing w:after="0"/>
              <w:rPr>
                <w:sz w:val="20"/>
                <w:szCs w:val="20"/>
                <w:color w:val="auto"/>
              </w:rPr>
            </w:pPr>
            <w:r>
              <w:rPr>
                <w:rFonts w:ascii="Arial" w:cs="Arial" w:eastAsia="Arial" w:hAnsi="Arial"/>
                <w:sz w:val="14"/>
                <w:szCs w:val="14"/>
                <w:b w:val="1"/>
                <w:bCs w:val="1"/>
                <w:color w:val="auto"/>
              </w:rPr>
              <w:t>% Change</w:t>
            </w:r>
          </w:p>
        </w:tc>
        <w:tc>
          <w:tcPr>
            <w:tcW w:w="0" w:type="dxa"/>
            <w:vAlign w:val="bottom"/>
          </w:tcPr>
          <w:p>
            <w:pPr>
              <w:spacing w:after="0"/>
              <w:rPr>
                <w:sz w:val="1"/>
                <w:szCs w:val="1"/>
                <w:color w:val="auto"/>
              </w:rPr>
            </w:pPr>
          </w:p>
        </w:tc>
      </w:tr>
      <w:tr>
        <w:trPr>
          <w:trHeight w:val="142"/>
        </w:trPr>
        <w:tc>
          <w:tcPr>
            <w:tcW w:w="4020" w:type="dxa"/>
            <w:vAlign w:val="bottom"/>
          </w:tcPr>
          <w:p>
            <w:pPr>
              <w:spacing w:after="0"/>
              <w:rPr>
                <w:sz w:val="12"/>
                <w:szCs w:val="12"/>
                <w:color w:val="auto"/>
              </w:rPr>
            </w:pPr>
          </w:p>
        </w:tc>
        <w:tc>
          <w:tcPr>
            <w:tcW w:w="2080" w:type="dxa"/>
            <w:vAlign w:val="bottom"/>
          </w:tcPr>
          <w:p>
            <w:pPr>
              <w:spacing w:after="0"/>
              <w:rPr>
                <w:sz w:val="12"/>
                <w:szCs w:val="12"/>
                <w:color w:val="auto"/>
              </w:rPr>
            </w:pPr>
          </w:p>
        </w:tc>
        <w:tc>
          <w:tcPr>
            <w:tcW w:w="760" w:type="dxa"/>
            <w:vAlign w:val="bottom"/>
          </w:tcPr>
          <w:p>
            <w:pPr>
              <w:jc w:val="right"/>
              <w:ind w:right="308"/>
              <w:spacing w:after="0" w:line="142" w:lineRule="exact"/>
              <w:rPr>
                <w:sz w:val="20"/>
                <w:szCs w:val="20"/>
                <w:color w:val="auto"/>
              </w:rPr>
            </w:pPr>
            <w:r>
              <w:rPr>
                <w:rFonts w:ascii="Arial" w:cs="Arial" w:eastAsia="Arial" w:hAnsi="Arial"/>
                <w:sz w:val="14"/>
                <w:szCs w:val="14"/>
                <w:b w:val="1"/>
                <w:bCs w:val="1"/>
                <w:color w:val="auto"/>
              </w:rPr>
              <w:t>2016</w:t>
            </w:r>
          </w:p>
        </w:tc>
        <w:tc>
          <w:tcPr>
            <w:tcW w:w="420" w:type="dxa"/>
            <w:vAlign w:val="bottom"/>
          </w:tcPr>
          <w:p>
            <w:pPr>
              <w:spacing w:after="0"/>
              <w:rPr>
                <w:sz w:val="12"/>
                <w:szCs w:val="12"/>
                <w:color w:val="auto"/>
              </w:rPr>
            </w:pPr>
          </w:p>
        </w:tc>
        <w:tc>
          <w:tcPr>
            <w:tcW w:w="440" w:type="dxa"/>
            <w:vAlign w:val="bottom"/>
          </w:tcPr>
          <w:p>
            <w:pPr>
              <w:jc w:val="right"/>
              <w:ind w:right="59"/>
              <w:spacing w:after="0" w:line="142" w:lineRule="exact"/>
              <w:rPr>
                <w:sz w:val="20"/>
                <w:szCs w:val="20"/>
                <w:color w:val="auto"/>
              </w:rPr>
            </w:pPr>
            <w:r>
              <w:rPr>
                <w:rFonts w:ascii="Arial" w:cs="Arial" w:eastAsia="Arial" w:hAnsi="Arial"/>
                <w:sz w:val="14"/>
                <w:szCs w:val="14"/>
                <w:b w:val="1"/>
                <w:bCs w:val="1"/>
                <w:color w:val="auto"/>
                <w:w w:val="89"/>
              </w:rPr>
              <w:t>2017</w:t>
            </w:r>
          </w:p>
        </w:tc>
        <w:tc>
          <w:tcPr>
            <w:tcW w:w="680" w:type="dxa"/>
            <w:vAlign w:val="bottom"/>
            <w:gridSpan w:val="2"/>
            <w:vMerge w:val="continue"/>
          </w:tcPr>
          <w:p>
            <w:pPr>
              <w:spacing w:after="0"/>
              <w:rPr>
                <w:sz w:val="12"/>
                <w:szCs w:val="12"/>
                <w:color w:val="auto"/>
              </w:rPr>
            </w:pPr>
          </w:p>
        </w:tc>
        <w:tc>
          <w:tcPr>
            <w:tcW w:w="480" w:type="dxa"/>
            <w:vAlign w:val="bottom"/>
            <w:vMerge w:val="continue"/>
          </w:tcPr>
          <w:p>
            <w:pPr>
              <w:spacing w:after="0"/>
              <w:rPr>
                <w:sz w:val="12"/>
                <w:szCs w:val="12"/>
                <w:color w:val="auto"/>
              </w:rPr>
            </w:pPr>
          </w:p>
        </w:tc>
        <w:tc>
          <w:tcPr>
            <w:tcW w:w="1460" w:type="dxa"/>
            <w:vAlign w:val="bottom"/>
            <w:gridSpan w:val="3"/>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4020" w:type="dxa"/>
            <w:vAlign w:val="bottom"/>
          </w:tcPr>
          <w:p>
            <w:pPr>
              <w:spacing w:after="0"/>
              <w:rPr>
                <w:sz w:val="12"/>
                <w:szCs w:val="12"/>
                <w:color w:val="auto"/>
              </w:rPr>
            </w:pPr>
          </w:p>
        </w:tc>
        <w:tc>
          <w:tcPr>
            <w:tcW w:w="2080" w:type="dxa"/>
            <w:vAlign w:val="bottom"/>
          </w:tcPr>
          <w:p>
            <w:pPr>
              <w:spacing w:after="0"/>
              <w:rPr>
                <w:sz w:val="12"/>
                <w:szCs w:val="12"/>
                <w:color w:val="auto"/>
              </w:rPr>
            </w:pPr>
          </w:p>
        </w:tc>
        <w:tc>
          <w:tcPr>
            <w:tcW w:w="1180" w:type="dxa"/>
            <w:vAlign w:val="bottom"/>
            <w:tcBorders>
              <w:top w:val="single" w:sz="8" w:color="auto"/>
            </w:tcBorders>
            <w:gridSpan w:val="2"/>
          </w:tcPr>
          <w:p>
            <w:pPr>
              <w:jc w:val="center"/>
              <w:ind w:left="388"/>
              <w:spacing w:after="0" w:line="142" w:lineRule="exact"/>
              <w:rPr>
                <w:sz w:val="20"/>
                <w:szCs w:val="20"/>
                <w:color w:val="auto"/>
              </w:rPr>
            </w:pPr>
            <w:r>
              <w:rPr>
                <w:rFonts w:ascii="Arial" w:cs="Arial" w:eastAsia="Arial" w:hAnsi="Arial"/>
                <w:sz w:val="14"/>
                <w:szCs w:val="14"/>
                <w:i w:val="1"/>
                <w:iCs w:val="1"/>
                <w:color w:val="auto"/>
              </w:rPr>
              <w:t>(In millions)</w:t>
            </w:r>
          </w:p>
        </w:tc>
        <w:tc>
          <w:tcPr>
            <w:tcW w:w="440" w:type="dxa"/>
            <w:vAlign w:val="bottom"/>
            <w:tcBorders>
              <w:top w:val="single" w:sz="8" w:color="auto"/>
            </w:tcBorders>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480" w:type="dxa"/>
            <w:vAlign w:val="bottom"/>
            <w:tcBorders>
              <w:top w:val="single" w:sz="8" w:color="auto"/>
            </w:tcBorders>
          </w:tcPr>
          <w:p>
            <w:pPr>
              <w:spacing w:after="0"/>
              <w:rPr>
                <w:sz w:val="12"/>
                <w:szCs w:val="12"/>
                <w:color w:val="auto"/>
              </w:rPr>
            </w:pPr>
          </w:p>
        </w:tc>
        <w:tc>
          <w:tcPr>
            <w:tcW w:w="600" w:type="dxa"/>
            <w:vAlign w:val="bottom"/>
          </w:tcPr>
          <w:p>
            <w:pPr>
              <w:spacing w:after="0"/>
              <w:rPr>
                <w:sz w:val="12"/>
                <w:szCs w:val="12"/>
                <w:color w:val="auto"/>
              </w:rPr>
            </w:pPr>
          </w:p>
        </w:tc>
        <w:tc>
          <w:tcPr>
            <w:tcW w:w="66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4020" w:type="dxa"/>
            <w:vAlign w:val="bottom"/>
            <w:shd w:val="clear" w:color="auto" w:fill="CCEEFF"/>
          </w:tcPr>
          <w:p>
            <w:pPr>
              <w:spacing w:after="0"/>
              <w:rPr>
                <w:sz w:val="20"/>
                <w:szCs w:val="20"/>
                <w:color w:val="auto"/>
              </w:rPr>
            </w:pPr>
            <w:r>
              <w:rPr>
                <w:rFonts w:ascii="Arial" w:cs="Arial" w:eastAsia="Arial" w:hAnsi="Arial"/>
                <w:sz w:val="18"/>
                <w:szCs w:val="18"/>
                <w:color w:val="auto"/>
              </w:rPr>
              <w:t>General and administrative</w:t>
            </w:r>
          </w:p>
        </w:tc>
        <w:tc>
          <w:tcPr>
            <w:tcW w:w="2840" w:type="dxa"/>
            <w:vAlign w:val="bottom"/>
            <w:gridSpan w:val="2"/>
            <w:shd w:val="clear" w:color="auto" w:fill="CCEEFF"/>
          </w:tcPr>
          <w:p>
            <w:pPr>
              <w:jc w:val="right"/>
              <w:ind w:right="228"/>
              <w:spacing w:after="0"/>
              <w:rPr>
                <w:sz w:val="20"/>
                <w:szCs w:val="20"/>
                <w:color w:val="auto"/>
              </w:rPr>
            </w:pPr>
            <w:r>
              <w:rPr>
                <w:rFonts w:ascii="Arial" w:cs="Arial" w:eastAsia="Arial" w:hAnsi="Arial"/>
                <w:sz w:val="18"/>
                <w:szCs w:val="18"/>
                <w:color w:val="auto"/>
              </w:rPr>
              <w:t>$ 76.5</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113.1</w:t>
            </w:r>
          </w:p>
        </w:tc>
        <w:tc>
          <w:tcPr>
            <w:tcW w:w="680" w:type="dxa"/>
            <w:vAlign w:val="bottom"/>
            <w:gridSpan w:val="2"/>
            <w:shd w:val="clear" w:color="auto" w:fill="CCEEFF"/>
          </w:tcPr>
          <w:p>
            <w:pPr>
              <w:ind w:left="580"/>
              <w:spacing w:after="0"/>
              <w:rPr>
                <w:sz w:val="20"/>
                <w:szCs w:val="20"/>
                <w:color w:val="auto"/>
              </w:rPr>
            </w:pPr>
            <w:r>
              <w:rPr>
                <w:rFonts w:ascii="Arial" w:cs="Arial" w:eastAsia="Arial" w:hAnsi="Arial"/>
                <w:sz w:val="18"/>
                <w:szCs w:val="18"/>
                <w:color w:val="auto"/>
                <w:w w:val="7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36.6</w:t>
            </w:r>
          </w:p>
        </w:tc>
        <w:tc>
          <w:tcPr>
            <w:tcW w:w="146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48%</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firstLine="449"/>
        <w:spacing w:after="0" w:line="275" w:lineRule="auto"/>
        <w:rPr>
          <w:sz w:val="20"/>
          <w:szCs w:val="20"/>
          <w:color w:val="auto"/>
        </w:rPr>
      </w:pPr>
      <w:r>
        <w:rPr>
          <w:rFonts w:ascii="Arial" w:cs="Arial" w:eastAsia="Arial" w:hAnsi="Arial"/>
          <w:sz w:val="17"/>
          <w:szCs w:val="17"/>
          <w:color w:val="auto"/>
        </w:rPr>
        <w:t>General and administrative expenses increased $36.6 million or 48% for the nine months ended September 30, 2017, as compared to the nine months ended September 30, 2016, primarily due to a $12.4 million benefit relating to a non-income based tax ruling during the nine months ended September 30, 2016, and the initial funding of the Dropbox Charitable Foundation during the nine months ended September 30, 2017, which included an equity-based charitable contribution of $9.4 million, and cash contributions of $0.8 million. Further, the increase in general and administrative expenses was due to an increase of $8.3 million in employee-related expenses, which was due to headcount growth.</w:t>
      </w:r>
    </w:p>
    <w:p>
      <w:pPr>
        <w:spacing w:after="0" w:line="10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70</w:t>
      </w:r>
    </w:p>
    <w:p>
      <w:pPr>
        <w:sectPr>
          <w:pgSz w:w="11900" w:h="16838" w:orient="portrait"/>
          <w:cols w:equalWidth="0" w:num="1">
            <w:col w:w="11200"/>
          </w:cols>
          <w:pgMar w:left="320" w:top="459" w:right="379" w:bottom="1440" w:gutter="0" w:footer="0" w:header="0"/>
        </w:sectPr>
      </w:pPr>
    </w:p>
    <w:bookmarkStart w:id="73" w:name="page74"/>
    <w:bookmarkEnd w:id="7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Interest expense, net</w:t>
      </w:r>
    </w:p>
    <w:p>
      <w:pPr>
        <w:spacing w:after="0" w:line="117" w:lineRule="exact"/>
        <w:rPr>
          <w:sz w:val="20"/>
          <w:szCs w:val="20"/>
          <w:color w:val="auto"/>
        </w:rPr>
      </w:pPr>
    </w:p>
    <w:p>
      <w:pPr>
        <w:ind w:right="280" w:firstLine="449"/>
        <w:spacing w:after="0" w:line="308" w:lineRule="auto"/>
        <w:rPr>
          <w:sz w:val="20"/>
          <w:szCs w:val="20"/>
          <w:color w:val="auto"/>
        </w:rPr>
      </w:pPr>
      <w:r>
        <w:rPr>
          <w:rFonts w:ascii="Arial" w:cs="Arial" w:eastAsia="Arial" w:hAnsi="Arial"/>
          <w:sz w:val="17"/>
          <w:szCs w:val="17"/>
          <w:color w:val="auto"/>
        </w:rPr>
        <w:t>Interest expense, net decreased $3.3 million for the nine months ended September 30, 2017, as compared to the nine months ended September 30, 2016, primarily due to a decrease in interest expense of $3.2 million due to fewer assets acquired under capital leases.</w:t>
      </w:r>
    </w:p>
    <w:p>
      <w:pPr>
        <w:spacing w:after="0" w:line="254"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Other income (expense), net</w:t>
      </w:r>
    </w:p>
    <w:p>
      <w:pPr>
        <w:spacing w:after="0" w:line="117" w:lineRule="exact"/>
        <w:rPr>
          <w:sz w:val="20"/>
          <w:szCs w:val="20"/>
          <w:color w:val="auto"/>
        </w:rPr>
      </w:pPr>
    </w:p>
    <w:p>
      <w:pPr>
        <w:ind w:right="840" w:firstLine="449"/>
        <w:spacing w:after="0" w:line="277" w:lineRule="auto"/>
        <w:rPr>
          <w:sz w:val="20"/>
          <w:szCs w:val="20"/>
          <w:color w:val="auto"/>
        </w:rPr>
      </w:pPr>
      <w:r>
        <w:rPr>
          <w:rFonts w:ascii="Arial" w:cs="Arial" w:eastAsia="Arial" w:hAnsi="Arial"/>
          <w:sz w:val="18"/>
          <w:szCs w:val="18"/>
          <w:color w:val="auto"/>
        </w:rPr>
        <w:t>Other income (expense), net increased $4.7 million for the nine months ended September 30, 2017, as compared to the nine months ended September 30, 2016, primarily due to an increase of $4.8 million in foreign currency gains.</w:t>
      </w:r>
    </w:p>
    <w:p>
      <w:pPr>
        <w:spacing w:after="0" w:line="278"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Provision for income taxes</w:t>
      </w:r>
    </w:p>
    <w:p>
      <w:pPr>
        <w:spacing w:after="0" w:line="117" w:lineRule="exact"/>
        <w:rPr>
          <w:sz w:val="20"/>
          <w:szCs w:val="20"/>
          <w:color w:val="auto"/>
        </w:rPr>
      </w:pPr>
    </w:p>
    <w:p>
      <w:pPr>
        <w:ind w:right="380" w:firstLine="449"/>
        <w:spacing w:after="0" w:line="263" w:lineRule="auto"/>
        <w:rPr>
          <w:sz w:val="20"/>
          <w:szCs w:val="20"/>
          <w:color w:val="auto"/>
        </w:rPr>
      </w:pPr>
      <w:r>
        <w:rPr>
          <w:rFonts w:ascii="Arial" w:cs="Arial" w:eastAsia="Arial" w:hAnsi="Arial"/>
          <w:sz w:val="18"/>
          <w:szCs w:val="18"/>
          <w:color w:val="auto"/>
        </w:rPr>
        <w:t>Provision for income taxes decreased by $2.2 million for the nine months ended September 30, 2017, as compared to the nine months ended September 30, 2016, primarily due to a decrease in federal taxes since we were subject to the U.S. alternative minimum tax during 2016 and we do not expect to be subject to the U.S. alternative minimum tax during 2017.</w:t>
      </w:r>
    </w:p>
    <w:p>
      <w:pPr>
        <w:spacing w:after="0" w:line="292"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Comparison of the year ended December 31, 2015 and 2016</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Revenue</w:t>
      </w:r>
    </w:p>
    <w:p>
      <w:pPr>
        <w:spacing w:after="0" w:line="231"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3340" w:type="dxa"/>
            <w:vAlign w:val="bottom"/>
          </w:tcPr>
          <w:p>
            <w:pPr>
              <w:spacing w:after="0"/>
              <w:rPr>
                <w:sz w:val="14"/>
                <w:szCs w:val="14"/>
                <w:color w:val="auto"/>
              </w:rPr>
            </w:pPr>
          </w:p>
        </w:tc>
        <w:tc>
          <w:tcPr>
            <w:tcW w:w="2720" w:type="dxa"/>
            <w:vAlign w:val="bottom"/>
          </w:tcPr>
          <w:p>
            <w:pPr>
              <w:spacing w:after="0"/>
              <w:rPr>
                <w:sz w:val="14"/>
                <w:szCs w:val="14"/>
                <w:color w:val="auto"/>
              </w:rPr>
            </w:pPr>
          </w:p>
        </w:tc>
        <w:tc>
          <w:tcPr>
            <w:tcW w:w="1620" w:type="dxa"/>
            <w:vAlign w:val="bottom"/>
            <w:gridSpan w:val="2"/>
          </w:tcPr>
          <w:p>
            <w:pPr>
              <w:jc w:val="center"/>
              <w:spacing w:after="0"/>
              <w:rPr>
                <w:sz w:val="20"/>
                <w:szCs w:val="20"/>
                <w:color w:val="auto"/>
              </w:rPr>
            </w:pPr>
            <w:r>
              <w:rPr>
                <w:rFonts w:ascii="Arial" w:cs="Arial" w:eastAsia="Arial" w:hAnsi="Arial"/>
                <w:sz w:val="14"/>
                <w:szCs w:val="14"/>
                <w:b w:val="1"/>
                <w:bCs w:val="1"/>
                <w:color w:val="auto"/>
                <w:w w:val="92"/>
              </w:rPr>
              <w:t>Year ended</w:t>
            </w:r>
          </w:p>
        </w:tc>
        <w:tc>
          <w:tcPr>
            <w:tcW w:w="6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3340" w:type="dxa"/>
            <w:vAlign w:val="bottom"/>
          </w:tcPr>
          <w:p>
            <w:pPr>
              <w:spacing w:after="0"/>
              <w:rPr>
                <w:sz w:val="14"/>
                <w:szCs w:val="14"/>
                <w:color w:val="auto"/>
              </w:rPr>
            </w:pPr>
          </w:p>
        </w:tc>
        <w:tc>
          <w:tcPr>
            <w:tcW w:w="2720" w:type="dxa"/>
            <w:vAlign w:val="bottom"/>
          </w:tcPr>
          <w:p>
            <w:pPr>
              <w:spacing w:after="0"/>
              <w:rPr>
                <w:sz w:val="14"/>
                <w:szCs w:val="14"/>
                <w:color w:val="auto"/>
              </w:rPr>
            </w:pPr>
          </w:p>
        </w:tc>
        <w:tc>
          <w:tcPr>
            <w:tcW w:w="162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92"/>
              </w:rPr>
              <w:t>December 31,</w:t>
            </w:r>
          </w:p>
        </w:tc>
        <w:tc>
          <w:tcPr>
            <w:tcW w:w="1180" w:type="dxa"/>
            <w:vAlign w:val="bottom"/>
            <w:gridSpan w:val="2"/>
            <w:vMerge w:val="restart"/>
          </w:tcPr>
          <w:p>
            <w:pPr>
              <w:ind w:left="600"/>
              <w:spacing w:after="0"/>
              <w:rPr>
                <w:sz w:val="20"/>
                <w:szCs w:val="20"/>
                <w:color w:val="auto"/>
              </w:rPr>
            </w:pPr>
            <w:r>
              <w:rPr>
                <w:rFonts w:ascii="Arial" w:cs="Arial" w:eastAsia="Arial" w:hAnsi="Arial"/>
                <w:sz w:val="14"/>
                <w:szCs w:val="14"/>
                <w:b w:val="1"/>
                <w:bCs w:val="1"/>
                <w:color w:val="auto"/>
                <w:w w:val="88"/>
              </w:rPr>
              <w:t>$ Change</w:t>
            </w:r>
          </w:p>
        </w:tc>
        <w:tc>
          <w:tcPr>
            <w:tcW w:w="1480" w:type="dxa"/>
            <w:vAlign w:val="bottom"/>
            <w:gridSpan w:val="3"/>
            <w:vMerge w:val="restart"/>
          </w:tcPr>
          <w:p>
            <w:pPr>
              <w:jc w:val="right"/>
              <w:ind w:right="220"/>
              <w:spacing w:after="0"/>
              <w:rPr>
                <w:sz w:val="20"/>
                <w:szCs w:val="20"/>
                <w:color w:val="auto"/>
              </w:rPr>
            </w:pPr>
            <w:r>
              <w:rPr>
                <w:rFonts w:ascii="Arial" w:cs="Arial" w:eastAsia="Arial" w:hAnsi="Arial"/>
                <w:sz w:val="14"/>
                <w:szCs w:val="14"/>
                <w:b w:val="1"/>
                <w:bCs w:val="1"/>
                <w:color w:val="auto"/>
              </w:rPr>
              <w:t>% Change</w:t>
            </w:r>
          </w:p>
        </w:tc>
        <w:tc>
          <w:tcPr>
            <w:tcW w:w="0" w:type="dxa"/>
            <w:vAlign w:val="bottom"/>
          </w:tcPr>
          <w:p>
            <w:pPr>
              <w:spacing w:after="0"/>
              <w:rPr>
                <w:sz w:val="1"/>
                <w:szCs w:val="1"/>
                <w:color w:val="auto"/>
              </w:rPr>
            </w:pPr>
          </w:p>
        </w:tc>
      </w:tr>
      <w:tr>
        <w:trPr>
          <w:trHeight w:val="142"/>
        </w:trPr>
        <w:tc>
          <w:tcPr>
            <w:tcW w:w="3340" w:type="dxa"/>
            <w:vAlign w:val="bottom"/>
          </w:tcPr>
          <w:p>
            <w:pPr>
              <w:spacing w:after="0"/>
              <w:rPr>
                <w:sz w:val="12"/>
                <w:szCs w:val="12"/>
                <w:color w:val="auto"/>
              </w:rPr>
            </w:pPr>
          </w:p>
        </w:tc>
        <w:tc>
          <w:tcPr>
            <w:tcW w:w="2720" w:type="dxa"/>
            <w:vAlign w:val="bottom"/>
          </w:tcPr>
          <w:p>
            <w:pPr>
              <w:spacing w:after="0"/>
              <w:rPr>
                <w:sz w:val="12"/>
                <w:szCs w:val="12"/>
                <w:color w:val="auto"/>
              </w:rPr>
            </w:pPr>
          </w:p>
        </w:tc>
        <w:tc>
          <w:tcPr>
            <w:tcW w:w="800" w:type="dxa"/>
            <w:vAlign w:val="bottom"/>
          </w:tcPr>
          <w:p>
            <w:pPr>
              <w:jc w:val="right"/>
              <w:ind w:right="328"/>
              <w:spacing w:after="0" w:line="142" w:lineRule="exact"/>
              <w:rPr>
                <w:sz w:val="20"/>
                <w:szCs w:val="20"/>
                <w:color w:val="auto"/>
              </w:rPr>
            </w:pPr>
            <w:r>
              <w:rPr>
                <w:rFonts w:ascii="Arial" w:cs="Arial" w:eastAsia="Arial" w:hAnsi="Arial"/>
                <w:sz w:val="14"/>
                <w:szCs w:val="14"/>
                <w:b w:val="1"/>
                <w:bCs w:val="1"/>
                <w:color w:val="auto"/>
              </w:rPr>
              <w:t>2015</w:t>
            </w:r>
          </w:p>
        </w:tc>
        <w:tc>
          <w:tcPr>
            <w:tcW w:w="820" w:type="dxa"/>
            <w:vAlign w:val="bottom"/>
          </w:tcPr>
          <w:p>
            <w:pPr>
              <w:jc w:val="right"/>
              <w:ind w:right="39"/>
              <w:spacing w:after="0" w:line="142" w:lineRule="exact"/>
              <w:rPr>
                <w:sz w:val="20"/>
                <w:szCs w:val="20"/>
                <w:color w:val="auto"/>
              </w:rPr>
            </w:pPr>
            <w:r>
              <w:rPr>
                <w:rFonts w:ascii="Arial" w:cs="Arial" w:eastAsia="Arial" w:hAnsi="Arial"/>
                <w:sz w:val="14"/>
                <w:szCs w:val="14"/>
                <w:b w:val="1"/>
                <w:bCs w:val="1"/>
                <w:color w:val="auto"/>
              </w:rPr>
              <w:t>2016</w:t>
            </w:r>
          </w:p>
        </w:tc>
        <w:tc>
          <w:tcPr>
            <w:tcW w:w="1180" w:type="dxa"/>
            <w:vAlign w:val="bottom"/>
            <w:gridSpan w:val="2"/>
            <w:vMerge w:val="continue"/>
          </w:tcPr>
          <w:p>
            <w:pPr>
              <w:spacing w:after="0"/>
              <w:rPr>
                <w:sz w:val="12"/>
                <w:szCs w:val="12"/>
                <w:color w:val="auto"/>
              </w:rPr>
            </w:pPr>
          </w:p>
        </w:tc>
        <w:tc>
          <w:tcPr>
            <w:tcW w:w="1480" w:type="dxa"/>
            <w:vAlign w:val="bottom"/>
            <w:gridSpan w:val="3"/>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3340" w:type="dxa"/>
            <w:vAlign w:val="bottom"/>
          </w:tcPr>
          <w:p>
            <w:pPr>
              <w:spacing w:after="0"/>
              <w:rPr>
                <w:sz w:val="12"/>
                <w:szCs w:val="12"/>
                <w:color w:val="auto"/>
              </w:rPr>
            </w:pPr>
          </w:p>
        </w:tc>
        <w:tc>
          <w:tcPr>
            <w:tcW w:w="2720" w:type="dxa"/>
            <w:vAlign w:val="bottom"/>
          </w:tcPr>
          <w:p>
            <w:pPr>
              <w:spacing w:after="0"/>
              <w:rPr>
                <w:sz w:val="12"/>
                <w:szCs w:val="12"/>
                <w:color w:val="auto"/>
              </w:rPr>
            </w:pPr>
          </w:p>
        </w:tc>
        <w:tc>
          <w:tcPr>
            <w:tcW w:w="1620" w:type="dxa"/>
            <w:vAlign w:val="bottom"/>
            <w:tcBorders>
              <w:top w:val="single" w:sz="8" w:color="auto"/>
            </w:tcBorders>
            <w:gridSpan w:val="2"/>
          </w:tcPr>
          <w:p>
            <w:pPr>
              <w:jc w:val="center"/>
              <w:spacing w:after="0" w:line="142" w:lineRule="exact"/>
              <w:rPr>
                <w:sz w:val="20"/>
                <w:szCs w:val="20"/>
                <w:color w:val="auto"/>
              </w:rPr>
            </w:pPr>
            <w:r>
              <w:rPr>
                <w:rFonts w:ascii="Arial" w:cs="Arial" w:eastAsia="Arial" w:hAnsi="Arial"/>
                <w:sz w:val="14"/>
                <w:szCs w:val="14"/>
                <w:i w:val="1"/>
                <w:iCs w:val="1"/>
                <w:color w:val="auto"/>
              </w:rPr>
              <w:t>(In millions)</w:t>
            </w:r>
          </w:p>
        </w:tc>
        <w:tc>
          <w:tcPr>
            <w:tcW w:w="600" w:type="dxa"/>
            <w:vAlign w:val="bottom"/>
          </w:tcPr>
          <w:p>
            <w:pPr>
              <w:spacing w:after="0"/>
              <w:rPr>
                <w:sz w:val="12"/>
                <w:szCs w:val="12"/>
                <w:color w:val="auto"/>
              </w:rPr>
            </w:pPr>
          </w:p>
        </w:tc>
        <w:tc>
          <w:tcPr>
            <w:tcW w:w="580" w:type="dxa"/>
            <w:vAlign w:val="bottom"/>
            <w:tcBorders>
              <w:top w:val="single" w:sz="8" w:color="auto"/>
            </w:tcBorders>
          </w:tcPr>
          <w:p>
            <w:pPr>
              <w:spacing w:after="0"/>
              <w:rPr>
                <w:sz w:val="12"/>
                <w:szCs w:val="12"/>
                <w:color w:val="auto"/>
              </w:rPr>
            </w:pPr>
          </w:p>
        </w:tc>
        <w:tc>
          <w:tcPr>
            <w:tcW w:w="620" w:type="dxa"/>
            <w:vAlign w:val="bottom"/>
          </w:tcPr>
          <w:p>
            <w:pPr>
              <w:spacing w:after="0"/>
              <w:rPr>
                <w:sz w:val="12"/>
                <w:szCs w:val="12"/>
                <w:color w:val="auto"/>
              </w:rPr>
            </w:pPr>
          </w:p>
        </w:tc>
        <w:tc>
          <w:tcPr>
            <w:tcW w:w="66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3340" w:type="dxa"/>
            <w:vAlign w:val="bottom"/>
            <w:shd w:val="clear" w:color="auto" w:fill="CCEEFF"/>
          </w:tcPr>
          <w:p>
            <w:pPr>
              <w:spacing w:after="0"/>
              <w:rPr>
                <w:sz w:val="20"/>
                <w:szCs w:val="20"/>
                <w:color w:val="auto"/>
              </w:rPr>
            </w:pPr>
            <w:r>
              <w:rPr>
                <w:rFonts w:ascii="Arial" w:cs="Arial" w:eastAsia="Arial" w:hAnsi="Arial"/>
                <w:sz w:val="18"/>
                <w:szCs w:val="18"/>
                <w:color w:val="auto"/>
              </w:rPr>
              <w:t>Revenue</w:t>
            </w:r>
          </w:p>
        </w:tc>
        <w:tc>
          <w:tcPr>
            <w:tcW w:w="3520" w:type="dxa"/>
            <w:vAlign w:val="bottom"/>
            <w:gridSpan w:val="2"/>
            <w:shd w:val="clear" w:color="auto" w:fill="CCEEFF"/>
          </w:tcPr>
          <w:p>
            <w:pPr>
              <w:jc w:val="right"/>
              <w:ind w:right="228"/>
              <w:spacing w:after="0"/>
              <w:rPr>
                <w:sz w:val="20"/>
                <w:szCs w:val="20"/>
                <w:color w:val="auto"/>
              </w:rPr>
            </w:pPr>
            <w:r>
              <w:rPr>
                <w:rFonts w:ascii="Arial" w:cs="Arial" w:eastAsia="Arial" w:hAnsi="Arial"/>
                <w:sz w:val="18"/>
                <w:szCs w:val="18"/>
                <w:color w:val="auto"/>
              </w:rPr>
              <w:t>$603.8</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$844.8</w:t>
            </w:r>
          </w:p>
        </w:tc>
        <w:tc>
          <w:tcPr>
            <w:tcW w:w="1180" w:type="dxa"/>
            <w:vAlign w:val="bottom"/>
            <w:gridSpan w:val="2"/>
            <w:shd w:val="clear" w:color="auto" w:fill="CCEEFF"/>
          </w:tcPr>
          <w:p>
            <w:pPr>
              <w:ind w:left="600"/>
              <w:spacing w:after="0"/>
              <w:rPr>
                <w:sz w:val="20"/>
                <w:szCs w:val="20"/>
                <w:color w:val="auto"/>
              </w:rPr>
            </w:pPr>
            <w:r>
              <w:rPr>
                <w:rFonts w:ascii="Arial" w:cs="Arial" w:eastAsia="Arial" w:hAnsi="Arial"/>
                <w:sz w:val="18"/>
                <w:szCs w:val="18"/>
                <w:color w:val="auto"/>
                <w:w w:val="93"/>
              </w:rPr>
              <w:t>$ 241.0</w:t>
            </w:r>
          </w:p>
        </w:tc>
        <w:tc>
          <w:tcPr>
            <w:tcW w:w="148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40%</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right="360" w:firstLine="449"/>
        <w:spacing w:after="0" w:line="277" w:lineRule="auto"/>
        <w:rPr>
          <w:sz w:val="20"/>
          <w:szCs w:val="20"/>
          <w:color w:val="auto"/>
        </w:rPr>
      </w:pPr>
      <w:r>
        <w:rPr>
          <w:rFonts w:ascii="Arial" w:cs="Arial" w:eastAsia="Arial" w:hAnsi="Arial"/>
          <w:sz w:val="18"/>
          <w:szCs w:val="18"/>
          <w:color w:val="auto"/>
        </w:rPr>
        <w:t>Revenue increased $241.0 million or 40% during 2016 as compared to 2015. This increase was primarily due to a 35% increase in the number of paying users between periods. The average revenue per paying user also decreased slightly between periods.</w:t>
      </w:r>
    </w:p>
    <w:p>
      <w:pPr>
        <w:spacing w:after="0" w:line="278"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Cost of revenue, gross profit, and gross margin</w:t>
      </w:r>
    </w:p>
    <w:p>
      <w:pPr>
        <w:spacing w:after="0" w:line="231"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3640" w:type="dxa"/>
            <w:vAlign w:val="bottom"/>
          </w:tcPr>
          <w:p>
            <w:pPr>
              <w:spacing w:after="0"/>
              <w:rPr>
                <w:sz w:val="14"/>
                <w:szCs w:val="14"/>
                <w:color w:val="auto"/>
              </w:rPr>
            </w:pPr>
          </w:p>
        </w:tc>
        <w:tc>
          <w:tcPr>
            <w:tcW w:w="2500" w:type="dxa"/>
            <w:vAlign w:val="bottom"/>
          </w:tcPr>
          <w:p>
            <w:pPr>
              <w:spacing w:after="0"/>
              <w:rPr>
                <w:sz w:val="14"/>
                <w:szCs w:val="14"/>
                <w:color w:val="auto"/>
              </w:rPr>
            </w:pPr>
          </w:p>
        </w:tc>
        <w:tc>
          <w:tcPr>
            <w:tcW w:w="2060" w:type="dxa"/>
            <w:vAlign w:val="bottom"/>
            <w:gridSpan w:val="3"/>
          </w:tcPr>
          <w:p>
            <w:pPr>
              <w:jc w:val="center"/>
              <w:ind w:right="420"/>
              <w:spacing w:after="0"/>
              <w:rPr>
                <w:sz w:val="20"/>
                <w:szCs w:val="20"/>
                <w:color w:val="auto"/>
              </w:rPr>
            </w:pPr>
            <w:r>
              <w:rPr>
                <w:rFonts w:ascii="Arial" w:cs="Arial" w:eastAsia="Arial" w:hAnsi="Arial"/>
                <w:sz w:val="14"/>
                <w:szCs w:val="14"/>
                <w:b w:val="1"/>
                <w:bCs w:val="1"/>
                <w:color w:val="auto"/>
                <w:w w:val="90"/>
              </w:rPr>
              <w:t>Year ended</w:t>
            </w: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3640" w:type="dxa"/>
            <w:vAlign w:val="bottom"/>
          </w:tcPr>
          <w:p>
            <w:pPr>
              <w:spacing w:after="0"/>
              <w:rPr>
                <w:sz w:val="14"/>
                <w:szCs w:val="14"/>
                <w:color w:val="auto"/>
              </w:rPr>
            </w:pPr>
          </w:p>
        </w:tc>
        <w:tc>
          <w:tcPr>
            <w:tcW w:w="2500" w:type="dxa"/>
            <w:vAlign w:val="bottom"/>
          </w:tcPr>
          <w:p>
            <w:pPr>
              <w:spacing w:after="0"/>
              <w:rPr>
                <w:sz w:val="14"/>
                <w:szCs w:val="14"/>
                <w:color w:val="auto"/>
              </w:rPr>
            </w:pPr>
          </w:p>
        </w:tc>
        <w:tc>
          <w:tcPr>
            <w:tcW w:w="2060" w:type="dxa"/>
            <w:vAlign w:val="bottom"/>
            <w:gridSpan w:val="3"/>
          </w:tcPr>
          <w:p>
            <w:pPr>
              <w:jc w:val="center"/>
              <w:ind w:right="420"/>
              <w:spacing w:after="0"/>
              <w:rPr>
                <w:sz w:val="20"/>
                <w:szCs w:val="20"/>
                <w:color w:val="auto"/>
              </w:rPr>
            </w:pPr>
            <w:r>
              <w:rPr>
                <w:rFonts w:ascii="Arial" w:cs="Arial" w:eastAsia="Arial" w:hAnsi="Arial"/>
                <w:sz w:val="14"/>
                <w:szCs w:val="14"/>
                <w:b w:val="1"/>
                <w:bCs w:val="1"/>
                <w:color w:val="auto"/>
                <w:w w:val="92"/>
              </w:rPr>
              <w:t>December 31,</w:t>
            </w:r>
          </w:p>
        </w:tc>
        <w:tc>
          <w:tcPr>
            <w:tcW w:w="360" w:type="dxa"/>
            <w:vAlign w:val="bottom"/>
            <w:gridSpan w:val="2"/>
            <w:vMerge w:val="restart"/>
          </w:tcPr>
          <w:p>
            <w:pPr>
              <w:ind w:left="260"/>
              <w:spacing w:after="0"/>
              <w:rPr>
                <w:sz w:val="20"/>
                <w:szCs w:val="20"/>
                <w:color w:val="auto"/>
              </w:rPr>
            </w:pPr>
            <w:r>
              <w:rPr>
                <w:rFonts w:ascii="Arial" w:cs="Arial" w:eastAsia="Arial" w:hAnsi="Arial"/>
                <w:sz w:val="14"/>
                <w:szCs w:val="14"/>
                <w:b w:val="1"/>
                <w:bCs w:val="1"/>
                <w:color w:val="auto"/>
              </w:rPr>
              <w:t>$</w:t>
            </w:r>
          </w:p>
        </w:tc>
        <w:tc>
          <w:tcPr>
            <w:tcW w:w="800" w:type="dxa"/>
            <w:vAlign w:val="bottom"/>
            <w:gridSpan w:val="2"/>
            <w:vMerge w:val="restart"/>
          </w:tcPr>
          <w:p>
            <w:pPr>
              <w:jc w:val="right"/>
              <w:ind w:right="320"/>
              <w:spacing w:after="0"/>
              <w:rPr>
                <w:sz w:val="20"/>
                <w:szCs w:val="20"/>
                <w:color w:val="auto"/>
              </w:rPr>
            </w:pPr>
            <w:r>
              <w:rPr>
                <w:rFonts w:ascii="Arial" w:cs="Arial" w:eastAsia="Arial" w:hAnsi="Arial"/>
                <w:sz w:val="14"/>
                <w:szCs w:val="14"/>
                <w:b w:val="1"/>
                <w:bCs w:val="1"/>
                <w:color w:val="auto"/>
                <w:w w:val="89"/>
              </w:rPr>
              <w:t>Change</w:t>
            </w:r>
          </w:p>
        </w:tc>
        <w:tc>
          <w:tcPr>
            <w:tcW w:w="980" w:type="dxa"/>
            <w:vAlign w:val="bottom"/>
            <w:gridSpan w:val="3"/>
            <w:vMerge w:val="restart"/>
          </w:tcPr>
          <w:p>
            <w:pPr>
              <w:ind w:left="260"/>
              <w:spacing w:after="0"/>
              <w:rPr>
                <w:sz w:val="20"/>
                <w:szCs w:val="20"/>
                <w:color w:val="auto"/>
              </w:rPr>
            </w:pPr>
            <w:r>
              <w:rPr>
                <w:rFonts w:ascii="Arial" w:cs="Arial" w:eastAsia="Arial" w:hAnsi="Arial"/>
                <w:sz w:val="14"/>
                <w:szCs w:val="14"/>
                <w:b w:val="1"/>
                <w:bCs w:val="1"/>
                <w:color w:val="auto"/>
              </w:rPr>
              <w:t>% Change</w:t>
            </w:r>
          </w:p>
        </w:tc>
        <w:tc>
          <w:tcPr>
            <w:tcW w:w="0" w:type="dxa"/>
            <w:vAlign w:val="bottom"/>
          </w:tcPr>
          <w:p>
            <w:pPr>
              <w:spacing w:after="0"/>
              <w:rPr>
                <w:sz w:val="1"/>
                <w:szCs w:val="1"/>
                <w:color w:val="auto"/>
              </w:rPr>
            </w:pPr>
          </w:p>
        </w:tc>
      </w:tr>
      <w:tr>
        <w:trPr>
          <w:trHeight w:val="142"/>
        </w:trPr>
        <w:tc>
          <w:tcPr>
            <w:tcW w:w="3640" w:type="dxa"/>
            <w:vAlign w:val="bottom"/>
          </w:tcPr>
          <w:p>
            <w:pPr>
              <w:spacing w:after="0"/>
              <w:rPr>
                <w:sz w:val="12"/>
                <w:szCs w:val="12"/>
                <w:color w:val="auto"/>
              </w:rPr>
            </w:pPr>
          </w:p>
        </w:tc>
        <w:tc>
          <w:tcPr>
            <w:tcW w:w="2500" w:type="dxa"/>
            <w:vAlign w:val="bottom"/>
          </w:tcPr>
          <w:p>
            <w:pPr>
              <w:spacing w:after="0"/>
              <w:rPr>
                <w:sz w:val="12"/>
                <w:szCs w:val="12"/>
                <w:color w:val="auto"/>
              </w:rPr>
            </w:pPr>
          </w:p>
        </w:tc>
        <w:tc>
          <w:tcPr>
            <w:tcW w:w="900" w:type="dxa"/>
            <w:vAlign w:val="bottom"/>
            <w:tcBorders>
              <w:top w:val="single" w:sz="8" w:color="auto"/>
            </w:tcBorders>
          </w:tcPr>
          <w:p>
            <w:pPr>
              <w:jc w:val="right"/>
              <w:ind w:right="448"/>
              <w:spacing w:after="0" w:line="142" w:lineRule="exact"/>
              <w:rPr>
                <w:sz w:val="20"/>
                <w:szCs w:val="20"/>
                <w:color w:val="auto"/>
              </w:rPr>
            </w:pPr>
            <w:r>
              <w:rPr>
                <w:rFonts w:ascii="Arial" w:cs="Arial" w:eastAsia="Arial" w:hAnsi="Arial"/>
                <w:sz w:val="14"/>
                <w:szCs w:val="14"/>
                <w:b w:val="1"/>
                <w:bCs w:val="1"/>
                <w:color w:val="auto"/>
              </w:rPr>
              <w:t>2015</w:t>
            </w:r>
          </w:p>
        </w:tc>
        <w:tc>
          <w:tcPr>
            <w:tcW w:w="760" w:type="dxa"/>
            <w:vAlign w:val="bottom"/>
            <w:tcBorders>
              <w:top w:val="single" w:sz="8" w:color="auto"/>
            </w:tcBorders>
          </w:tcPr>
          <w:p>
            <w:pPr>
              <w:jc w:val="right"/>
              <w:ind w:right="35"/>
              <w:spacing w:after="0" w:line="142" w:lineRule="exact"/>
              <w:rPr>
                <w:sz w:val="20"/>
                <w:szCs w:val="20"/>
                <w:color w:val="auto"/>
              </w:rPr>
            </w:pPr>
            <w:r>
              <w:rPr>
                <w:rFonts w:ascii="Arial" w:cs="Arial" w:eastAsia="Arial" w:hAnsi="Arial"/>
                <w:sz w:val="14"/>
                <w:szCs w:val="14"/>
                <w:b w:val="1"/>
                <w:bCs w:val="1"/>
                <w:color w:val="auto"/>
              </w:rPr>
              <w:t>2016</w:t>
            </w:r>
          </w:p>
        </w:tc>
        <w:tc>
          <w:tcPr>
            <w:tcW w:w="400" w:type="dxa"/>
            <w:vAlign w:val="bottom"/>
          </w:tcPr>
          <w:p>
            <w:pPr>
              <w:spacing w:after="0"/>
              <w:rPr>
                <w:sz w:val="12"/>
                <w:szCs w:val="12"/>
                <w:color w:val="auto"/>
              </w:rPr>
            </w:pPr>
          </w:p>
        </w:tc>
        <w:tc>
          <w:tcPr>
            <w:tcW w:w="360" w:type="dxa"/>
            <w:vAlign w:val="bottom"/>
            <w:gridSpan w:val="2"/>
            <w:vMerge w:val="continue"/>
          </w:tcPr>
          <w:p>
            <w:pPr>
              <w:spacing w:after="0"/>
              <w:rPr>
                <w:sz w:val="12"/>
                <w:szCs w:val="12"/>
                <w:color w:val="auto"/>
              </w:rPr>
            </w:pPr>
          </w:p>
        </w:tc>
        <w:tc>
          <w:tcPr>
            <w:tcW w:w="800" w:type="dxa"/>
            <w:vAlign w:val="bottom"/>
            <w:gridSpan w:val="2"/>
            <w:vMerge w:val="continue"/>
          </w:tcPr>
          <w:p>
            <w:pPr>
              <w:spacing w:after="0"/>
              <w:rPr>
                <w:sz w:val="12"/>
                <w:szCs w:val="12"/>
                <w:color w:val="auto"/>
              </w:rPr>
            </w:pPr>
          </w:p>
        </w:tc>
        <w:tc>
          <w:tcPr>
            <w:tcW w:w="980" w:type="dxa"/>
            <w:vAlign w:val="bottom"/>
            <w:gridSpan w:val="3"/>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3640" w:type="dxa"/>
            <w:vAlign w:val="bottom"/>
          </w:tcPr>
          <w:p>
            <w:pPr>
              <w:spacing w:after="0"/>
              <w:rPr>
                <w:sz w:val="12"/>
                <w:szCs w:val="12"/>
                <w:color w:val="auto"/>
              </w:rPr>
            </w:pPr>
          </w:p>
        </w:tc>
        <w:tc>
          <w:tcPr>
            <w:tcW w:w="2500" w:type="dxa"/>
            <w:vAlign w:val="bottom"/>
          </w:tcPr>
          <w:p>
            <w:pPr>
              <w:spacing w:after="0"/>
              <w:rPr>
                <w:sz w:val="12"/>
                <w:szCs w:val="12"/>
                <w:color w:val="auto"/>
              </w:rPr>
            </w:pPr>
          </w:p>
        </w:tc>
        <w:tc>
          <w:tcPr>
            <w:tcW w:w="1660" w:type="dxa"/>
            <w:vAlign w:val="bottom"/>
            <w:tcBorders>
              <w:top w:val="single" w:sz="8" w:color="auto"/>
            </w:tcBorders>
            <w:gridSpan w:val="2"/>
          </w:tcPr>
          <w:p>
            <w:pPr>
              <w:jc w:val="center"/>
              <w:spacing w:after="0" w:line="142" w:lineRule="exact"/>
              <w:rPr>
                <w:sz w:val="20"/>
                <w:szCs w:val="20"/>
                <w:color w:val="auto"/>
              </w:rPr>
            </w:pPr>
            <w:r>
              <w:rPr>
                <w:rFonts w:ascii="Arial" w:cs="Arial" w:eastAsia="Arial" w:hAnsi="Arial"/>
                <w:sz w:val="14"/>
                <w:szCs w:val="14"/>
                <w:i w:val="1"/>
                <w:iCs w:val="1"/>
                <w:color w:val="auto"/>
              </w:rPr>
              <w:t>(In millions)</w:t>
            </w:r>
          </w:p>
        </w:tc>
        <w:tc>
          <w:tcPr>
            <w:tcW w:w="4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480" w:type="dxa"/>
            <w:vAlign w:val="bottom"/>
            <w:tcBorders>
              <w:top w:val="single" w:sz="8" w:color="auto"/>
            </w:tcBorders>
          </w:tcPr>
          <w:p>
            <w:pPr>
              <w:spacing w:after="0"/>
              <w:rPr>
                <w:sz w:val="12"/>
                <w:szCs w:val="12"/>
                <w:color w:val="auto"/>
              </w:rPr>
            </w:pPr>
          </w:p>
        </w:tc>
        <w:tc>
          <w:tcPr>
            <w:tcW w:w="3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60" w:type="dxa"/>
            <w:vAlign w:val="bottom"/>
            <w:tcBorders>
              <w:top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3640" w:type="dxa"/>
            <w:vAlign w:val="bottom"/>
            <w:shd w:val="clear" w:color="auto" w:fill="CCEEFF"/>
          </w:tcPr>
          <w:p>
            <w:pPr>
              <w:spacing w:after="0"/>
              <w:rPr>
                <w:sz w:val="20"/>
                <w:szCs w:val="20"/>
                <w:color w:val="auto"/>
              </w:rPr>
            </w:pPr>
            <w:r>
              <w:rPr>
                <w:rFonts w:ascii="Arial" w:cs="Arial" w:eastAsia="Arial" w:hAnsi="Arial"/>
                <w:sz w:val="18"/>
                <w:szCs w:val="18"/>
                <w:color w:val="auto"/>
              </w:rPr>
              <w:t>Cost of revenue</w:t>
            </w:r>
          </w:p>
        </w:tc>
        <w:tc>
          <w:tcPr>
            <w:tcW w:w="3400" w:type="dxa"/>
            <w:vAlign w:val="bottom"/>
            <w:gridSpan w:val="2"/>
            <w:shd w:val="clear" w:color="auto" w:fill="CCEEFF"/>
          </w:tcPr>
          <w:p>
            <w:pPr>
              <w:jc w:val="right"/>
              <w:ind w:right="348"/>
              <w:spacing w:after="0"/>
              <w:rPr>
                <w:sz w:val="20"/>
                <w:szCs w:val="20"/>
                <w:color w:val="auto"/>
              </w:rPr>
            </w:pPr>
            <w:r>
              <w:rPr>
                <w:rFonts w:ascii="Arial" w:cs="Arial" w:eastAsia="Arial" w:hAnsi="Arial"/>
                <w:sz w:val="18"/>
                <w:szCs w:val="18"/>
                <w:color w:val="auto"/>
              </w:rPr>
              <w:t>$407.4</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$390.6</w:t>
            </w:r>
          </w:p>
        </w:tc>
        <w:tc>
          <w:tcPr>
            <w:tcW w:w="400" w:type="dxa"/>
            <w:vAlign w:val="bottom"/>
            <w:shd w:val="clear" w:color="auto" w:fill="CCEEFF"/>
          </w:tcPr>
          <w:p>
            <w:pPr>
              <w:spacing w:after="0"/>
              <w:rPr>
                <w:sz w:val="18"/>
                <w:szCs w:val="18"/>
                <w:color w:val="auto"/>
              </w:rPr>
            </w:pPr>
          </w:p>
        </w:tc>
        <w:tc>
          <w:tcPr>
            <w:tcW w:w="36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w w:val="79"/>
              </w:rPr>
              <w:t>$</w:t>
            </w:r>
          </w:p>
        </w:tc>
        <w:tc>
          <w:tcPr>
            <w:tcW w:w="8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(16.8)</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40" w:type="dxa"/>
            <w:vAlign w:val="bottom"/>
          </w:tcPr>
          <w:p>
            <w:pPr>
              <w:spacing w:after="0"/>
              <w:rPr>
                <w:sz w:val="20"/>
                <w:szCs w:val="20"/>
                <w:color w:val="auto"/>
              </w:rPr>
            </w:pPr>
            <w:r>
              <w:rPr>
                <w:rFonts w:ascii="Arial" w:cs="Arial" w:eastAsia="Arial" w:hAnsi="Arial"/>
                <w:sz w:val="18"/>
                <w:szCs w:val="18"/>
                <w:color w:val="auto"/>
              </w:rPr>
              <w:t>Gross profit</w:t>
            </w:r>
          </w:p>
        </w:tc>
        <w:tc>
          <w:tcPr>
            <w:tcW w:w="3400" w:type="dxa"/>
            <w:vAlign w:val="bottom"/>
            <w:gridSpan w:val="2"/>
          </w:tcPr>
          <w:p>
            <w:pPr>
              <w:jc w:val="right"/>
              <w:ind w:right="348"/>
              <w:spacing w:after="0"/>
              <w:rPr>
                <w:sz w:val="20"/>
                <w:szCs w:val="20"/>
                <w:color w:val="auto"/>
              </w:rPr>
            </w:pPr>
            <w:r>
              <w:rPr>
                <w:rFonts w:ascii="Arial" w:cs="Arial" w:eastAsia="Arial" w:hAnsi="Arial"/>
                <w:sz w:val="18"/>
                <w:szCs w:val="18"/>
                <w:color w:val="auto"/>
              </w:rPr>
              <w:t>196.4</w:t>
            </w:r>
          </w:p>
        </w:tc>
        <w:tc>
          <w:tcPr>
            <w:tcW w:w="760" w:type="dxa"/>
            <w:vAlign w:val="bottom"/>
          </w:tcPr>
          <w:p>
            <w:pPr>
              <w:jc w:val="right"/>
              <w:spacing w:after="0"/>
              <w:rPr>
                <w:sz w:val="20"/>
                <w:szCs w:val="20"/>
                <w:color w:val="auto"/>
              </w:rPr>
            </w:pPr>
            <w:r>
              <w:rPr>
                <w:rFonts w:ascii="Arial" w:cs="Arial" w:eastAsia="Arial" w:hAnsi="Arial"/>
                <w:sz w:val="18"/>
                <w:szCs w:val="18"/>
                <w:color w:val="auto"/>
              </w:rPr>
              <w:t>454.2</w:t>
            </w:r>
          </w:p>
        </w:tc>
        <w:tc>
          <w:tcPr>
            <w:tcW w:w="4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257.8</w:t>
            </w:r>
          </w:p>
        </w:tc>
        <w:tc>
          <w:tcPr>
            <w:tcW w:w="320" w:type="dxa"/>
            <w:vAlign w:val="bottom"/>
          </w:tcPr>
          <w:p>
            <w:pPr>
              <w:spacing w:after="0"/>
              <w:rPr>
                <w:sz w:val="18"/>
                <w:szCs w:val="18"/>
                <w:color w:val="auto"/>
              </w:rPr>
            </w:pP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131%</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40" w:type="dxa"/>
            <w:vAlign w:val="bottom"/>
            <w:shd w:val="clear" w:color="auto" w:fill="CCEEFF"/>
          </w:tcPr>
          <w:p>
            <w:pPr>
              <w:spacing w:after="0"/>
              <w:rPr>
                <w:sz w:val="20"/>
                <w:szCs w:val="20"/>
                <w:color w:val="auto"/>
              </w:rPr>
            </w:pPr>
            <w:r>
              <w:rPr>
                <w:rFonts w:ascii="Arial" w:cs="Arial" w:eastAsia="Arial" w:hAnsi="Arial"/>
                <w:sz w:val="18"/>
                <w:szCs w:val="18"/>
                <w:color w:val="auto"/>
              </w:rPr>
              <w:t>Gross margin</w:t>
            </w:r>
          </w:p>
        </w:tc>
        <w:tc>
          <w:tcPr>
            <w:tcW w:w="3400" w:type="dxa"/>
            <w:vAlign w:val="bottom"/>
            <w:gridSpan w:val="2"/>
            <w:shd w:val="clear" w:color="auto" w:fill="CCEEFF"/>
          </w:tcPr>
          <w:p>
            <w:pPr>
              <w:jc w:val="right"/>
              <w:ind w:right="188"/>
              <w:spacing w:after="0"/>
              <w:rPr>
                <w:sz w:val="20"/>
                <w:szCs w:val="20"/>
                <w:color w:val="auto"/>
              </w:rPr>
            </w:pPr>
            <w:r>
              <w:rPr>
                <w:rFonts w:ascii="Arial" w:cs="Arial" w:eastAsia="Arial" w:hAnsi="Arial"/>
                <w:sz w:val="18"/>
                <w:szCs w:val="18"/>
                <w:color w:val="auto"/>
              </w:rPr>
              <w:t>33%</w:t>
            </w:r>
          </w:p>
        </w:tc>
        <w:tc>
          <w:tcPr>
            <w:tcW w:w="11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54%</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firstLine="449"/>
        <w:spacing w:after="0" w:line="290" w:lineRule="auto"/>
        <w:rPr>
          <w:sz w:val="20"/>
          <w:szCs w:val="20"/>
          <w:color w:val="auto"/>
        </w:rPr>
      </w:pPr>
      <w:r>
        <w:rPr>
          <w:rFonts w:ascii="Arial" w:cs="Arial" w:eastAsia="Arial" w:hAnsi="Arial"/>
          <w:sz w:val="16"/>
          <w:szCs w:val="16"/>
          <w:color w:val="auto"/>
        </w:rPr>
        <w:t>Cost of revenue decreased $16.8 million or 4% during 2016, as compared to 2015, primarily due to a net decrease of $39.5 million in our infrastructure costs due to our Infrastructure Optimization. The net decrease of $39.5 million included a $92.5 million decrease in expense related to our third-party datacenter service provider, offset by a $53.0 million increase in depreciation, facilities, and support expense related to our infrastructure equipment in co-location facilities that we directly lease and operate. Further, the decrease in cost of revenue was due to a $6.3 million decrease in depreciation and amortization primarily of developed technologies, as certain intangible assets became fully amortized during 2016. These decreases in cost of revenue were also partially offset by an increase of $13.8 million in employee-related expenses due to headcount growth, an increase of $5.5 million in credit card transaction fees due to higher sales, an increase of $9.9 million related to property taxes for our co-location facilities, professional fees for user support, and overhead-related costs primarily due to the completion of construction on our new corporate headquarters.</w:t>
      </w:r>
    </w:p>
    <w:p>
      <w:pPr>
        <w:spacing w:after="0" w:line="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71</w:t>
      </w:r>
    </w:p>
    <w:p>
      <w:pPr>
        <w:sectPr>
          <w:pgSz w:w="11900" w:h="16838" w:orient="portrait"/>
          <w:cols w:equalWidth="0" w:num="1">
            <w:col w:w="11240"/>
          </w:cols>
          <w:pgMar w:left="320" w:top="459" w:right="339" w:bottom="1440" w:gutter="0" w:footer="0" w:header="0"/>
        </w:sectPr>
      </w:pPr>
    </w:p>
    <w:bookmarkStart w:id="74" w:name="page75"/>
    <w:bookmarkEnd w:id="7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right="200" w:firstLine="449"/>
        <w:spacing w:after="0" w:line="277" w:lineRule="auto"/>
        <w:rPr>
          <w:sz w:val="20"/>
          <w:szCs w:val="20"/>
          <w:color w:val="auto"/>
        </w:rPr>
      </w:pPr>
      <w:r>
        <w:rPr>
          <w:rFonts w:ascii="Arial" w:cs="Arial" w:eastAsia="Arial" w:hAnsi="Arial"/>
          <w:sz w:val="18"/>
          <w:szCs w:val="18"/>
          <w:color w:val="auto"/>
        </w:rPr>
        <w:t>Our gross margin increased from 33% during 2015 to 54% during 2016 primarily due to our Infrastructure Optimization and a 40% increase in our revenue during the period.</w:t>
      </w:r>
    </w:p>
    <w:p>
      <w:pPr>
        <w:spacing w:after="0" w:line="278"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Research and development</w:t>
      </w:r>
    </w:p>
    <w:p>
      <w:pPr>
        <w:spacing w:after="0" w:line="231"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4020" w:type="dxa"/>
            <w:vAlign w:val="bottom"/>
          </w:tcPr>
          <w:p>
            <w:pPr>
              <w:spacing w:after="0"/>
              <w:rPr>
                <w:sz w:val="14"/>
                <w:szCs w:val="14"/>
                <w:color w:val="auto"/>
              </w:rPr>
            </w:pPr>
          </w:p>
        </w:tc>
        <w:tc>
          <w:tcPr>
            <w:tcW w:w="2080" w:type="dxa"/>
            <w:vAlign w:val="bottom"/>
          </w:tcPr>
          <w:p>
            <w:pPr>
              <w:spacing w:after="0"/>
              <w:rPr>
                <w:sz w:val="14"/>
                <w:szCs w:val="14"/>
                <w:color w:val="auto"/>
              </w:rPr>
            </w:pPr>
          </w:p>
        </w:tc>
        <w:tc>
          <w:tcPr>
            <w:tcW w:w="1600" w:type="dxa"/>
            <w:vAlign w:val="bottom"/>
            <w:gridSpan w:val="2"/>
          </w:tcPr>
          <w:p>
            <w:pPr>
              <w:jc w:val="center"/>
              <w:spacing w:after="0"/>
              <w:rPr>
                <w:sz w:val="20"/>
                <w:szCs w:val="20"/>
                <w:color w:val="auto"/>
              </w:rPr>
            </w:pPr>
            <w:r>
              <w:rPr>
                <w:rFonts w:ascii="Arial" w:cs="Arial" w:eastAsia="Arial" w:hAnsi="Arial"/>
                <w:sz w:val="14"/>
                <w:szCs w:val="14"/>
                <w:b w:val="1"/>
                <w:bCs w:val="1"/>
                <w:color w:val="auto"/>
                <w:w w:val="90"/>
              </w:rPr>
              <w:t>Year ended</w:t>
            </w:r>
          </w:p>
        </w:tc>
        <w:tc>
          <w:tcPr>
            <w:tcW w:w="6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4020" w:type="dxa"/>
            <w:vAlign w:val="bottom"/>
          </w:tcPr>
          <w:p>
            <w:pPr>
              <w:spacing w:after="0"/>
              <w:rPr>
                <w:sz w:val="14"/>
                <w:szCs w:val="14"/>
                <w:color w:val="auto"/>
              </w:rPr>
            </w:pPr>
          </w:p>
        </w:tc>
        <w:tc>
          <w:tcPr>
            <w:tcW w:w="2080" w:type="dxa"/>
            <w:vAlign w:val="bottom"/>
          </w:tcPr>
          <w:p>
            <w:pPr>
              <w:spacing w:after="0"/>
              <w:rPr>
                <w:sz w:val="14"/>
                <w:szCs w:val="14"/>
                <w:color w:val="auto"/>
              </w:rPr>
            </w:pPr>
          </w:p>
        </w:tc>
        <w:tc>
          <w:tcPr>
            <w:tcW w:w="160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92"/>
              </w:rPr>
              <w:t>December 31,</w:t>
            </w:r>
          </w:p>
        </w:tc>
        <w:tc>
          <w:tcPr>
            <w:tcW w:w="680" w:type="dxa"/>
            <w:vAlign w:val="bottom"/>
            <w:gridSpan w:val="2"/>
            <w:vMerge w:val="restart"/>
          </w:tcPr>
          <w:p>
            <w:pPr>
              <w:ind w:left="580"/>
              <w:spacing w:after="0"/>
              <w:rPr>
                <w:sz w:val="20"/>
                <w:szCs w:val="20"/>
                <w:color w:val="auto"/>
              </w:rPr>
            </w:pPr>
            <w:r>
              <w:rPr>
                <w:rFonts w:ascii="Arial" w:cs="Arial" w:eastAsia="Arial" w:hAnsi="Arial"/>
                <w:sz w:val="14"/>
                <w:szCs w:val="14"/>
                <w:b w:val="1"/>
                <w:bCs w:val="1"/>
                <w:color w:val="auto"/>
              </w:rPr>
              <w:t>$</w:t>
            </w:r>
          </w:p>
        </w:tc>
        <w:tc>
          <w:tcPr>
            <w:tcW w:w="500" w:type="dxa"/>
            <w:vAlign w:val="bottom"/>
            <w:vMerge w:val="restart"/>
          </w:tcPr>
          <w:p>
            <w:pPr>
              <w:jc w:val="right"/>
              <w:spacing w:after="0"/>
              <w:rPr>
                <w:sz w:val="20"/>
                <w:szCs w:val="20"/>
                <w:color w:val="auto"/>
              </w:rPr>
            </w:pPr>
            <w:r>
              <w:rPr>
                <w:rFonts w:ascii="Arial" w:cs="Arial" w:eastAsia="Arial" w:hAnsi="Arial"/>
                <w:sz w:val="14"/>
                <w:szCs w:val="14"/>
                <w:b w:val="1"/>
                <w:bCs w:val="1"/>
                <w:color w:val="auto"/>
                <w:w w:val="89"/>
              </w:rPr>
              <w:t>Change</w:t>
            </w:r>
          </w:p>
        </w:tc>
        <w:tc>
          <w:tcPr>
            <w:tcW w:w="1460" w:type="dxa"/>
            <w:vAlign w:val="bottom"/>
            <w:gridSpan w:val="3"/>
            <w:vMerge w:val="restart"/>
          </w:tcPr>
          <w:p>
            <w:pPr>
              <w:jc w:val="right"/>
              <w:ind w:right="220"/>
              <w:spacing w:after="0"/>
              <w:rPr>
                <w:sz w:val="20"/>
                <w:szCs w:val="20"/>
                <w:color w:val="auto"/>
              </w:rPr>
            </w:pPr>
            <w:r>
              <w:rPr>
                <w:rFonts w:ascii="Arial" w:cs="Arial" w:eastAsia="Arial" w:hAnsi="Arial"/>
                <w:sz w:val="14"/>
                <w:szCs w:val="14"/>
                <w:b w:val="1"/>
                <w:bCs w:val="1"/>
                <w:color w:val="auto"/>
              </w:rPr>
              <w:t>% Change</w:t>
            </w:r>
          </w:p>
        </w:tc>
        <w:tc>
          <w:tcPr>
            <w:tcW w:w="0" w:type="dxa"/>
            <w:vAlign w:val="bottom"/>
          </w:tcPr>
          <w:p>
            <w:pPr>
              <w:spacing w:after="0"/>
              <w:rPr>
                <w:sz w:val="1"/>
                <w:szCs w:val="1"/>
                <w:color w:val="auto"/>
              </w:rPr>
            </w:pPr>
          </w:p>
        </w:tc>
      </w:tr>
      <w:tr>
        <w:trPr>
          <w:trHeight w:val="142"/>
        </w:trPr>
        <w:tc>
          <w:tcPr>
            <w:tcW w:w="4020" w:type="dxa"/>
            <w:vAlign w:val="bottom"/>
          </w:tcPr>
          <w:p>
            <w:pPr>
              <w:spacing w:after="0"/>
              <w:rPr>
                <w:sz w:val="12"/>
                <w:szCs w:val="12"/>
                <w:color w:val="auto"/>
              </w:rPr>
            </w:pPr>
          </w:p>
        </w:tc>
        <w:tc>
          <w:tcPr>
            <w:tcW w:w="2080" w:type="dxa"/>
            <w:vAlign w:val="bottom"/>
          </w:tcPr>
          <w:p>
            <w:pPr>
              <w:spacing w:after="0"/>
              <w:rPr>
                <w:sz w:val="12"/>
                <w:szCs w:val="12"/>
                <w:color w:val="auto"/>
              </w:rPr>
            </w:pPr>
          </w:p>
        </w:tc>
        <w:tc>
          <w:tcPr>
            <w:tcW w:w="800" w:type="dxa"/>
            <w:vAlign w:val="bottom"/>
          </w:tcPr>
          <w:p>
            <w:pPr>
              <w:jc w:val="right"/>
              <w:ind w:right="328"/>
              <w:spacing w:after="0" w:line="142" w:lineRule="exact"/>
              <w:rPr>
                <w:sz w:val="20"/>
                <w:szCs w:val="20"/>
                <w:color w:val="auto"/>
              </w:rPr>
            </w:pPr>
            <w:r>
              <w:rPr>
                <w:rFonts w:ascii="Arial" w:cs="Arial" w:eastAsia="Arial" w:hAnsi="Arial"/>
                <w:sz w:val="14"/>
                <w:szCs w:val="14"/>
                <w:b w:val="1"/>
                <w:bCs w:val="1"/>
                <w:color w:val="auto"/>
              </w:rPr>
              <w:t>2015</w:t>
            </w:r>
          </w:p>
        </w:tc>
        <w:tc>
          <w:tcPr>
            <w:tcW w:w="800" w:type="dxa"/>
            <w:vAlign w:val="bottom"/>
          </w:tcPr>
          <w:p>
            <w:pPr>
              <w:jc w:val="right"/>
              <w:ind w:right="39"/>
              <w:spacing w:after="0" w:line="142" w:lineRule="exact"/>
              <w:rPr>
                <w:sz w:val="20"/>
                <w:szCs w:val="20"/>
                <w:color w:val="auto"/>
              </w:rPr>
            </w:pPr>
            <w:r>
              <w:rPr>
                <w:rFonts w:ascii="Arial" w:cs="Arial" w:eastAsia="Arial" w:hAnsi="Arial"/>
                <w:sz w:val="14"/>
                <w:szCs w:val="14"/>
                <w:b w:val="1"/>
                <w:bCs w:val="1"/>
                <w:color w:val="auto"/>
              </w:rPr>
              <w:t>2016</w:t>
            </w:r>
          </w:p>
        </w:tc>
        <w:tc>
          <w:tcPr>
            <w:tcW w:w="680" w:type="dxa"/>
            <w:vAlign w:val="bottom"/>
            <w:gridSpan w:val="2"/>
            <w:vMerge w:val="continue"/>
          </w:tcPr>
          <w:p>
            <w:pPr>
              <w:spacing w:after="0"/>
              <w:rPr>
                <w:sz w:val="12"/>
                <w:szCs w:val="12"/>
                <w:color w:val="auto"/>
              </w:rPr>
            </w:pPr>
          </w:p>
        </w:tc>
        <w:tc>
          <w:tcPr>
            <w:tcW w:w="500" w:type="dxa"/>
            <w:vAlign w:val="bottom"/>
            <w:vMerge w:val="continue"/>
          </w:tcPr>
          <w:p>
            <w:pPr>
              <w:spacing w:after="0"/>
              <w:rPr>
                <w:sz w:val="12"/>
                <w:szCs w:val="12"/>
                <w:color w:val="auto"/>
              </w:rPr>
            </w:pPr>
          </w:p>
        </w:tc>
        <w:tc>
          <w:tcPr>
            <w:tcW w:w="1460" w:type="dxa"/>
            <w:vAlign w:val="bottom"/>
            <w:gridSpan w:val="3"/>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4020" w:type="dxa"/>
            <w:vAlign w:val="bottom"/>
          </w:tcPr>
          <w:p>
            <w:pPr>
              <w:spacing w:after="0"/>
              <w:rPr>
                <w:sz w:val="12"/>
                <w:szCs w:val="12"/>
                <w:color w:val="auto"/>
              </w:rPr>
            </w:pPr>
          </w:p>
        </w:tc>
        <w:tc>
          <w:tcPr>
            <w:tcW w:w="2080" w:type="dxa"/>
            <w:vAlign w:val="bottom"/>
          </w:tcPr>
          <w:p>
            <w:pPr>
              <w:spacing w:after="0"/>
              <w:rPr>
                <w:sz w:val="12"/>
                <w:szCs w:val="12"/>
                <w:color w:val="auto"/>
              </w:rPr>
            </w:pPr>
          </w:p>
        </w:tc>
        <w:tc>
          <w:tcPr>
            <w:tcW w:w="1600" w:type="dxa"/>
            <w:vAlign w:val="bottom"/>
            <w:tcBorders>
              <w:top w:val="single" w:sz="8" w:color="auto"/>
            </w:tcBorders>
            <w:gridSpan w:val="2"/>
          </w:tcPr>
          <w:p>
            <w:pPr>
              <w:jc w:val="center"/>
              <w:spacing w:after="0" w:line="142" w:lineRule="exact"/>
              <w:rPr>
                <w:sz w:val="20"/>
                <w:szCs w:val="20"/>
                <w:color w:val="auto"/>
              </w:rPr>
            </w:pPr>
            <w:r>
              <w:rPr>
                <w:rFonts w:ascii="Arial" w:cs="Arial" w:eastAsia="Arial" w:hAnsi="Arial"/>
                <w:sz w:val="14"/>
                <w:szCs w:val="14"/>
                <w:i w:val="1"/>
                <w:iCs w:val="1"/>
                <w:color w:val="auto"/>
              </w:rPr>
              <w:t>(In millions)</w:t>
            </w:r>
          </w:p>
        </w:tc>
        <w:tc>
          <w:tcPr>
            <w:tcW w:w="60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500" w:type="dxa"/>
            <w:vAlign w:val="bottom"/>
            <w:tcBorders>
              <w:top w:val="single" w:sz="8" w:color="auto"/>
            </w:tcBorders>
          </w:tcPr>
          <w:p>
            <w:pPr>
              <w:spacing w:after="0"/>
              <w:rPr>
                <w:sz w:val="12"/>
                <w:szCs w:val="12"/>
                <w:color w:val="auto"/>
              </w:rPr>
            </w:pPr>
          </w:p>
        </w:tc>
        <w:tc>
          <w:tcPr>
            <w:tcW w:w="600" w:type="dxa"/>
            <w:vAlign w:val="bottom"/>
          </w:tcPr>
          <w:p>
            <w:pPr>
              <w:spacing w:after="0"/>
              <w:rPr>
                <w:sz w:val="12"/>
                <w:szCs w:val="12"/>
                <w:color w:val="auto"/>
              </w:rPr>
            </w:pPr>
          </w:p>
        </w:tc>
        <w:tc>
          <w:tcPr>
            <w:tcW w:w="66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4020" w:type="dxa"/>
            <w:vAlign w:val="bottom"/>
            <w:shd w:val="clear" w:color="auto" w:fill="CCEEFF"/>
          </w:tcPr>
          <w:p>
            <w:pPr>
              <w:spacing w:after="0"/>
              <w:rPr>
                <w:sz w:val="20"/>
                <w:szCs w:val="20"/>
                <w:color w:val="auto"/>
              </w:rPr>
            </w:pPr>
            <w:r>
              <w:rPr>
                <w:rFonts w:ascii="Arial" w:cs="Arial" w:eastAsia="Arial" w:hAnsi="Arial"/>
                <w:sz w:val="18"/>
                <w:szCs w:val="18"/>
                <w:color w:val="auto"/>
              </w:rPr>
              <w:t>Research and development</w:t>
            </w:r>
          </w:p>
        </w:tc>
        <w:tc>
          <w:tcPr>
            <w:tcW w:w="2880" w:type="dxa"/>
            <w:vAlign w:val="bottom"/>
            <w:gridSpan w:val="2"/>
            <w:shd w:val="clear" w:color="auto" w:fill="CCEEFF"/>
          </w:tcPr>
          <w:p>
            <w:pPr>
              <w:jc w:val="right"/>
              <w:ind w:right="228"/>
              <w:spacing w:after="0"/>
              <w:rPr>
                <w:sz w:val="20"/>
                <w:szCs w:val="20"/>
                <w:color w:val="auto"/>
              </w:rPr>
            </w:pPr>
            <w:r>
              <w:rPr>
                <w:rFonts w:ascii="Arial" w:cs="Arial" w:eastAsia="Arial" w:hAnsi="Arial"/>
                <w:sz w:val="18"/>
                <w:szCs w:val="18"/>
                <w:color w:val="auto"/>
              </w:rPr>
              <w:t>$201.6</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$289.7</w:t>
            </w:r>
          </w:p>
        </w:tc>
        <w:tc>
          <w:tcPr>
            <w:tcW w:w="680" w:type="dxa"/>
            <w:vAlign w:val="bottom"/>
            <w:gridSpan w:val="2"/>
            <w:shd w:val="clear" w:color="auto" w:fill="CCEEFF"/>
          </w:tcPr>
          <w:p>
            <w:pPr>
              <w:ind w:left="580"/>
              <w:spacing w:after="0"/>
              <w:rPr>
                <w:sz w:val="20"/>
                <w:szCs w:val="20"/>
                <w:color w:val="auto"/>
              </w:rPr>
            </w:pPr>
            <w:r>
              <w:rPr>
                <w:rFonts w:ascii="Arial" w:cs="Arial" w:eastAsia="Arial" w:hAnsi="Arial"/>
                <w:sz w:val="18"/>
                <w:szCs w:val="18"/>
                <w:color w:val="auto"/>
                <w:w w:val="79"/>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88.1</w:t>
            </w:r>
          </w:p>
        </w:tc>
        <w:tc>
          <w:tcPr>
            <w:tcW w:w="146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44%</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firstLine="449"/>
        <w:spacing w:after="0" w:line="259" w:lineRule="auto"/>
        <w:rPr>
          <w:sz w:val="20"/>
          <w:szCs w:val="20"/>
          <w:color w:val="auto"/>
        </w:rPr>
      </w:pPr>
      <w:r>
        <w:rPr>
          <w:rFonts w:ascii="Arial" w:cs="Arial" w:eastAsia="Arial" w:hAnsi="Arial"/>
          <w:sz w:val="18"/>
          <w:szCs w:val="18"/>
          <w:color w:val="auto"/>
        </w:rPr>
        <w:t>Research and development expenses increased $88.1 million or 44% during 2016, as compared to 2015, primarily due to an increase of $66.9 million in employee-related expenses due to headcount growth. Further, the increase in research and development expense was due to an increase of $17.7 million in overhead-related costs primarily due to the completion of construction on our new corporate headquarters, and an increase of $5.3 million in internal development-related third-party hosting fees.</w:t>
      </w:r>
    </w:p>
    <w:p>
      <w:pPr>
        <w:spacing w:after="0" w:line="295"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Sales and marketing</w:t>
      </w:r>
    </w:p>
    <w:p>
      <w:pPr>
        <w:spacing w:after="0" w:line="231"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3780" w:type="dxa"/>
            <w:vAlign w:val="bottom"/>
          </w:tcPr>
          <w:p>
            <w:pPr>
              <w:spacing w:after="0"/>
              <w:rPr>
                <w:sz w:val="14"/>
                <w:szCs w:val="14"/>
                <w:color w:val="auto"/>
              </w:rPr>
            </w:pPr>
          </w:p>
        </w:tc>
        <w:tc>
          <w:tcPr>
            <w:tcW w:w="2320" w:type="dxa"/>
            <w:vAlign w:val="bottom"/>
          </w:tcPr>
          <w:p>
            <w:pPr>
              <w:spacing w:after="0"/>
              <w:rPr>
                <w:sz w:val="14"/>
                <w:szCs w:val="14"/>
                <w:color w:val="auto"/>
              </w:rPr>
            </w:pPr>
          </w:p>
        </w:tc>
        <w:tc>
          <w:tcPr>
            <w:tcW w:w="1600" w:type="dxa"/>
            <w:vAlign w:val="bottom"/>
            <w:gridSpan w:val="2"/>
          </w:tcPr>
          <w:p>
            <w:pPr>
              <w:jc w:val="center"/>
              <w:spacing w:after="0"/>
              <w:rPr>
                <w:sz w:val="20"/>
                <w:szCs w:val="20"/>
                <w:color w:val="auto"/>
              </w:rPr>
            </w:pPr>
            <w:r>
              <w:rPr>
                <w:rFonts w:ascii="Arial" w:cs="Arial" w:eastAsia="Arial" w:hAnsi="Arial"/>
                <w:sz w:val="14"/>
                <w:szCs w:val="14"/>
                <w:b w:val="1"/>
                <w:bCs w:val="1"/>
                <w:color w:val="auto"/>
                <w:w w:val="90"/>
              </w:rPr>
              <w:t>Year ended</w:t>
            </w:r>
          </w:p>
        </w:tc>
        <w:tc>
          <w:tcPr>
            <w:tcW w:w="6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3780" w:type="dxa"/>
            <w:vAlign w:val="bottom"/>
          </w:tcPr>
          <w:p>
            <w:pPr>
              <w:spacing w:after="0"/>
              <w:rPr>
                <w:sz w:val="14"/>
                <w:szCs w:val="14"/>
                <w:color w:val="auto"/>
              </w:rPr>
            </w:pPr>
          </w:p>
        </w:tc>
        <w:tc>
          <w:tcPr>
            <w:tcW w:w="2320" w:type="dxa"/>
            <w:vAlign w:val="bottom"/>
          </w:tcPr>
          <w:p>
            <w:pPr>
              <w:spacing w:after="0"/>
              <w:rPr>
                <w:sz w:val="14"/>
                <w:szCs w:val="14"/>
                <w:color w:val="auto"/>
              </w:rPr>
            </w:pPr>
          </w:p>
        </w:tc>
        <w:tc>
          <w:tcPr>
            <w:tcW w:w="160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92"/>
              </w:rPr>
              <w:t>December 31,</w:t>
            </w:r>
          </w:p>
        </w:tc>
        <w:tc>
          <w:tcPr>
            <w:tcW w:w="680" w:type="dxa"/>
            <w:vAlign w:val="bottom"/>
            <w:gridSpan w:val="2"/>
            <w:vMerge w:val="restart"/>
          </w:tcPr>
          <w:p>
            <w:pPr>
              <w:ind w:left="580"/>
              <w:spacing w:after="0"/>
              <w:rPr>
                <w:sz w:val="20"/>
                <w:szCs w:val="20"/>
                <w:color w:val="auto"/>
              </w:rPr>
            </w:pPr>
            <w:r>
              <w:rPr>
                <w:rFonts w:ascii="Arial" w:cs="Arial" w:eastAsia="Arial" w:hAnsi="Arial"/>
                <w:sz w:val="14"/>
                <w:szCs w:val="14"/>
                <w:b w:val="1"/>
                <w:bCs w:val="1"/>
                <w:color w:val="auto"/>
              </w:rPr>
              <w:t>$</w:t>
            </w:r>
          </w:p>
        </w:tc>
        <w:tc>
          <w:tcPr>
            <w:tcW w:w="500" w:type="dxa"/>
            <w:vAlign w:val="bottom"/>
            <w:vMerge w:val="restart"/>
          </w:tcPr>
          <w:p>
            <w:pPr>
              <w:jc w:val="right"/>
              <w:spacing w:after="0"/>
              <w:rPr>
                <w:sz w:val="20"/>
                <w:szCs w:val="20"/>
                <w:color w:val="auto"/>
              </w:rPr>
            </w:pPr>
            <w:r>
              <w:rPr>
                <w:rFonts w:ascii="Arial" w:cs="Arial" w:eastAsia="Arial" w:hAnsi="Arial"/>
                <w:sz w:val="14"/>
                <w:szCs w:val="14"/>
                <w:b w:val="1"/>
                <w:bCs w:val="1"/>
                <w:color w:val="auto"/>
                <w:w w:val="89"/>
              </w:rPr>
              <w:t>Change</w:t>
            </w:r>
          </w:p>
        </w:tc>
        <w:tc>
          <w:tcPr>
            <w:tcW w:w="1460" w:type="dxa"/>
            <w:vAlign w:val="bottom"/>
            <w:gridSpan w:val="3"/>
            <w:vMerge w:val="restart"/>
          </w:tcPr>
          <w:p>
            <w:pPr>
              <w:jc w:val="right"/>
              <w:ind w:right="220"/>
              <w:spacing w:after="0"/>
              <w:rPr>
                <w:sz w:val="20"/>
                <w:szCs w:val="20"/>
                <w:color w:val="auto"/>
              </w:rPr>
            </w:pPr>
            <w:r>
              <w:rPr>
                <w:rFonts w:ascii="Arial" w:cs="Arial" w:eastAsia="Arial" w:hAnsi="Arial"/>
                <w:sz w:val="14"/>
                <w:szCs w:val="14"/>
                <w:b w:val="1"/>
                <w:bCs w:val="1"/>
                <w:color w:val="auto"/>
              </w:rPr>
              <w:t>% Change</w:t>
            </w:r>
          </w:p>
        </w:tc>
        <w:tc>
          <w:tcPr>
            <w:tcW w:w="0" w:type="dxa"/>
            <w:vAlign w:val="bottom"/>
          </w:tcPr>
          <w:p>
            <w:pPr>
              <w:spacing w:after="0"/>
              <w:rPr>
                <w:sz w:val="1"/>
                <w:szCs w:val="1"/>
                <w:color w:val="auto"/>
              </w:rPr>
            </w:pPr>
          </w:p>
        </w:tc>
      </w:tr>
      <w:tr>
        <w:trPr>
          <w:trHeight w:val="142"/>
        </w:trPr>
        <w:tc>
          <w:tcPr>
            <w:tcW w:w="3780" w:type="dxa"/>
            <w:vAlign w:val="bottom"/>
          </w:tcPr>
          <w:p>
            <w:pPr>
              <w:spacing w:after="0"/>
              <w:rPr>
                <w:sz w:val="12"/>
                <w:szCs w:val="12"/>
                <w:color w:val="auto"/>
              </w:rPr>
            </w:pPr>
          </w:p>
        </w:tc>
        <w:tc>
          <w:tcPr>
            <w:tcW w:w="2320" w:type="dxa"/>
            <w:vAlign w:val="bottom"/>
          </w:tcPr>
          <w:p>
            <w:pPr>
              <w:spacing w:after="0"/>
              <w:rPr>
                <w:sz w:val="12"/>
                <w:szCs w:val="12"/>
                <w:color w:val="auto"/>
              </w:rPr>
            </w:pPr>
          </w:p>
        </w:tc>
        <w:tc>
          <w:tcPr>
            <w:tcW w:w="800" w:type="dxa"/>
            <w:vAlign w:val="bottom"/>
          </w:tcPr>
          <w:p>
            <w:pPr>
              <w:jc w:val="right"/>
              <w:ind w:right="328"/>
              <w:spacing w:after="0" w:line="142" w:lineRule="exact"/>
              <w:rPr>
                <w:sz w:val="20"/>
                <w:szCs w:val="20"/>
                <w:color w:val="auto"/>
              </w:rPr>
            </w:pPr>
            <w:r>
              <w:rPr>
                <w:rFonts w:ascii="Arial" w:cs="Arial" w:eastAsia="Arial" w:hAnsi="Arial"/>
                <w:sz w:val="14"/>
                <w:szCs w:val="14"/>
                <w:b w:val="1"/>
                <w:bCs w:val="1"/>
                <w:color w:val="auto"/>
              </w:rPr>
              <w:t>2015</w:t>
            </w:r>
          </w:p>
        </w:tc>
        <w:tc>
          <w:tcPr>
            <w:tcW w:w="800" w:type="dxa"/>
            <w:vAlign w:val="bottom"/>
          </w:tcPr>
          <w:p>
            <w:pPr>
              <w:jc w:val="right"/>
              <w:ind w:right="39"/>
              <w:spacing w:after="0" w:line="142" w:lineRule="exact"/>
              <w:rPr>
                <w:sz w:val="20"/>
                <w:szCs w:val="20"/>
                <w:color w:val="auto"/>
              </w:rPr>
            </w:pPr>
            <w:r>
              <w:rPr>
                <w:rFonts w:ascii="Arial" w:cs="Arial" w:eastAsia="Arial" w:hAnsi="Arial"/>
                <w:sz w:val="14"/>
                <w:szCs w:val="14"/>
                <w:b w:val="1"/>
                <w:bCs w:val="1"/>
                <w:color w:val="auto"/>
              </w:rPr>
              <w:t>2016</w:t>
            </w:r>
          </w:p>
        </w:tc>
        <w:tc>
          <w:tcPr>
            <w:tcW w:w="680" w:type="dxa"/>
            <w:vAlign w:val="bottom"/>
            <w:gridSpan w:val="2"/>
            <w:vMerge w:val="continue"/>
          </w:tcPr>
          <w:p>
            <w:pPr>
              <w:spacing w:after="0"/>
              <w:rPr>
                <w:sz w:val="12"/>
                <w:szCs w:val="12"/>
                <w:color w:val="auto"/>
              </w:rPr>
            </w:pPr>
          </w:p>
        </w:tc>
        <w:tc>
          <w:tcPr>
            <w:tcW w:w="500" w:type="dxa"/>
            <w:vAlign w:val="bottom"/>
            <w:vMerge w:val="continue"/>
          </w:tcPr>
          <w:p>
            <w:pPr>
              <w:spacing w:after="0"/>
              <w:rPr>
                <w:sz w:val="12"/>
                <w:szCs w:val="12"/>
                <w:color w:val="auto"/>
              </w:rPr>
            </w:pPr>
          </w:p>
        </w:tc>
        <w:tc>
          <w:tcPr>
            <w:tcW w:w="1460" w:type="dxa"/>
            <w:vAlign w:val="bottom"/>
            <w:gridSpan w:val="3"/>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3780" w:type="dxa"/>
            <w:vAlign w:val="bottom"/>
          </w:tcPr>
          <w:p>
            <w:pPr>
              <w:spacing w:after="0"/>
              <w:rPr>
                <w:sz w:val="12"/>
                <w:szCs w:val="12"/>
                <w:color w:val="auto"/>
              </w:rPr>
            </w:pPr>
          </w:p>
        </w:tc>
        <w:tc>
          <w:tcPr>
            <w:tcW w:w="2320" w:type="dxa"/>
            <w:vAlign w:val="bottom"/>
          </w:tcPr>
          <w:p>
            <w:pPr>
              <w:spacing w:after="0"/>
              <w:rPr>
                <w:sz w:val="12"/>
                <w:szCs w:val="12"/>
                <w:color w:val="auto"/>
              </w:rPr>
            </w:pPr>
          </w:p>
        </w:tc>
        <w:tc>
          <w:tcPr>
            <w:tcW w:w="1600" w:type="dxa"/>
            <w:vAlign w:val="bottom"/>
            <w:tcBorders>
              <w:top w:val="single" w:sz="8" w:color="auto"/>
            </w:tcBorders>
            <w:gridSpan w:val="2"/>
          </w:tcPr>
          <w:p>
            <w:pPr>
              <w:jc w:val="center"/>
              <w:spacing w:after="0" w:line="142" w:lineRule="exact"/>
              <w:rPr>
                <w:sz w:val="20"/>
                <w:szCs w:val="20"/>
                <w:color w:val="auto"/>
              </w:rPr>
            </w:pPr>
            <w:r>
              <w:rPr>
                <w:rFonts w:ascii="Arial" w:cs="Arial" w:eastAsia="Arial" w:hAnsi="Arial"/>
                <w:sz w:val="14"/>
                <w:szCs w:val="14"/>
                <w:i w:val="1"/>
                <w:iCs w:val="1"/>
                <w:color w:val="auto"/>
              </w:rPr>
              <w:t>(In millions)</w:t>
            </w:r>
          </w:p>
        </w:tc>
        <w:tc>
          <w:tcPr>
            <w:tcW w:w="60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500" w:type="dxa"/>
            <w:vAlign w:val="bottom"/>
            <w:tcBorders>
              <w:top w:val="single" w:sz="8" w:color="auto"/>
            </w:tcBorders>
          </w:tcPr>
          <w:p>
            <w:pPr>
              <w:spacing w:after="0"/>
              <w:rPr>
                <w:sz w:val="12"/>
                <w:szCs w:val="12"/>
                <w:color w:val="auto"/>
              </w:rPr>
            </w:pPr>
          </w:p>
        </w:tc>
        <w:tc>
          <w:tcPr>
            <w:tcW w:w="600" w:type="dxa"/>
            <w:vAlign w:val="bottom"/>
          </w:tcPr>
          <w:p>
            <w:pPr>
              <w:spacing w:after="0"/>
              <w:rPr>
                <w:sz w:val="12"/>
                <w:szCs w:val="12"/>
                <w:color w:val="auto"/>
              </w:rPr>
            </w:pPr>
          </w:p>
        </w:tc>
        <w:tc>
          <w:tcPr>
            <w:tcW w:w="66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3780" w:type="dxa"/>
            <w:vAlign w:val="bottom"/>
            <w:shd w:val="clear" w:color="auto" w:fill="CCEEFF"/>
          </w:tcPr>
          <w:p>
            <w:pPr>
              <w:spacing w:after="0"/>
              <w:rPr>
                <w:sz w:val="20"/>
                <w:szCs w:val="20"/>
                <w:color w:val="auto"/>
              </w:rPr>
            </w:pPr>
            <w:r>
              <w:rPr>
                <w:rFonts w:ascii="Arial" w:cs="Arial" w:eastAsia="Arial" w:hAnsi="Arial"/>
                <w:sz w:val="18"/>
                <w:szCs w:val="18"/>
                <w:color w:val="auto"/>
              </w:rPr>
              <w:t>Sales and marketing</w:t>
            </w:r>
          </w:p>
        </w:tc>
        <w:tc>
          <w:tcPr>
            <w:tcW w:w="3120" w:type="dxa"/>
            <w:vAlign w:val="bottom"/>
            <w:gridSpan w:val="2"/>
            <w:shd w:val="clear" w:color="auto" w:fill="CCEEFF"/>
          </w:tcPr>
          <w:p>
            <w:pPr>
              <w:jc w:val="right"/>
              <w:ind w:right="228"/>
              <w:spacing w:after="0"/>
              <w:rPr>
                <w:sz w:val="20"/>
                <w:szCs w:val="20"/>
                <w:color w:val="auto"/>
              </w:rPr>
            </w:pPr>
            <w:r>
              <w:rPr>
                <w:rFonts w:ascii="Arial" w:cs="Arial" w:eastAsia="Arial" w:hAnsi="Arial"/>
                <w:sz w:val="18"/>
                <w:szCs w:val="18"/>
                <w:color w:val="auto"/>
              </w:rPr>
              <w:t>$193.1</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$250.6</w:t>
            </w:r>
          </w:p>
        </w:tc>
        <w:tc>
          <w:tcPr>
            <w:tcW w:w="680" w:type="dxa"/>
            <w:vAlign w:val="bottom"/>
            <w:gridSpan w:val="2"/>
            <w:shd w:val="clear" w:color="auto" w:fill="CCEEFF"/>
          </w:tcPr>
          <w:p>
            <w:pPr>
              <w:ind w:left="580"/>
              <w:spacing w:after="0"/>
              <w:rPr>
                <w:sz w:val="20"/>
                <w:szCs w:val="20"/>
                <w:color w:val="auto"/>
              </w:rPr>
            </w:pPr>
            <w:r>
              <w:rPr>
                <w:rFonts w:ascii="Arial" w:cs="Arial" w:eastAsia="Arial" w:hAnsi="Arial"/>
                <w:sz w:val="18"/>
                <w:szCs w:val="18"/>
                <w:color w:val="auto"/>
                <w:w w:val="79"/>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57.5</w:t>
            </w:r>
          </w:p>
        </w:tc>
        <w:tc>
          <w:tcPr>
            <w:tcW w:w="146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right="80" w:firstLine="449"/>
        <w:spacing w:after="0" w:line="273" w:lineRule="auto"/>
        <w:rPr>
          <w:sz w:val="20"/>
          <w:szCs w:val="20"/>
          <w:color w:val="auto"/>
        </w:rPr>
      </w:pPr>
      <w:r>
        <w:rPr>
          <w:rFonts w:ascii="Arial" w:cs="Arial" w:eastAsia="Arial" w:hAnsi="Arial"/>
          <w:sz w:val="17"/>
          <w:szCs w:val="17"/>
          <w:color w:val="auto"/>
        </w:rPr>
        <w:t>Sales and marketing expenses increased $57.5 million or 30% during 2016, as compared to 2015, primarily due to an increase of $53.4 million in employee-related expenses. This increase in employee-related expenses was primarily due to an increase in stock-based compensation of $24.8 million, which included a charge of $18.8 million due to the modification of an executive stock grant, headcount growth, and an increase in commission and bonus expense. In addition, the increase in sales and marketing expense was due to an increase of $10.1 million in overhead-related costs primarily due to the completion of construction on our new corporate headquarters. The increase in sales and marketing expense was partially offset by a decrease of $11.8 million in marketing expenses primarily due to a reduction in brand campaign fees.</w:t>
      </w:r>
    </w:p>
    <w:p>
      <w:pPr>
        <w:spacing w:after="0" w:line="286"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General and administrative</w:t>
      </w:r>
    </w:p>
    <w:p>
      <w:pPr>
        <w:spacing w:after="0" w:line="231"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4040" w:type="dxa"/>
            <w:vAlign w:val="bottom"/>
          </w:tcPr>
          <w:p>
            <w:pPr>
              <w:spacing w:after="0"/>
              <w:rPr>
                <w:sz w:val="14"/>
                <w:szCs w:val="14"/>
                <w:color w:val="auto"/>
              </w:rPr>
            </w:pPr>
          </w:p>
        </w:tc>
        <w:tc>
          <w:tcPr>
            <w:tcW w:w="2100" w:type="dxa"/>
            <w:vAlign w:val="bottom"/>
          </w:tcPr>
          <w:p>
            <w:pPr>
              <w:spacing w:after="0"/>
              <w:rPr>
                <w:sz w:val="14"/>
                <w:szCs w:val="14"/>
                <w:color w:val="auto"/>
              </w:rPr>
            </w:pPr>
          </w:p>
        </w:tc>
        <w:tc>
          <w:tcPr>
            <w:tcW w:w="1580" w:type="dxa"/>
            <w:vAlign w:val="bottom"/>
            <w:gridSpan w:val="2"/>
          </w:tcPr>
          <w:p>
            <w:pPr>
              <w:jc w:val="center"/>
              <w:spacing w:after="0"/>
              <w:rPr>
                <w:sz w:val="20"/>
                <w:szCs w:val="20"/>
                <w:color w:val="auto"/>
              </w:rPr>
            </w:pPr>
            <w:r>
              <w:rPr>
                <w:rFonts w:ascii="Arial" w:cs="Arial" w:eastAsia="Arial" w:hAnsi="Arial"/>
                <w:sz w:val="14"/>
                <w:szCs w:val="14"/>
                <w:b w:val="1"/>
                <w:bCs w:val="1"/>
                <w:color w:val="auto"/>
                <w:w w:val="92"/>
              </w:rPr>
              <w:t>Year ended</w:t>
            </w:r>
          </w:p>
        </w:tc>
        <w:tc>
          <w:tcPr>
            <w:tcW w:w="6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4040" w:type="dxa"/>
            <w:vAlign w:val="bottom"/>
          </w:tcPr>
          <w:p>
            <w:pPr>
              <w:spacing w:after="0"/>
              <w:rPr>
                <w:sz w:val="14"/>
                <w:szCs w:val="14"/>
                <w:color w:val="auto"/>
              </w:rPr>
            </w:pPr>
          </w:p>
        </w:tc>
        <w:tc>
          <w:tcPr>
            <w:tcW w:w="2100" w:type="dxa"/>
            <w:vAlign w:val="bottom"/>
          </w:tcPr>
          <w:p>
            <w:pPr>
              <w:spacing w:after="0"/>
              <w:rPr>
                <w:sz w:val="14"/>
                <w:szCs w:val="14"/>
                <w:color w:val="auto"/>
              </w:rPr>
            </w:pPr>
          </w:p>
        </w:tc>
        <w:tc>
          <w:tcPr>
            <w:tcW w:w="158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92"/>
              </w:rPr>
              <w:t>December 31,</w:t>
            </w:r>
          </w:p>
        </w:tc>
        <w:tc>
          <w:tcPr>
            <w:tcW w:w="700" w:type="dxa"/>
            <w:vAlign w:val="bottom"/>
            <w:gridSpan w:val="2"/>
            <w:vMerge w:val="restart"/>
          </w:tcPr>
          <w:p>
            <w:pPr>
              <w:ind w:left="600"/>
              <w:spacing w:after="0"/>
              <w:rPr>
                <w:sz w:val="20"/>
                <w:szCs w:val="20"/>
                <w:color w:val="auto"/>
              </w:rPr>
            </w:pPr>
            <w:r>
              <w:rPr>
                <w:rFonts w:ascii="Arial" w:cs="Arial" w:eastAsia="Arial" w:hAnsi="Arial"/>
                <w:sz w:val="14"/>
                <w:szCs w:val="14"/>
                <w:b w:val="1"/>
                <w:bCs w:val="1"/>
                <w:color w:val="auto"/>
              </w:rPr>
              <w:t>$</w:t>
            </w:r>
          </w:p>
        </w:tc>
        <w:tc>
          <w:tcPr>
            <w:tcW w:w="800" w:type="dxa"/>
            <w:vAlign w:val="bottom"/>
            <w:gridSpan w:val="2"/>
            <w:vMerge w:val="restart"/>
          </w:tcPr>
          <w:p>
            <w:pPr>
              <w:jc w:val="right"/>
              <w:ind w:right="320"/>
              <w:spacing w:after="0"/>
              <w:rPr>
                <w:sz w:val="20"/>
                <w:szCs w:val="20"/>
                <w:color w:val="auto"/>
              </w:rPr>
            </w:pPr>
            <w:r>
              <w:rPr>
                <w:rFonts w:ascii="Arial" w:cs="Arial" w:eastAsia="Arial" w:hAnsi="Arial"/>
                <w:sz w:val="14"/>
                <w:szCs w:val="14"/>
                <w:b w:val="1"/>
                <w:bCs w:val="1"/>
                <w:color w:val="auto"/>
                <w:w w:val="89"/>
              </w:rPr>
              <w:t>Change</w:t>
            </w:r>
          </w:p>
        </w:tc>
        <w:tc>
          <w:tcPr>
            <w:tcW w:w="1120" w:type="dxa"/>
            <w:vAlign w:val="bottom"/>
            <w:gridSpan w:val="3"/>
            <w:vMerge w:val="restart"/>
          </w:tcPr>
          <w:p>
            <w:pPr>
              <w:ind w:left="240"/>
              <w:spacing w:after="0"/>
              <w:rPr>
                <w:sz w:val="20"/>
                <w:szCs w:val="20"/>
                <w:color w:val="auto"/>
              </w:rPr>
            </w:pPr>
            <w:r>
              <w:rPr>
                <w:rFonts w:ascii="Arial" w:cs="Arial" w:eastAsia="Arial" w:hAnsi="Arial"/>
                <w:sz w:val="14"/>
                <w:szCs w:val="14"/>
                <w:b w:val="1"/>
                <w:bCs w:val="1"/>
                <w:color w:val="auto"/>
              </w:rPr>
              <w:t>% Change</w:t>
            </w:r>
          </w:p>
        </w:tc>
        <w:tc>
          <w:tcPr>
            <w:tcW w:w="0" w:type="dxa"/>
            <w:vAlign w:val="bottom"/>
          </w:tcPr>
          <w:p>
            <w:pPr>
              <w:spacing w:after="0"/>
              <w:rPr>
                <w:sz w:val="1"/>
                <w:szCs w:val="1"/>
                <w:color w:val="auto"/>
              </w:rPr>
            </w:pPr>
          </w:p>
        </w:tc>
      </w:tr>
      <w:tr>
        <w:trPr>
          <w:trHeight w:val="142"/>
        </w:trPr>
        <w:tc>
          <w:tcPr>
            <w:tcW w:w="4040" w:type="dxa"/>
            <w:vAlign w:val="bottom"/>
          </w:tcPr>
          <w:p>
            <w:pPr>
              <w:spacing w:after="0"/>
              <w:rPr>
                <w:sz w:val="12"/>
                <w:szCs w:val="12"/>
                <w:color w:val="auto"/>
              </w:rPr>
            </w:pPr>
          </w:p>
        </w:tc>
        <w:tc>
          <w:tcPr>
            <w:tcW w:w="2100" w:type="dxa"/>
            <w:vAlign w:val="bottom"/>
          </w:tcPr>
          <w:p>
            <w:pPr>
              <w:spacing w:after="0"/>
              <w:rPr>
                <w:sz w:val="12"/>
                <w:szCs w:val="12"/>
                <w:color w:val="auto"/>
              </w:rPr>
            </w:pPr>
          </w:p>
        </w:tc>
        <w:tc>
          <w:tcPr>
            <w:tcW w:w="780" w:type="dxa"/>
            <w:vAlign w:val="bottom"/>
          </w:tcPr>
          <w:p>
            <w:pPr>
              <w:jc w:val="right"/>
              <w:ind w:right="328"/>
              <w:spacing w:after="0" w:line="142" w:lineRule="exact"/>
              <w:rPr>
                <w:sz w:val="20"/>
                <w:szCs w:val="20"/>
                <w:color w:val="auto"/>
              </w:rPr>
            </w:pPr>
            <w:r>
              <w:rPr>
                <w:rFonts w:ascii="Arial" w:cs="Arial" w:eastAsia="Arial" w:hAnsi="Arial"/>
                <w:sz w:val="14"/>
                <w:szCs w:val="14"/>
                <w:b w:val="1"/>
                <w:bCs w:val="1"/>
                <w:color w:val="auto"/>
              </w:rPr>
              <w:t>2015</w:t>
            </w:r>
          </w:p>
        </w:tc>
        <w:tc>
          <w:tcPr>
            <w:tcW w:w="800" w:type="dxa"/>
            <w:vAlign w:val="bottom"/>
          </w:tcPr>
          <w:p>
            <w:pPr>
              <w:jc w:val="right"/>
              <w:ind w:right="19"/>
              <w:spacing w:after="0" w:line="142" w:lineRule="exact"/>
              <w:rPr>
                <w:sz w:val="20"/>
                <w:szCs w:val="20"/>
                <w:color w:val="auto"/>
              </w:rPr>
            </w:pPr>
            <w:r>
              <w:rPr>
                <w:rFonts w:ascii="Arial" w:cs="Arial" w:eastAsia="Arial" w:hAnsi="Arial"/>
                <w:sz w:val="14"/>
                <w:szCs w:val="14"/>
                <w:b w:val="1"/>
                <w:bCs w:val="1"/>
                <w:color w:val="auto"/>
              </w:rPr>
              <w:t>2016</w:t>
            </w:r>
          </w:p>
        </w:tc>
        <w:tc>
          <w:tcPr>
            <w:tcW w:w="700" w:type="dxa"/>
            <w:vAlign w:val="bottom"/>
            <w:gridSpan w:val="2"/>
            <w:vMerge w:val="continue"/>
          </w:tcPr>
          <w:p>
            <w:pPr>
              <w:spacing w:after="0"/>
              <w:rPr>
                <w:sz w:val="12"/>
                <w:szCs w:val="12"/>
                <w:color w:val="auto"/>
              </w:rPr>
            </w:pPr>
          </w:p>
        </w:tc>
        <w:tc>
          <w:tcPr>
            <w:tcW w:w="800" w:type="dxa"/>
            <w:vAlign w:val="bottom"/>
            <w:gridSpan w:val="2"/>
            <w:vMerge w:val="continue"/>
          </w:tcPr>
          <w:p>
            <w:pPr>
              <w:spacing w:after="0"/>
              <w:rPr>
                <w:sz w:val="12"/>
                <w:szCs w:val="12"/>
                <w:color w:val="auto"/>
              </w:rPr>
            </w:pPr>
          </w:p>
        </w:tc>
        <w:tc>
          <w:tcPr>
            <w:tcW w:w="1120" w:type="dxa"/>
            <w:vAlign w:val="bottom"/>
            <w:gridSpan w:val="3"/>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4040" w:type="dxa"/>
            <w:vAlign w:val="bottom"/>
          </w:tcPr>
          <w:p>
            <w:pPr>
              <w:spacing w:after="0"/>
              <w:rPr>
                <w:sz w:val="12"/>
                <w:szCs w:val="12"/>
                <w:color w:val="auto"/>
              </w:rPr>
            </w:pPr>
          </w:p>
        </w:tc>
        <w:tc>
          <w:tcPr>
            <w:tcW w:w="2100" w:type="dxa"/>
            <w:vAlign w:val="bottom"/>
          </w:tcPr>
          <w:p>
            <w:pPr>
              <w:spacing w:after="0"/>
              <w:rPr>
                <w:sz w:val="12"/>
                <w:szCs w:val="12"/>
                <w:color w:val="auto"/>
              </w:rPr>
            </w:pPr>
          </w:p>
        </w:tc>
        <w:tc>
          <w:tcPr>
            <w:tcW w:w="1580" w:type="dxa"/>
            <w:vAlign w:val="bottom"/>
            <w:tcBorders>
              <w:top w:val="single" w:sz="8" w:color="auto"/>
            </w:tcBorders>
            <w:gridSpan w:val="2"/>
          </w:tcPr>
          <w:p>
            <w:pPr>
              <w:jc w:val="center"/>
              <w:spacing w:after="0" w:line="142" w:lineRule="exact"/>
              <w:rPr>
                <w:sz w:val="20"/>
                <w:szCs w:val="20"/>
                <w:color w:val="auto"/>
              </w:rPr>
            </w:pPr>
            <w:r>
              <w:rPr>
                <w:rFonts w:ascii="Arial" w:cs="Arial" w:eastAsia="Arial" w:hAnsi="Arial"/>
                <w:sz w:val="14"/>
                <w:szCs w:val="14"/>
                <w:i w:val="1"/>
                <w:iCs w:val="1"/>
                <w:color w:val="auto"/>
              </w:rPr>
              <w:t>(In millions)</w:t>
            </w:r>
          </w:p>
        </w:tc>
        <w:tc>
          <w:tcPr>
            <w:tcW w:w="60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480" w:type="dxa"/>
            <w:vAlign w:val="bottom"/>
            <w:tcBorders>
              <w:top w:val="single" w:sz="8" w:color="auto"/>
            </w:tcBorders>
          </w:tcPr>
          <w:p>
            <w:pPr>
              <w:spacing w:after="0"/>
              <w:rPr>
                <w:sz w:val="12"/>
                <w:szCs w:val="12"/>
                <w:color w:val="auto"/>
              </w:rPr>
            </w:pPr>
          </w:p>
        </w:tc>
        <w:tc>
          <w:tcPr>
            <w:tcW w:w="3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6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4040" w:type="dxa"/>
            <w:vAlign w:val="bottom"/>
            <w:shd w:val="clear" w:color="auto" w:fill="CCEEFF"/>
          </w:tcPr>
          <w:p>
            <w:pPr>
              <w:spacing w:after="0"/>
              <w:rPr>
                <w:sz w:val="20"/>
                <w:szCs w:val="20"/>
                <w:color w:val="auto"/>
              </w:rPr>
            </w:pPr>
            <w:r>
              <w:rPr>
                <w:rFonts w:ascii="Arial" w:cs="Arial" w:eastAsia="Arial" w:hAnsi="Arial"/>
                <w:sz w:val="18"/>
                <w:szCs w:val="18"/>
                <w:color w:val="auto"/>
              </w:rPr>
              <w:t>General and administrative</w:t>
            </w:r>
          </w:p>
        </w:tc>
        <w:tc>
          <w:tcPr>
            <w:tcW w:w="2880" w:type="dxa"/>
            <w:vAlign w:val="bottom"/>
            <w:gridSpan w:val="2"/>
            <w:shd w:val="clear" w:color="auto" w:fill="CCEEFF"/>
          </w:tcPr>
          <w:p>
            <w:pPr>
              <w:jc w:val="right"/>
              <w:ind w:right="228"/>
              <w:spacing w:after="0"/>
              <w:rPr>
                <w:sz w:val="20"/>
                <w:szCs w:val="20"/>
                <w:color w:val="auto"/>
              </w:rPr>
            </w:pPr>
            <w:r>
              <w:rPr>
                <w:rFonts w:ascii="Arial" w:cs="Arial" w:eastAsia="Arial" w:hAnsi="Arial"/>
                <w:sz w:val="18"/>
                <w:szCs w:val="18"/>
                <w:color w:val="auto"/>
              </w:rPr>
              <w:t>$107.9</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$107.4</w:t>
            </w:r>
          </w:p>
        </w:tc>
        <w:tc>
          <w:tcPr>
            <w:tcW w:w="700" w:type="dxa"/>
            <w:vAlign w:val="bottom"/>
            <w:gridSpan w:val="2"/>
            <w:shd w:val="clear" w:color="auto" w:fill="CCEEFF"/>
          </w:tcPr>
          <w:p>
            <w:pPr>
              <w:ind w:left="600"/>
              <w:spacing w:after="0"/>
              <w:rPr>
                <w:sz w:val="20"/>
                <w:szCs w:val="20"/>
                <w:color w:val="auto"/>
              </w:rPr>
            </w:pPr>
            <w:r>
              <w:rPr>
                <w:rFonts w:ascii="Arial" w:cs="Arial" w:eastAsia="Arial" w:hAnsi="Arial"/>
                <w:sz w:val="18"/>
                <w:szCs w:val="18"/>
                <w:color w:val="auto"/>
                <w:w w:val="79"/>
              </w:rPr>
              <w:t>$</w:t>
            </w:r>
          </w:p>
        </w:tc>
        <w:tc>
          <w:tcPr>
            <w:tcW w:w="8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(0.5)</w:t>
            </w:r>
          </w:p>
        </w:tc>
        <w:tc>
          <w:tcPr>
            <w:tcW w:w="2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 %</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right="20" w:firstLine="449"/>
        <w:spacing w:after="0" w:line="275" w:lineRule="auto"/>
        <w:rPr>
          <w:sz w:val="20"/>
          <w:szCs w:val="20"/>
          <w:color w:val="auto"/>
        </w:rPr>
      </w:pPr>
      <w:r>
        <w:rPr>
          <w:rFonts w:ascii="Arial" w:cs="Arial" w:eastAsia="Arial" w:hAnsi="Arial"/>
          <w:sz w:val="17"/>
          <w:szCs w:val="17"/>
          <w:color w:val="auto"/>
        </w:rPr>
        <w:t>General and administrative expenses decreased $0.5 million during 2016, as compared to 2015, primarily due to a decrease of $12.4 million resulting from a non-income based tax ruling and a decrease of $7.3 million in other non-income based taxes in 2016. These decreases were offset by an increase of $7.3 million in employee-related expenses, which was due to headcount growth. Further, the decrease in general and administrative expense was offset by an increase of $8.0 million in overhead-related costs primarily due to the completion of construction on our new corporate headquarters, and an increase of $3.4 million in professional fees for increased legal and accounting services.</w:t>
      </w:r>
    </w:p>
    <w:p>
      <w:pPr>
        <w:spacing w:after="0" w:line="284"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Interest expense, net</w:t>
      </w:r>
    </w:p>
    <w:p>
      <w:pPr>
        <w:spacing w:after="0" w:line="117" w:lineRule="exact"/>
        <w:rPr>
          <w:sz w:val="20"/>
          <w:szCs w:val="20"/>
          <w:color w:val="auto"/>
        </w:rPr>
      </w:pPr>
    </w:p>
    <w:p>
      <w:pPr>
        <w:ind w:right="540" w:firstLine="449"/>
        <w:spacing w:after="0" w:line="308" w:lineRule="auto"/>
        <w:rPr>
          <w:sz w:val="20"/>
          <w:szCs w:val="20"/>
          <w:color w:val="auto"/>
        </w:rPr>
      </w:pPr>
      <w:r>
        <w:rPr>
          <w:rFonts w:ascii="Arial" w:cs="Arial" w:eastAsia="Arial" w:hAnsi="Arial"/>
          <w:sz w:val="17"/>
          <w:szCs w:val="17"/>
          <w:color w:val="auto"/>
        </w:rPr>
        <w:t>Interest expense, net increased $1.2 million during 2016, as compared to 2015, primarily due to an increase of $1.9 million in interest expense primarily due to assets acquired under capital leases, offset by $0.7 million of interest income from our money market funds.</w:t>
      </w:r>
    </w:p>
    <w:p>
      <w:pPr>
        <w:spacing w:after="0" w:line="7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72</w:t>
      </w:r>
    </w:p>
    <w:p>
      <w:pPr>
        <w:sectPr>
          <w:pgSz w:w="11900" w:h="16838" w:orient="portrait"/>
          <w:cols w:equalWidth="0" w:num="1">
            <w:col w:w="11220"/>
          </w:cols>
          <w:pgMar w:left="320" w:top="459" w:right="359" w:bottom="1440" w:gutter="0" w:footer="0" w:header="0"/>
        </w:sectPr>
      </w:pPr>
    </w:p>
    <w:bookmarkStart w:id="75" w:name="page76"/>
    <w:bookmarkEnd w:id="7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Other income (expense), net</w:t>
      </w:r>
    </w:p>
    <w:p>
      <w:pPr>
        <w:spacing w:after="0" w:line="117" w:lineRule="exact"/>
        <w:rPr>
          <w:sz w:val="20"/>
          <w:szCs w:val="20"/>
          <w:color w:val="auto"/>
        </w:rPr>
      </w:pPr>
    </w:p>
    <w:p>
      <w:pPr>
        <w:ind w:right="280" w:firstLine="449"/>
        <w:spacing w:after="0" w:line="277" w:lineRule="auto"/>
        <w:rPr>
          <w:sz w:val="20"/>
          <w:szCs w:val="20"/>
          <w:color w:val="auto"/>
        </w:rPr>
      </w:pPr>
      <w:r>
        <w:rPr>
          <w:rFonts w:ascii="Arial" w:cs="Arial" w:eastAsia="Arial" w:hAnsi="Arial"/>
          <w:sz w:val="18"/>
          <w:szCs w:val="18"/>
          <w:color w:val="auto"/>
        </w:rPr>
        <w:t>Other income (expense), net increased $9.1 million during 2016, as compared to 2015, primarily due to the commencement of sublease income of $7.0 million and a net gain of $1.6 million related to fixed asset disposals.</w:t>
      </w:r>
    </w:p>
    <w:p>
      <w:pPr>
        <w:spacing w:after="0" w:line="278"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Provision for income taxes</w:t>
      </w:r>
    </w:p>
    <w:p>
      <w:pPr>
        <w:spacing w:after="0" w:line="117" w:lineRule="exact"/>
        <w:rPr>
          <w:sz w:val="20"/>
          <w:szCs w:val="20"/>
          <w:color w:val="auto"/>
        </w:rPr>
      </w:pPr>
    </w:p>
    <w:p>
      <w:pPr>
        <w:ind w:right="360" w:firstLine="449"/>
        <w:spacing w:after="0" w:line="277" w:lineRule="auto"/>
        <w:rPr>
          <w:sz w:val="20"/>
          <w:szCs w:val="20"/>
          <w:color w:val="auto"/>
        </w:rPr>
      </w:pPr>
      <w:r>
        <w:rPr>
          <w:rFonts w:ascii="Arial" w:cs="Arial" w:eastAsia="Arial" w:hAnsi="Arial"/>
          <w:sz w:val="18"/>
          <w:szCs w:val="18"/>
          <w:color w:val="auto"/>
        </w:rPr>
        <w:t>Provision for income taxes increased by $4.9 million during 2016, as compared to 2015, primarily due to an increase in taxes as a result of being subject to the U.S. alternative minimum tax and foreign taxes related to our foreign operations.</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Quarterly Results of Operations</w:t>
      </w:r>
    </w:p>
    <w:p>
      <w:pPr>
        <w:spacing w:after="0" w:line="121" w:lineRule="exact"/>
        <w:rPr>
          <w:sz w:val="20"/>
          <w:szCs w:val="20"/>
          <w:color w:val="auto"/>
        </w:rPr>
      </w:pPr>
    </w:p>
    <w:p>
      <w:pPr>
        <w:ind w:right="20" w:firstLine="449"/>
        <w:spacing w:after="0" w:line="255" w:lineRule="auto"/>
        <w:rPr>
          <w:sz w:val="20"/>
          <w:szCs w:val="20"/>
          <w:color w:val="auto"/>
        </w:rPr>
      </w:pPr>
      <w:r>
        <w:rPr>
          <w:rFonts w:ascii="Arial" w:cs="Arial" w:eastAsia="Arial" w:hAnsi="Arial"/>
          <w:sz w:val="18"/>
          <w:szCs w:val="18"/>
          <w:color w:val="auto"/>
        </w:rPr>
        <w:t>The following table sets forth our unaudited quarterly statements of operations data for each of the last seven quarters ended September 30, 2017. The information for each of these quarters has been prepared on the same basis as the audited annual financial statements included elsewhere in this prospectus and, in the opinion of management, includes all adjustments, which includes only normal recurring adjustments, necessary for the fair statement of the results of operations for these periods. This data should be read in conjunction with our audited consolidated financial statements and related notes thereto included elsewhere in this prospectus. These quarterly results of operations are not necessarily indicative of our future results of operations that may be expected for any future period.</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46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360" w:type="dxa"/>
            <w:vAlign w:val="bottom"/>
            <w:tcBorders>
              <w:bottom w:val="single" w:sz="8" w:color="auto"/>
            </w:tcBorders>
            <w:gridSpan w:val="4"/>
          </w:tcPr>
          <w:p>
            <w:pPr>
              <w:jc w:val="center"/>
              <w:ind w:right="100"/>
              <w:spacing w:after="0"/>
              <w:rPr>
                <w:sz w:val="20"/>
                <w:szCs w:val="20"/>
                <w:color w:val="auto"/>
              </w:rPr>
            </w:pPr>
            <w:r>
              <w:rPr>
                <w:rFonts w:ascii="Arial" w:cs="Arial" w:eastAsia="Arial" w:hAnsi="Arial"/>
                <w:sz w:val="14"/>
                <w:szCs w:val="14"/>
                <w:b w:val="1"/>
                <w:bCs w:val="1"/>
                <w:color w:val="auto"/>
                <w:w w:val="91"/>
              </w:rPr>
              <w:t>Three months ended</w:t>
            </w:r>
          </w:p>
        </w:tc>
        <w:tc>
          <w:tcPr>
            <w:tcW w:w="12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19"/>
        </w:trPr>
        <w:tc>
          <w:tcPr>
            <w:tcW w:w="4460" w:type="dxa"/>
            <w:vAlign w:val="bottom"/>
          </w:tcPr>
          <w:p>
            <w:pPr>
              <w:spacing w:after="0"/>
              <w:rPr>
                <w:sz w:val="10"/>
                <w:szCs w:val="10"/>
                <w:color w:val="auto"/>
              </w:rPr>
            </w:pPr>
          </w:p>
        </w:tc>
        <w:tc>
          <w:tcPr>
            <w:tcW w:w="820" w:type="dxa"/>
            <w:vAlign w:val="bottom"/>
            <w:gridSpan w:val="3"/>
          </w:tcPr>
          <w:p>
            <w:pPr>
              <w:spacing w:after="0" w:line="119" w:lineRule="exact"/>
              <w:rPr>
                <w:sz w:val="20"/>
                <w:szCs w:val="20"/>
                <w:color w:val="auto"/>
              </w:rPr>
            </w:pPr>
            <w:r>
              <w:rPr>
                <w:rFonts w:ascii="Arial" w:cs="Arial" w:eastAsia="Arial" w:hAnsi="Arial"/>
                <w:sz w:val="13"/>
                <w:szCs w:val="13"/>
                <w:b w:val="1"/>
                <w:bCs w:val="1"/>
                <w:color w:val="auto"/>
              </w:rPr>
              <w:t>March 31,</w:t>
            </w:r>
          </w:p>
        </w:tc>
        <w:tc>
          <w:tcPr>
            <w:tcW w:w="120" w:type="dxa"/>
            <w:vAlign w:val="bottom"/>
          </w:tcPr>
          <w:p>
            <w:pPr>
              <w:spacing w:after="0"/>
              <w:rPr>
                <w:sz w:val="10"/>
                <w:szCs w:val="10"/>
                <w:color w:val="auto"/>
              </w:rPr>
            </w:pPr>
          </w:p>
        </w:tc>
        <w:tc>
          <w:tcPr>
            <w:tcW w:w="680" w:type="dxa"/>
            <w:vAlign w:val="bottom"/>
            <w:gridSpan w:val="2"/>
          </w:tcPr>
          <w:p>
            <w:pPr>
              <w:jc w:val="right"/>
              <w:ind w:right="180"/>
              <w:spacing w:after="0" w:line="119" w:lineRule="exact"/>
              <w:rPr>
                <w:sz w:val="20"/>
                <w:szCs w:val="20"/>
                <w:color w:val="auto"/>
              </w:rPr>
            </w:pPr>
            <w:r>
              <w:rPr>
                <w:rFonts w:ascii="Arial" w:cs="Arial" w:eastAsia="Arial" w:hAnsi="Arial"/>
                <w:sz w:val="13"/>
                <w:szCs w:val="13"/>
                <w:b w:val="1"/>
                <w:bCs w:val="1"/>
                <w:color w:val="auto"/>
                <w:w w:val="92"/>
              </w:rPr>
              <w:t>June 30,</w:t>
            </w:r>
          </w:p>
        </w:tc>
        <w:tc>
          <w:tcPr>
            <w:tcW w:w="120" w:type="dxa"/>
            <w:vAlign w:val="bottom"/>
          </w:tcPr>
          <w:p>
            <w:pPr>
              <w:spacing w:after="0"/>
              <w:rPr>
                <w:sz w:val="10"/>
                <w:szCs w:val="10"/>
                <w:color w:val="auto"/>
              </w:rPr>
            </w:pPr>
          </w:p>
        </w:tc>
        <w:tc>
          <w:tcPr>
            <w:tcW w:w="960" w:type="dxa"/>
            <w:vAlign w:val="bottom"/>
            <w:gridSpan w:val="3"/>
          </w:tcPr>
          <w:p>
            <w:pPr>
              <w:spacing w:after="0" w:line="119" w:lineRule="exact"/>
              <w:rPr>
                <w:sz w:val="20"/>
                <w:szCs w:val="20"/>
                <w:color w:val="auto"/>
              </w:rPr>
            </w:pPr>
            <w:r>
              <w:rPr>
                <w:rFonts w:ascii="Arial" w:cs="Arial" w:eastAsia="Arial" w:hAnsi="Arial"/>
                <w:sz w:val="13"/>
                <w:szCs w:val="13"/>
                <w:b w:val="1"/>
                <w:bCs w:val="1"/>
                <w:color w:val="auto"/>
              </w:rPr>
              <w:t>September 30,</w:t>
            </w:r>
          </w:p>
        </w:tc>
        <w:tc>
          <w:tcPr>
            <w:tcW w:w="220" w:type="dxa"/>
            <w:vAlign w:val="bottom"/>
          </w:tcPr>
          <w:p>
            <w:pPr>
              <w:spacing w:after="0"/>
              <w:rPr>
                <w:sz w:val="10"/>
                <w:szCs w:val="10"/>
                <w:color w:val="auto"/>
              </w:rPr>
            </w:pPr>
          </w:p>
        </w:tc>
        <w:tc>
          <w:tcPr>
            <w:tcW w:w="1140" w:type="dxa"/>
            <w:vAlign w:val="bottom"/>
            <w:gridSpan w:val="3"/>
          </w:tcPr>
          <w:p>
            <w:pPr>
              <w:jc w:val="center"/>
              <w:ind w:right="300"/>
              <w:spacing w:after="0" w:line="119" w:lineRule="exact"/>
              <w:rPr>
                <w:sz w:val="20"/>
                <w:szCs w:val="20"/>
                <w:color w:val="auto"/>
              </w:rPr>
            </w:pPr>
            <w:r>
              <w:rPr>
                <w:rFonts w:ascii="Arial" w:cs="Arial" w:eastAsia="Arial" w:hAnsi="Arial"/>
                <w:sz w:val="13"/>
                <w:szCs w:val="13"/>
                <w:b w:val="1"/>
                <w:bCs w:val="1"/>
                <w:color w:val="auto"/>
                <w:w w:val="99"/>
              </w:rPr>
              <w:t>December 31,</w:t>
            </w:r>
          </w:p>
        </w:tc>
        <w:tc>
          <w:tcPr>
            <w:tcW w:w="800" w:type="dxa"/>
            <w:vAlign w:val="bottom"/>
            <w:gridSpan w:val="3"/>
          </w:tcPr>
          <w:p>
            <w:pPr>
              <w:spacing w:after="0" w:line="119" w:lineRule="exact"/>
              <w:rPr>
                <w:sz w:val="20"/>
                <w:szCs w:val="20"/>
                <w:color w:val="auto"/>
              </w:rPr>
            </w:pPr>
            <w:r>
              <w:rPr>
                <w:rFonts w:ascii="Arial" w:cs="Arial" w:eastAsia="Arial" w:hAnsi="Arial"/>
                <w:sz w:val="13"/>
                <w:szCs w:val="13"/>
                <w:b w:val="1"/>
                <w:bCs w:val="1"/>
                <w:color w:val="auto"/>
              </w:rPr>
              <w:t>March 31,</w:t>
            </w:r>
          </w:p>
        </w:tc>
        <w:tc>
          <w:tcPr>
            <w:tcW w:w="120" w:type="dxa"/>
            <w:vAlign w:val="bottom"/>
          </w:tcPr>
          <w:p>
            <w:pPr>
              <w:spacing w:after="0"/>
              <w:rPr>
                <w:sz w:val="10"/>
                <w:szCs w:val="10"/>
                <w:color w:val="auto"/>
              </w:rPr>
            </w:pPr>
          </w:p>
        </w:tc>
        <w:tc>
          <w:tcPr>
            <w:tcW w:w="700" w:type="dxa"/>
            <w:vAlign w:val="bottom"/>
            <w:gridSpan w:val="2"/>
          </w:tcPr>
          <w:p>
            <w:pPr>
              <w:jc w:val="right"/>
              <w:ind w:right="180"/>
              <w:spacing w:after="0" w:line="119" w:lineRule="exact"/>
              <w:rPr>
                <w:sz w:val="20"/>
                <w:szCs w:val="20"/>
                <w:color w:val="auto"/>
              </w:rPr>
            </w:pPr>
            <w:r>
              <w:rPr>
                <w:rFonts w:ascii="Arial" w:cs="Arial" w:eastAsia="Arial" w:hAnsi="Arial"/>
                <w:sz w:val="13"/>
                <w:szCs w:val="13"/>
                <w:b w:val="1"/>
                <w:bCs w:val="1"/>
                <w:color w:val="auto"/>
                <w:w w:val="96"/>
              </w:rPr>
              <w:t>June 30,</w:t>
            </w:r>
          </w:p>
        </w:tc>
        <w:tc>
          <w:tcPr>
            <w:tcW w:w="120" w:type="dxa"/>
            <w:vAlign w:val="bottom"/>
          </w:tcPr>
          <w:p>
            <w:pPr>
              <w:spacing w:after="0"/>
              <w:rPr>
                <w:sz w:val="10"/>
                <w:szCs w:val="10"/>
                <w:color w:val="auto"/>
              </w:rPr>
            </w:pPr>
          </w:p>
        </w:tc>
        <w:tc>
          <w:tcPr>
            <w:tcW w:w="880" w:type="dxa"/>
            <w:vAlign w:val="bottom"/>
            <w:gridSpan w:val="2"/>
          </w:tcPr>
          <w:p>
            <w:pPr>
              <w:spacing w:after="0" w:line="119" w:lineRule="exact"/>
              <w:rPr>
                <w:sz w:val="20"/>
                <w:szCs w:val="20"/>
                <w:color w:val="auto"/>
              </w:rPr>
            </w:pPr>
            <w:r>
              <w:rPr>
                <w:rFonts w:ascii="Arial" w:cs="Arial" w:eastAsia="Arial" w:hAnsi="Arial"/>
                <w:sz w:val="13"/>
                <w:szCs w:val="13"/>
                <w:b w:val="1"/>
                <w:bCs w:val="1"/>
                <w:color w:val="auto"/>
                <w:w w:val="96"/>
              </w:rPr>
              <w:t>September 30,</w:t>
            </w:r>
          </w:p>
        </w:tc>
        <w:tc>
          <w:tcPr>
            <w:tcW w:w="100" w:type="dxa"/>
            <w:vAlign w:val="bottom"/>
          </w:tcPr>
          <w:p>
            <w:pPr>
              <w:spacing w:after="0"/>
              <w:rPr>
                <w:sz w:val="10"/>
                <w:szCs w:val="10"/>
                <w:color w:val="auto"/>
              </w:rPr>
            </w:pPr>
          </w:p>
        </w:tc>
      </w:tr>
      <w:tr>
        <w:trPr>
          <w:trHeight w:val="171"/>
        </w:trPr>
        <w:tc>
          <w:tcPr>
            <w:tcW w:w="446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jc w:val="right"/>
              <w:ind w:right="92"/>
              <w:spacing w:after="0"/>
              <w:rPr>
                <w:sz w:val="20"/>
                <w:szCs w:val="20"/>
                <w:color w:val="auto"/>
              </w:rPr>
            </w:pPr>
            <w:r>
              <w:rPr>
                <w:rFonts w:ascii="Arial" w:cs="Arial" w:eastAsia="Arial" w:hAnsi="Arial"/>
                <w:sz w:val="14"/>
                <w:szCs w:val="14"/>
                <w:b w:val="1"/>
                <w:bCs w:val="1"/>
                <w:color w:val="auto"/>
                <w:w w:val="96"/>
              </w:rPr>
              <w:t>2016</w:t>
            </w:r>
          </w:p>
        </w:tc>
        <w:tc>
          <w:tcPr>
            <w:tcW w:w="18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gridSpan w:val="2"/>
          </w:tcPr>
          <w:p>
            <w:pPr>
              <w:ind w:left="220"/>
              <w:spacing w:after="0"/>
              <w:rPr>
                <w:sz w:val="20"/>
                <w:szCs w:val="20"/>
                <w:color w:val="auto"/>
              </w:rPr>
            </w:pPr>
            <w:r>
              <w:rPr>
                <w:rFonts w:ascii="Arial" w:cs="Arial" w:eastAsia="Arial" w:hAnsi="Arial"/>
                <w:sz w:val="14"/>
                <w:szCs w:val="14"/>
                <w:b w:val="1"/>
                <w:bCs w:val="1"/>
                <w:color w:val="auto"/>
              </w:rPr>
              <w:t>2016</w:t>
            </w:r>
          </w:p>
        </w:tc>
        <w:tc>
          <w:tcPr>
            <w:tcW w:w="18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ind w:right="212"/>
              <w:spacing w:after="0"/>
              <w:rPr>
                <w:sz w:val="20"/>
                <w:szCs w:val="20"/>
                <w:color w:val="auto"/>
              </w:rPr>
            </w:pPr>
            <w:r>
              <w:rPr>
                <w:rFonts w:ascii="Arial" w:cs="Arial" w:eastAsia="Arial" w:hAnsi="Arial"/>
                <w:sz w:val="14"/>
                <w:szCs w:val="14"/>
                <w:b w:val="1"/>
                <w:bCs w:val="1"/>
                <w:color w:val="auto"/>
              </w:rPr>
              <w:t>2016</w:t>
            </w:r>
          </w:p>
        </w:tc>
        <w:tc>
          <w:tcPr>
            <w:tcW w:w="8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center"/>
              <w:ind w:right="92"/>
              <w:spacing w:after="0"/>
              <w:rPr>
                <w:sz w:val="20"/>
                <w:szCs w:val="20"/>
                <w:color w:val="auto"/>
              </w:rPr>
            </w:pPr>
            <w:r>
              <w:rPr>
                <w:rFonts w:ascii="Arial" w:cs="Arial" w:eastAsia="Arial" w:hAnsi="Arial"/>
                <w:sz w:val="14"/>
                <w:szCs w:val="14"/>
                <w:b w:val="1"/>
                <w:bCs w:val="1"/>
                <w:color w:val="auto"/>
                <w:w w:val="89"/>
              </w:rPr>
              <w:t>2016</w:t>
            </w:r>
          </w:p>
        </w:tc>
        <w:tc>
          <w:tcPr>
            <w:tcW w:w="30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jc w:val="right"/>
              <w:ind w:right="72"/>
              <w:spacing w:after="0"/>
              <w:rPr>
                <w:sz w:val="20"/>
                <w:szCs w:val="20"/>
                <w:color w:val="auto"/>
              </w:rPr>
            </w:pPr>
            <w:r>
              <w:rPr>
                <w:rFonts w:ascii="Arial" w:cs="Arial" w:eastAsia="Arial" w:hAnsi="Arial"/>
                <w:sz w:val="14"/>
                <w:szCs w:val="14"/>
                <w:b w:val="1"/>
                <w:bCs w:val="1"/>
                <w:color w:val="auto"/>
              </w:rPr>
              <w:t>2017</w:t>
            </w:r>
          </w:p>
        </w:tc>
        <w:tc>
          <w:tcPr>
            <w:tcW w:w="18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gridSpan w:val="2"/>
          </w:tcPr>
          <w:p>
            <w:pPr>
              <w:jc w:val="right"/>
              <w:ind w:right="42"/>
              <w:spacing w:after="0"/>
              <w:rPr>
                <w:sz w:val="20"/>
                <w:szCs w:val="20"/>
                <w:color w:val="auto"/>
              </w:rPr>
            </w:pPr>
            <w:r>
              <w:rPr>
                <w:rFonts w:ascii="Arial" w:cs="Arial" w:eastAsia="Arial" w:hAnsi="Arial"/>
                <w:sz w:val="14"/>
                <w:szCs w:val="14"/>
                <w:b w:val="1"/>
                <w:bCs w:val="1"/>
                <w:color w:val="auto"/>
              </w:rPr>
              <w:t>2017</w:t>
            </w:r>
          </w:p>
        </w:tc>
        <w:tc>
          <w:tcPr>
            <w:tcW w:w="18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ind w:right="212"/>
              <w:spacing w:after="0"/>
              <w:rPr>
                <w:sz w:val="20"/>
                <w:szCs w:val="20"/>
                <w:color w:val="auto"/>
              </w:rPr>
            </w:pPr>
            <w:r>
              <w:rPr>
                <w:rFonts w:ascii="Arial" w:cs="Arial" w:eastAsia="Arial" w:hAnsi="Arial"/>
                <w:sz w:val="14"/>
                <w:szCs w:val="14"/>
                <w:b w:val="1"/>
                <w:bCs w:val="1"/>
                <w:color w:val="auto"/>
              </w:rPr>
              <w:t>2017</w:t>
            </w:r>
          </w:p>
        </w:tc>
        <w:tc>
          <w:tcPr>
            <w:tcW w:w="100" w:type="dxa"/>
            <w:vAlign w:val="bottom"/>
          </w:tcPr>
          <w:p>
            <w:pPr>
              <w:spacing w:after="0"/>
              <w:rPr>
                <w:sz w:val="14"/>
                <w:szCs w:val="14"/>
                <w:color w:val="auto"/>
              </w:rPr>
            </w:pPr>
          </w:p>
        </w:tc>
      </w:tr>
      <w:tr>
        <w:trPr>
          <w:trHeight w:val="142"/>
        </w:trPr>
        <w:tc>
          <w:tcPr>
            <w:tcW w:w="44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40" w:type="dxa"/>
            <w:vAlign w:val="bottom"/>
            <w:gridSpan w:val="3"/>
          </w:tcPr>
          <w:p>
            <w:pPr>
              <w:jc w:val="center"/>
              <w:ind w:right="300"/>
              <w:spacing w:after="0" w:line="142" w:lineRule="exact"/>
              <w:rPr>
                <w:sz w:val="20"/>
                <w:szCs w:val="20"/>
                <w:color w:val="auto"/>
              </w:rPr>
            </w:pPr>
            <w:r>
              <w:rPr>
                <w:rFonts w:ascii="Arial" w:cs="Arial" w:eastAsia="Arial" w:hAnsi="Arial"/>
                <w:sz w:val="14"/>
                <w:szCs w:val="14"/>
                <w:i w:val="1"/>
                <w:iCs w:val="1"/>
                <w:color w:val="auto"/>
              </w:rPr>
              <w:t>(In millions)</w:t>
            </w:r>
          </w:p>
        </w:tc>
        <w:tc>
          <w:tcPr>
            <w:tcW w:w="1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216"/>
        </w:trPr>
        <w:tc>
          <w:tcPr>
            <w:tcW w:w="4460" w:type="dxa"/>
            <w:vAlign w:val="bottom"/>
            <w:shd w:val="clear" w:color="auto" w:fill="CCEEFF"/>
          </w:tcPr>
          <w:p>
            <w:pPr>
              <w:spacing w:after="0"/>
              <w:rPr>
                <w:sz w:val="20"/>
                <w:szCs w:val="20"/>
                <w:color w:val="auto"/>
              </w:rPr>
            </w:pPr>
            <w:r>
              <w:rPr>
                <w:rFonts w:ascii="Arial" w:cs="Arial" w:eastAsia="Arial" w:hAnsi="Arial"/>
                <w:sz w:val="18"/>
                <w:szCs w:val="18"/>
                <w:color w:val="auto"/>
              </w:rPr>
              <w:t>Revenue</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185.0</w:t>
            </w:r>
          </w:p>
        </w:tc>
        <w:tc>
          <w:tcPr>
            <w:tcW w:w="80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$200.8</w:t>
            </w:r>
          </w:p>
        </w:tc>
        <w:tc>
          <w:tcPr>
            <w:tcW w:w="32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221.0</w:t>
            </w:r>
          </w:p>
        </w:tc>
        <w:tc>
          <w:tcPr>
            <w:tcW w:w="400" w:type="dxa"/>
            <w:vAlign w:val="bottom"/>
            <w:gridSpan w:val="2"/>
            <w:shd w:val="clear" w:color="auto" w:fill="CCEEFF"/>
          </w:tcPr>
          <w:p>
            <w:pPr>
              <w:jc w:val="right"/>
              <w:ind w:right="31"/>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238.0</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6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247.9</w:t>
            </w:r>
          </w:p>
        </w:tc>
        <w:tc>
          <w:tcPr>
            <w:tcW w:w="82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$266.7</w:t>
            </w:r>
          </w:p>
        </w:tc>
        <w:tc>
          <w:tcPr>
            <w:tcW w:w="30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286.7</w:t>
            </w:r>
          </w:p>
        </w:tc>
      </w:tr>
      <w:tr>
        <w:trPr>
          <w:trHeight w:val="216"/>
        </w:trPr>
        <w:tc>
          <w:tcPr>
            <w:tcW w:w="4460" w:type="dxa"/>
            <w:vAlign w:val="bottom"/>
          </w:tcPr>
          <w:p>
            <w:pPr>
              <w:spacing w:after="0"/>
              <w:rPr>
                <w:sz w:val="20"/>
                <w:szCs w:val="20"/>
                <w:color w:val="auto"/>
              </w:rPr>
            </w:pPr>
            <w:r>
              <w:rPr>
                <w:rFonts w:ascii="Arial" w:cs="Arial" w:eastAsia="Arial" w:hAnsi="Arial"/>
                <w:sz w:val="18"/>
                <w:szCs w:val="18"/>
                <w:color w:val="auto"/>
              </w:rPr>
              <w:t>Cost of revenue</w:t>
            </w:r>
            <w:r>
              <w:rPr>
                <w:rFonts w:ascii="Arial" w:cs="Arial" w:eastAsia="Arial" w:hAnsi="Arial"/>
                <w:sz w:val="15"/>
                <w:szCs w:val="15"/>
                <w:color w:val="auto"/>
              </w:rPr>
              <w:t>(1)</w:t>
            </w:r>
          </w:p>
        </w:tc>
        <w:tc>
          <w:tcPr>
            <w:tcW w:w="14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99.8</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gridSpan w:val="2"/>
          </w:tcPr>
          <w:p>
            <w:pPr>
              <w:jc w:val="right"/>
              <w:ind w:right="180"/>
              <w:spacing w:after="0"/>
              <w:rPr>
                <w:sz w:val="20"/>
                <w:szCs w:val="20"/>
                <w:color w:val="auto"/>
              </w:rPr>
            </w:pPr>
            <w:r>
              <w:rPr>
                <w:rFonts w:ascii="Arial" w:cs="Arial" w:eastAsia="Arial" w:hAnsi="Arial"/>
                <w:sz w:val="18"/>
                <w:szCs w:val="18"/>
                <w:color w:val="auto"/>
              </w:rPr>
              <w:t>102.7</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gridSpan w:val="2"/>
          </w:tcPr>
          <w:p>
            <w:pPr>
              <w:jc w:val="right"/>
              <w:ind w:right="80"/>
              <w:spacing w:after="0"/>
              <w:rPr>
                <w:sz w:val="20"/>
                <w:szCs w:val="20"/>
                <w:color w:val="auto"/>
              </w:rPr>
            </w:pPr>
            <w:r>
              <w:rPr>
                <w:rFonts w:ascii="Arial" w:cs="Arial" w:eastAsia="Arial" w:hAnsi="Arial"/>
                <w:sz w:val="18"/>
                <w:szCs w:val="18"/>
                <w:color w:val="auto"/>
              </w:rPr>
              <w:t>98.8</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gridSpan w:val="2"/>
          </w:tcPr>
          <w:p>
            <w:pPr>
              <w:jc w:val="right"/>
              <w:ind w:right="300"/>
              <w:spacing w:after="0"/>
              <w:rPr>
                <w:sz w:val="20"/>
                <w:szCs w:val="20"/>
                <w:color w:val="auto"/>
              </w:rPr>
            </w:pPr>
            <w:r>
              <w:rPr>
                <w:rFonts w:ascii="Arial" w:cs="Arial" w:eastAsia="Arial" w:hAnsi="Arial"/>
                <w:sz w:val="18"/>
                <w:szCs w:val="18"/>
                <w:color w:val="auto"/>
              </w:rPr>
              <w:t>89.3</w:t>
            </w:r>
          </w:p>
        </w:tc>
        <w:tc>
          <w:tcPr>
            <w:tcW w:w="120" w:type="dxa"/>
            <w:vAlign w:val="bottom"/>
          </w:tcPr>
          <w:p>
            <w:pPr>
              <w:spacing w:after="0"/>
              <w:rPr>
                <w:sz w:val="18"/>
                <w:szCs w:val="18"/>
                <w:color w:val="auto"/>
              </w:rPr>
            </w:pPr>
          </w:p>
        </w:tc>
        <w:tc>
          <w:tcPr>
            <w:tcW w:w="680" w:type="dxa"/>
            <w:vAlign w:val="bottom"/>
            <w:gridSpan w:val="2"/>
          </w:tcPr>
          <w:p>
            <w:pPr>
              <w:jc w:val="right"/>
              <w:ind w:right="180"/>
              <w:spacing w:after="0"/>
              <w:rPr>
                <w:sz w:val="20"/>
                <w:szCs w:val="20"/>
                <w:color w:val="auto"/>
              </w:rPr>
            </w:pPr>
            <w:r>
              <w:rPr>
                <w:rFonts w:ascii="Arial" w:cs="Arial" w:eastAsia="Arial" w:hAnsi="Arial"/>
                <w:sz w:val="18"/>
                <w:szCs w:val="18"/>
                <w:color w:val="auto"/>
              </w:rPr>
              <w:t>93.5</w:t>
            </w:r>
          </w:p>
        </w:tc>
        <w:tc>
          <w:tcPr>
            <w:tcW w:w="820" w:type="dxa"/>
            <w:vAlign w:val="bottom"/>
            <w:gridSpan w:val="3"/>
          </w:tcPr>
          <w:p>
            <w:pPr>
              <w:jc w:val="right"/>
              <w:ind w:right="180"/>
              <w:spacing w:after="0"/>
              <w:rPr>
                <w:sz w:val="20"/>
                <w:szCs w:val="20"/>
                <w:color w:val="auto"/>
              </w:rPr>
            </w:pPr>
            <w:r>
              <w:rPr>
                <w:rFonts w:ascii="Arial" w:cs="Arial" w:eastAsia="Arial" w:hAnsi="Arial"/>
                <w:sz w:val="18"/>
                <w:szCs w:val="18"/>
                <w:color w:val="auto"/>
              </w:rPr>
              <w:t>92.2</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91.5</w:t>
            </w:r>
          </w:p>
        </w:tc>
      </w:tr>
      <w:tr>
        <w:trPr>
          <w:trHeight w:val="27"/>
        </w:trPr>
        <w:tc>
          <w:tcPr>
            <w:tcW w:w="44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4460" w:type="dxa"/>
            <w:vAlign w:val="bottom"/>
            <w:shd w:val="clear" w:color="auto" w:fill="CCEEFF"/>
          </w:tcPr>
          <w:p>
            <w:pPr>
              <w:spacing w:after="0"/>
              <w:rPr>
                <w:sz w:val="20"/>
                <w:szCs w:val="20"/>
                <w:color w:val="auto"/>
              </w:rPr>
            </w:pPr>
            <w:r>
              <w:rPr>
                <w:rFonts w:ascii="Arial" w:cs="Arial" w:eastAsia="Arial" w:hAnsi="Arial"/>
                <w:sz w:val="18"/>
                <w:szCs w:val="18"/>
                <w:color w:val="auto"/>
              </w:rPr>
              <w:t>Gross profit</w:t>
            </w:r>
          </w:p>
        </w:tc>
        <w:tc>
          <w:tcPr>
            <w:tcW w:w="14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85.2</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98.1</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122.2</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148.7</w:t>
            </w:r>
          </w:p>
        </w:tc>
        <w:tc>
          <w:tcPr>
            <w:tcW w:w="1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154.4</w:t>
            </w:r>
          </w:p>
        </w:tc>
        <w:tc>
          <w:tcPr>
            <w:tcW w:w="82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174.5</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195.2</w:t>
            </w:r>
          </w:p>
        </w:tc>
      </w:tr>
      <w:tr>
        <w:trPr>
          <w:trHeight w:val="216"/>
        </w:trPr>
        <w:tc>
          <w:tcPr>
            <w:tcW w:w="4460" w:type="dxa"/>
            <w:vAlign w:val="bottom"/>
          </w:tcPr>
          <w:p>
            <w:pPr>
              <w:spacing w:after="0"/>
              <w:rPr>
                <w:sz w:val="20"/>
                <w:szCs w:val="20"/>
                <w:color w:val="auto"/>
              </w:rPr>
            </w:pPr>
            <w:r>
              <w:rPr>
                <w:rFonts w:ascii="Arial" w:cs="Arial" w:eastAsia="Arial" w:hAnsi="Arial"/>
                <w:sz w:val="18"/>
                <w:szCs w:val="18"/>
                <w:color w:val="auto"/>
              </w:rPr>
              <w:t>Operating expenses:</w:t>
            </w:r>
            <w:r>
              <w:rPr>
                <w:rFonts w:ascii="Arial" w:cs="Arial" w:eastAsia="Arial" w:hAnsi="Arial"/>
                <w:sz w:val="15"/>
                <w:szCs w:val="15"/>
                <w:color w:val="auto"/>
              </w:rPr>
              <w:t>(1)</w:t>
            </w:r>
          </w:p>
        </w:tc>
        <w:tc>
          <w:tcPr>
            <w:tcW w:w="1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4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Research and development</w:t>
            </w:r>
          </w:p>
        </w:tc>
        <w:tc>
          <w:tcPr>
            <w:tcW w:w="14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67.9</w:t>
            </w:r>
          </w:p>
        </w:tc>
        <w:tc>
          <w:tcPr>
            <w:tcW w:w="80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72.6</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75.1</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74.1</w:t>
            </w:r>
          </w:p>
        </w:tc>
        <w:tc>
          <w:tcPr>
            <w:tcW w:w="1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89.3</w:t>
            </w:r>
          </w:p>
        </w:tc>
        <w:tc>
          <w:tcPr>
            <w:tcW w:w="82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89.8</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97.2</w:t>
            </w:r>
          </w:p>
        </w:tc>
      </w:tr>
      <w:tr>
        <w:trPr>
          <w:trHeight w:val="216"/>
        </w:trPr>
        <w:tc>
          <w:tcPr>
            <w:tcW w:w="4460" w:type="dxa"/>
            <w:vAlign w:val="bottom"/>
          </w:tcPr>
          <w:p>
            <w:pPr>
              <w:ind w:left="360"/>
              <w:spacing w:after="0"/>
              <w:rPr>
                <w:sz w:val="20"/>
                <w:szCs w:val="20"/>
                <w:color w:val="auto"/>
              </w:rPr>
            </w:pPr>
            <w:r>
              <w:rPr>
                <w:rFonts w:ascii="Arial" w:cs="Arial" w:eastAsia="Arial" w:hAnsi="Arial"/>
                <w:sz w:val="18"/>
                <w:szCs w:val="18"/>
                <w:color w:val="auto"/>
              </w:rPr>
              <w:t>Sales and marketing</w:t>
            </w:r>
          </w:p>
        </w:tc>
        <w:tc>
          <w:tcPr>
            <w:tcW w:w="140" w:type="dxa"/>
            <w:vAlign w:val="bottom"/>
          </w:tcPr>
          <w:p>
            <w:pPr>
              <w:spacing w:after="0"/>
              <w:rPr>
                <w:sz w:val="18"/>
                <w:szCs w:val="18"/>
                <w:color w:val="auto"/>
              </w:rPr>
            </w:pPr>
          </w:p>
        </w:tc>
        <w:tc>
          <w:tcPr>
            <w:tcW w:w="680" w:type="dxa"/>
            <w:vAlign w:val="bottom"/>
            <w:gridSpan w:val="2"/>
          </w:tcPr>
          <w:p>
            <w:pPr>
              <w:jc w:val="right"/>
              <w:ind w:right="180"/>
              <w:spacing w:after="0"/>
              <w:rPr>
                <w:sz w:val="20"/>
                <w:szCs w:val="20"/>
                <w:color w:val="auto"/>
              </w:rPr>
            </w:pPr>
            <w:r>
              <w:rPr>
                <w:rFonts w:ascii="Arial" w:cs="Arial" w:eastAsia="Arial" w:hAnsi="Arial"/>
                <w:sz w:val="18"/>
                <w:szCs w:val="18"/>
                <w:color w:val="auto"/>
              </w:rPr>
              <w:t>73.8</w:t>
            </w:r>
          </w:p>
        </w:tc>
        <w:tc>
          <w:tcPr>
            <w:tcW w:w="800" w:type="dxa"/>
            <w:vAlign w:val="bottom"/>
            <w:gridSpan w:val="3"/>
          </w:tcPr>
          <w:p>
            <w:pPr>
              <w:jc w:val="right"/>
              <w:ind w:right="180"/>
              <w:spacing w:after="0"/>
              <w:rPr>
                <w:sz w:val="20"/>
                <w:szCs w:val="20"/>
                <w:color w:val="auto"/>
              </w:rPr>
            </w:pPr>
            <w:r>
              <w:rPr>
                <w:rFonts w:ascii="Arial" w:cs="Arial" w:eastAsia="Arial" w:hAnsi="Arial"/>
                <w:sz w:val="18"/>
                <w:szCs w:val="18"/>
                <w:color w:val="auto"/>
              </w:rPr>
              <w:t>57.5</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gridSpan w:val="2"/>
          </w:tcPr>
          <w:p>
            <w:pPr>
              <w:jc w:val="right"/>
              <w:ind w:right="80"/>
              <w:spacing w:after="0"/>
              <w:rPr>
                <w:sz w:val="20"/>
                <w:szCs w:val="20"/>
                <w:color w:val="auto"/>
              </w:rPr>
            </w:pPr>
            <w:r>
              <w:rPr>
                <w:rFonts w:ascii="Arial" w:cs="Arial" w:eastAsia="Arial" w:hAnsi="Arial"/>
                <w:sz w:val="18"/>
                <w:szCs w:val="18"/>
                <w:color w:val="auto"/>
              </w:rPr>
              <w:t>55.4</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gridSpan w:val="2"/>
          </w:tcPr>
          <w:p>
            <w:pPr>
              <w:jc w:val="right"/>
              <w:ind w:right="300"/>
              <w:spacing w:after="0"/>
              <w:rPr>
                <w:sz w:val="20"/>
                <w:szCs w:val="20"/>
                <w:color w:val="auto"/>
              </w:rPr>
            </w:pPr>
            <w:r>
              <w:rPr>
                <w:rFonts w:ascii="Arial" w:cs="Arial" w:eastAsia="Arial" w:hAnsi="Arial"/>
                <w:sz w:val="18"/>
                <w:szCs w:val="18"/>
                <w:color w:val="auto"/>
              </w:rPr>
              <w:t>63.9</w:t>
            </w:r>
          </w:p>
        </w:tc>
        <w:tc>
          <w:tcPr>
            <w:tcW w:w="120" w:type="dxa"/>
            <w:vAlign w:val="bottom"/>
          </w:tcPr>
          <w:p>
            <w:pPr>
              <w:spacing w:after="0"/>
              <w:rPr>
                <w:sz w:val="18"/>
                <w:szCs w:val="18"/>
                <w:color w:val="auto"/>
              </w:rPr>
            </w:pPr>
          </w:p>
        </w:tc>
        <w:tc>
          <w:tcPr>
            <w:tcW w:w="680" w:type="dxa"/>
            <w:vAlign w:val="bottom"/>
            <w:gridSpan w:val="2"/>
          </w:tcPr>
          <w:p>
            <w:pPr>
              <w:jc w:val="right"/>
              <w:ind w:right="180"/>
              <w:spacing w:after="0"/>
              <w:rPr>
                <w:sz w:val="20"/>
                <w:szCs w:val="20"/>
                <w:color w:val="auto"/>
              </w:rPr>
            </w:pPr>
            <w:r>
              <w:rPr>
                <w:rFonts w:ascii="Arial" w:cs="Arial" w:eastAsia="Arial" w:hAnsi="Arial"/>
                <w:sz w:val="18"/>
                <w:szCs w:val="18"/>
                <w:color w:val="auto"/>
              </w:rPr>
              <w:t>67.2</w:t>
            </w:r>
          </w:p>
        </w:tc>
        <w:tc>
          <w:tcPr>
            <w:tcW w:w="820" w:type="dxa"/>
            <w:vAlign w:val="bottom"/>
            <w:gridSpan w:val="3"/>
          </w:tcPr>
          <w:p>
            <w:pPr>
              <w:jc w:val="right"/>
              <w:ind w:right="180"/>
              <w:spacing w:after="0"/>
              <w:rPr>
                <w:sz w:val="20"/>
                <w:szCs w:val="20"/>
                <w:color w:val="auto"/>
              </w:rPr>
            </w:pPr>
            <w:r>
              <w:rPr>
                <w:rFonts w:ascii="Arial" w:cs="Arial" w:eastAsia="Arial" w:hAnsi="Arial"/>
                <w:sz w:val="18"/>
                <w:szCs w:val="18"/>
                <w:color w:val="auto"/>
              </w:rPr>
              <w:t>69.2</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74.7</w:t>
            </w:r>
          </w:p>
        </w:tc>
      </w:tr>
      <w:tr>
        <w:trPr>
          <w:trHeight w:val="216"/>
        </w:trPr>
        <w:tc>
          <w:tcPr>
            <w:tcW w:w="44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General and administrative</w:t>
            </w:r>
          </w:p>
        </w:tc>
        <w:tc>
          <w:tcPr>
            <w:tcW w:w="14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25.3</w:t>
            </w:r>
          </w:p>
        </w:tc>
        <w:tc>
          <w:tcPr>
            <w:tcW w:w="80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18.4</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32.8</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30.9</w:t>
            </w:r>
          </w:p>
        </w:tc>
        <w:tc>
          <w:tcPr>
            <w:tcW w:w="1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31.3</w:t>
            </w:r>
          </w:p>
        </w:tc>
        <w:tc>
          <w:tcPr>
            <w:tcW w:w="82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42.2</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39.6</w:t>
            </w:r>
          </w:p>
        </w:tc>
      </w:tr>
      <w:tr>
        <w:trPr>
          <w:trHeight w:val="230"/>
        </w:trPr>
        <w:tc>
          <w:tcPr>
            <w:tcW w:w="4460" w:type="dxa"/>
            <w:vAlign w:val="bottom"/>
          </w:tcPr>
          <w:p>
            <w:pPr>
              <w:spacing w:after="0"/>
              <w:rPr>
                <w:sz w:val="20"/>
                <w:szCs w:val="20"/>
                <w:color w:val="auto"/>
              </w:rPr>
            </w:pPr>
            <w:r>
              <w:rPr>
                <w:rFonts w:ascii="Arial" w:cs="Arial" w:eastAsia="Arial" w:hAnsi="Arial"/>
                <w:sz w:val="18"/>
                <w:szCs w:val="18"/>
                <w:color w:val="auto"/>
              </w:rPr>
              <w:t>Total operating expenses</w:t>
            </w:r>
          </w:p>
        </w:tc>
        <w:tc>
          <w:tcPr>
            <w:tcW w:w="140" w:type="dxa"/>
            <w:vAlign w:val="bottom"/>
            <w:tcBorders>
              <w:top w:val="single" w:sz="8" w:color="auto"/>
              <w:bottom w:val="single" w:sz="8" w:color="auto"/>
            </w:tcBorders>
          </w:tcPr>
          <w:p>
            <w:pPr>
              <w:spacing w:after="0"/>
              <w:rPr>
                <w:sz w:val="20"/>
                <w:szCs w:val="20"/>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167.0</w:t>
            </w: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00" w:type="dxa"/>
            <w:vAlign w:val="bottom"/>
            <w:tcBorders>
              <w:top w:val="single" w:sz="8" w:color="auto"/>
              <w:bottom w:val="single" w:sz="8" w:color="auto"/>
            </w:tcBorders>
          </w:tcPr>
          <w:p>
            <w:pPr>
              <w:ind w:left="100"/>
              <w:spacing w:after="0"/>
              <w:rPr>
                <w:sz w:val="20"/>
                <w:szCs w:val="20"/>
                <w:color w:val="auto"/>
              </w:rPr>
            </w:pPr>
            <w:r>
              <w:rPr>
                <w:rFonts w:ascii="Arial" w:cs="Arial" w:eastAsia="Arial" w:hAnsi="Arial"/>
                <w:sz w:val="18"/>
                <w:szCs w:val="18"/>
                <w:color w:val="auto"/>
                <w:w w:val="84"/>
              </w:rPr>
              <w:t>148.5</w:t>
            </w: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Borders>
              <w:top w:val="single" w:sz="8" w:color="auto"/>
              <w:bottom w:val="single" w:sz="8" w:color="auto"/>
            </w:tcBorders>
          </w:tcPr>
          <w:p>
            <w:pPr>
              <w:spacing w:after="0"/>
              <w:rPr>
                <w:sz w:val="20"/>
                <w:szCs w:val="20"/>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163.3</w:t>
            </w: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0" w:type="dxa"/>
            <w:vAlign w:val="bottom"/>
            <w:tcBorders>
              <w:top w:val="single" w:sz="8" w:color="auto"/>
              <w:bottom w:val="single" w:sz="8" w:color="auto"/>
            </w:tcBorders>
          </w:tcPr>
          <w:p>
            <w:pPr>
              <w:spacing w:after="0"/>
              <w:rPr>
                <w:sz w:val="20"/>
                <w:szCs w:val="20"/>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168.9</w:t>
            </w:r>
          </w:p>
        </w:tc>
        <w:tc>
          <w:tcPr>
            <w:tcW w:w="300" w:type="dxa"/>
            <w:vAlign w:val="bottom"/>
          </w:tcPr>
          <w:p>
            <w:pPr>
              <w:spacing w:after="0"/>
              <w:rPr>
                <w:sz w:val="20"/>
                <w:szCs w:val="20"/>
                <w:color w:val="auto"/>
              </w:rPr>
            </w:pPr>
          </w:p>
        </w:tc>
        <w:tc>
          <w:tcPr>
            <w:tcW w:w="120" w:type="dxa"/>
            <w:vAlign w:val="bottom"/>
            <w:tcBorders>
              <w:top w:val="single" w:sz="8" w:color="auto"/>
              <w:bottom w:val="single" w:sz="8" w:color="auto"/>
            </w:tcBorders>
          </w:tcPr>
          <w:p>
            <w:pPr>
              <w:spacing w:after="0"/>
              <w:rPr>
                <w:sz w:val="20"/>
                <w:szCs w:val="20"/>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187.8</w:t>
            </w: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201.2</w:t>
            </w: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Borders>
              <w:top w:val="single" w:sz="8" w:color="auto"/>
              <w:bottom w:val="single" w:sz="8" w:color="auto"/>
            </w:tcBorders>
          </w:tcPr>
          <w:p>
            <w:pPr>
              <w:spacing w:after="0"/>
              <w:rPr>
                <w:sz w:val="20"/>
                <w:szCs w:val="20"/>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211.5</w:t>
            </w:r>
          </w:p>
        </w:tc>
        <w:tc>
          <w:tcPr>
            <w:tcW w:w="100" w:type="dxa"/>
            <w:vAlign w:val="bottom"/>
          </w:tcPr>
          <w:p>
            <w:pPr>
              <w:spacing w:after="0"/>
              <w:rPr>
                <w:sz w:val="20"/>
                <w:szCs w:val="20"/>
                <w:color w:val="auto"/>
              </w:rPr>
            </w:pPr>
          </w:p>
        </w:tc>
      </w:tr>
      <w:tr>
        <w:trPr>
          <w:trHeight w:val="216"/>
        </w:trPr>
        <w:tc>
          <w:tcPr>
            <w:tcW w:w="4460" w:type="dxa"/>
            <w:vAlign w:val="bottom"/>
            <w:shd w:val="clear" w:color="auto" w:fill="CCEEFF"/>
          </w:tcPr>
          <w:p>
            <w:pPr>
              <w:spacing w:after="0"/>
              <w:rPr>
                <w:sz w:val="20"/>
                <w:szCs w:val="20"/>
                <w:color w:val="auto"/>
              </w:rPr>
            </w:pPr>
            <w:r>
              <w:rPr>
                <w:rFonts w:ascii="Arial" w:cs="Arial" w:eastAsia="Arial" w:hAnsi="Arial"/>
                <w:sz w:val="18"/>
                <w:szCs w:val="18"/>
                <w:color w:val="auto"/>
              </w:rPr>
              <w:t>Loss from operations</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(81.8)</w:t>
            </w:r>
          </w:p>
        </w:tc>
        <w:tc>
          <w:tcPr>
            <w:tcW w:w="80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 (50.4)</w:t>
            </w:r>
          </w:p>
        </w:tc>
        <w:tc>
          <w:tcPr>
            <w:tcW w:w="32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(41.1)</w:t>
            </w:r>
          </w:p>
        </w:tc>
        <w:tc>
          <w:tcPr>
            <w:tcW w:w="400" w:type="dxa"/>
            <w:vAlign w:val="bottom"/>
            <w:gridSpan w:val="2"/>
            <w:shd w:val="clear" w:color="auto" w:fill="CCEEFF"/>
          </w:tcPr>
          <w:p>
            <w:pPr>
              <w:jc w:val="right"/>
              <w:ind w:right="31"/>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(20.2)</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6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(33.4)</w:t>
            </w:r>
          </w:p>
        </w:tc>
        <w:tc>
          <w:tcPr>
            <w:tcW w:w="82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 (26.7)</w:t>
            </w:r>
          </w:p>
        </w:tc>
        <w:tc>
          <w:tcPr>
            <w:tcW w:w="30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(16.3)</w:t>
            </w:r>
          </w:p>
        </w:tc>
      </w:tr>
      <w:tr>
        <w:trPr>
          <w:trHeight w:val="20"/>
        </w:trPr>
        <w:tc>
          <w:tcPr>
            <w:tcW w:w="44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38" w:lineRule="exact"/>
        <w:rPr>
          <w:sz w:val="20"/>
          <w:szCs w:val="20"/>
          <w:color w:val="auto"/>
        </w:rPr>
      </w:pPr>
    </w:p>
    <w:p>
      <w:pPr>
        <w:ind w:left="340" w:hanging="332"/>
        <w:spacing w:after="0"/>
        <w:tabs>
          <w:tab w:leader="none" w:pos="340" w:val="left"/>
        </w:tabs>
        <w:numPr>
          <w:ilvl w:val="0"/>
          <w:numId w:val="44"/>
        </w:numPr>
        <w:rPr>
          <w:rFonts w:ascii="Arial" w:cs="Arial" w:eastAsia="Arial" w:hAnsi="Arial"/>
          <w:sz w:val="12"/>
          <w:szCs w:val="12"/>
          <w:color w:val="auto"/>
        </w:rPr>
      </w:pPr>
      <w:r>
        <w:rPr>
          <w:rFonts w:ascii="Arial" w:cs="Arial" w:eastAsia="Arial" w:hAnsi="Arial"/>
          <w:sz w:val="14"/>
          <w:szCs w:val="14"/>
          <w:color w:val="auto"/>
        </w:rPr>
        <w:t>Includes stock-based compensation expense as follows:</w:t>
      </w: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31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1480" w:type="dxa"/>
            <w:vAlign w:val="bottom"/>
            <w:tcBorders>
              <w:bottom w:val="single" w:sz="8" w:color="auto"/>
            </w:tcBorders>
            <w:gridSpan w:val="4"/>
          </w:tcPr>
          <w:p>
            <w:pPr>
              <w:jc w:val="center"/>
              <w:ind w:left="24"/>
              <w:spacing w:after="0"/>
              <w:rPr>
                <w:sz w:val="20"/>
                <w:szCs w:val="20"/>
                <w:color w:val="auto"/>
              </w:rPr>
            </w:pPr>
            <w:r>
              <w:rPr>
                <w:rFonts w:ascii="Arial" w:cs="Arial" w:eastAsia="Arial" w:hAnsi="Arial"/>
                <w:sz w:val="14"/>
                <w:szCs w:val="14"/>
                <w:b w:val="1"/>
                <w:bCs w:val="1"/>
                <w:color w:val="auto"/>
                <w:w w:val="91"/>
              </w:rPr>
              <w:t>Three months ended</w:t>
            </w:r>
          </w:p>
        </w:tc>
        <w:tc>
          <w:tcPr>
            <w:tcW w:w="8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40" w:type="dxa"/>
            <w:vAlign w:val="bottom"/>
          </w:tcPr>
          <w:p>
            <w:pPr>
              <w:spacing w:after="0"/>
              <w:rPr>
                <w:sz w:val="14"/>
                <w:szCs w:val="14"/>
                <w:color w:val="auto"/>
              </w:rPr>
            </w:pPr>
          </w:p>
        </w:tc>
      </w:tr>
      <w:tr>
        <w:trPr>
          <w:trHeight w:val="119"/>
        </w:trPr>
        <w:tc>
          <w:tcPr>
            <w:tcW w:w="310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820" w:type="dxa"/>
            <w:vAlign w:val="bottom"/>
            <w:gridSpan w:val="3"/>
          </w:tcPr>
          <w:p>
            <w:pPr>
              <w:spacing w:after="0" w:line="119" w:lineRule="exact"/>
              <w:rPr>
                <w:sz w:val="20"/>
                <w:szCs w:val="20"/>
                <w:color w:val="auto"/>
              </w:rPr>
            </w:pPr>
            <w:r>
              <w:rPr>
                <w:rFonts w:ascii="Arial" w:cs="Arial" w:eastAsia="Arial" w:hAnsi="Arial"/>
                <w:sz w:val="13"/>
                <w:szCs w:val="13"/>
                <w:b w:val="1"/>
                <w:bCs w:val="1"/>
                <w:color w:val="auto"/>
              </w:rPr>
              <w:t>March 31,</w:t>
            </w:r>
          </w:p>
        </w:tc>
        <w:tc>
          <w:tcPr>
            <w:tcW w:w="180" w:type="dxa"/>
            <w:vAlign w:val="bottom"/>
          </w:tcPr>
          <w:p>
            <w:pPr>
              <w:spacing w:after="0"/>
              <w:rPr>
                <w:sz w:val="10"/>
                <w:szCs w:val="10"/>
                <w:color w:val="auto"/>
              </w:rPr>
            </w:pPr>
          </w:p>
        </w:tc>
        <w:tc>
          <w:tcPr>
            <w:tcW w:w="520" w:type="dxa"/>
            <w:vAlign w:val="bottom"/>
            <w:gridSpan w:val="2"/>
          </w:tcPr>
          <w:p>
            <w:pPr>
              <w:spacing w:after="0" w:line="119" w:lineRule="exact"/>
              <w:rPr>
                <w:sz w:val="20"/>
                <w:szCs w:val="20"/>
                <w:color w:val="auto"/>
              </w:rPr>
            </w:pPr>
            <w:r>
              <w:rPr>
                <w:rFonts w:ascii="Arial" w:cs="Arial" w:eastAsia="Arial" w:hAnsi="Arial"/>
                <w:sz w:val="13"/>
                <w:szCs w:val="13"/>
                <w:b w:val="1"/>
                <w:bCs w:val="1"/>
                <w:color w:val="auto"/>
                <w:w w:val="96"/>
              </w:rPr>
              <w:t>June 30,</w:t>
            </w:r>
          </w:p>
        </w:tc>
        <w:tc>
          <w:tcPr>
            <w:tcW w:w="360" w:type="dxa"/>
            <w:vAlign w:val="bottom"/>
          </w:tcPr>
          <w:p>
            <w:pPr>
              <w:spacing w:after="0"/>
              <w:rPr>
                <w:sz w:val="10"/>
                <w:szCs w:val="10"/>
                <w:color w:val="auto"/>
              </w:rPr>
            </w:pPr>
          </w:p>
        </w:tc>
        <w:tc>
          <w:tcPr>
            <w:tcW w:w="880" w:type="dxa"/>
            <w:vAlign w:val="bottom"/>
            <w:gridSpan w:val="2"/>
          </w:tcPr>
          <w:p>
            <w:pPr>
              <w:spacing w:after="0" w:line="119" w:lineRule="exact"/>
              <w:rPr>
                <w:sz w:val="20"/>
                <w:szCs w:val="20"/>
                <w:color w:val="auto"/>
              </w:rPr>
            </w:pPr>
            <w:r>
              <w:rPr>
                <w:rFonts w:ascii="Arial" w:cs="Arial" w:eastAsia="Arial" w:hAnsi="Arial"/>
                <w:sz w:val="13"/>
                <w:szCs w:val="13"/>
                <w:b w:val="1"/>
                <w:bCs w:val="1"/>
                <w:color w:val="auto"/>
                <w:w w:val="96"/>
              </w:rPr>
              <w:t>September 30,</w:t>
            </w:r>
          </w:p>
        </w:tc>
        <w:tc>
          <w:tcPr>
            <w:tcW w:w="360" w:type="dxa"/>
            <w:vAlign w:val="bottom"/>
          </w:tcPr>
          <w:p>
            <w:pPr>
              <w:spacing w:after="0"/>
              <w:rPr>
                <w:sz w:val="10"/>
                <w:szCs w:val="10"/>
                <w:color w:val="auto"/>
              </w:rPr>
            </w:pPr>
          </w:p>
        </w:tc>
        <w:tc>
          <w:tcPr>
            <w:tcW w:w="1120" w:type="dxa"/>
            <w:vAlign w:val="bottom"/>
            <w:gridSpan w:val="3"/>
          </w:tcPr>
          <w:p>
            <w:pPr>
              <w:jc w:val="center"/>
              <w:ind w:right="280"/>
              <w:spacing w:after="0" w:line="119" w:lineRule="exact"/>
              <w:rPr>
                <w:sz w:val="20"/>
                <w:szCs w:val="20"/>
                <w:color w:val="auto"/>
              </w:rPr>
            </w:pPr>
            <w:r>
              <w:rPr>
                <w:rFonts w:ascii="Arial" w:cs="Arial" w:eastAsia="Arial" w:hAnsi="Arial"/>
                <w:sz w:val="13"/>
                <w:szCs w:val="13"/>
                <w:b w:val="1"/>
                <w:bCs w:val="1"/>
                <w:color w:val="auto"/>
                <w:w w:val="99"/>
              </w:rPr>
              <w:t>December 31,</w:t>
            </w:r>
          </w:p>
        </w:tc>
        <w:tc>
          <w:tcPr>
            <w:tcW w:w="80" w:type="dxa"/>
            <w:vAlign w:val="bottom"/>
          </w:tcPr>
          <w:p>
            <w:pPr>
              <w:spacing w:after="0"/>
              <w:rPr>
                <w:sz w:val="10"/>
                <w:szCs w:val="10"/>
                <w:color w:val="auto"/>
              </w:rPr>
            </w:pPr>
          </w:p>
        </w:tc>
        <w:tc>
          <w:tcPr>
            <w:tcW w:w="820" w:type="dxa"/>
            <w:vAlign w:val="bottom"/>
            <w:gridSpan w:val="3"/>
          </w:tcPr>
          <w:p>
            <w:pPr>
              <w:spacing w:after="0" w:line="119" w:lineRule="exact"/>
              <w:rPr>
                <w:sz w:val="20"/>
                <w:szCs w:val="20"/>
                <w:color w:val="auto"/>
              </w:rPr>
            </w:pPr>
            <w:r>
              <w:rPr>
                <w:rFonts w:ascii="Arial" w:cs="Arial" w:eastAsia="Arial" w:hAnsi="Arial"/>
                <w:sz w:val="13"/>
                <w:szCs w:val="13"/>
                <w:b w:val="1"/>
                <w:bCs w:val="1"/>
                <w:color w:val="auto"/>
              </w:rPr>
              <w:t>March 31,</w:t>
            </w:r>
          </w:p>
        </w:tc>
        <w:tc>
          <w:tcPr>
            <w:tcW w:w="180" w:type="dxa"/>
            <w:vAlign w:val="bottom"/>
          </w:tcPr>
          <w:p>
            <w:pPr>
              <w:spacing w:after="0"/>
              <w:rPr>
                <w:sz w:val="10"/>
                <w:szCs w:val="10"/>
                <w:color w:val="auto"/>
              </w:rPr>
            </w:pPr>
          </w:p>
        </w:tc>
        <w:tc>
          <w:tcPr>
            <w:tcW w:w="520" w:type="dxa"/>
            <w:vAlign w:val="bottom"/>
            <w:gridSpan w:val="2"/>
          </w:tcPr>
          <w:p>
            <w:pPr>
              <w:spacing w:after="0" w:line="119" w:lineRule="exact"/>
              <w:rPr>
                <w:sz w:val="20"/>
                <w:szCs w:val="20"/>
                <w:color w:val="auto"/>
              </w:rPr>
            </w:pPr>
            <w:r>
              <w:rPr>
                <w:rFonts w:ascii="Arial" w:cs="Arial" w:eastAsia="Arial" w:hAnsi="Arial"/>
                <w:sz w:val="13"/>
                <w:szCs w:val="13"/>
                <w:b w:val="1"/>
                <w:bCs w:val="1"/>
                <w:color w:val="auto"/>
                <w:w w:val="96"/>
              </w:rPr>
              <w:t>June 30,</w:t>
            </w:r>
          </w:p>
        </w:tc>
        <w:tc>
          <w:tcPr>
            <w:tcW w:w="360" w:type="dxa"/>
            <w:vAlign w:val="bottom"/>
          </w:tcPr>
          <w:p>
            <w:pPr>
              <w:spacing w:after="0"/>
              <w:rPr>
                <w:sz w:val="10"/>
                <w:szCs w:val="10"/>
                <w:color w:val="auto"/>
              </w:rPr>
            </w:pPr>
          </w:p>
        </w:tc>
        <w:tc>
          <w:tcPr>
            <w:tcW w:w="880" w:type="dxa"/>
            <w:vAlign w:val="bottom"/>
            <w:gridSpan w:val="2"/>
          </w:tcPr>
          <w:p>
            <w:pPr>
              <w:spacing w:after="0" w:line="119" w:lineRule="exact"/>
              <w:rPr>
                <w:sz w:val="20"/>
                <w:szCs w:val="20"/>
                <w:color w:val="auto"/>
              </w:rPr>
            </w:pPr>
            <w:r>
              <w:rPr>
                <w:rFonts w:ascii="Arial" w:cs="Arial" w:eastAsia="Arial" w:hAnsi="Arial"/>
                <w:sz w:val="13"/>
                <w:szCs w:val="13"/>
                <w:b w:val="1"/>
                <w:bCs w:val="1"/>
                <w:color w:val="auto"/>
                <w:w w:val="96"/>
              </w:rPr>
              <w:t>September 30,</w:t>
            </w:r>
          </w:p>
        </w:tc>
        <w:tc>
          <w:tcPr>
            <w:tcW w:w="40" w:type="dxa"/>
            <w:vAlign w:val="bottom"/>
          </w:tcPr>
          <w:p>
            <w:pPr>
              <w:spacing w:after="0"/>
              <w:rPr>
                <w:sz w:val="10"/>
                <w:szCs w:val="10"/>
                <w:color w:val="auto"/>
              </w:rPr>
            </w:pPr>
          </w:p>
        </w:tc>
      </w:tr>
      <w:tr>
        <w:trPr>
          <w:trHeight w:val="171"/>
        </w:trPr>
        <w:tc>
          <w:tcPr>
            <w:tcW w:w="31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jc w:val="right"/>
              <w:ind w:right="101"/>
              <w:spacing w:after="0"/>
              <w:rPr>
                <w:sz w:val="20"/>
                <w:szCs w:val="20"/>
                <w:color w:val="auto"/>
              </w:rPr>
            </w:pPr>
            <w:r>
              <w:rPr>
                <w:rFonts w:ascii="Arial" w:cs="Arial" w:eastAsia="Arial" w:hAnsi="Arial"/>
                <w:sz w:val="14"/>
                <w:szCs w:val="14"/>
                <w:b w:val="1"/>
                <w:bCs w:val="1"/>
                <w:color w:val="auto"/>
                <w:w w:val="96"/>
              </w:rPr>
              <w:t>2016</w:t>
            </w:r>
          </w:p>
        </w:tc>
        <w:tc>
          <w:tcPr>
            <w:tcW w:w="18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jc w:val="right"/>
              <w:ind w:right="41"/>
              <w:spacing w:after="0"/>
              <w:rPr>
                <w:sz w:val="20"/>
                <w:szCs w:val="20"/>
                <w:color w:val="auto"/>
              </w:rPr>
            </w:pPr>
            <w:r>
              <w:rPr>
                <w:rFonts w:ascii="Arial" w:cs="Arial" w:eastAsia="Arial" w:hAnsi="Arial"/>
                <w:sz w:val="14"/>
                <w:szCs w:val="14"/>
                <w:b w:val="1"/>
                <w:bCs w:val="1"/>
                <w:color w:val="auto"/>
                <w:w w:val="89"/>
              </w:rPr>
              <w:t>2016</w:t>
            </w:r>
          </w:p>
        </w:tc>
        <w:tc>
          <w:tcPr>
            <w:tcW w:w="36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ind w:right="221"/>
              <w:spacing w:after="0"/>
              <w:rPr>
                <w:sz w:val="20"/>
                <w:szCs w:val="20"/>
                <w:color w:val="auto"/>
              </w:rPr>
            </w:pPr>
            <w:r>
              <w:rPr>
                <w:rFonts w:ascii="Arial" w:cs="Arial" w:eastAsia="Arial" w:hAnsi="Arial"/>
                <w:sz w:val="14"/>
                <w:szCs w:val="14"/>
                <w:b w:val="1"/>
                <w:bCs w:val="1"/>
                <w:color w:val="auto"/>
              </w:rPr>
              <w:t>2016</w:t>
            </w:r>
          </w:p>
        </w:tc>
        <w:tc>
          <w:tcPr>
            <w:tcW w:w="36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center"/>
              <w:ind w:right="101"/>
              <w:spacing w:after="0"/>
              <w:rPr>
                <w:sz w:val="20"/>
                <w:szCs w:val="20"/>
                <w:color w:val="auto"/>
              </w:rPr>
            </w:pPr>
            <w:r>
              <w:rPr>
                <w:rFonts w:ascii="Arial" w:cs="Arial" w:eastAsia="Arial" w:hAnsi="Arial"/>
                <w:sz w:val="14"/>
                <w:szCs w:val="14"/>
                <w:b w:val="1"/>
                <w:bCs w:val="1"/>
                <w:color w:val="auto"/>
                <w:w w:val="89"/>
              </w:rPr>
              <w:t>2016</w:t>
            </w:r>
          </w:p>
        </w:tc>
        <w:tc>
          <w:tcPr>
            <w:tcW w:w="28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jc w:val="right"/>
              <w:ind w:right="101"/>
              <w:spacing w:after="0"/>
              <w:rPr>
                <w:sz w:val="20"/>
                <w:szCs w:val="20"/>
                <w:color w:val="auto"/>
              </w:rPr>
            </w:pPr>
            <w:r>
              <w:rPr>
                <w:rFonts w:ascii="Arial" w:cs="Arial" w:eastAsia="Arial" w:hAnsi="Arial"/>
                <w:sz w:val="14"/>
                <w:szCs w:val="14"/>
                <w:b w:val="1"/>
                <w:bCs w:val="1"/>
                <w:color w:val="auto"/>
                <w:w w:val="96"/>
              </w:rPr>
              <w:t>2017</w:t>
            </w:r>
          </w:p>
        </w:tc>
        <w:tc>
          <w:tcPr>
            <w:tcW w:w="18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jc w:val="right"/>
              <w:ind w:right="41"/>
              <w:spacing w:after="0"/>
              <w:rPr>
                <w:sz w:val="20"/>
                <w:szCs w:val="20"/>
                <w:color w:val="auto"/>
              </w:rPr>
            </w:pPr>
            <w:r>
              <w:rPr>
                <w:rFonts w:ascii="Arial" w:cs="Arial" w:eastAsia="Arial" w:hAnsi="Arial"/>
                <w:sz w:val="14"/>
                <w:szCs w:val="14"/>
                <w:b w:val="1"/>
                <w:bCs w:val="1"/>
                <w:color w:val="auto"/>
                <w:w w:val="89"/>
              </w:rPr>
              <w:t>2017</w:t>
            </w:r>
          </w:p>
        </w:tc>
        <w:tc>
          <w:tcPr>
            <w:tcW w:w="36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ind w:right="221"/>
              <w:spacing w:after="0"/>
              <w:rPr>
                <w:sz w:val="20"/>
                <w:szCs w:val="20"/>
                <w:color w:val="auto"/>
              </w:rPr>
            </w:pPr>
            <w:r>
              <w:rPr>
                <w:rFonts w:ascii="Arial" w:cs="Arial" w:eastAsia="Arial" w:hAnsi="Arial"/>
                <w:sz w:val="14"/>
                <w:szCs w:val="14"/>
                <w:b w:val="1"/>
                <w:bCs w:val="1"/>
                <w:color w:val="auto"/>
              </w:rPr>
              <w:t>2017</w:t>
            </w:r>
          </w:p>
        </w:tc>
        <w:tc>
          <w:tcPr>
            <w:tcW w:w="40" w:type="dxa"/>
            <w:vAlign w:val="bottom"/>
          </w:tcPr>
          <w:p>
            <w:pPr>
              <w:spacing w:after="0"/>
              <w:rPr>
                <w:sz w:val="14"/>
                <w:szCs w:val="14"/>
                <w:color w:val="auto"/>
              </w:rPr>
            </w:pPr>
          </w:p>
        </w:tc>
      </w:tr>
      <w:tr>
        <w:trPr>
          <w:trHeight w:val="142"/>
        </w:trPr>
        <w:tc>
          <w:tcPr>
            <w:tcW w:w="310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120" w:type="dxa"/>
            <w:vAlign w:val="bottom"/>
            <w:gridSpan w:val="3"/>
          </w:tcPr>
          <w:p>
            <w:pPr>
              <w:jc w:val="center"/>
              <w:ind w:right="280"/>
              <w:spacing w:after="0" w:line="142" w:lineRule="exact"/>
              <w:rPr>
                <w:sz w:val="20"/>
                <w:szCs w:val="20"/>
                <w:color w:val="auto"/>
              </w:rPr>
            </w:pPr>
            <w:r>
              <w:rPr>
                <w:rFonts w:ascii="Arial" w:cs="Arial" w:eastAsia="Arial" w:hAnsi="Arial"/>
                <w:sz w:val="14"/>
                <w:szCs w:val="14"/>
                <w:i w:val="1"/>
                <w:iCs w:val="1"/>
                <w:color w:val="auto"/>
              </w:rPr>
              <w:t>(In millions)</w:t>
            </w: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40" w:type="dxa"/>
            <w:vAlign w:val="bottom"/>
          </w:tcPr>
          <w:p>
            <w:pPr>
              <w:spacing w:after="0"/>
              <w:rPr>
                <w:sz w:val="12"/>
                <w:szCs w:val="12"/>
                <w:color w:val="auto"/>
              </w:rPr>
            </w:pPr>
          </w:p>
        </w:tc>
      </w:tr>
      <w:tr>
        <w:trPr>
          <w:trHeight w:val="203"/>
        </w:trPr>
        <w:tc>
          <w:tcPr>
            <w:tcW w:w="3100" w:type="dxa"/>
            <w:vAlign w:val="bottom"/>
            <w:shd w:val="clear" w:color="auto" w:fill="CCEEFF"/>
          </w:tcPr>
          <w:p>
            <w:pPr>
              <w:ind w:left="340"/>
              <w:spacing w:after="0"/>
              <w:rPr>
                <w:sz w:val="20"/>
                <w:szCs w:val="20"/>
                <w:color w:val="auto"/>
              </w:rPr>
            </w:pPr>
            <w:r>
              <w:rPr>
                <w:rFonts w:ascii="Arial" w:cs="Arial" w:eastAsia="Arial" w:hAnsi="Arial"/>
                <w:sz w:val="16"/>
                <w:szCs w:val="16"/>
                <w:color w:val="auto"/>
              </w:rPr>
              <w:t>Cost of revenue</w:t>
            </w:r>
          </w:p>
        </w:tc>
        <w:tc>
          <w:tcPr>
            <w:tcW w:w="1160" w:type="dxa"/>
            <w:vAlign w:val="bottom"/>
            <w:gridSpan w:val="2"/>
            <w:shd w:val="clear" w:color="auto" w:fill="CCEEFF"/>
          </w:tcPr>
          <w:p>
            <w:pPr>
              <w:ind w:left="1020"/>
              <w:spacing w:after="0"/>
              <w:rPr>
                <w:sz w:val="20"/>
                <w:szCs w:val="20"/>
                <w:color w:val="auto"/>
              </w:rPr>
            </w:pPr>
            <w:r>
              <w:rPr>
                <w:rFonts w:ascii="Arial" w:cs="Arial" w:eastAsia="Arial" w:hAnsi="Arial"/>
                <w:sz w:val="16"/>
                <w:szCs w:val="16"/>
                <w:color w:val="auto"/>
              </w:rPr>
              <w:t>$</w:t>
            </w:r>
          </w:p>
        </w:tc>
        <w:tc>
          <w:tcPr>
            <w:tcW w:w="68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1.5</w:t>
            </w:r>
          </w:p>
        </w:tc>
        <w:tc>
          <w:tcPr>
            <w:tcW w:w="280" w:type="dxa"/>
            <w:vAlign w:val="bottom"/>
            <w:gridSpan w:val="2"/>
            <w:shd w:val="clear" w:color="auto" w:fill="CCEEFF"/>
          </w:tcPr>
          <w:p>
            <w:pPr>
              <w:ind w:left="180"/>
              <w:spacing w:after="0"/>
              <w:rPr>
                <w:sz w:val="20"/>
                <w:szCs w:val="20"/>
                <w:color w:val="auto"/>
              </w:rPr>
            </w:pPr>
            <w:r>
              <w:rPr>
                <w:rFonts w:ascii="Arial" w:cs="Arial" w:eastAsia="Arial" w:hAnsi="Arial"/>
                <w:sz w:val="16"/>
                <w:szCs w:val="16"/>
                <w:color w:val="auto"/>
                <w:w w:val="89"/>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w:t>
            </w:r>
          </w:p>
        </w:tc>
        <w:tc>
          <w:tcPr>
            <w:tcW w:w="540" w:type="dxa"/>
            <w:vAlign w:val="bottom"/>
            <w:gridSpan w:val="2"/>
            <w:shd w:val="clear" w:color="auto" w:fill="CCEEFF"/>
          </w:tcPr>
          <w:p>
            <w:pPr>
              <w:ind w:left="360"/>
              <w:spacing w:after="0"/>
              <w:rPr>
                <w:sz w:val="20"/>
                <w:szCs w:val="20"/>
                <w:color w:val="auto"/>
              </w:rPr>
            </w:pPr>
            <w:r>
              <w:rPr>
                <w:rFonts w:ascii="Arial" w:cs="Arial" w:eastAsia="Arial" w:hAnsi="Arial"/>
                <w:sz w:val="16"/>
                <w:szCs w:val="16"/>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w:t>
            </w:r>
          </w:p>
        </w:tc>
        <w:tc>
          <w:tcPr>
            <w:tcW w:w="540" w:type="dxa"/>
            <w:vAlign w:val="bottom"/>
            <w:gridSpan w:val="2"/>
            <w:shd w:val="clear" w:color="auto" w:fill="CCEEFF"/>
          </w:tcPr>
          <w:p>
            <w:pPr>
              <w:jc w:val="right"/>
              <w:ind w:right="28"/>
              <w:spacing w:after="0"/>
              <w:rPr>
                <w:sz w:val="20"/>
                <w:szCs w:val="20"/>
                <w:color w:val="auto"/>
              </w:rPr>
            </w:pPr>
            <w:r>
              <w:rPr>
                <w:rFonts w:ascii="Arial" w:cs="Arial" w:eastAsia="Arial" w:hAnsi="Arial"/>
                <w:sz w:val="16"/>
                <w:szCs w:val="16"/>
                <w:color w:val="auto"/>
              </w:rPr>
              <w:t>$</w:t>
            </w:r>
          </w:p>
        </w:tc>
        <w:tc>
          <w:tcPr>
            <w:tcW w:w="940" w:type="dxa"/>
            <w:vAlign w:val="bottom"/>
            <w:gridSpan w:val="2"/>
            <w:shd w:val="clear" w:color="auto" w:fill="CCEEFF"/>
          </w:tcPr>
          <w:p>
            <w:pPr>
              <w:jc w:val="right"/>
              <w:ind w:right="280"/>
              <w:spacing w:after="0"/>
              <w:rPr>
                <w:sz w:val="20"/>
                <w:szCs w:val="20"/>
                <w:color w:val="auto"/>
              </w:rPr>
            </w:pPr>
            <w:r>
              <w:rPr>
                <w:rFonts w:ascii="Arial" w:cs="Arial" w:eastAsia="Arial" w:hAnsi="Arial"/>
                <w:sz w:val="16"/>
                <w:szCs w:val="16"/>
                <w:color w:val="auto"/>
              </w:rPr>
              <w:t>2.3</w:t>
            </w:r>
          </w:p>
        </w:tc>
        <w:tc>
          <w:tcPr>
            <w:tcW w:w="220" w:type="dxa"/>
            <w:vAlign w:val="bottom"/>
            <w:gridSpan w:val="2"/>
            <w:shd w:val="clear" w:color="auto" w:fill="CCEEFF"/>
          </w:tcPr>
          <w:p>
            <w:pPr>
              <w:ind w:left="80"/>
              <w:spacing w:after="0"/>
              <w:rPr>
                <w:sz w:val="20"/>
                <w:szCs w:val="20"/>
                <w:color w:val="auto"/>
              </w:rPr>
            </w:pPr>
            <w:r>
              <w:rPr>
                <w:rFonts w:ascii="Arial" w:cs="Arial" w:eastAsia="Arial" w:hAnsi="Arial"/>
                <w:sz w:val="16"/>
                <w:szCs w:val="16"/>
                <w:color w:val="auto"/>
              </w:rPr>
              <w:t>$</w:t>
            </w:r>
          </w:p>
        </w:tc>
        <w:tc>
          <w:tcPr>
            <w:tcW w:w="68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3.1</w:t>
            </w:r>
          </w:p>
        </w:tc>
        <w:tc>
          <w:tcPr>
            <w:tcW w:w="280" w:type="dxa"/>
            <w:vAlign w:val="bottom"/>
            <w:gridSpan w:val="2"/>
            <w:shd w:val="clear" w:color="auto" w:fill="CCEEFF"/>
          </w:tcPr>
          <w:p>
            <w:pPr>
              <w:ind w:left="180"/>
              <w:spacing w:after="0"/>
              <w:rPr>
                <w:sz w:val="20"/>
                <w:szCs w:val="20"/>
                <w:color w:val="auto"/>
              </w:rPr>
            </w:pPr>
            <w:r>
              <w:rPr>
                <w:rFonts w:ascii="Arial" w:cs="Arial" w:eastAsia="Arial" w:hAnsi="Arial"/>
                <w:sz w:val="16"/>
                <w:szCs w:val="16"/>
                <w:color w:val="auto"/>
                <w:w w:val="89"/>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3.3</w:t>
            </w:r>
          </w:p>
        </w:tc>
        <w:tc>
          <w:tcPr>
            <w:tcW w:w="540" w:type="dxa"/>
            <w:vAlign w:val="bottom"/>
            <w:gridSpan w:val="2"/>
            <w:shd w:val="clear" w:color="auto" w:fill="CCEEFF"/>
          </w:tcPr>
          <w:p>
            <w:pPr>
              <w:ind w:left="360"/>
              <w:spacing w:after="0"/>
              <w:rPr>
                <w:sz w:val="20"/>
                <w:szCs w:val="20"/>
                <w:color w:val="auto"/>
              </w:rPr>
            </w:pPr>
            <w:r>
              <w:rPr>
                <w:rFonts w:ascii="Arial" w:cs="Arial" w:eastAsia="Arial" w:hAnsi="Arial"/>
                <w:sz w:val="16"/>
                <w:szCs w:val="16"/>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w:t>
            </w:r>
          </w:p>
        </w:tc>
        <w:tc>
          <w:tcPr>
            <w:tcW w:w="40" w:type="dxa"/>
            <w:vAlign w:val="bottom"/>
            <w:shd w:val="clear" w:color="auto" w:fill="CCEEFF"/>
          </w:tcPr>
          <w:p>
            <w:pPr>
              <w:spacing w:after="0"/>
              <w:rPr>
                <w:sz w:val="17"/>
                <w:szCs w:val="17"/>
                <w:color w:val="auto"/>
              </w:rPr>
            </w:pPr>
          </w:p>
        </w:tc>
      </w:tr>
      <w:tr>
        <w:trPr>
          <w:trHeight w:val="203"/>
        </w:trPr>
        <w:tc>
          <w:tcPr>
            <w:tcW w:w="3100" w:type="dxa"/>
            <w:vAlign w:val="bottom"/>
          </w:tcPr>
          <w:p>
            <w:pPr>
              <w:ind w:left="340"/>
              <w:spacing w:after="0"/>
              <w:rPr>
                <w:sz w:val="20"/>
                <w:szCs w:val="20"/>
                <w:color w:val="auto"/>
              </w:rPr>
            </w:pPr>
            <w:r>
              <w:rPr>
                <w:rFonts w:ascii="Arial" w:cs="Arial" w:eastAsia="Arial" w:hAnsi="Arial"/>
                <w:sz w:val="16"/>
                <w:szCs w:val="16"/>
                <w:color w:val="auto"/>
              </w:rPr>
              <w:t>Research and development</w:t>
            </w:r>
          </w:p>
        </w:tc>
        <w:tc>
          <w:tcPr>
            <w:tcW w:w="10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80" w:type="dxa"/>
            <w:vAlign w:val="bottom"/>
            <w:gridSpan w:val="2"/>
          </w:tcPr>
          <w:p>
            <w:pPr>
              <w:jc w:val="right"/>
              <w:ind w:right="180"/>
              <w:spacing w:after="0"/>
              <w:rPr>
                <w:sz w:val="20"/>
                <w:szCs w:val="20"/>
                <w:color w:val="auto"/>
              </w:rPr>
            </w:pPr>
            <w:r>
              <w:rPr>
                <w:rFonts w:ascii="Arial" w:cs="Arial" w:eastAsia="Arial" w:hAnsi="Arial"/>
                <w:sz w:val="16"/>
                <w:szCs w:val="16"/>
                <w:color w:val="auto"/>
              </w:rPr>
              <w:t>14.5</w:t>
            </w: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20" w:type="dxa"/>
            <w:vAlign w:val="bottom"/>
          </w:tcPr>
          <w:p>
            <w:pPr>
              <w:jc w:val="right"/>
              <w:spacing w:after="0"/>
              <w:rPr>
                <w:sz w:val="20"/>
                <w:szCs w:val="20"/>
                <w:color w:val="auto"/>
              </w:rPr>
            </w:pPr>
            <w:r>
              <w:rPr>
                <w:rFonts w:ascii="Arial" w:cs="Arial" w:eastAsia="Arial" w:hAnsi="Arial"/>
                <w:sz w:val="16"/>
                <w:szCs w:val="16"/>
                <w:color w:val="auto"/>
              </w:rPr>
              <w:t>19.0</w:t>
            </w:r>
          </w:p>
        </w:tc>
        <w:tc>
          <w:tcPr>
            <w:tcW w:w="3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19.3</w:t>
            </w:r>
          </w:p>
        </w:tc>
        <w:tc>
          <w:tcPr>
            <w:tcW w:w="3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gridSpan w:val="2"/>
          </w:tcPr>
          <w:p>
            <w:pPr>
              <w:jc w:val="right"/>
              <w:ind w:right="280"/>
              <w:spacing w:after="0"/>
              <w:rPr>
                <w:sz w:val="20"/>
                <w:szCs w:val="20"/>
                <w:color w:val="auto"/>
              </w:rPr>
            </w:pPr>
            <w:r>
              <w:rPr>
                <w:rFonts w:ascii="Arial" w:cs="Arial" w:eastAsia="Arial" w:hAnsi="Arial"/>
                <w:sz w:val="16"/>
                <w:szCs w:val="16"/>
                <w:color w:val="auto"/>
              </w:rPr>
              <w:t>19.9</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80" w:type="dxa"/>
            <w:vAlign w:val="bottom"/>
            <w:gridSpan w:val="2"/>
          </w:tcPr>
          <w:p>
            <w:pPr>
              <w:jc w:val="right"/>
              <w:ind w:right="180"/>
              <w:spacing w:after="0"/>
              <w:rPr>
                <w:sz w:val="20"/>
                <w:szCs w:val="20"/>
                <w:color w:val="auto"/>
              </w:rPr>
            </w:pPr>
            <w:r>
              <w:rPr>
                <w:rFonts w:ascii="Arial" w:cs="Arial" w:eastAsia="Arial" w:hAnsi="Arial"/>
                <w:sz w:val="16"/>
                <w:szCs w:val="16"/>
                <w:color w:val="auto"/>
              </w:rPr>
              <w:t>21.8</w:t>
            </w: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20" w:type="dxa"/>
            <w:vAlign w:val="bottom"/>
          </w:tcPr>
          <w:p>
            <w:pPr>
              <w:jc w:val="right"/>
              <w:spacing w:after="0"/>
              <w:rPr>
                <w:sz w:val="20"/>
                <w:szCs w:val="20"/>
                <w:color w:val="auto"/>
              </w:rPr>
            </w:pPr>
            <w:r>
              <w:rPr>
                <w:rFonts w:ascii="Arial" w:cs="Arial" w:eastAsia="Arial" w:hAnsi="Arial"/>
                <w:sz w:val="16"/>
                <w:szCs w:val="16"/>
                <w:color w:val="auto"/>
              </w:rPr>
              <w:t>21.7</w:t>
            </w:r>
          </w:p>
        </w:tc>
        <w:tc>
          <w:tcPr>
            <w:tcW w:w="3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22.9</w:t>
            </w:r>
          </w:p>
        </w:tc>
        <w:tc>
          <w:tcPr>
            <w:tcW w:w="40" w:type="dxa"/>
            <w:vAlign w:val="bottom"/>
          </w:tcPr>
          <w:p>
            <w:pPr>
              <w:spacing w:after="0"/>
              <w:rPr>
                <w:sz w:val="17"/>
                <w:szCs w:val="17"/>
                <w:color w:val="auto"/>
              </w:rPr>
            </w:pPr>
          </w:p>
        </w:tc>
      </w:tr>
      <w:tr>
        <w:trPr>
          <w:trHeight w:val="203"/>
        </w:trPr>
        <w:tc>
          <w:tcPr>
            <w:tcW w:w="3100" w:type="dxa"/>
            <w:vAlign w:val="bottom"/>
            <w:shd w:val="clear" w:color="auto" w:fill="CCEEFF"/>
          </w:tcPr>
          <w:p>
            <w:pPr>
              <w:ind w:left="340"/>
              <w:spacing w:after="0" w:line="202" w:lineRule="exact"/>
              <w:rPr>
                <w:sz w:val="20"/>
                <w:szCs w:val="20"/>
                <w:color w:val="auto"/>
              </w:rPr>
            </w:pPr>
            <w:r>
              <w:rPr>
                <w:rFonts w:ascii="Arial" w:cs="Arial" w:eastAsia="Arial" w:hAnsi="Arial"/>
                <w:sz w:val="14"/>
                <w:szCs w:val="14"/>
                <w:color w:val="auto"/>
              </w:rPr>
              <w:t>Sales and marketing</w:t>
            </w:r>
            <w:r>
              <w:rPr>
                <w:rFonts w:ascii="Arial" w:cs="Arial" w:eastAsia="Arial" w:hAnsi="Arial"/>
                <w:sz w:val="23"/>
                <w:szCs w:val="23"/>
                <w:color w:val="auto"/>
                <w:vertAlign w:val="superscript"/>
              </w:rPr>
              <w:t>(a)</w:t>
            </w:r>
          </w:p>
        </w:tc>
        <w:tc>
          <w:tcPr>
            <w:tcW w:w="10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8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24.4</w:t>
            </w: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6.6</w:t>
            </w:r>
          </w:p>
        </w:tc>
        <w:tc>
          <w:tcPr>
            <w:tcW w:w="3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6.7</w:t>
            </w:r>
          </w:p>
        </w:tc>
        <w:tc>
          <w:tcPr>
            <w:tcW w:w="3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280"/>
              <w:spacing w:after="0"/>
              <w:rPr>
                <w:sz w:val="20"/>
                <w:szCs w:val="20"/>
                <w:color w:val="auto"/>
              </w:rPr>
            </w:pPr>
            <w:r>
              <w:rPr>
                <w:rFonts w:ascii="Arial" w:cs="Arial" w:eastAsia="Arial" w:hAnsi="Arial"/>
                <w:sz w:val="16"/>
                <w:szCs w:val="16"/>
                <w:color w:val="auto"/>
              </w:rPr>
              <w:t>6.9</w:t>
            </w: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8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7.7</w:t>
            </w: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7.7</w:t>
            </w:r>
          </w:p>
        </w:tc>
        <w:tc>
          <w:tcPr>
            <w:tcW w:w="3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7.5</w:t>
            </w:r>
          </w:p>
        </w:tc>
        <w:tc>
          <w:tcPr>
            <w:tcW w:w="40" w:type="dxa"/>
            <w:vAlign w:val="bottom"/>
            <w:shd w:val="clear" w:color="auto" w:fill="CCEEFF"/>
          </w:tcPr>
          <w:p>
            <w:pPr>
              <w:spacing w:after="0"/>
              <w:rPr>
                <w:sz w:val="17"/>
                <w:szCs w:val="17"/>
                <w:color w:val="auto"/>
              </w:rPr>
            </w:pPr>
          </w:p>
        </w:tc>
      </w:tr>
      <w:tr>
        <w:trPr>
          <w:trHeight w:val="203"/>
        </w:trPr>
        <w:tc>
          <w:tcPr>
            <w:tcW w:w="3100" w:type="dxa"/>
            <w:vAlign w:val="bottom"/>
          </w:tcPr>
          <w:p>
            <w:pPr>
              <w:ind w:left="340"/>
              <w:spacing w:after="0"/>
              <w:rPr>
                <w:sz w:val="20"/>
                <w:szCs w:val="20"/>
                <w:color w:val="auto"/>
              </w:rPr>
            </w:pPr>
            <w:r>
              <w:rPr>
                <w:rFonts w:ascii="Arial" w:cs="Arial" w:eastAsia="Arial" w:hAnsi="Arial"/>
                <w:sz w:val="16"/>
                <w:szCs w:val="16"/>
                <w:color w:val="auto"/>
              </w:rPr>
              <w:t>General and administrative</w:t>
            </w:r>
          </w:p>
        </w:tc>
        <w:tc>
          <w:tcPr>
            <w:tcW w:w="10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00" w:type="dxa"/>
            <w:vAlign w:val="bottom"/>
          </w:tcPr>
          <w:p>
            <w:pPr>
              <w:jc w:val="right"/>
              <w:spacing w:after="0"/>
              <w:rPr>
                <w:sz w:val="20"/>
                <w:szCs w:val="20"/>
                <w:color w:val="auto"/>
              </w:rPr>
            </w:pPr>
            <w:r>
              <w:rPr>
                <w:rFonts w:ascii="Arial" w:cs="Arial" w:eastAsia="Arial" w:hAnsi="Arial"/>
                <w:sz w:val="16"/>
                <w:szCs w:val="16"/>
                <w:color w:val="auto"/>
              </w:rPr>
              <w:t>3.5</w:t>
            </w: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20" w:type="dxa"/>
            <w:vAlign w:val="bottom"/>
          </w:tcPr>
          <w:p>
            <w:pPr>
              <w:jc w:val="right"/>
              <w:spacing w:after="0"/>
              <w:rPr>
                <w:sz w:val="20"/>
                <w:szCs w:val="20"/>
                <w:color w:val="auto"/>
              </w:rPr>
            </w:pPr>
            <w:r>
              <w:rPr>
                <w:rFonts w:ascii="Arial" w:cs="Arial" w:eastAsia="Arial" w:hAnsi="Arial"/>
                <w:sz w:val="16"/>
                <w:szCs w:val="16"/>
                <w:color w:val="auto"/>
              </w:rPr>
              <w:t>4.7</w:t>
            </w:r>
          </w:p>
        </w:tc>
        <w:tc>
          <w:tcPr>
            <w:tcW w:w="3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9.0</w:t>
            </w:r>
          </w:p>
        </w:tc>
        <w:tc>
          <w:tcPr>
            <w:tcW w:w="3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gridSpan w:val="2"/>
          </w:tcPr>
          <w:p>
            <w:pPr>
              <w:jc w:val="right"/>
              <w:ind w:right="280"/>
              <w:spacing w:after="0"/>
              <w:rPr>
                <w:sz w:val="20"/>
                <w:szCs w:val="20"/>
                <w:color w:val="auto"/>
              </w:rPr>
            </w:pPr>
            <w:r>
              <w:rPr>
                <w:rFonts w:ascii="Arial" w:cs="Arial" w:eastAsia="Arial" w:hAnsi="Arial"/>
                <w:sz w:val="16"/>
                <w:szCs w:val="16"/>
                <w:color w:val="auto"/>
              </w:rPr>
              <w:t>4.9</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80" w:type="dxa"/>
            <w:vAlign w:val="bottom"/>
            <w:gridSpan w:val="2"/>
          </w:tcPr>
          <w:p>
            <w:pPr>
              <w:jc w:val="right"/>
              <w:ind w:right="180"/>
              <w:spacing w:after="0"/>
              <w:rPr>
                <w:sz w:val="20"/>
                <w:szCs w:val="20"/>
                <w:color w:val="auto"/>
              </w:rPr>
            </w:pPr>
            <w:r>
              <w:rPr>
                <w:rFonts w:ascii="Arial" w:cs="Arial" w:eastAsia="Arial" w:hAnsi="Arial"/>
                <w:sz w:val="16"/>
                <w:szCs w:val="16"/>
                <w:color w:val="auto"/>
              </w:rPr>
              <w:t>6.2</w:t>
            </w: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20" w:type="dxa"/>
            <w:vAlign w:val="bottom"/>
          </w:tcPr>
          <w:p>
            <w:pPr>
              <w:jc w:val="right"/>
              <w:spacing w:after="0"/>
              <w:rPr>
                <w:sz w:val="20"/>
                <w:szCs w:val="20"/>
                <w:color w:val="auto"/>
              </w:rPr>
            </w:pPr>
            <w:r>
              <w:rPr>
                <w:rFonts w:ascii="Arial" w:cs="Arial" w:eastAsia="Arial" w:hAnsi="Arial"/>
                <w:sz w:val="16"/>
                <w:szCs w:val="16"/>
                <w:color w:val="auto"/>
              </w:rPr>
              <w:t>6.0</w:t>
            </w:r>
          </w:p>
        </w:tc>
        <w:tc>
          <w:tcPr>
            <w:tcW w:w="3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6.4</w:t>
            </w:r>
          </w:p>
        </w:tc>
        <w:tc>
          <w:tcPr>
            <w:tcW w:w="40" w:type="dxa"/>
            <w:vAlign w:val="bottom"/>
          </w:tcPr>
          <w:p>
            <w:pPr>
              <w:spacing w:after="0"/>
              <w:rPr>
                <w:sz w:val="17"/>
                <w:szCs w:val="17"/>
                <w:color w:val="auto"/>
              </w:rPr>
            </w:pPr>
          </w:p>
        </w:tc>
      </w:tr>
      <w:tr>
        <w:trPr>
          <w:trHeight w:val="27"/>
        </w:trPr>
        <w:tc>
          <w:tcPr>
            <w:tcW w:w="3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r>
      <w:tr>
        <w:trPr>
          <w:trHeight w:val="203"/>
        </w:trPr>
        <w:tc>
          <w:tcPr>
            <w:tcW w:w="3100" w:type="dxa"/>
            <w:vAlign w:val="bottom"/>
            <w:shd w:val="clear" w:color="auto" w:fill="CCEEFF"/>
          </w:tcPr>
          <w:p>
            <w:pPr>
              <w:spacing w:after="0"/>
              <w:rPr>
                <w:sz w:val="20"/>
                <w:szCs w:val="20"/>
                <w:color w:val="auto"/>
              </w:rPr>
            </w:pPr>
            <w:r>
              <w:rPr>
                <w:rFonts w:ascii="Arial" w:cs="Arial" w:eastAsia="Arial" w:hAnsi="Arial"/>
                <w:sz w:val="16"/>
                <w:szCs w:val="16"/>
                <w:color w:val="auto"/>
              </w:rPr>
              <w:t>Total stock-based compensation</w:t>
            </w:r>
          </w:p>
        </w:tc>
        <w:tc>
          <w:tcPr>
            <w:tcW w:w="10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20"/>
                <w:szCs w:val="20"/>
                <w:color w:val="auto"/>
              </w:rPr>
            </w:pPr>
            <w:r>
              <w:rPr>
                <w:rFonts w:ascii="Arial" w:cs="Arial" w:eastAsia="Arial" w:hAnsi="Arial"/>
                <w:sz w:val="16"/>
                <w:szCs w:val="16"/>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43.9</w:t>
            </w:r>
          </w:p>
        </w:tc>
        <w:tc>
          <w:tcPr>
            <w:tcW w:w="1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6"/>
                <w:szCs w:val="16"/>
                <w:color w:val="auto"/>
                <w:w w:val="89"/>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32.4</w:t>
            </w:r>
          </w:p>
        </w:tc>
        <w:tc>
          <w:tcPr>
            <w:tcW w:w="3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20"/>
                <w:szCs w:val="20"/>
                <w:color w:val="auto"/>
              </w:rPr>
            </w:pPr>
            <w:r>
              <w:rPr>
                <w:rFonts w:ascii="Arial" w:cs="Arial" w:eastAsia="Arial" w:hAnsi="Arial"/>
                <w:sz w:val="16"/>
                <w:szCs w:val="16"/>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37.3</w:t>
            </w:r>
          </w:p>
        </w:tc>
        <w:tc>
          <w:tcPr>
            <w:tcW w:w="360" w:type="dxa"/>
            <w:vAlign w:val="bottom"/>
            <w:shd w:val="clear" w:color="auto" w:fill="CCEEFF"/>
          </w:tcPr>
          <w:p>
            <w:pPr>
              <w:spacing w:after="0"/>
              <w:rPr>
                <w:sz w:val="17"/>
                <w:szCs w:val="17"/>
                <w:color w:val="auto"/>
              </w:rPr>
            </w:pPr>
          </w:p>
        </w:tc>
        <w:tc>
          <w:tcPr>
            <w:tcW w:w="180" w:type="dxa"/>
            <w:vAlign w:val="bottom"/>
            <w:shd w:val="clear" w:color="auto" w:fill="CCEEFF"/>
          </w:tcPr>
          <w:p>
            <w:pPr>
              <w:jc w:val="right"/>
              <w:ind w:right="28"/>
              <w:spacing w:after="0"/>
              <w:rPr>
                <w:sz w:val="20"/>
                <w:szCs w:val="20"/>
                <w:color w:val="auto"/>
              </w:rPr>
            </w:pPr>
            <w:r>
              <w:rPr>
                <w:rFonts w:ascii="Arial" w:cs="Arial" w:eastAsia="Arial" w:hAnsi="Arial"/>
                <w:sz w:val="15"/>
                <w:szCs w:val="15"/>
                <w:color w:val="auto"/>
                <w:w w:val="71"/>
              </w:rPr>
              <w:t>$</w:t>
            </w:r>
          </w:p>
        </w:tc>
        <w:tc>
          <w:tcPr>
            <w:tcW w:w="940" w:type="dxa"/>
            <w:vAlign w:val="bottom"/>
            <w:gridSpan w:val="2"/>
            <w:shd w:val="clear" w:color="auto" w:fill="CCEEFF"/>
          </w:tcPr>
          <w:p>
            <w:pPr>
              <w:jc w:val="right"/>
              <w:ind w:right="280"/>
              <w:spacing w:after="0"/>
              <w:rPr>
                <w:sz w:val="20"/>
                <w:szCs w:val="20"/>
                <w:color w:val="auto"/>
              </w:rPr>
            </w:pPr>
            <w:r>
              <w:rPr>
                <w:rFonts w:ascii="Arial" w:cs="Arial" w:eastAsia="Arial" w:hAnsi="Arial"/>
                <w:sz w:val="16"/>
                <w:szCs w:val="16"/>
                <w:color w:val="auto"/>
              </w:rPr>
              <w:t>34.0</w:t>
            </w:r>
          </w:p>
        </w:tc>
        <w:tc>
          <w:tcPr>
            <w:tcW w:w="220" w:type="dxa"/>
            <w:vAlign w:val="bottom"/>
            <w:gridSpan w:val="2"/>
            <w:shd w:val="clear" w:color="auto" w:fill="CCEEFF"/>
          </w:tcPr>
          <w:p>
            <w:pPr>
              <w:ind w:left="80"/>
              <w:spacing w:after="0"/>
              <w:rPr>
                <w:sz w:val="20"/>
                <w:szCs w:val="20"/>
                <w:color w:val="auto"/>
              </w:rPr>
            </w:pPr>
            <w:r>
              <w:rPr>
                <w:rFonts w:ascii="Arial" w:cs="Arial" w:eastAsia="Arial" w:hAnsi="Arial"/>
                <w:sz w:val="16"/>
                <w:szCs w:val="16"/>
                <w:color w:val="auto"/>
              </w:rPr>
              <w:t>$</w:t>
            </w:r>
          </w:p>
        </w:tc>
        <w:tc>
          <w:tcPr>
            <w:tcW w:w="68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38.8</w:t>
            </w:r>
          </w:p>
        </w:tc>
        <w:tc>
          <w:tcPr>
            <w:tcW w:w="280" w:type="dxa"/>
            <w:vAlign w:val="bottom"/>
            <w:gridSpan w:val="2"/>
            <w:shd w:val="clear" w:color="auto" w:fill="CCEEFF"/>
          </w:tcPr>
          <w:p>
            <w:pPr>
              <w:ind w:left="180"/>
              <w:spacing w:after="0"/>
              <w:rPr>
                <w:sz w:val="20"/>
                <w:szCs w:val="20"/>
                <w:color w:val="auto"/>
              </w:rPr>
            </w:pPr>
            <w:r>
              <w:rPr>
                <w:rFonts w:ascii="Arial" w:cs="Arial" w:eastAsia="Arial" w:hAnsi="Arial"/>
                <w:sz w:val="16"/>
                <w:szCs w:val="16"/>
                <w:color w:val="auto"/>
                <w:w w:val="89"/>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38.7</w:t>
            </w:r>
          </w:p>
        </w:tc>
        <w:tc>
          <w:tcPr>
            <w:tcW w:w="540" w:type="dxa"/>
            <w:vAlign w:val="bottom"/>
            <w:gridSpan w:val="2"/>
            <w:shd w:val="clear" w:color="auto" w:fill="CCEEFF"/>
          </w:tcPr>
          <w:p>
            <w:pPr>
              <w:ind w:left="360"/>
              <w:spacing w:after="0"/>
              <w:rPr>
                <w:sz w:val="20"/>
                <w:szCs w:val="20"/>
                <w:color w:val="auto"/>
              </w:rPr>
            </w:pPr>
            <w:r>
              <w:rPr>
                <w:rFonts w:ascii="Arial" w:cs="Arial" w:eastAsia="Arial" w:hAnsi="Arial"/>
                <w:sz w:val="16"/>
                <w:szCs w:val="16"/>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39.7</w:t>
            </w:r>
          </w:p>
        </w:tc>
        <w:tc>
          <w:tcPr>
            <w:tcW w:w="40" w:type="dxa"/>
            <w:vAlign w:val="bottom"/>
            <w:shd w:val="clear" w:color="auto" w:fill="CCEEFF"/>
          </w:tcPr>
          <w:p>
            <w:pPr>
              <w:spacing w:after="0"/>
              <w:rPr>
                <w:sz w:val="17"/>
                <w:szCs w:val="17"/>
                <w:color w:val="auto"/>
              </w:rPr>
            </w:pPr>
          </w:p>
        </w:tc>
      </w:tr>
      <w:tr>
        <w:trPr>
          <w:trHeight w:val="20"/>
        </w:trPr>
        <w:tc>
          <w:tcPr>
            <w:tcW w:w="31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1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73</w:t>
      </w:r>
    </w:p>
    <w:p>
      <w:pPr>
        <w:sectPr>
          <w:pgSz w:w="11900" w:h="16838" w:orient="portrait"/>
          <w:cols w:equalWidth="0" w:num="1">
            <w:col w:w="11240"/>
          </w:cols>
          <w:pgMar w:left="320" w:top="459" w:right="339" w:bottom="1440" w:gutter="0" w:footer="0" w:header="0"/>
        </w:sectPr>
      </w:pPr>
    </w:p>
    <w:bookmarkStart w:id="76" w:name="page77"/>
    <w:bookmarkEnd w:id="7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340" w:right="540" w:hanging="332"/>
        <w:spacing w:after="0" w:line="253" w:lineRule="auto"/>
        <w:tabs>
          <w:tab w:leader="none" w:pos="340" w:val="left"/>
        </w:tabs>
        <w:numPr>
          <w:ilvl w:val="0"/>
          <w:numId w:val="45"/>
        </w:numPr>
        <w:rPr>
          <w:rFonts w:ascii="Arial" w:cs="Arial" w:eastAsia="Arial" w:hAnsi="Arial"/>
          <w:sz w:val="12"/>
          <w:szCs w:val="12"/>
          <w:color w:val="auto"/>
        </w:rPr>
      </w:pPr>
      <w:r>
        <w:rPr>
          <w:rFonts w:ascii="Arial" w:cs="Arial" w:eastAsia="Arial" w:hAnsi="Arial"/>
          <w:sz w:val="14"/>
          <w:szCs w:val="14"/>
          <w:color w:val="auto"/>
        </w:rPr>
        <w:t>Stock-based compensation included in sales and marketing expenses for the three months ended March 31, 2016 includes $18.8 million related to a stock option modification for an executive officer.</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960" w:type="dxa"/>
            <w:vAlign w:val="bottom"/>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620" w:type="dxa"/>
            <w:vAlign w:val="bottom"/>
            <w:tcBorders>
              <w:bottom w:val="single" w:sz="8" w:color="auto"/>
            </w:tcBorders>
            <w:gridSpan w:val="3"/>
          </w:tcPr>
          <w:p>
            <w:pPr>
              <w:jc w:val="center"/>
              <w:ind w:right="240"/>
              <w:spacing w:after="0"/>
              <w:rPr>
                <w:sz w:val="20"/>
                <w:szCs w:val="20"/>
                <w:color w:val="auto"/>
              </w:rPr>
            </w:pPr>
            <w:r>
              <w:rPr>
                <w:rFonts w:ascii="Arial" w:cs="Arial" w:eastAsia="Arial" w:hAnsi="Arial"/>
                <w:sz w:val="14"/>
                <w:szCs w:val="14"/>
                <w:b w:val="1"/>
                <w:bCs w:val="1"/>
                <w:color w:val="auto"/>
                <w:w w:val="91"/>
              </w:rPr>
              <w:t>Three months ended</w:t>
            </w:r>
          </w:p>
        </w:tc>
        <w:tc>
          <w:tcPr>
            <w:tcW w:w="64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spacing w:after="0"/>
              <w:rPr>
                <w:sz w:val="14"/>
                <w:szCs w:val="14"/>
                <w:color w:val="auto"/>
              </w:rPr>
            </w:pPr>
          </w:p>
        </w:tc>
        <w:tc>
          <w:tcPr>
            <w:tcW w:w="260" w:type="dxa"/>
            <w:vAlign w:val="bottom"/>
          </w:tcPr>
          <w:p>
            <w:pPr>
              <w:spacing w:after="0"/>
              <w:rPr>
                <w:sz w:val="14"/>
                <w:szCs w:val="14"/>
                <w:color w:val="auto"/>
              </w:rPr>
            </w:pPr>
          </w:p>
        </w:tc>
      </w:tr>
      <w:tr>
        <w:trPr>
          <w:trHeight w:val="119"/>
        </w:trPr>
        <w:tc>
          <w:tcPr>
            <w:tcW w:w="2960" w:type="dxa"/>
            <w:vAlign w:val="bottom"/>
          </w:tcPr>
          <w:p>
            <w:pPr>
              <w:spacing w:after="0"/>
              <w:rPr>
                <w:sz w:val="10"/>
                <w:szCs w:val="10"/>
                <w:color w:val="auto"/>
              </w:rPr>
            </w:pPr>
          </w:p>
        </w:tc>
        <w:tc>
          <w:tcPr>
            <w:tcW w:w="1160" w:type="dxa"/>
            <w:vAlign w:val="bottom"/>
            <w:gridSpan w:val="2"/>
          </w:tcPr>
          <w:p>
            <w:pPr>
              <w:jc w:val="right"/>
              <w:ind w:right="520"/>
              <w:spacing w:after="0" w:line="119" w:lineRule="exact"/>
              <w:rPr>
                <w:sz w:val="20"/>
                <w:szCs w:val="20"/>
                <w:color w:val="auto"/>
              </w:rPr>
            </w:pPr>
            <w:r>
              <w:rPr>
                <w:rFonts w:ascii="Arial" w:cs="Arial" w:eastAsia="Arial" w:hAnsi="Arial"/>
                <w:sz w:val="13"/>
                <w:szCs w:val="13"/>
                <w:b w:val="1"/>
                <w:bCs w:val="1"/>
                <w:color w:val="auto"/>
              </w:rPr>
              <w:t>March 31,</w:t>
            </w:r>
          </w:p>
        </w:tc>
        <w:tc>
          <w:tcPr>
            <w:tcW w:w="1020" w:type="dxa"/>
            <w:vAlign w:val="bottom"/>
            <w:gridSpan w:val="2"/>
          </w:tcPr>
          <w:p>
            <w:pPr>
              <w:jc w:val="right"/>
              <w:ind w:right="520"/>
              <w:spacing w:after="0" w:line="119" w:lineRule="exact"/>
              <w:rPr>
                <w:sz w:val="20"/>
                <w:szCs w:val="20"/>
                <w:color w:val="auto"/>
              </w:rPr>
            </w:pPr>
            <w:r>
              <w:rPr>
                <w:rFonts w:ascii="Arial" w:cs="Arial" w:eastAsia="Arial" w:hAnsi="Arial"/>
                <w:sz w:val="13"/>
                <w:szCs w:val="13"/>
                <w:b w:val="1"/>
                <w:bCs w:val="1"/>
                <w:color w:val="auto"/>
                <w:w w:val="92"/>
              </w:rPr>
              <w:t>June 30,</w:t>
            </w:r>
          </w:p>
        </w:tc>
        <w:tc>
          <w:tcPr>
            <w:tcW w:w="1140" w:type="dxa"/>
            <w:vAlign w:val="bottom"/>
            <w:gridSpan w:val="2"/>
          </w:tcPr>
          <w:p>
            <w:pPr>
              <w:jc w:val="right"/>
              <w:ind w:right="260"/>
              <w:spacing w:after="0" w:line="119" w:lineRule="exact"/>
              <w:rPr>
                <w:sz w:val="20"/>
                <w:szCs w:val="20"/>
                <w:color w:val="auto"/>
              </w:rPr>
            </w:pPr>
            <w:r>
              <w:rPr>
                <w:rFonts w:ascii="Arial" w:cs="Arial" w:eastAsia="Arial" w:hAnsi="Arial"/>
                <w:sz w:val="13"/>
                <w:szCs w:val="13"/>
                <w:b w:val="1"/>
                <w:bCs w:val="1"/>
                <w:color w:val="auto"/>
                <w:w w:val="96"/>
              </w:rPr>
              <w:t>September 30,</w:t>
            </w:r>
          </w:p>
        </w:tc>
        <w:tc>
          <w:tcPr>
            <w:tcW w:w="260" w:type="dxa"/>
            <w:vAlign w:val="bottom"/>
          </w:tcPr>
          <w:p>
            <w:pPr>
              <w:spacing w:after="0"/>
              <w:rPr>
                <w:sz w:val="10"/>
                <w:szCs w:val="10"/>
                <w:color w:val="auto"/>
              </w:rPr>
            </w:pPr>
          </w:p>
        </w:tc>
        <w:tc>
          <w:tcPr>
            <w:tcW w:w="1360" w:type="dxa"/>
            <w:vAlign w:val="bottom"/>
            <w:gridSpan w:val="2"/>
          </w:tcPr>
          <w:p>
            <w:pPr>
              <w:jc w:val="center"/>
              <w:ind w:right="520"/>
              <w:spacing w:after="0" w:line="119" w:lineRule="exact"/>
              <w:rPr>
                <w:sz w:val="20"/>
                <w:szCs w:val="20"/>
                <w:color w:val="auto"/>
              </w:rPr>
            </w:pPr>
            <w:r>
              <w:rPr>
                <w:rFonts w:ascii="Arial" w:cs="Arial" w:eastAsia="Arial" w:hAnsi="Arial"/>
                <w:sz w:val="13"/>
                <w:szCs w:val="13"/>
                <w:b w:val="1"/>
                <w:bCs w:val="1"/>
                <w:color w:val="auto"/>
                <w:w w:val="99"/>
              </w:rPr>
              <w:t>December 31,</w:t>
            </w:r>
          </w:p>
        </w:tc>
        <w:tc>
          <w:tcPr>
            <w:tcW w:w="1160" w:type="dxa"/>
            <w:vAlign w:val="bottom"/>
            <w:gridSpan w:val="2"/>
          </w:tcPr>
          <w:p>
            <w:pPr>
              <w:jc w:val="right"/>
              <w:ind w:right="520"/>
              <w:spacing w:after="0" w:line="119" w:lineRule="exact"/>
              <w:rPr>
                <w:sz w:val="20"/>
                <w:szCs w:val="20"/>
                <w:color w:val="auto"/>
              </w:rPr>
            </w:pPr>
            <w:r>
              <w:rPr>
                <w:rFonts w:ascii="Arial" w:cs="Arial" w:eastAsia="Arial" w:hAnsi="Arial"/>
                <w:sz w:val="13"/>
                <w:szCs w:val="13"/>
                <w:b w:val="1"/>
                <w:bCs w:val="1"/>
                <w:color w:val="auto"/>
              </w:rPr>
              <w:t>March 31,</w:t>
            </w:r>
          </w:p>
        </w:tc>
        <w:tc>
          <w:tcPr>
            <w:tcW w:w="1040" w:type="dxa"/>
            <w:vAlign w:val="bottom"/>
            <w:gridSpan w:val="2"/>
          </w:tcPr>
          <w:p>
            <w:pPr>
              <w:jc w:val="right"/>
              <w:ind w:right="520"/>
              <w:spacing w:after="0" w:line="119" w:lineRule="exact"/>
              <w:rPr>
                <w:sz w:val="20"/>
                <w:szCs w:val="20"/>
                <w:color w:val="auto"/>
              </w:rPr>
            </w:pPr>
            <w:r>
              <w:rPr>
                <w:rFonts w:ascii="Arial" w:cs="Arial" w:eastAsia="Arial" w:hAnsi="Arial"/>
                <w:sz w:val="13"/>
                <w:szCs w:val="13"/>
                <w:b w:val="1"/>
                <w:bCs w:val="1"/>
                <w:color w:val="auto"/>
                <w:w w:val="96"/>
              </w:rPr>
              <w:t>June 30,</w:t>
            </w:r>
          </w:p>
        </w:tc>
        <w:tc>
          <w:tcPr>
            <w:tcW w:w="880" w:type="dxa"/>
            <w:vAlign w:val="bottom"/>
          </w:tcPr>
          <w:p>
            <w:pPr>
              <w:jc w:val="right"/>
              <w:spacing w:after="0" w:line="119" w:lineRule="exact"/>
              <w:rPr>
                <w:sz w:val="20"/>
                <w:szCs w:val="20"/>
                <w:color w:val="auto"/>
              </w:rPr>
            </w:pPr>
            <w:r>
              <w:rPr>
                <w:rFonts w:ascii="Arial" w:cs="Arial" w:eastAsia="Arial" w:hAnsi="Arial"/>
                <w:sz w:val="13"/>
                <w:szCs w:val="13"/>
                <w:b w:val="1"/>
                <w:bCs w:val="1"/>
                <w:color w:val="auto"/>
                <w:w w:val="96"/>
              </w:rPr>
              <w:t>September 30,</w:t>
            </w:r>
          </w:p>
        </w:tc>
        <w:tc>
          <w:tcPr>
            <w:tcW w:w="260" w:type="dxa"/>
            <w:vAlign w:val="bottom"/>
          </w:tcPr>
          <w:p>
            <w:pPr>
              <w:spacing w:after="0"/>
              <w:rPr>
                <w:sz w:val="10"/>
                <w:szCs w:val="10"/>
                <w:color w:val="auto"/>
              </w:rPr>
            </w:pPr>
          </w:p>
        </w:tc>
      </w:tr>
      <w:tr>
        <w:trPr>
          <w:trHeight w:val="171"/>
        </w:trPr>
        <w:tc>
          <w:tcPr>
            <w:tcW w:w="2960" w:type="dxa"/>
            <w:vAlign w:val="bottom"/>
          </w:tcPr>
          <w:p>
            <w:pPr>
              <w:spacing w:after="0"/>
              <w:rPr>
                <w:sz w:val="14"/>
                <w:szCs w:val="14"/>
                <w:color w:val="auto"/>
              </w:rPr>
            </w:pPr>
          </w:p>
        </w:tc>
        <w:tc>
          <w:tcPr>
            <w:tcW w:w="640" w:type="dxa"/>
            <w:vAlign w:val="bottom"/>
            <w:tcBorders>
              <w:bottom w:val="single" w:sz="8" w:color="auto"/>
            </w:tcBorders>
          </w:tcPr>
          <w:p>
            <w:pPr>
              <w:jc w:val="right"/>
              <w:ind w:right="94"/>
              <w:spacing w:after="0"/>
              <w:rPr>
                <w:sz w:val="20"/>
                <w:szCs w:val="20"/>
                <w:color w:val="auto"/>
              </w:rPr>
            </w:pPr>
            <w:r>
              <w:rPr>
                <w:rFonts w:ascii="Arial" w:cs="Arial" w:eastAsia="Arial" w:hAnsi="Arial"/>
                <w:sz w:val="14"/>
                <w:szCs w:val="14"/>
                <w:b w:val="1"/>
                <w:bCs w:val="1"/>
                <w:color w:val="auto"/>
              </w:rPr>
              <w:t>2016</w:t>
            </w:r>
          </w:p>
        </w:tc>
        <w:tc>
          <w:tcPr>
            <w:tcW w:w="52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jc w:val="right"/>
              <w:ind w:right="14"/>
              <w:spacing w:after="0"/>
              <w:rPr>
                <w:sz w:val="20"/>
                <w:szCs w:val="20"/>
                <w:color w:val="auto"/>
              </w:rPr>
            </w:pPr>
            <w:r>
              <w:rPr>
                <w:rFonts w:ascii="Arial" w:cs="Arial" w:eastAsia="Arial" w:hAnsi="Arial"/>
                <w:sz w:val="14"/>
                <w:szCs w:val="14"/>
                <w:b w:val="1"/>
                <w:bCs w:val="1"/>
                <w:color w:val="auto"/>
              </w:rPr>
              <w:t>2016</w:t>
            </w:r>
          </w:p>
        </w:tc>
        <w:tc>
          <w:tcPr>
            <w:tcW w:w="52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right"/>
              <w:ind w:right="214"/>
              <w:spacing w:after="0"/>
              <w:rPr>
                <w:sz w:val="20"/>
                <w:szCs w:val="20"/>
                <w:color w:val="auto"/>
              </w:rPr>
            </w:pPr>
            <w:r>
              <w:rPr>
                <w:rFonts w:ascii="Arial" w:cs="Arial" w:eastAsia="Arial" w:hAnsi="Arial"/>
                <w:sz w:val="14"/>
                <w:szCs w:val="14"/>
                <w:b w:val="1"/>
                <w:bCs w:val="1"/>
                <w:color w:val="auto"/>
              </w:rPr>
              <w:t>2016</w:t>
            </w:r>
          </w:p>
        </w:tc>
        <w:tc>
          <w:tcPr>
            <w:tcW w:w="26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gridSpan w:val="2"/>
          </w:tcPr>
          <w:p>
            <w:pPr>
              <w:jc w:val="center"/>
              <w:ind w:left="175"/>
              <w:spacing w:after="0"/>
              <w:rPr>
                <w:sz w:val="20"/>
                <w:szCs w:val="20"/>
                <w:color w:val="auto"/>
              </w:rPr>
            </w:pPr>
            <w:r>
              <w:rPr>
                <w:rFonts w:ascii="Arial" w:cs="Arial" w:eastAsia="Arial" w:hAnsi="Arial"/>
                <w:sz w:val="14"/>
                <w:szCs w:val="14"/>
                <w:b w:val="1"/>
                <w:bCs w:val="1"/>
                <w:color w:val="auto"/>
                <w:w w:val="89"/>
              </w:rPr>
              <w:t>2016</w:t>
            </w:r>
          </w:p>
        </w:tc>
        <w:tc>
          <w:tcPr>
            <w:tcW w:w="52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94"/>
              <w:spacing w:after="0"/>
              <w:rPr>
                <w:sz w:val="20"/>
                <w:szCs w:val="20"/>
                <w:color w:val="auto"/>
              </w:rPr>
            </w:pPr>
            <w:r>
              <w:rPr>
                <w:rFonts w:ascii="Arial" w:cs="Arial" w:eastAsia="Arial" w:hAnsi="Arial"/>
                <w:sz w:val="14"/>
                <w:szCs w:val="14"/>
                <w:b w:val="1"/>
                <w:bCs w:val="1"/>
                <w:color w:val="auto"/>
              </w:rPr>
              <w:t>2017</w:t>
            </w:r>
          </w:p>
        </w:tc>
        <w:tc>
          <w:tcPr>
            <w:tcW w:w="52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jc w:val="right"/>
              <w:ind w:right="34"/>
              <w:spacing w:after="0"/>
              <w:rPr>
                <w:sz w:val="20"/>
                <w:szCs w:val="20"/>
                <w:color w:val="auto"/>
              </w:rPr>
            </w:pPr>
            <w:r>
              <w:rPr>
                <w:rFonts w:ascii="Arial" w:cs="Arial" w:eastAsia="Arial" w:hAnsi="Arial"/>
                <w:sz w:val="14"/>
                <w:szCs w:val="14"/>
                <w:b w:val="1"/>
                <w:bCs w:val="1"/>
                <w:color w:val="auto"/>
              </w:rPr>
              <w:t>2017</w:t>
            </w:r>
          </w:p>
        </w:tc>
        <w:tc>
          <w:tcPr>
            <w:tcW w:w="52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right"/>
              <w:ind w:right="214"/>
              <w:spacing w:after="0"/>
              <w:rPr>
                <w:sz w:val="20"/>
                <w:szCs w:val="20"/>
                <w:color w:val="auto"/>
              </w:rPr>
            </w:pPr>
            <w:r>
              <w:rPr>
                <w:rFonts w:ascii="Arial" w:cs="Arial" w:eastAsia="Arial" w:hAnsi="Arial"/>
                <w:sz w:val="14"/>
                <w:szCs w:val="14"/>
                <w:b w:val="1"/>
                <w:bCs w:val="1"/>
                <w:color w:val="auto"/>
              </w:rPr>
              <w:t>2017</w:t>
            </w:r>
          </w:p>
        </w:tc>
        <w:tc>
          <w:tcPr>
            <w:tcW w:w="260" w:type="dxa"/>
            <w:vAlign w:val="bottom"/>
          </w:tcPr>
          <w:p>
            <w:pPr>
              <w:spacing w:after="0"/>
              <w:rPr>
                <w:sz w:val="14"/>
                <w:szCs w:val="14"/>
                <w:color w:val="auto"/>
              </w:rPr>
            </w:pPr>
          </w:p>
        </w:tc>
      </w:tr>
      <w:tr>
        <w:trPr>
          <w:trHeight w:val="142"/>
        </w:trPr>
        <w:tc>
          <w:tcPr>
            <w:tcW w:w="29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620" w:type="dxa"/>
            <w:vAlign w:val="bottom"/>
            <w:gridSpan w:val="3"/>
          </w:tcPr>
          <w:p>
            <w:pPr>
              <w:jc w:val="center"/>
              <w:ind w:right="240"/>
              <w:spacing w:after="0" w:line="142" w:lineRule="exact"/>
              <w:rPr>
                <w:sz w:val="20"/>
                <w:szCs w:val="20"/>
                <w:color w:val="auto"/>
              </w:rPr>
            </w:pPr>
            <w:r>
              <w:rPr>
                <w:rFonts w:ascii="Arial" w:cs="Arial" w:eastAsia="Arial" w:hAnsi="Arial"/>
                <w:sz w:val="14"/>
                <w:szCs w:val="14"/>
                <w:i w:val="1"/>
                <w:iCs w:val="1"/>
                <w:color w:val="auto"/>
                <w:w w:val="92"/>
              </w:rPr>
              <w:t>(As a % of revenue)</w:t>
            </w:r>
          </w:p>
        </w:tc>
        <w:tc>
          <w:tcPr>
            <w:tcW w:w="6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60" w:type="dxa"/>
            <w:vAlign w:val="bottom"/>
          </w:tcPr>
          <w:p>
            <w:pPr>
              <w:spacing w:after="0"/>
              <w:rPr>
                <w:sz w:val="12"/>
                <w:szCs w:val="12"/>
                <w:color w:val="auto"/>
              </w:rPr>
            </w:pPr>
          </w:p>
        </w:tc>
      </w:tr>
      <w:tr>
        <w:trPr>
          <w:trHeight w:val="216"/>
        </w:trPr>
        <w:tc>
          <w:tcPr>
            <w:tcW w:w="2960" w:type="dxa"/>
            <w:vAlign w:val="bottom"/>
            <w:shd w:val="clear" w:color="auto" w:fill="CCEEFF"/>
          </w:tcPr>
          <w:p>
            <w:pPr>
              <w:spacing w:after="0"/>
              <w:rPr>
                <w:sz w:val="20"/>
                <w:szCs w:val="20"/>
                <w:color w:val="auto"/>
              </w:rPr>
            </w:pPr>
            <w:r>
              <w:rPr>
                <w:rFonts w:ascii="Arial" w:cs="Arial" w:eastAsia="Arial" w:hAnsi="Arial"/>
                <w:sz w:val="18"/>
                <w:szCs w:val="18"/>
                <w:color w:val="auto"/>
              </w:rPr>
              <w:t>Revenue</w:t>
            </w:r>
          </w:p>
        </w:tc>
        <w:tc>
          <w:tcPr>
            <w:tcW w:w="11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100%</w:t>
            </w:r>
          </w:p>
        </w:tc>
        <w:tc>
          <w:tcPr>
            <w:tcW w:w="10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100%</w:t>
            </w:r>
          </w:p>
        </w:tc>
        <w:tc>
          <w:tcPr>
            <w:tcW w:w="11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100%</w:t>
            </w:r>
          </w:p>
        </w:tc>
        <w:tc>
          <w:tcPr>
            <w:tcW w:w="1620" w:type="dxa"/>
            <w:vAlign w:val="bottom"/>
            <w:gridSpan w:val="3"/>
            <w:shd w:val="clear" w:color="auto" w:fill="CCEEFF"/>
          </w:tcPr>
          <w:p>
            <w:pPr>
              <w:jc w:val="right"/>
              <w:ind w:right="380"/>
              <w:spacing w:after="0"/>
              <w:rPr>
                <w:sz w:val="20"/>
                <w:szCs w:val="20"/>
                <w:color w:val="auto"/>
              </w:rPr>
            </w:pPr>
            <w:r>
              <w:rPr>
                <w:rFonts w:ascii="Arial" w:cs="Arial" w:eastAsia="Arial" w:hAnsi="Arial"/>
                <w:sz w:val="18"/>
                <w:szCs w:val="18"/>
                <w:color w:val="auto"/>
              </w:rPr>
              <w:t>100%</w:t>
            </w:r>
          </w:p>
        </w:tc>
        <w:tc>
          <w:tcPr>
            <w:tcW w:w="11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100%</w:t>
            </w:r>
          </w:p>
        </w:tc>
        <w:tc>
          <w:tcPr>
            <w:tcW w:w="10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100%</w:t>
            </w: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100%</w:t>
            </w:r>
          </w:p>
        </w:tc>
      </w:tr>
      <w:tr>
        <w:trPr>
          <w:trHeight w:val="216"/>
        </w:trPr>
        <w:tc>
          <w:tcPr>
            <w:tcW w:w="2960" w:type="dxa"/>
            <w:vAlign w:val="bottom"/>
          </w:tcPr>
          <w:p>
            <w:pPr>
              <w:spacing w:after="0"/>
              <w:rPr>
                <w:sz w:val="20"/>
                <w:szCs w:val="20"/>
                <w:color w:val="auto"/>
              </w:rPr>
            </w:pPr>
            <w:r>
              <w:rPr>
                <w:rFonts w:ascii="Arial" w:cs="Arial" w:eastAsia="Arial" w:hAnsi="Arial"/>
                <w:sz w:val="18"/>
                <w:szCs w:val="18"/>
                <w:color w:val="auto"/>
              </w:rPr>
              <w:t>Cost of revenue</w:t>
            </w:r>
          </w:p>
        </w:tc>
        <w:tc>
          <w:tcPr>
            <w:tcW w:w="640" w:type="dxa"/>
            <w:vAlign w:val="bottom"/>
          </w:tcPr>
          <w:p>
            <w:pPr>
              <w:jc w:val="right"/>
              <w:spacing w:after="0"/>
              <w:rPr>
                <w:sz w:val="20"/>
                <w:szCs w:val="20"/>
                <w:color w:val="auto"/>
              </w:rPr>
            </w:pPr>
            <w:r>
              <w:rPr>
                <w:rFonts w:ascii="Arial" w:cs="Arial" w:eastAsia="Arial" w:hAnsi="Arial"/>
                <w:sz w:val="18"/>
                <w:szCs w:val="18"/>
                <w:color w:val="auto"/>
              </w:rPr>
              <w:t>54</w:t>
            </w:r>
          </w:p>
        </w:tc>
        <w:tc>
          <w:tcPr>
            <w:tcW w:w="520" w:type="dxa"/>
            <w:vAlign w:val="bottom"/>
          </w:tcPr>
          <w:p>
            <w:pPr>
              <w:spacing w:after="0"/>
              <w:rPr>
                <w:sz w:val="18"/>
                <w:szCs w:val="18"/>
                <w:color w:val="auto"/>
              </w:rPr>
            </w:pPr>
          </w:p>
        </w:tc>
        <w:tc>
          <w:tcPr>
            <w:tcW w:w="1020" w:type="dxa"/>
            <w:vAlign w:val="bottom"/>
            <w:gridSpan w:val="2"/>
          </w:tcPr>
          <w:p>
            <w:pPr>
              <w:jc w:val="right"/>
              <w:ind w:right="520"/>
              <w:spacing w:after="0"/>
              <w:rPr>
                <w:sz w:val="20"/>
                <w:szCs w:val="20"/>
                <w:color w:val="auto"/>
              </w:rPr>
            </w:pPr>
            <w:r>
              <w:rPr>
                <w:rFonts w:ascii="Arial" w:cs="Arial" w:eastAsia="Arial" w:hAnsi="Arial"/>
                <w:sz w:val="18"/>
                <w:szCs w:val="18"/>
                <w:color w:val="auto"/>
              </w:rPr>
              <w:t>51</w:t>
            </w:r>
          </w:p>
        </w:tc>
        <w:tc>
          <w:tcPr>
            <w:tcW w:w="1140" w:type="dxa"/>
            <w:vAlign w:val="bottom"/>
            <w:gridSpan w:val="2"/>
          </w:tcPr>
          <w:p>
            <w:pPr>
              <w:jc w:val="right"/>
              <w:ind w:right="260"/>
              <w:spacing w:after="0"/>
              <w:rPr>
                <w:sz w:val="20"/>
                <w:szCs w:val="20"/>
                <w:color w:val="auto"/>
              </w:rPr>
            </w:pPr>
            <w:r>
              <w:rPr>
                <w:rFonts w:ascii="Arial" w:cs="Arial" w:eastAsia="Arial" w:hAnsi="Arial"/>
                <w:sz w:val="18"/>
                <w:szCs w:val="18"/>
                <w:color w:val="auto"/>
              </w:rPr>
              <w:t>45</w:t>
            </w:r>
          </w:p>
        </w:tc>
        <w:tc>
          <w:tcPr>
            <w:tcW w:w="1620" w:type="dxa"/>
            <w:vAlign w:val="bottom"/>
            <w:gridSpan w:val="3"/>
          </w:tcPr>
          <w:p>
            <w:pPr>
              <w:jc w:val="right"/>
              <w:ind w:right="520"/>
              <w:spacing w:after="0"/>
              <w:rPr>
                <w:sz w:val="20"/>
                <w:szCs w:val="20"/>
                <w:color w:val="auto"/>
              </w:rPr>
            </w:pPr>
            <w:r>
              <w:rPr>
                <w:rFonts w:ascii="Arial" w:cs="Arial" w:eastAsia="Arial" w:hAnsi="Arial"/>
                <w:sz w:val="18"/>
                <w:szCs w:val="18"/>
                <w:color w:val="auto"/>
              </w:rPr>
              <w:t>38</w:t>
            </w:r>
          </w:p>
        </w:tc>
        <w:tc>
          <w:tcPr>
            <w:tcW w:w="1160" w:type="dxa"/>
            <w:vAlign w:val="bottom"/>
            <w:gridSpan w:val="2"/>
          </w:tcPr>
          <w:p>
            <w:pPr>
              <w:jc w:val="right"/>
              <w:ind w:right="520"/>
              <w:spacing w:after="0"/>
              <w:rPr>
                <w:sz w:val="20"/>
                <w:szCs w:val="20"/>
                <w:color w:val="auto"/>
              </w:rPr>
            </w:pPr>
            <w:r>
              <w:rPr>
                <w:rFonts w:ascii="Arial" w:cs="Arial" w:eastAsia="Arial" w:hAnsi="Arial"/>
                <w:sz w:val="18"/>
                <w:szCs w:val="18"/>
                <w:color w:val="auto"/>
              </w:rPr>
              <w:t>38</w:t>
            </w:r>
          </w:p>
        </w:tc>
        <w:tc>
          <w:tcPr>
            <w:tcW w:w="1040" w:type="dxa"/>
            <w:vAlign w:val="bottom"/>
            <w:gridSpan w:val="2"/>
          </w:tcPr>
          <w:p>
            <w:pPr>
              <w:jc w:val="right"/>
              <w:ind w:right="520"/>
              <w:spacing w:after="0"/>
              <w:rPr>
                <w:sz w:val="20"/>
                <w:szCs w:val="20"/>
                <w:color w:val="auto"/>
              </w:rPr>
            </w:pPr>
            <w:r>
              <w:rPr>
                <w:rFonts w:ascii="Arial" w:cs="Arial" w:eastAsia="Arial" w:hAnsi="Arial"/>
                <w:sz w:val="18"/>
                <w:szCs w:val="18"/>
                <w:color w:val="auto"/>
              </w:rPr>
              <w:t>35</w:t>
            </w:r>
          </w:p>
        </w:tc>
        <w:tc>
          <w:tcPr>
            <w:tcW w:w="1140" w:type="dxa"/>
            <w:vAlign w:val="bottom"/>
            <w:gridSpan w:val="2"/>
          </w:tcPr>
          <w:p>
            <w:pPr>
              <w:jc w:val="right"/>
              <w:ind w:right="260"/>
              <w:spacing w:after="0"/>
              <w:rPr>
                <w:sz w:val="20"/>
                <w:szCs w:val="20"/>
                <w:color w:val="auto"/>
              </w:rPr>
            </w:pPr>
            <w:r>
              <w:rPr>
                <w:rFonts w:ascii="Arial" w:cs="Arial" w:eastAsia="Arial" w:hAnsi="Arial"/>
                <w:sz w:val="18"/>
                <w:szCs w:val="18"/>
                <w:color w:val="auto"/>
              </w:rPr>
              <w:t>32</w:t>
            </w:r>
          </w:p>
        </w:tc>
      </w:tr>
      <w:tr>
        <w:trPr>
          <w:trHeight w:val="27"/>
        </w:trPr>
        <w:tc>
          <w:tcPr>
            <w:tcW w:w="296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52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520" w:type="dxa"/>
            <w:vAlign w:val="bottom"/>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260" w:type="dxa"/>
            <w:vAlign w:val="bottom"/>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52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520" w:type="dxa"/>
            <w:vAlign w:val="bottom"/>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520" w:type="dxa"/>
            <w:vAlign w:val="bottom"/>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r>
      <w:tr>
        <w:trPr>
          <w:trHeight w:val="216"/>
        </w:trPr>
        <w:tc>
          <w:tcPr>
            <w:tcW w:w="2960" w:type="dxa"/>
            <w:vAlign w:val="bottom"/>
            <w:shd w:val="clear" w:color="auto" w:fill="CCEEFF"/>
          </w:tcPr>
          <w:p>
            <w:pPr>
              <w:spacing w:after="0"/>
              <w:rPr>
                <w:sz w:val="20"/>
                <w:szCs w:val="20"/>
                <w:color w:val="auto"/>
              </w:rPr>
            </w:pPr>
            <w:r>
              <w:rPr>
                <w:rFonts w:ascii="Arial" w:cs="Arial" w:eastAsia="Arial" w:hAnsi="Arial"/>
                <w:sz w:val="18"/>
                <w:szCs w:val="18"/>
                <w:color w:val="auto"/>
              </w:rPr>
              <w:t>Gross margin</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w:t>
            </w:r>
          </w:p>
        </w:tc>
        <w:tc>
          <w:tcPr>
            <w:tcW w:w="5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49</w:t>
            </w:r>
          </w:p>
        </w:tc>
        <w:tc>
          <w:tcPr>
            <w:tcW w:w="11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55</w:t>
            </w:r>
          </w:p>
        </w:tc>
        <w:tc>
          <w:tcPr>
            <w:tcW w:w="1620" w:type="dxa"/>
            <w:vAlign w:val="bottom"/>
            <w:gridSpan w:val="3"/>
            <w:shd w:val="clear" w:color="auto" w:fill="CCEEFF"/>
          </w:tcPr>
          <w:p>
            <w:pPr>
              <w:jc w:val="right"/>
              <w:ind w:right="520"/>
              <w:spacing w:after="0"/>
              <w:rPr>
                <w:sz w:val="20"/>
                <w:szCs w:val="20"/>
                <w:color w:val="auto"/>
              </w:rPr>
            </w:pPr>
            <w:r>
              <w:rPr>
                <w:rFonts w:ascii="Arial" w:cs="Arial" w:eastAsia="Arial" w:hAnsi="Arial"/>
                <w:sz w:val="18"/>
                <w:szCs w:val="18"/>
                <w:color w:val="auto"/>
              </w:rPr>
              <w:t>62</w:t>
            </w:r>
          </w:p>
        </w:tc>
        <w:tc>
          <w:tcPr>
            <w:tcW w:w="116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62</w:t>
            </w:r>
          </w:p>
        </w:tc>
        <w:tc>
          <w:tcPr>
            <w:tcW w:w="104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65</w:t>
            </w:r>
          </w:p>
        </w:tc>
        <w:tc>
          <w:tcPr>
            <w:tcW w:w="11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68</w:t>
            </w:r>
          </w:p>
        </w:tc>
      </w:tr>
      <w:tr>
        <w:trPr>
          <w:trHeight w:val="216"/>
        </w:trPr>
        <w:tc>
          <w:tcPr>
            <w:tcW w:w="2960" w:type="dxa"/>
            <w:vAlign w:val="bottom"/>
          </w:tcPr>
          <w:p>
            <w:pPr>
              <w:spacing w:after="0"/>
              <w:rPr>
                <w:sz w:val="20"/>
                <w:szCs w:val="20"/>
                <w:color w:val="auto"/>
              </w:rPr>
            </w:pPr>
            <w:r>
              <w:rPr>
                <w:rFonts w:ascii="Arial" w:cs="Arial" w:eastAsia="Arial" w:hAnsi="Arial"/>
                <w:sz w:val="18"/>
                <w:szCs w:val="18"/>
                <w:color w:val="auto"/>
              </w:rPr>
              <w:t>Operating expenses:</w:t>
            </w:r>
          </w:p>
        </w:tc>
        <w:tc>
          <w:tcPr>
            <w:tcW w:w="6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60" w:type="dxa"/>
            <w:vAlign w:val="bottom"/>
          </w:tcPr>
          <w:p>
            <w:pPr>
              <w:spacing w:after="0"/>
              <w:rPr>
                <w:sz w:val="18"/>
                <w:szCs w:val="18"/>
                <w:color w:val="auto"/>
              </w:rPr>
            </w:pPr>
          </w:p>
        </w:tc>
      </w:tr>
      <w:tr>
        <w:trPr>
          <w:trHeight w:val="216"/>
        </w:trPr>
        <w:tc>
          <w:tcPr>
            <w:tcW w:w="29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Research and development</w:t>
            </w:r>
          </w:p>
        </w:tc>
        <w:tc>
          <w:tcPr>
            <w:tcW w:w="116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37</w:t>
            </w:r>
          </w:p>
        </w:tc>
        <w:tc>
          <w:tcPr>
            <w:tcW w:w="102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36</w:t>
            </w:r>
          </w:p>
        </w:tc>
        <w:tc>
          <w:tcPr>
            <w:tcW w:w="11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34</w:t>
            </w:r>
          </w:p>
        </w:tc>
        <w:tc>
          <w:tcPr>
            <w:tcW w:w="1620" w:type="dxa"/>
            <w:vAlign w:val="bottom"/>
            <w:gridSpan w:val="3"/>
            <w:shd w:val="clear" w:color="auto" w:fill="CCEEFF"/>
          </w:tcPr>
          <w:p>
            <w:pPr>
              <w:jc w:val="right"/>
              <w:ind w:right="520"/>
              <w:spacing w:after="0"/>
              <w:rPr>
                <w:sz w:val="20"/>
                <w:szCs w:val="20"/>
                <w:color w:val="auto"/>
              </w:rPr>
            </w:pPr>
            <w:r>
              <w:rPr>
                <w:rFonts w:ascii="Arial" w:cs="Arial" w:eastAsia="Arial" w:hAnsi="Arial"/>
                <w:sz w:val="18"/>
                <w:szCs w:val="18"/>
                <w:color w:val="auto"/>
              </w:rPr>
              <w:t>31</w:t>
            </w:r>
          </w:p>
        </w:tc>
        <w:tc>
          <w:tcPr>
            <w:tcW w:w="116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36</w:t>
            </w:r>
          </w:p>
        </w:tc>
        <w:tc>
          <w:tcPr>
            <w:tcW w:w="104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34</w:t>
            </w:r>
          </w:p>
        </w:tc>
        <w:tc>
          <w:tcPr>
            <w:tcW w:w="11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34</w:t>
            </w:r>
          </w:p>
        </w:tc>
      </w:tr>
      <w:tr>
        <w:trPr>
          <w:trHeight w:val="216"/>
        </w:trPr>
        <w:tc>
          <w:tcPr>
            <w:tcW w:w="2960" w:type="dxa"/>
            <w:vAlign w:val="bottom"/>
          </w:tcPr>
          <w:p>
            <w:pPr>
              <w:ind w:left="360"/>
              <w:spacing w:after="0"/>
              <w:rPr>
                <w:sz w:val="20"/>
                <w:szCs w:val="20"/>
                <w:color w:val="auto"/>
              </w:rPr>
            </w:pPr>
            <w:r>
              <w:rPr>
                <w:rFonts w:ascii="Arial" w:cs="Arial" w:eastAsia="Arial" w:hAnsi="Arial"/>
                <w:sz w:val="18"/>
                <w:szCs w:val="18"/>
                <w:color w:val="auto"/>
              </w:rPr>
              <w:t>Sales and marketing</w:t>
            </w:r>
          </w:p>
        </w:tc>
        <w:tc>
          <w:tcPr>
            <w:tcW w:w="1160" w:type="dxa"/>
            <w:vAlign w:val="bottom"/>
            <w:gridSpan w:val="2"/>
          </w:tcPr>
          <w:p>
            <w:pPr>
              <w:jc w:val="right"/>
              <w:ind w:right="520"/>
              <w:spacing w:after="0"/>
              <w:rPr>
                <w:sz w:val="20"/>
                <w:szCs w:val="20"/>
                <w:color w:val="auto"/>
              </w:rPr>
            </w:pPr>
            <w:r>
              <w:rPr>
                <w:rFonts w:ascii="Arial" w:cs="Arial" w:eastAsia="Arial" w:hAnsi="Arial"/>
                <w:sz w:val="18"/>
                <w:szCs w:val="18"/>
                <w:color w:val="auto"/>
              </w:rPr>
              <w:t>40</w:t>
            </w:r>
          </w:p>
        </w:tc>
        <w:tc>
          <w:tcPr>
            <w:tcW w:w="1020" w:type="dxa"/>
            <w:vAlign w:val="bottom"/>
            <w:gridSpan w:val="2"/>
          </w:tcPr>
          <w:p>
            <w:pPr>
              <w:jc w:val="right"/>
              <w:ind w:right="520"/>
              <w:spacing w:after="0"/>
              <w:rPr>
                <w:sz w:val="20"/>
                <w:szCs w:val="20"/>
                <w:color w:val="auto"/>
              </w:rPr>
            </w:pPr>
            <w:r>
              <w:rPr>
                <w:rFonts w:ascii="Arial" w:cs="Arial" w:eastAsia="Arial" w:hAnsi="Arial"/>
                <w:sz w:val="18"/>
                <w:szCs w:val="18"/>
                <w:color w:val="auto"/>
              </w:rPr>
              <w:t>29</w:t>
            </w:r>
          </w:p>
        </w:tc>
        <w:tc>
          <w:tcPr>
            <w:tcW w:w="1140" w:type="dxa"/>
            <w:vAlign w:val="bottom"/>
            <w:gridSpan w:val="2"/>
          </w:tcPr>
          <w:p>
            <w:pPr>
              <w:jc w:val="right"/>
              <w:ind w:right="260"/>
              <w:spacing w:after="0"/>
              <w:rPr>
                <w:sz w:val="20"/>
                <w:szCs w:val="20"/>
                <w:color w:val="auto"/>
              </w:rPr>
            </w:pPr>
            <w:r>
              <w:rPr>
                <w:rFonts w:ascii="Arial" w:cs="Arial" w:eastAsia="Arial" w:hAnsi="Arial"/>
                <w:sz w:val="18"/>
                <w:szCs w:val="18"/>
                <w:color w:val="auto"/>
              </w:rPr>
              <w:t>25</w:t>
            </w:r>
          </w:p>
        </w:tc>
        <w:tc>
          <w:tcPr>
            <w:tcW w:w="1620" w:type="dxa"/>
            <w:vAlign w:val="bottom"/>
            <w:gridSpan w:val="3"/>
          </w:tcPr>
          <w:p>
            <w:pPr>
              <w:jc w:val="right"/>
              <w:ind w:right="520"/>
              <w:spacing w:after="0"/>
              <w:rPr>
                <w:sz w:val="20"/>
                <w:szCs w:val="20"/>
                <w:color w:val="auto"/>
              </w:rPr>
            </w:pPr>
            <w:r>
              <w:rPr>
                <w:rFonts w:ascii="Arial" w:cs="Arial" w:eastAsia="Arial" w:hAnsi="Arial"/>
                <w:sz w:val="18"/>
                <w:szCs w:val="18"/>
                <w:color w:val="auto"/>
              </w:rPr>
              <w:t>27</w:t>
            </w:r>
          </w:p>
        </w:tc>
        <w:tc>
          <w:tcPr>
            <w:tcW w:w="1160" w:type="dxa"/>
            <w:vAlign w:val="bottom"/>
            <w:gridSpan w:val="2"/>
          </w:tcPr>
          <w:p>
            <w:pPr>
              <w:jc w:val="right"/>
              <w:ind w:right="520"/>
              <w:spacing w:after="0"/>
              <w:rPr>
                <w:sz w:val="20"/>
                <w:szCs w:val="20"/>
                <w:color w:val="auto"/>
              </w:rPr>
            </w:pPr>
            <w:r>
              <w:rPr>
                <w:rFonts w:ascii="Arial" w:cs="Arial" w:eastAsia="Arial" w:hAnsi="Arial"/>
                <w:sz w:val="18"/>
                <w:szCs w:val="18"/>
                <w:color w:val="auto"/>
              </w:rPr>
              <w:t>27</w:t>
            </w:r>
          </w:p>
        </w:tc>
        <w:tc>
          <w:tcPr>
            <w:tcW w:w="1040" w:type="dxa"/>
            <w:vAlign w:val="bottom"/>
            <w:gridSpan w:val="2"/>
          </w:tcPr>
          <w:p>
            <w:pPr>
              <w:jc w:val="right"/>
              <w:ind w:right="520"/>
              <w:spacing w:after="0"/>
              <w:rPr>
                <w:sz w:val="20"/>
                <w:szCs w:val="20"/>
                <w:color w:val="auto"/>
              </w:rPr>
            </w:pPr>
            <w:r>
              <w:rPr>
                <w:rFonts w:ascii="Arial" w:cs="Arial" w:eastAsia="Arial" w:hAnsi="Arial"/>
                <w:sz w:val="18"/>
                <w:szCs w:val="18"/>
                <w:color w:val="auto"/>
              </w:rPr>
              <w:t>26</w:t>
            </w:r>
          </w:p>
        </w:tc>
        <w:tc>
          <w:tcPr>
            <w:tcW w:w="1140" w:type="dxa"/>
            <w:vAlign w:val="bottom"/>
            <w:gridSpan w:val="2"/>
          </w:tcPr>
          <w:p>
            <w:pPr>
              <w:jc w:val="right"/>
              <w:ind w:right="260"/>
              <w:spacing w:after="0"/>
              <w:rPr>
                <w:sz w:val="20"/>
                <w:szCs w:val="20"/>
                <w:color w:val="auto"/>
              </w:rPr>
            </w:pPr>
            <w:r>
              <w:rPr>
                <w:rFonts w:ascii="Arial" w:cs="Arial" w:eastAsia="Arial" w:hAnsi="Arial"/>
                <w:sz w:val="18"/>
                <w:szCs w:val="18"/>
                <w:color w:val="auto"/>
              </w:rPr>
              <w:t>26</w:t>
            </w:r>
          </w:p>
        </w:tc>
      </w:tr>
      <w:tr>
        <w:trPr>
          <w:trHeight w:val="216"/>
        </w:trPr>
        <w:tc>
          <w:tcPr>
            <w:tcW w:w="29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General and administrative</w:t>
            </w:r>
          </w:p>
        </w:tc>
        <w:tc>
          <w:tcPr>
            <w:tcW w:w="116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14</w:t>
            </w:r>
          </w:p>
        </w:tc>
        <w:tc>
          <w:tcPr>
            <w:tcW w:w="102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9</w:t>
            </w:r>
          </w:p>
        </w:tc>
        <w:tc>
          <w:tcPr>
            <w:tcW w:w="11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15</w:t>
            </w:r>
          </w:p>
        </w:tc>
        <w:tc>
          <w:tcPr>
            <w:tcW w:w="1620" w:type="dxa"/>
            <w:vAlign w:val="bottom"/>
            <w:gridSpan w:val="3"/>
            <w:shd w:val="clear" w:color="auto" w:fill="CCEEFF"/>
          </w:tcPr>
          <w:p>
            <w:pPr>
              <w:jc w:val="right"/>
              <w:ind w:right="520"/>
              <w:spacing w:after="0"/>
              <w:rPr>
                <w:sz w:val="20"/>
                <w:szCs w:val="20"/>
                <w:color w:val="auto"/>
              </w:rPr>
            </w:pPr>
            <w:r>
              <w:rPr>
                <w:rFonts w:ascii="Arial" w:cs="Arial" w:eastAsia="Arial" w:hAnsi="Arial"/>
                <w:sz w:val="18"/>
                <w:szCs w:val="18"/>
                <w:color w:val="auto"/>
              </w:rPr>
              <w:t>13</w:t>
            </w:r>
          </w:p>
        </w:tc>
        <w:tc>
          <w:tcPr>
            <w:tcW w:w="116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13</w:t>
            </w:r>
          </w:p>
        </w:tc>
        <w:tc>
          <w:tcPr>
            <w:tcW w:w="104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16</w:t>
            </w:r>
          </w:p>
        </w:tc>
        <w:tc>
          <w:tcPr>
            <w:tcW w:w="11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14</w:t>
            </w:r>
          </w:p>
        </w:tc>
      </w:tr>
      <w:tr>
        <w:trPr>
          <w:trHeight w:val="230"/>
        </w:trPr>
        <w:tc>
          <w:tcPr>
            <w:tcW w:w="2960" w:type="dxa"/>
            <w:vAlign w:val="bottom"/>
          </w:tcPr>
          <w:p>
            <w:pPr>
              <w:spacing w:after="0"/>
              <w:rPr>
                <w:sz w:val="20"/>
                <w:szCs w:val="20"/>
                <w:color w:val="auto"/>
              </w:rPr>
            </w:pPr>
            <w:r>
              <w:rPr>
                <w:rFonts w:ascii="Arial" w:cs="Arial" w:eastAsia="Arial" w:hAnsi="Arial"/>
                <w:sz w:val="18"/>
                <w:szCs w:val="18"/>
                <w:color w:val="auto"/>
              </w:rPr>
              <w:t>Total operating expenses</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90</w:t>
            </w:r>
          </w:p>
        </w:tc>
        <w:tc>
          <w:tcPr>
            <w:tcW w:w="520" w:type="dxa"/>
            <w:vAlign w:val="bottom"/>
          </w:tcPr>
          <w:p>
            <w:pPr>
              <w:spacing w:after="0"/>
              <w:rPr>
                <w:sz w:val="20"/>
                <w:szCs w:val="20"/>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74</w:t>
            </w:r>
          </w:p>
        </w:tc>
        <w:tc>
          <w:tcPr>
            <w:tcW w:w="520" w:type="dxa"/>
            <w:vAlign w:val="bottom"/>
          </w:tcPr>
          <w:p>
            <w:pPr>
              <w:spacing w:after="0"/>
              <w:rPr>
                <w:sz w:val="20"/>
                <w:szCs w:val="20"/>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74</w:t>
            </w:r>
          </w:p>
        </w:tc>
        <w:tc>
          <w:tcPr>
            <w:tcW w:w="2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71</w:t>
            </w:r>
          </w:p>
        </w:tc>
        <w:tc>
          <w:tcPr>
            <w:tcW w:w="520" w:type="dxa"/>
            <w:vAlign w:val="bottom"/>
          </w:tcPr>
          <w:p>
            <w:pPr>
              <w:spacing w:after="0"/>
              <w:rPr>
                <w:sz w:val="20"/>
                <w:szCs w:val="20"/>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76</w:t>
            </w:r>
          </w:p>
        </w:tc>
        <w:tc>
          <w:tcPr>
            <w:tcW w:w="520" w:type="dxa"/>
            <w:vAlign w:val="bottom"/>
          </w:tcPr>
          <w:p>
            <w:pPr>
              <w:spacing w:after="0"/>
              <w:rPr>
                <w:sz w:val="20"/>
                <w:szCs w:val="20"/>
                <w:color w:val="auto"/>
              </w:rPr>
            </w:pPr>
          </w:p>
        </w:tc>
        <w:tc>
          <w:tcPr>
            <w:tcW w:w="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75</w:t>
            </w:r>
          </w:p>
        </w:tc>
        <w:tc>
          <w:tcPr>
            <w:tcW w:w="520" w:type="dxa"/>
            <w:vAlign w:val="bottom"/>
          </w:tcPr>
          <w:p>
            <w:pPr>
              <w:spacing w:after="0"/>
              <w:rPr>
                <w:sz w:val="20"/>
                <w:szCs w:val="20"/>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74</w:t>
            </w:r>
          </w:p>
        </w:tc>
        <w:tc>
          <w:tcPr>
            <w:tcW w:w="260" w:type="dxa"/>
            <w:vAlign w:val="bottom"/>
          </w:tcPr>
          <w:p>
            <w:pPr>
              <w:spacing w:after="0"/>
              <w:rPr>
                <w:sz w:val="20"/>
                <w:szCs w:val="20"/>
                <w:color w:val="auto"/>
              </w:rPr>
            </w:pPr>
          </w:p>
        </w:tc>
      </w:tr>
      <w:tr>
        <w:trPr>
          <w:trHeight w:val="216"/>
        </w:trPr>
        <w:tc>
          <w:tcPr>
            <w:tcW w:w="2960" w:type="dxa"/>
            <w:vAlign w:val="bottom"/>
            <w:shd w:val="clear" w:color="auto" w:fill="CCEEFF"/>
          </w:tcPr>
          <w:p>
            <w:pPr>
              <w:spacing w:after="0"/>
              <w:rPr>
                <w:sz w:val="20"/>
                <w:szCs w:val="20"/>
                <w:color w:val="auto"/>
              </w:rPr>
            </w:pPr>
            <w:r>
              <w:rPr>
                <w:rFonts w:ascii="Arial" w:cs="Arial" w:eastAsia="Arial" w:hAnsi="Arial"/>
                <w:sz w:val="18"/>
                <w:szCs w:val="18"/>
                <w:color w:val="auto"/>
              </w:rPr>
              <w:t>Loss from operations</w:t>
            </w:r>
          </w:p>
        </w:tc>
        <w:tc>
          <w:tcPr>
            <w:tcW w:w="11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(44)%</w:t>
            </w:r>
          </w:p>
        </w:tc>
        <w:tc>
          <w:tcPr>
            <w:tcW w:w="10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(25)%</w:t>
            </w:r>
          </w:p>
        </w:tc>
        <w:tc>
          <w:tcPr>
            <w:tcW w:w="11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(19)%</w:t>
            </w:r>
          </w:p>
        </w:tc>
        <w:tc>
          <w:tcPr>
            <w:tcW w:w="162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(8)%</w:t>
            </w:r>
          </w:p>
        </w:tc>
        <w:tc>
          <w:tcPr>
            <w:tcW w:w="11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(13)%</w:t>
            </w:r>
          </w:p>
        </w:tc>
        <w:tc>
          <w:tcPr>
            <w:tcW w:w="10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(10)%</w:t>
            </w:r>
          </w:p>
        </w:tc>
        <w:tc>
          <w:tcPr>
            <w:tcW w:w="11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w:t>
            </w:r>
          </w:p>
        </w:tc>
      </w:tr>
      <w:tr>
        <w:trPr>
          <w:trHeight w:val="20"/>
        </w:trPr>
        <w:tc>
          <w:tcPr>
            <w:tcW w:w="296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r>
    </w:tbl>
    <w:p>
      <w:pPr>
        <w:spacing w:after="0" w:line="323"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Quarterly revenue trends</w:t>
      </w:r>
    </w:p>
    <w:p>
      <w:pPr>
        <w:spacing w:after="0" w:line="117" w:lineRule="exact"/>
        <w:rPr>
          <w:sz w:val="20"/>
          <w:szCs w:val="20"/>
          <w:color w:val="auto"/>
        </w:rPr>
      </w:pPr>
    </w:p>
    <w:p>
      <w:pPr>
        <w:ind w:right="380" w:firstLine="449"/>
        <w:spacing w:after="0" w:line="277" w:lineRule="auto"/>
        <w:rPr>
          <w:sz w:val="20"/>
          <w:szCs w:val="20"/>
          <w:color w:val="auto"/>
        </w:rPr>
      </w:pPr>
      <w:r>
        <w:rPr>
          <w:rFonts w:ascii="Arial" w:cs="Arial" w:eastAsia="Arial" w:hAnsi="Arial"/>
          <w:sz w:val="18"/>
          <w:szCs w:val="18"/>
          <w:color w:val="auto"/>
        </w:rPr>
        <w:t>Our revenue increased sequentially in each of the quarters presented primarily due to increases in the number of paying users. Seasonality in our revenue is not material.</w:t>
      </w:r>
    </w:p>
    <w:p>
      <w:pPr>
        <w:spacing w:after="0" w:line="278"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Quarterly cost of revenue and gross margin trends</w:t>
      </w:r>
    </w:p>
    <w:p>
      <w:pPr>
        <w:spacing w:after="0" w:line="117" w:lineRule="exact"/>
        <w:rPr>
          <w:sz w:val="20"/>
          <w:szCs w:val="20"/>
          <w:color w:val="auto"/>
        </w:rPr>
      </w:pPr>
    </w:p>
    <w:p>
      <w:pPr>
        <w:ind w:right="80" w:firstLine="449"/>
        <w:spacing w:after="0" w:line="277" w:lineRule="auto"/>
        <w:rPr>
          <w:sz w:val="20"/>
          <w:szCs w:val="20"/>
          <w:color w:val="auto"/>
        </w:rPr>
      </w:pPr>
      <w:r>
        <w:rPr>
          <w:rFonts w:ascii="Arial" w:cs="Arial" w:eastAsia="Arial" w:hAnsi="Arial"/>
          <w:sz w:val="18"/>
          <w:szCs w:val="18"/>
          <w:color w:val="auto"/>
        </w:rPr>
        <w:t>Our cost of revenue fluctuated in each of the quarters presented primarily due to the timing of our Infrastructure Optimization, which combined with increases in our revenue caused our gross margins to increase or remain constant.</w:t>
      </w:r>
    </w:p>
    <w:p>
      <w:pPr>
        <w:spacing w:after="0" w:line="278"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Quarterly operating expense trends</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6"/>
          <w:szCs w:val="16"/>
          <w:color w:val="auto"/>
        </w:rPr>
        <w:t>Except for the three months ended June 30, 2016, our total quarterly operating expenses increased sequentially in the quarters presented primarily</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due to headcount growth in connection with the expansion of our business and other events that are discussed herein. Our research and development</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expenses increased at a faster rate during the three months ended March 31, 2017, comparatively to other quarters, primarily due to headcount growth and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employee-related costs. Our sales and marketing expenses generally increased in the quarters presented primarily due to employee-related expenses and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brand advertising expenses. The sequential decline during the three months ended June 30, 2016, was due to a stock-based compensation charge of</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$18.8 million related to the modification of an executive stock grant recorded in the three months ended March 31, 2016. The sequential decline during the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three months ended September 30, 2016, was due to a decrease in brand advertising expenses during the period. Our general and administrative expenses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fluctuated in the quarters presented, primarily due to increases in employee-related expenses and legal, accounting, and other professional fees. Our general</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and administrative expenses for certain quarters included certain charges and benefits as follows: our general and administrative expenses for the three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months ended June 30, 2016, included a benefit of $12.4 million resulting from a non-income based tax ruling, and our general and administrative expenses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for the three months ended June 30, 2017, included expense of $9.4 million for a non-cash charitable donation of shares of our common stock as initial</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funding for the Dropbox Charitable Foundation.</w:t>
      </w:r>
    </w:p>
    <w:p>
      <w:pPr>
        <w:spacing w:after="0" w:line="3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121" w:lineRule="exact"/>
        <w:rPr>
          <w:sz w:val="20"/>
          <w:szCs w:val="20"/>
          <w:color w:val="auto"/>
        </w:rPr>
      </w:pPr>
    </w:p>
    <w:p>
      <w:pPr>
        <w:ind w:right="60" w:firstLine="449"/>
        <w:spacing w:after="0" w:line="263" w:lineRule="auto"/>
        <w:rPr>
          <w:sz w:val="20"/>
          <w:szCs w:val="20"/>
          <w:color w:val="auto"/>
        </w:rPr>
      </w:pPr>
      <w:r>
        <w:rPr>
          <w:rFonts w:ascii="Arial" w:cs="Arial" w:eastAsia="Arial" w:hAnsi="Arial"/>
          <w:sz w:val="18"/>
          <w:szCs w:val="18"/>
          <w:color w:val="auto"/>
        </w:rPr>
        <w:t>As of September 30, 2017, we had cash and cash equivalents of $422.7 million. Our cash and cash equivalents consist primarily of cash and money market funds. As of September 30, 2017, we had $87.1 million of our cash and cash equivalents held by our foreign subsidiaries. We do not expect to incur material taxes in the event we repatriate any of these amounts.</w:t>
      </w:r>
    </w:p>
    <w:p>
      <w:pPr>
        <w:spacing w:after="0" w:line="1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74</w:t>
      </w:r>
    </w:p>
    <w:p>
      <w:pPr>
        <w:sectPr>
          <w:pgSz w:w="11900" w:h="16838" w:orient="portrait"/>
          <w:cols w:equalWidth="0" w:num="1">
            <w:col w:w="11240"/>
          </w:cols>
          <w:pgMar w:left="320" w:top="459" w:right="339" w:bottom="1440" w:gutter="0" w:footer="0" w:header="0"/>
        </w:sectPr>
      </w:pPr>
    </w:p>
    <w:bookmarkStart w:id="77" w:name="page78"/>
    <w:bookmarkEnd w:id="7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right="40" w:firstLine="449"/>
        <w:spacing w:after="0" w:line="301" w:lineRule="auto"/>
        <w:rPr>
          <w:sz w:val="20"/>
          <w:szCs w:val="20"/>
          <w:color w:val="auto"/>
        </w:rPr>
      </w:pPr>
      <w:r>
        <w:rPr>
          <w:rFonts w:ascii="Arial" w:cs="Arial" w:eastAsia="Arial" w:hAnsi="Arial"/>
          <w:sz w:val="16"/>
          <w:szCs w:val="16"/>
          <w:color w:val="auto"/>
        </w:rPr>
        <w:t>Since our inception, we have financed our operations primarily through equity issuances, cash generated from our operations, and capital leases to finance infrastructure-related assets in co-location facilities that we directly lease and operate. We enter into capital leases in part to better match the timing of payments for infrastructure-related assets with that of cash received from our paying users. In our business model, some of our registered users convert to paying users over time, and consequently there is a lag between initial investment in infrastructure assets and cash received from some of our users.</w:t>
      </w:r>
    </w:p>
    <w:p>
      <w:pPr>
        <w:spacing w:after="0" w:line="157" w:lineRule="exact"/>
        <w:rPr>
          <w:sz w:val="20"/>
          <w:szCs w:val="20"/>
          <w:color w:val="auto"/>
        </w:rPr>
      </w:pPr>
    </w:p>
    <w:p>
      <w:pPr>
        <w:ind w:right="540" w:firstLine="449"/>
        <w:spacing w:after="0" w:line="308" w:lineRule="auto"/>
        <w:rPr>
          <w:sz w:val="20"/>
          <w:szCs w:val="20"/>
          <w:color w:val="auto"/>
        </w:rPr>
      </w:pPr>
      <w:r>
        <w:rPr>
          <w:rFonts w:ascii="Arial" w:cs="Arial" w:eastAsia="Arial" w:hAnsi="Arial"/>
          <w:sz w:val="17"/>
          <w:szCs w:val="17"/>
          <w:color w:val="auto"/>
        </w:rPr>
        <w:t>Our principal uses of cash in recent periods have been funding our operations, making principal payments on our capital lease obligations, the satisfaction of tax withholdings in connection with the settlement of restricted stock units, and making capital expenditures.</w:t>
      </w:r>
    </w:p>
    <w:p>
      <w:pPr>
        <w:spacing w:after="0" w:line="146" w:lineRule="exact"/>
        <w:rPr>
          <w:sz w:val="20"/>
          <w:szCs w:val="20"/>
          <w:color w:val="auto"/>
        </w:rPr>
      </w:pPr>
    </w:p>
    <w:p>
      <w:pPr>
        <w:ind w:right="60" w:firstLine="449"/>
        <w:spacing w:after="0" w:line="301" w:lineRule="auto"/>
        <w:rPr>
          <w:sz w:val="20"/>
          <w:szCs w:val="20"/>
          <w:color w:val="auto"/>
        </w:rPr>
      </w:pPr>
      <w:r>
        <w:rPr>
          <w:rFonts w:ascii="Arial" w:cs="Arial" w:eastAsia="Arial" w:hAnsi="Arial"/>
          <w:sz w:val="16"/>
          <w:szCs w:val="16"/>
          <w:color w:val="auto"/>
        </w:rPr>
        <w:t>In April 2017, we entered into a $600.0 million credit facility with a syndicate of financial institutions. The revolving credit facility has an accordion option, which, if exercised, would allow us to increase the aggregate commitments by up to $150.0 million, subject to obtaining additional lender commitments and satisfying certain conditions. Pursuant to the terms of the revolving credit facility, we may issue letters of credit under the revolving credit facility, which reduce the total amount available for borrowing under such facility. The revolving credit facility terminates on April 4, 2022.</w:t>
      </w:r>
    </w:p>
    <w:p>
      <w:pPr>
        <w:spacing w:after="0" w:line="157" w:lineRule="exact"/>
        <w:rPr>
          <w:sz w:val="20"/>
          <w:szCs w:val="20"/>
          <w:color w:val="auto"/>
        </w:rPr>
      </w:pPr>
    </w:p>
    <w:p>
      <w:pPr>
        <w:ind w:firstLine="449"/>
        <w:spacing w:after="0" w:line="255" w:lineRule="auto"/>
        <w:rPr>
          <w:sz w:val="20"/>
          <w:szCs w:val="20"/>
          <w:color w:val="auto"/>
        </w:rPr>
      </w:pPr>
      <w:r>
        <w:rPr>
          <w:rFonts w:ascii="Arial" w:cs="Arial" w:eastAsia="Arial" w:hAnsi="Arial"/>
          <w:sz w:val="18"/>
          <w:szCs w:val="18"/>
          <w:color w:val="auto"/>
        </w:rPr>
        <w:t>Interest on borrowings under the revolving credit facility accrues at a variable rate tied to the prime rate or the LIBOR rate, at our election. Interest is payable quarterly in arrears. Pursuant to the terms of the revolving credit facility, we are required to pay an annual commitment fee that accrues at a rate of 0.20% per annum on the unused portion of the borrowing commitments under the revolving credit facility. In addition, we are required to pay a fee in connection with letters of credit issued under the revolving credit facility that accrues at a rate of 1.5% per annum on the amount to be drawn under such letters of credit outstanding. There is an additional fronting fee of 0.125% per annum multiplied by the average aggregate daily maximum amount available to be drawn under all letters of credit.</w:t>
      </w:r>
    </w:p>
    <w:p>
      <w:pPr>
        <w:spacing w:after="0" w:line="192" w:lineRule="exact"/>
        <w:rPr>
          <w:sz w:val="20"/>
          <w:szCs w:val="20"/>
          <w:color w:val="auto"/>
        </w:rPr>
      </w:pPr>
    </w:p>
    <w:p>
      <w:pPr>
        <w:ind w:right="20" w:firstLine="449"/>
        <w:spacing w:after="0" w:line="279" w:lineRule="auto"/>
        <w:rPr>
          <w:sz w:val="20"/>
          <w:szCs w:val="20"/>
          <w:color w:val="auto"/>
        </w:rPr>
      </w:pPr>
      <w:r>
        <w:rPr>
          <w:rFonts w:ascii="Arial" w:cs="Arial" w:eastAsia="Arial" w:hAnsi="Arial"/>
          <w:sz w:val="17"/>
          <w:szCs w:val="17"/>
          <w:color w:val="auto"/>
        </w:rPr>
        <w:t>The revolving credit facility contains customary conditions to borrowing, events of default, and covenants, including covenants that restrict our ability to incur indebtedness, grant liens, make distributions to our holders or our subsidiaries’ equity interests, make investments, or engage in transactions with our affiliates. In addition, the revolving credit facility contains financial covenants, including a consolidated leverage ratio covenant and a minimum liquidity balance. We were in compliance with all covenants under the revolving credit facility as of September 30, 2017.</w:t>
      </w:r>
    </w:p>
    <w:p>
      <w:pPr>
        <w:spacing w:after="0" w:line="171" w:lineRule="exact"/>
        <w:rPr>
          <w:sz w:val="20"/>
          <w:szCs w:val="20"/>
          <w:color w:val="auto"/>
        </w:rPr>
      </w:pPr>
    </w:p>
    <w:p>
      <w:pPr>
        <w:ind w:right="260" w:firstLine="449"/>
        <w:spacing w:after="0" w:line="263" w:lineRule="auto"/>
        <w:rPr>
          <w:sz w:val="20"/>
          <w:szCs w:val="20"/>
          <w:color w:val="auto"/>
        </w:rPr>
      </w:pPr>
      <w:r>
        <w:rPr>
          <w:rFonts w:ascii="Arial" w:cs="Arial" w:eastAsia="Arial" w:hAnsi="Arial"/>
          <w:sz w:val="18"/>
          <w:szCs w:val="18"/>
          <w:color w:val="auto"/>
        </w:rPr>
        <w:t>As of September 30, 2017, we had no amounts outstanding under the revolving credit facility and an aggregate of $47.8 million in letters of credit outstanding under the revolving credit facility. Our total available borrowing capacity under the revolving credit facility was $552.2 million as of September 30, 2017.</w:t>
      </w:r>
    </w:p>
    <w:p>
      <w:pPr>
        <w:spacing w:after="0" w:line="184" w:lineRule="exact"/>
        <w:rPr>
          <w:sz w:val="20"/>
          <w:szCs w:val="20"/>
          <w:color w:val="auto"/>
        </w:rPr>
      </w:pPr>
    </w:p>
    <w:p>
      <w:pPr>
        <w:ind w:right="100" w:firstLine="449"/>
        <w:spacing w:after="0" w:line="269" w:lineRule="auto"/>
        <w:rPr>
          <w:sz w:val="20"/>
          <w:szCs w:val="20"/>
          <w:color w:val="auto"/>
        </w:rPr>
      </w:pPr>
      <w:r>
        <w:rPr>
          <w:rFonts w:ascii="Arial" w:cs="Arial" w:eastAsia="Arial" w:hAnsi="Arial"/>
          <w:sz w:val="17"/>
          <w:szCs w:val="17"/>
          <w:color w:val="auto"/>
        </w:rPr>
        <w:t>We believe our existing cash and cash equivalents, together with cash provided by operations and amounts available under the revolving credit facility, will be sufficient to meet our needs for the foreseeable future. Our future capital requirements will depend on many factors including our revenue growth rate, subscription renewal activity, billing frequency, the timing and extent of spending to support further infrastructure development and research and development efforts, the timing and extent of additional capital expenditures to invest in existing and new office spaces, such as our new corporate headquarters, the satisfaction of tax withholding obligations for the release of restricted stock units, the expansion of sales and marketing and international operation activities, the introduction of new product capabilities and enhancement of our platform, and the continuing market acceptance of our platform. We may in the future enter into arrangements to acquire or invest in complementary businesses, services, and technologies, including intellectual property rights. We may be required to seek additional equity or debt financing. In the event that additional financing is required from outside sources, we may not be able to raise it on terms acceptable to us or at all. If we are unable to raise additional capital when desired, our business, results of operations, and financial condition would be materially and adversely affected.</w:t>
      </w:r>
    </w:p>
    <w:p>
      <w:pPr>
        <w:spacing w:after="0" w:line="1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75</w:t>
      </w:r>
    </w:p>
    <w:p>
      <w:pPr>
        <w:sectPr>
          <w:pgSz w:w="11900" w:h="16838" w:orient="portrait"/>
          <w:cols w:equalWidth="0" w:num="1">
            <w:col w:w="11220"/>
          </w:cols>
          <w:pgMar w:left="320" w:top="459" w:right="359" w:bottom="1440" w:gutter="0" w:footer="0" w:header="0"/>
        </w:sectPr>
      </w:pPr>
    </w:p>
    <w:bookmarkStart w:id="78" w:name="page79"/>
    <w:bookmarkEnd w:id="7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Our cash flow activities were as follows for the periods presented:</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02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00" w:type="dxa"/>
            <w:vAlign w:val="bottom"/>
            <w:gridSpan w:val="5"/>
          </w:tcPr>
          <w:p>
            <w:pPr>
              <w:jc w:val="right"/>
              <w:ind w:right="660"/>
              <w:spacing w:after="0"/>
              <w:rPr>
                <w:sz w:val="20"/>
                <w:szCs w:val="20"/>
                <w:color w:val="auto"/>
              </w:rPr>
            </w:pPr>
            <w:r>
              <w:rPr>
                <w:rFonts w:ascii="Arial" w:cs="Arial" w:eastAsia="Arial" w:hAnsi="Arial"/>
                <w:sz w:val="14"/>
                <w:szCs w:val="14"/>
                <w:b w:val="1"/>
                <w:bCs w:val="1"/>
                <w:color w:val="auto"/>
              </w:rPr>
              <w:t>Year ended</w:t>
            </w: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60" w:type="dxa"/>
            <w:vAlign w:val="bottom"/>
            <w:gridSpan w:val="5"/>
          </w:tcPr>
          <w:p>
            <w:pPr>
              <w:jc w:val="right"/>
              <w:ind w:right="300"/>
              <w:spacing w:after="0"/>
              <w:rPr>
                <w:sz w:val="20"/>
                <w:szCs w:val="20"/>
                <w:color w:val="auto"/>
              </w:rPr>
            </w:pPr>
            <w:r>
              <w:rPr>
                <w:rFonts w:ascii="Arial" w:cs="Arial" w:eastAsia="Arial" w:hAnsi="Arial"/>
                <w:sz w:val="14"/>
                <w:szCs w:val="14"/>
                <w:b w:val="1"/>
                <w:bCs w:val="1"/>
                <w:color w:val="auto"/>
                <w:w w:val="95"/>
              </w:rPr>
              <w:t>Nine months ended</w:t>
            </w:r>
          </w:p>
        </w:tc>
      </w:tr>
      <w:tr>
        <w:trPr>
          <w:trHeight w:val="171"/>
        </w:trPr>
        <w:tc>
          <w:tcPr>
            <w:tcW w:w="602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00" w:type="dxa"/>
            <w:vAlign w:val="bottom"/>
            <w:gridSpan w:val="5"/>
          </w:tcPr>
          <w:p>
            <w:pPr>
              <w:jc w:val="right"/>
              <w:ind w:right="600"/>
              <w:spacing w:after="0"/>
              <w:rPr>
                <w:sz w:val="20"/>
                <w:szCs w:val="20"/>
                <w:color w:val="auto"/>
              </w:rPr>
            </w:pPr>
            <w:r>
              <w:rPr>
                <w:rFonts w:ascii="Arial" w:cs="Arial" w:eastAsia="Arial" w:hAnsi="Arial"/>
                <w:sz w:val="14"/>
                <w:szCs w:val="14"/>
                <w:b w:val="1"/>
                <w:bCs w:val="1"/>
                <w:color w:val="auto"/>
              </w:rPr>
              <w:t>December 31,</w:t>
            </w: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60" w:type="dxa"/>
            <w:vAlign w:val="bottom"/>
            <w:gridSpan w:val="5"/>
          </w:tcPr>
          <w:p>
            <w:pPr>
              <w:jc w:val="right"/>
              <w:ind w:right="440"/>
              <w:spacing w:after="0"/>
              <w:rPr>
                <w:sz w:val="20"/>
                <w:szCs w:val="20"/>
                <w:color w:val="auto"/>
              </w:rPr>
            </w:pPr>
            <w:r>
              <w:rPr>
                <w:rFonts w:ascii="Arial" w:cs="Arial" w:eastAsia="Arial" w:hAnsi="Arial"/>
                <w:sz w:val="14"/>
                <w:szCs w:val="14"/>
                <w:b w:val="1"/>
                <w:bCs w:val="1"/>
                <w:color w:val="auto"/>
              </w:rPr>
              <w:t>September 30,</w:t>
            </w:r>
          </w:p>
        </w:tc>
      </w:tr>
      <w:tr>
        <w:trPr>
          <w:trHeight w:val="142"/>
        </w:trPr>
        <w:tc>
          <w:tcPr>
            <w:tcW w:w="602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480" w:type="dxa"/>
            <w:vAlign w:val="bottom"/>
            <w:tcBorders>
              <w:top w:val="single" w:sz="8" w:color="auto"/>
              <w:bottom w:val="single" w:sz="8" w:color="auto"/>
            </w:tcBorders>
          </w:tcPr>
          <w:p>
            <w:pPr>
              <w:jc w:val="right"/>
              <w:ind w:right="57"/>
              <w:spacing w:after="0" w:line="142" w:lineRule="exact"/>
              <w:rPr>
                <w:sz w:val="20"/>
                <w:szCs w:val="20"/>
                <w:color w:val="auto"/>
              </w:rPr>
            </w:pPr>
            <w:r>
              <w:rPr>
                <w:rFonts w:ascii="Arial" w:cs="Arial" w:eastAsia="Arial" w:hAnsi="Arial"/>
                <w:sz w:val="14"/>
                <w:szCs w:val="14"/>
                <w:b w:val="1"/>
                <w:bCs w:val="1"/>
                <w:color w:val="auto"/>
              </w:rPr>
              <w:t>2015</w:t>
            </w:r>
          </w:p>
        </w:tc>
        <w:tc>
          <w:tcPr>
            <w:tcW w:w="420" w:type="dxa"/>
            <w:vAlign w:val="bottom"/>
            <w:tcBorders>
              <w:top w:val="single" w:sz="8" w:color="auto"/>
              <w:bottom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460" w:type="dxa"/>
            <w:vAlign w:val="bottom"/>
            <w:tcBorders>
              <w:top w:val="single" w:sz="8" w:color="auto"/>
              <w:bottom w:val="single" w:sz="8" w:color="auto"/>
            </w:tcBorders>
          </w:tcPr>
          <w:p>
            <w:pPr>
              <w:jc w:val="right"/>
              <w:ind w:right="55"/>
              <w:spacing w:after="0" w:line="142" w:lineRule="exact"/>
              <w:rPr>
                <w:sz w:val="20"/>
                <w:szCs w:val="20"/>
                <w:color w:val="auto"/>
              </w:rPr>
            </w:pPr>
            <w:r>
              <w:rPr>
                <w:rFonts w:ascii="Arial" w:cs="Arial" w:eastAsia="Arial" w:hAnsi="Arial"/>
                <w:sz w:val="14"/>
                <w:szCs w:val="14"/>
                <w:b w:val="1"/>
                <w:bCs w:val="1"/>
                <w:color w:val="auto"/>
                <w:w w:val="96"/>
              </w:rPr>
              <w:t>2016</w:t>
            </w:r>
          </w:p>
        </w:tc>
        <w:tc>
          <w:tcPr>
            <w:tcW w:w="240" w:type="dxa"/>
            <w:vAlign w:val="bottom"/>
            <w:tcBorders>
              <w:bottom w:val="single" w:sz="8" w:color="auto"/>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460" w:type="dxa"/>
            <w:vAlign w:val="bottom"/>
            <w:tcBorders>
              <w:top w:val="single" w:sz="8" w:color="auto"/>
              <w:bottom w:val="single" w:sz="8" w:color="auto"/>
            </w:tcBorders>
          </w:tcPr>
          <w:p>
            <w:pPr>
              <w:jc w:val="right"/>
              <w:ind w:right="57"/>
              <w:spacing w:after="0" w:line="142" w:lineRule="exact"/>
              <w:rPr>
                <w:sz w:val="20"/>
                <w:szCs w:val="20"/>
                <w:color w:val="auto"/>
              </w:rPr>
            </w:pPr>
            <w:r>
              <w:rPr>
                <w:rFonts w:ascii="Arial" w:cs="Arial" w:eastAsia="Arial" w:hAnsi="Arial"/>
                <w:sz w:val="14"/>
                <w:szCs w:val="14"/>
                <w:b w:val="1"/>
                <w:bCs w:val="1"/>
                <w:color w:val="auto"/>
                <w:w w:val="96"/>
              </w:rPr>
              <w:t>2016</w:t>
            </w:r>
          </w:p>
        </w:tc>
        <w:tc>
          <w:tcPr>
            <w:tcW w:w="420" w:type="dxa"/>
            <w:vAlign w:val="bottom"/>
            <w:tcBorders>
              <w:top w:val="single" w:sz="8" w:color="auto"/>
              <w:bottom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480" w:type="dxa"/>
            <w:vAlign w:val="bottom"/>
            <w:tcBorders>
              <w:top w:val="single" w:sz="8" w:color="auto"/>
              <w:bottom w:val="single" w:sz="8" w:color="auto"/>
            </w:tcBorders>
          </w:tcPr>
          <w:p>
            <w:pPr>
              <w:jc w:val="right"/>
              <w:ind w:right="53"/>
              <w:spacing w:after="0" w:line="142" w:lineRule="exact"/>
              <w:rPr>
                <w:sz w:val="20"/>
                <w:szCs w:val="20"/>
                <w:color w:val="auto"/>
              </w:rPr>
            </w:pPr>
            <w:r>
              <w:rPr>
                <w:rFonts w:ascii="Arial" w:cs="Arial" w:eastAsia="Arial" w:hAnsi="Arial"/>
                <w:sz w:val="14"/>
                <w:szCs w:val="14"/>
                <w:b w:val="1"/>
                <w:bCs w:val="1"/>
                <w:color w:val="auto"/>
              </w:rPr>
              <w:t>2017</w:t>
            </w:r>
          </w:p>
        </w:tc>
        <w:tc>
          <w:tcPr>
            <w:tcW w:w="100" w:type="dxa"/>
            <w:vAlign w:val="bottom"/>
          </w:tcPr>
          <w:p>
            <w:pPr>
              <w:spacing w:after="0"/>
              <w:rPr>
                <w:sz w:val="12"/>
                <w:szCs w:val="12"/>
                <w:color w:val="auto"/>
              </w:rPr>
            </w:pPr>
          </w:p>
        </w:tc>
      </w:tr>
      <w:tr>
        <w:trPr>
          <w:trHeight w:val="142"/>
        </w:trPr>
        <w:tc>
          <w:tcPr>
            <w:tcW w:w="602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60" w:type="dxa"/>
            <w:vAlign w:val="bottom"/>
            <w:gridSpan w:val="6"/>
          </w:tcPr>
          <w:p>
            <w:pPr>
              <w:jc w:val="right"/>
              <w:ind w:right="840"/>
              <w:spacing w:after="0" w:line="142" w:lineRule="exact"/>
              <w:rPr>
                <w:sz w:val="20"/>
                <w:szCs w:val="20"/>
                <w:color w:val="auto"/>
              </w:rPr>
            </w:pPr>
            <w:r>
              <w:rPr>
                <w:rFonts w:ascii="Arial" w:cs="Arial" w:eastAsia="Arial" w:hAnsi="Arial"/>
                <w:sz w:val="14"/>
                <w:szCs w:val="14"/>
                <w:i w:val="1"/>
                <w:iCs w:val="1"/>
                <w:color w:val="auto"/>
              </w:rPr>
              <w:t>(In millions)</w:t>
            </w: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216"/>
        </w:trPr>
        <w:tc>
          <w:tcPr>
            <w:tcW w:w="6020" w:type="dxa"/>
            <w:vAlign w:val="bottom"/>
            <w:shd w:val="clear" w:color="auto" w:fill="CCEEFF"/>
          </w:tcPr>
          <w:p>
            <w:pPr>
              <w:spacing w:after="0"/>
              <w:rPr>
                <w:sz w:val="20"/>
                <w:szCs w:val="20"/>
                <w:color w:val="auto"/>
              </w:rPr>
            </w:pPr>
            <w:r>
              <w:rPr>
                <w:rFonts w:ascii="Arial" w:cs="Arial" w:eastAsia="Arial" w:hAnsi="Arial"/>
                <w:sz w:val="18"/>
                <w:szCs w:val="18"/>
                <w:color w:val="auto"/>
              </w:rPr>
              <w:t>Net cash provided by operating activities</w:t>
            </w:r>
          </w:p>
        </w:tc>
        <w:tc>
          <w:tcPr>
            <w:tcW w:w="1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14.8</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97"/>
              </w:rPr>
              <w:t>252.6</w:t>
            </w:r>
          </w:p>
        </w:tc>
        <w:tc>
          <w:tcPr>
            <w:tcW w:w="2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w w:val="97"/>
              </w:rPr>
              <w:t>186.7</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259.2</w:t>
            </w:r>
          </w:p>
        </w:tc>
      </w:tr>
      <w:tr>
        <w:trPr>
          <w:trHeight w:val="216"/>
        </w:trPr>
        <w:tc>
          <w:tcPr>
            <w:tcW w:w="6020" w:type="dxa"/>
            <w:vAlign w:val="bottom"/>
          </w:tcPr>
          <w:p>
            <w:pPr>
              <w:spacing w:after="0"/>
              <w:rPr>
                <w:sz w:val="20"/>
                <w:szCs w:val="20"/>
                <w:color w:val="auto"/>
              </w:rPr>
            </w:pPr>
            <w:r>
              <w:rPr>
                <w:rFonts w:ascii="Arial" w:cs="Arial" w:eastAsia="Arial" w:hAnsi="Arial"/>
                <w:sz w:val="18"/>
                <w:szCs w:val="18"/>
                <w:color w:val="auto"/>
              </w:rPr>
              <w:t>Net cash used in investing activities</w:t>
            </w:r>
          </w:p>
        </w:tc>
        <w:tc>
          <w:tcPr>
            <w:tcW w:w="1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360"/>
              <w:spacing w:after="0"/>
              <w:rPr>
                <w:sz w:val="20"/>
                <w:szCs w:val="20"/>
                <w:color w:val="auto"/>
              </w:rPr>
            </w:pPr>
            <w:r>
              <w:rPr>
                <w:rFonts w:ascii="Arial" w:cs="Arial" w:eastAsia="Arial" w:hAnsi="Arial"/>
                <w:sz w:val="18"/>
                <w:szCs w:val="18"/>
                <w:color w:val="auto"/>
              </w:rPr>
              <w:t>(85.6)</w:t>
            </w:r>
          </w:p>
        </w:tc>
        <w:tc>
          <w:tcPr>
            <w:tcW w:w="100" w:type="dxa"/>
            <w:vAlign w:val="bottom"/>
          </w:tcPr>
          <w:p>
            <w:pPr>
              <w:spacing w:after="0"/>
              <w:rPr>
                <w:sz w:val="18"/>
                <w:szCs w:val="18"/>
                <w:color w:val="auto"/>
              </w:rPr>
            </w:pPr>
          </w:p>
        </w:tc>
        <w:tc>
          <w:tcPr>
            <w:tcW w:w="700" w:type="dxa"/>
            <w:vAlign w:val="bottom"/>
            <w:gridSpan w:val="2"/>
          </w:tcPr>
          <w:p>
            <w:pPr>
              <w:jc w:val="right"/>
              <w:ind w:right="180"/>
              <w:spacing w:after="0"/>
              <w:rPr>
                <w:sz w:val="20"/>
                <w:szCs w:val="20"/>
                <w:color w:val="auto"/>
              </w:rPr>
            </w:pPr>
            <w:r>
              <w:rPr>
                <w:rFonts w:ascii="Arial" w:cs="Arial" w:eastAsia="Arial" w:hAnsi="Arial"/>
                <w:sz w:val="18"/>
                <w:szCs w:val="18"/>
                <w:color w:val="auto"/>
                <w:w w:val="87"/>
              </w:rPr>
              <w:t>(118.0)</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360"/>
              <w:spacing w:after="0"/>
              <w:rPr>
                <w:sz w:val="20"/>
                <w:szCs w:val="20"/>
                <w:color w:val="auto"/>
              </w:rPr>
            </w:pPr>
            <w:r>
              <w:rPr>
                <w:rFonts w:ascii="Arial" w:cs="Arial" w:eastAsia="Arial" w:hAnsi="Arial"/>
                <w:sz w:val="18"/>
                <w:szCs w:val="18"/>
                <w:color w:val="auto"/>
                <w:w w:val="87"/>
              </w:rPr>
              <w:t>(114.7)</w:t>
            </w:r>
          </w:p>
        </w:tc>
        <w:tc>
          <w:tcPr>
            <w:tcW w:w="100" w:type="dxa"/>
            <w:vAlign w:val="bottom"/>
          </w:tcPr>
          <w:p>
            <w:pPr>
              <w:spacing w:after="0"/>
              <w:rPr>
                <w:sz w:val="18"/>
                <w:szCs w:val="18"/>
                <w:color w:val="auto"/>
              </w:rPr>
            </w:pPr>
          </w:p>
        </w:tc>
        <w:tc>
          <w:tcPr>
            <w:tcW w:w="580" w:type="dxa"/>
            <w:vAlign w:val="bottom"/>
            <w:gridSpan w:val="2"/>
          </w:tcPr>
          <w:p>
            <w:pPr>
              <w:jc w:val="right"/>
              <w:ind w:right="40"/>
              <w:spacing w:after="0"/>
              <w:rPr>
                <w:sz w:val="20"/>
                <w:szCs w:val="20"/>
                <w:color w:val="auto"/>
              </w:rPr>
            </w:pPr>
            <w:r>
              <w:rPr>
                <w:rFonts w:ascii="Arial" w:cs="Arial" w:eastAsia="Arial" w:hAnsi="Arial"/>
                <w:sz w:val="18"/>
                <w:szCs w:val="18"/>
                <w:color w:val="auto"/>
              </w:rPr>
              <w:t>(10.9)</w:t>
            </w:r>
          </w:p>
        </w:tc>
      </w:tr>
      <w:tr>
        <w:trPr>
          <w:trHeight w:val="216"/>
        </w:trPr>
        <w:tc>
          <w:tcPr>
            <w:tcW w:w="6020" w:type="dxa"/>
            <w:vAlign w:val="bottom"/>
            <w:shd w:val="clear" w:color="auto" w:fill="CCEEFF"/>
          </w:tcPr>
          <w:p>
            <w:pPr>
              <w:spacing w:after="0"/>
              <w:rPr>
                <w:sz w:val="20"/>
                <w:szCs w:val="20"/>
                <w:color w:val="auto"/>
              </w:rPr>
            </w:pPr>
            <w:r>
              <w:rPr>
                <w:rFonts w:ascii="Arial" w:cs="Arial" w:eastAsia="Arial" w:hAnsi="Arial"/>
                <w:sz w:val="18"/>
                <w:szCs w:val="18"/>
                <w:color w:val="auto"/>
              </w:rPr>
              <w:t>Net cash used in financing activities</w:t>
            </w:r>
          </w:p>
        </w:tc>
        <w:tc>
          <w:tcPr>
            <w:tcW w:w="1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(89.6)</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87"/>
              </w:rPr>
              <w:t>(134.5)</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(98.2)</w:t>
            </w: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1"/>
              </w:rPr>
              <w:t>(181.1)</w:t>
            </w:r>
          </w:p>
        </w:tc>
      </w:tr>
      <w:tr>
        <w:trPr>
          <w:trHeight w:val="216"/>
        </w:trPr>
        <w:tc>
          <w:tcPr>
            <w:tcW w:w="6020" w:type="dxa"/>
            <w:vAlign w:val="bottom"/>
          </w:tcPr>
          <w:p>
            <w:pPr>
              <w:spacing w:after="0"/>
              <w:rPr>
                <w:sz w:val="20"/>
                <w:szCs w:val="20"/>
                <w:color w:val="auto"/>
              </w:rPr>
            </w:pPr>
            <w:r>
              <w:rPr>
                <w:rFonts w:ascii="Arial" w:cs="Arial" w:eastAsia="Arial" w:hAnsi="Arial"/>
                <w:sz w:val="18"/>
                <w:szCs w:val="18"/>
                <w:color w:val="auto"/>
              </w:rPr>
              <w:t>Effect of exchange rate changes on cash and cash equivalents</w:t>
            </w:r>
          </w:p>
        </w:tc>
        <w:tc>
          <w:tcPr>
            <w:tcW w:w="1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360"/>
              <w:spacing w:after="0"/>
              <w:rPr>
                <w:sz w:val="20"/>
                <w:szCs w:val="20"/>
                <w:color w:val="auto"/>
              </w:rPr>
            </w:pPr>
            <w:r>
              <w:rPr>
                <w:rFonts w:ascii="Arial" w:cs="Arial" w:eastAsia="Arial" w:hAnsi="Arial"/>
                <w:sz w:val="18"/>
                <w:szCs w:val="18"/>
                <w:color w:val="auto"/>
              </w:rPr>
              <w:t>(0.9)</w:t>
            </w:r>
          </w:p>
        </w:tc>
        <w:tc>
          <w:tcPr>
            <w:tcW w:w="100" w:type="dxa"/>
            <w:vAlign w:val="bottom"/>
          </w:tcPr>
          <w:p>
            <w:pPr>
              <w:spacing w:after="0"/>
              <w:rPr>
                <w:sz w:val="18"/>
                <w:szCs w:val="18"/>
                <w:color w:val="auto"/>
              </w:rPr>
            </w:pPr>
          </w:p>
        </w:tc>
        <w:tc>
          <w:tcPr>
            <w:tcW w:w="700" w:type="dxa"/>
            <w:vAlign w:val="bottom"/>
            <w:gridSpan w:val="2"/>
          </w:tcPr>
          <w:p>
            <w:pPr>
              <w:jc w:val="right"/>
              <w:ind w:right="180"/>
              <w:spacing w:after="0"/>
              <w:rPr>
                <w:sz w:val="20"/>
                <w:szCs w:val="20"/>
                <w:color w:val="auto"/>
              </w:rPr>
            </w:pPr>
            <w:r>
              <w:rPr>
                <w:rFonts w:ascii="Arial" w:cs="Arial" w:eastAsia="Arial" w:hAnsi="Arial"/>
                <w:sz w:val="18"/>
                <w:szCs w:val="18"/>
                <w:color w:val="auto"/>
              </w:rPr>
              <w:t>(4.3)</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420"/>
              <w:spacing w:after="0"/>
              <w:rPr>
                <w:sz w:val="20"/>
                <w:szCs w:val="20"/>
                <w:color w:val="auto"/>
              </w:rPr>
            </w:pPr>
            <w:r>
              <w:rPr>
                <w:rFonts w:ascii="Arial" w:cs="Arial" w:eastAsia="Arial" w:hAnsi="Arial"/>
                <w:sz w:val="18"/>
                <w:szCs w:val="18"/>
                <w:color w:val="auto"/>
              </w:rPr>
              <w:t>0.4</w:t>
            </w:r>
          </w:p>
        </w:tc>
        <w:tc>
          <w:tcPr>
            <w:tcW w:w="100" w:type="dxa"/>
            <w:vAlign w:val="bottom"/>
          </w:tcPr>
          <w:p>
            <w:pPr>
              <w:spacing w:after="0"/>
              <w:rPr>
                <w:sz w:val="18"/>
                <w:szCs w:val="18"/>
                <w:color w:val="auto"/>
              </w:rPr>
            </w:pPr>
          </w:p>
        </w:tc>
        <w:tc>
          <w:tcPr>
            <w:tcW w:w="580" w:type="dxa"/>
            <w:vAlign w:val="bottom"/>
            <w:gridSpan w:val="2"/>
          </w:tcPr>
          <w:p>
            <w:pPr>
              <w:jc w:val="right"/>
              <w:ind w:right="100"/>
              <w:spacing w:after="0"/>
              <w:rPr>
                <w:sz w:val="20"/>
                <w:szCs w:val="20"/>
                <w:color w:val="auto"/>
              </w:rPr>
            </w:pPr>
            <w:r>
              <w:rPr>
                <w:rFonts w:ascii="Arial" w:cs="Arial" w:eastAsia="Arial" w:hAnsi="Arial"/>
                <w:sz w:val="18"/>
                <w:szCs w:val="18"/>
                <w:color w:val="auto"/>
              </w:rPr>
              <w:t>2.8</w:t>
            </w:r>
          </w:p>
        </w:tc>
      </w:tr>
      <w:tr>
        <w:trPr>
          <w:trHeight w:val="27"/>
        </w:trPr>
        <w:tc>
          <w:tcPr>
            <w:tcW w:w="602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6020" w:type="dxa"/>
            <w:vAlign w:val="bottom"/>
            <w:shd w:val="clear" w:color="auto" w:fill="CCEEFF"/>
          </w:tcPr>
          <w:p>
            <w:pPr>
              <w:spacing w:after="0"/>
              <w:rPr>
                <w:sz w:val="20"/>
                <w:szCs w:val="20"/>
                <w:color w:val="auto"/>
              </w:rPr>
            </w:pPr>
            <w:r>
              <w:rPr>
                <w:rFonts w:ascii="Arial" w:cs="Arial" w:eastAsia="Arial" w:hAnsi="Arial"/>
                <w:sz w:val="18"/>
                <w:szCs w:val="18"/>
                <w:color w:val="auto"/>
              </w:rPr>
              <w:t>Net increase (decrease) in cash and cash equivalents</w:t>
            </w:r>
          </w:p>
        </w:tc>
        <w:tc>
          <w:tcPr>
            <w:tcW w:w="15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79"/>
              </w:rPr>
              <w:t>$</w:t>
            </w:r>
          </w:p>
        </w:tc>
        <w:tc>
          <w:tcPr>
            <w:tcW w:w="9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w w:val="91"/>
              </w:rPr>
              <w:t>(161.3)</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(4.2)</w:t>
            </w:r>
          </w:p>
        </w:tc>
        <w:tc>
          <w:tcPr>
            <w:tcW w:w="2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(25.8)</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70.0</w:t>
            </w:r>
          </w:p>
        </w:tc>
      </w:tr>
      <w:tr>
        <w:trPr>
          <w:trHeight w:val="20"/>
        </w:trPr>
        <w:tc>
          <w:tcPr>
            <w:tcW w:w="602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323"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Operating activities</w:t>
      </w:r>
    </w:p>
    <w:p>
      <w:pPr>
        <w:spacing w:after="0" w:line="117" w:lineRule="exact"/>
        <w:rPr>
          <w:sz w:val="20"/>
          <w:szCs w:val="20"/>
          <w:color w:val="auto"/>
        </w:rPr>
      </w:pPr>
    </w:p>
    <w:p>
      <w:pPr>
        <w:ind w:right="40" w:firstLine="449"/>
        <w:spacing w:after="0" w:line="259" w:lineRule="auto"/>
        <w:rPr>
          <w:sz w:val="20"/>
          <w:szCs w:val="20"/>
          <w:color w:val="auto"/>
        </w:rPr>
      </w:pPr>
      <w:r>
        <w:rPr>
          <w:rFonts w:ascii="Arial" w:cs="Arial" w:eastAsia="Arial" w:hAnsi="Arial"/>
          <w:sz w:val="18"/>
          <w:szCs w:val="18"/>
          <w:color w:val="auto"/>
        </w:rPr>
        <w:t>Our largest source of operating cash is cash collections from our paying users for subscriptions to our platform. Our primary uses of cash from operating activities are for employee-related expenditures, infrastructure-related costs, and marketing expenses. Net cash provided by operating activities is impacted by our net loss adjusted for certain non-cash items, including depreciation and amortization expenses and stock-based compensation, as well as the effect of changes in operating assets and liabilities.</w:t>
      </w:r>
    </w:p>
    <w:p>
      <w:pPr>
        <w:spacing w:after="0" w:line="187" w:lineRule="exact"/>
        <w:rPr>
          <w:sz w:val="20"/>
          <w:szCs w:val="20"/>
          <w:color w:val="auto"/>
        </w:rPr>
      </w:pPr>
    </w:p>
    <w:p>
      <w:pPr>
        <w:ind w:right="20" w:firstLine="449"/>
        <w:spacing w:after="0" w:line="293" w:lineRule="auto"/>
        <w:rPr>
          <w:sz w:val="20"/>
          <w:szCs w:val="20"/>
          <w:color w:val="auto"/>
        </w:rPr>
      </w:pPr>
      <w:r>
        <w:rPr>
          <w:rFonts w:ascii="Arial" w:cs="Arial" w:eastAsia="Arial" w:hAnsi="Arial"/>
          <w:sz w:val="16"/>
          <w:szCs w:val="16"/>
          <w:color w:val="auto"/>
        </w:rPr>
        <w:t>For the nine months ended September 30, 2017, net cash provided by operating activities was $259.2 million, which mostly consisted of our net loss of $74.0 million, adjusted for depreciation and amortization expenses of $138.9 million and stock-based compensation expense of $117.2 million, and net cash inflow of $64.0 million from operating assets and liabilities. The inflow from operating assets and liabilities was primarily due to the increase of $52.5 million in deferred revenue from increased subscription sales, as a majority of our paying users are invoiced in advance. The increase in net cash provided by operating activities during the nine months ended September 30, 2017, compared to the nine months ended September 30, 2016, was primarily due to a reduction of our net loss, as adjusted for stock-based compensation and depreciation and amortization expenses.</w:t>
      </w:r>
    </w:p>
    <w:p>
      <w:pPr>
        <w:spacing w:after="0" w:line="164" w:lineRule="exact"/>
        <w:rPr>
          <w:sz w:val="20"/>
          <w:szCs w:val="20"/>
          <w:color w:val="auto"/>
        </w:rPr>
      </w:pPr>
    </w:p>
    <w:p>
      <w:pPr>
        <w:ind w:firstLine="449"/>
        <w:spacing w:after="0" w:line="275" w:lineRule="auto"/>
        <w:rPr>
          <w:sz w:val="20"/>
          <w:szCs w:val="20"/>
          <w:color w:val="auto"/>
        </w:rPr>
      </w:pPr>
      <w:r>
        <w:rPr>
          <w:rFonts w:ascii="Arial" w:cs="Arial" w:eastAsia="Arial" w:hAnsi="Arial"/>
          <w:sz w:val="17"/>
          <w:szCs w:val="17"/>
          <w:color w:val="auto"/>
        </w:rPr>
        <w:t>For the nine months ended September 30, 2016, net cash provided by operating activities was $186.7 million, which mostly consisted of our net loss of $181.1 million, adjusted for depreciation and amortization expenses of $143.7 million and stock-based compensation expense of $113.6 million, as well as a net cash inflow of $110.0 million from operating assets and liabilities. The inflow from operating assets and liabilities was primarily due to the increase of $70.4 million in deferred revenue from increased subscription sales, as a majority of our paying users are invoiced in advance, and the increase of $28.3 million in accrued compensation and benefits due to the introduction of our annual bonus plan.</w:t>
      </w:r>
    </w:p>
    <w:p>
      <w:pPr>
        <w:spacing w:after="0" w:line="176" w:lineRule="exact"/>
        <w:rPr>
          <w:sz w:val="20"/>
          <w:szCs w:val="20"/>
          <w:color w:val="auto"/>
        </w:rPr>
      </w:pPr>
    </w:p>
    <w:p>
      <w:pPr>
        <w:ind w:firstLine="449"/>
        <w:spacing w:after="0" w:line="272" w:lineRule="auto"/>
        <w:rPr>
          <w:sz w:val="20"/>
          <w:szCs w:val="20"/>
          <w:color w:val="auto"/>
        </w:rPr>
      </w:pPr>
      <w:r>
        <w:rPr>
          <w:rFonts w:ascii="Arial" w:cs="Arial" w:eastAsia="Arial" w:hAnsi="Arial"/>
          <w:sz w:val="17"/>
          <w:szCs w:val="17"/>
          <w:color w:val="auto"/>
        </w:rPr>
        <w:t>For the year ended December 31, 2016, net cash provided by operating activities was $252.6 million, which primarily consisted of our net loss of $210.2 million, adjusted for depreciation and amortization expenses of $191.6 million and stock-based compensation expense of $147.6 million, as well as a net cash inflow of $118.8 million from operating assets and liabilities. The inflow from operating assets and liabilities was primarily due to the increase of $87.6 million in deferred revenue from increased subscription sales, as a majority of our paying users are invoiced in advance, and the increase of $35.6 million in accrued compensation and benefits due to the introduction of our annual bonus plan. The increase in net cash from operating activities during 2016 compared to 2015 was primarily due to a reduction of our net loss, as adjusted for stock-based compensation and depreciation and amortization expenses, as well as cash inflow from changes in working capital.</w:t>
      </w:r>
    </w:p>
    <w:p>
      <w:pPr>
        <w:spacing w:after="0" w:line="177" w:lineRule="exact"/>
        <w:rPr>
          <w:sz w:val="20"/>
          <w:szCs w:val="20"/>
          <w:color w:val="auto"/>
        </w:rPr>
      </w:pPr>
    </w:p>
    <w:p>
      <w:pPr>
        <w:ind w:right="60" w:firstLine="449"/>
        <w:spacing w:after="0" w:line="311" w:lineRule="auto"/>
        <w:rPr>
          <w:sz w:val="20"/>
          <w:szCs w:val="20"/>
          <w:color w:val="auto"/>
        </w:rPr>
      </w:pPr>
      <w:r>
        <w:rPr>
          <w:rFonts w:ascii="Arial" w:cs="Arial" w:eastAsia="Arial" w:hAnsi="Arial"/>
          <w:sz w:val="16"/>
          <w:szCs w:val="16"/>
          <w:color w:val="auto"/>
        </w:rPr>
        <w:t>For the year ended December 31, 2015, net cash provided by operating activities was $14.8 million, which mostly consisted of our net loss of $325.9 million, adjusted for depreciation and amortization expenses of $149.6 million and stock-based compensation expense of $66.1 million, as well as a net cash inflow of $123.6 million from operating assets and liabilities. The inflow from operating assets and liabilities was primarily due to the</w:t>
      </w:r>
    </w:p>
    <w:p>
      <w:pPr>
        <w:spacing w:after="0" w:line="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76</w:t>
      </w:r>
    </w:p>
    <w:p>
      <w:pPr>
        <w:sectPr>
          <w:pgSz w:w="11900" w:h="16838" w:orient="portrait"/>
          <w:cols w:equalWidth="0" w:num="1">
            <w:col w:w="11240"/>
          </w:cols>
          <w:pgMar w:left="320" w:top="459" w:right="339" w:bottom="1440" w:gutter="0" w:footer="0" w:header="0"/>
        </w:sectPr>
      </w:pPr>
    </w:p>
    <w:bookmarkStart w:id="79" w:name="page80"/>
    <w:bookmarkEnd w:id="7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increase of $82.0 million in deferred revenue from increased subscription sales, as a majority of our paying users are invoiced in advance and the increase of $50.6 million in current and non-current liabilities.</w:t>
      </w:r>
    </w:p>
    <w:p>
      <w:pPr>
        <w:spacing w:after="0" w:line="278"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Investing activities</w:t>
      </w:r>
    </w:p>
    <w:p>
      <w:pPr>
        <w:spacing w:after="0" w:line="117" w:lineRule="exact"/>
        <w:rPr>
          <w:sz w:val="20"/>
          <w:szCs w:val="20"/>
          <w:color w:val="auto"/>
        </w:rPr>
      </w:pPr>
    </w:p>
    <w:p>
      <w:pPr>
        <w:ind w:right="660" w:firstLine="449"/>
        <w:spacing w:after="0" w:line="342" w:lineRule="auto"/>
        <w:rPr>
          <w:sz w:val="20"/>
          <w:szCs w:val="20"/>
          <w:color w:val="auto"/>
        </w:rPr>
      </w:pPr>
      <w:r>
        <w:rPr>
          <w:rFonts w:ascii="Arial" w:cs="Arial" w:eastAsia="Arial" w:hAnsi="Arial"/>
          <w:sz w:val="16"/>
          <w:szCs w:val="16"/>
          <w:color w:val="auto"/>
        </w:rPr>
        <w:t>Net cash used in investing activities is primarily impacted by purchases of property and equipment, particularly for purchasing infrastructure equipment in co-location facilities that we directly lease and operate, and for making improvements to existing and new office spaces.</w:t>
      </w:r>
    </w:p>
    <w:p>
      <w:pPr>
        <w:spacing w:after="0" w:line="124" w:lineRule="exact"/>
        <w:rPr>
          <w:sz w:val="20"/>
          <w:szCs w:val="20"/>
          <w:color w:val="auto"/>
        </w:rPr>
      </w:pPr>
    </w:p>
    <w:p>
      <w:pPr>
        <w:ind w:right="100" w:firstLine="449"/>
        <w:spacing w:after="0" w:line="259" w:lineRule="auto"/>
        <w:rPr>
          <w:sz w:val="20"/>
          <w:szCs w:val="20"/>
          <w:color w:val="auto"/>
        </w:rPr>
      </w:pPr>
      <w:r>
        <w:rPr>
          <w:rFonts w:ascii="Arial" w:cs="Arial" w:eastAsia="Arial" w:hAnsi="Arial"/>
          <w:sz w:val="18"/>
          <w:szCs w:val="18"/>
          <w:color w:val="auto"/>
        </w:rPr>
        <w:t>For the nine months ended September 30, 2017, net cash used in investing activities was $10.9 million, which mostly consisted of capital expenditures related to our infrastructure and office build-outs. The decrease in cash used in investing activities during the nine months ended September 30, 2017, compared to the nine months ended September 30, 2016, was primarily due to decreases in capital expenditures for infrastructure equipment and leasehold improvements related to our current corporate headquarters.</w:t>
      </w:r>
    </w:p>
    <w:p>
      <w:pPr>
        <w:spacing w:after="0" w:line="187" w:lineRule="exact"/>
        <w:rPr>
          <w:sz w:val="20"/>
          <w:szCs w:val="20"/>
          <w:color w:val="auto"/>
        </w:rPr>
      </w:pPr>
    </w:p>
    <w:p>
      <w:pPr>
        <w:ind w:right="680" w:firstLine="449"/>
        <w:spacing w:after="0" w:line="342" w:lineRule="auto"/>
        <w:rPr>
          <w:sz w:val="20"/>
          <w:szCs w:val="20"/>
          <w:color w:val="auto"/>
        </w:rPr>
      </w:pPr>
      <w:r>
        <w:rPr>
          <w:rFonts w:ascii="Arial" w:cs="Arial" w:eastAsia="Arial" w:hAnsi="Arial"/>
          <w:sz w:val="16"/>
          <w:szCs w:val="16"/>
          <w:color w:val="auto"/>
        </w:rPr>
        <w:t>For the nine months ended September 30, 2016, net cash used in investing activities was $114.7 million, which mostly consisted of capital expenditures related to our infrastructure and office build-outs. Additionally, we purchased various intangible assets related to our patent portfolio.</w:t>
      </w:r>
    </w:p>
    <w:p>
      <w:pPr>
        <w:spacing w:after="0" w:line="124" w:lineRule="exact"/>
        <w:rPr>
          <w:sz w:val="20"/>
          <w:szCs w:val="20"/>
          <w:color w:val="auto"/>
        </w:rPr>
      </w:pPr>
    </w:p>
    <w:p>
      <w:pPr>
        <w:jc w:val="both"/>
        <w:ind w:right="420" w:firstLine="449"/>
        <w:spacing w:after="0" w:line="263" w:lineRule="auto"/>
        <w:rPr>
          <w:sz w:val="20"/>
          <w:szCs w:val="20"/>
          <w:color w:val="auto"/>
        </w:rPr>
      </w:pPr>
      <w:r>
        <w:rPr>
          <w:rFonts w:ascii="Arial" w:cs="Arial" w:eastAsia="Arial" w:hAnsi="Arial"/>
          <w:sz w:val="18"/>
          <w:szCs w:val="18"/>
          <w:color w:val="auto"/>
        </w:rPr>
        <w:t>For the year ended December 31, 2016, net cash used in investing activities was $118.0 million, which mostly consisted of capital expenditures related to our infrastructure and office build-outs. The increase in cash used in investing activities during 2016 compared to 2015 was primarily due to increases in capital expenditures and patent purchases.</w:t>
      </w:r>
    </w:p>
    <w:p>
      <w:pPr>
        <w:spacing w:after="0" w:line="184" w:lineRule="exact"/>
        <w:rPr>
          <w:sz w:val="20"/>
          <w:szCs w:val="20"/>
          <w:color w:val="auto"/>
        </w:rPr>
      </w:pPr>
    </w:p>
    <w:p>
      <w:pPr>
        <w:ind w:firstLine="449"/>
        <w:spacing w:after="0" w:line="277" w:lineRule="auto"/>
        <w:rPr>
          <w:sz w:val="20"/>
          <w:szCs w:val="20"/>
          <w:color w:val="auto"/>
        </w:rPr>
      </w:pPr>
      <w:r>
        <w:rPr>
          <w:rFonts w:ascii="Arial" w:cs="Arial" w:eastAsia="Arial" w:hAnsi="Arial"/>
          <w:sz w:val="18"/>
          <w:szCs w:val="18"/>
          <w:color w:val="auto"/>
        </w:rPr>
        <w:t>For the year ended December 31, 2015, net cash used in investing activities was $85.6 million, which mostly consisted of capital expenditures related to our infrastructure and office build-outs.</w:t>
      </w:r>
    </w:p>
    <w:p>
      <w:pPr>
        <w:spacing w:after="0" w:line="278"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Financing activities</w:t>
      </w:r>
    </w:p>
    <w:p>
      <w:pPr>
        <w:spacing w:after="0" w:line="117" w:lineRule="exact"/>
        <w:rPr>
          <w:sz w:val="20"/>
          <w:szCs w:val="20"/>
          <w:color w:val="auto"/>
        </w:rPr>
      </w:pPr>
    </w:p>
    <w:p>
      <w:pPr>
        <w:ind w:right="180" w:firstLine="449"/>
        <w:spacing w:after="0" w:line="277" w:lineRule="auto"/>
        <w:rPr>
          <w:sz w:val="20"/>
          <w:szCs w:val="20"/>
          <w:color w:val="auto"/>
        </w:rPr>
      </w:pPr>
      <w:r>
        <w:rPr>
          <w:rFonts w:ascii="Arial" w:cs="Arial" w:eastAsia="Arial" w:hAnsi="Arial"/>
          <w:sz w:val="18"/>
          <w:szCs w:val="18"/>
          <w:color w:val="auto"/>
        </w:rPr>
        <w:t>Net cash used in financing activities is primarily impacted by capital lease obligations for our infrastructure equipment and repurchases of common stock to satisfy the tax withholding obligation for the release of restricted stock units.</w:t>
      </w:r>
    </w:p>
    <w:p>
      <w:pPr>
        <w:spacing w:after="0" w:line="170" w:lineRule="exact"/>
        <w:rPr>
          <w:sz w:val="20"/>
          <w:szCs w:val="20"/>
          <w:color w:val="auto"/>
        </w:rPr>
      </w:pPr>
    </w:p>
    <w:p>
      <w:pPr>
        <w:ind w:right="20" w:firstLine="449"/>
        <w:spacing w:after="0" w:line="296" w:lineRule="auto"/>
        <w:rPr>
          <w:sz w:val="20"/>
          <w:szCs w:val="20"/>
          <w:color w:val="auto"/>
        </w:rPr>
      </w:pPr>
      <w:r>
        <w:rPr>
          <w:rFonts w:ascii="Arial" w:cs="Arial" w:eastAsia="Arial" w:hAnsi="Arial"/>
          <w:sz w:val="16"/>
          <w:szCs w:val="16"/>
          <w:color w:val="auto"/>
        </w:rPr>
        <w:t>For the nine months ended September 30, 2017, net cash used in financing activities was $181.1 million, which primarily consisted of $102.3 million in principal payments against capital lease obligations and $72.2 million for the satisfaction of tax withholding obligations for the release of restricted stock units. The increase in cash used by financing activities during the nine months ended September 30, 2017, compared to the nine months ended September 30, 2016, was primarily due to an increase of $72.2 million related to the satisfaction of tax withholding obligations for the release of restricted stock units, partially offset by a decrease of $8.8 million in cash received in a sale lease-back agreement during the nine months ended September 30, 2016.</w:t>
      </w:r>
    </w:p>
    <w:p>
      <w:pPr>
        <w:spacing w:after="0" w:line="161" w:lineRule="exact"/>
        <w:rPr>
          <w:sz w:val="20"/>
          <w:szCs w:val="20"/>
          <w:color w:val="auto"/>
        </w:rPr>
      </w:pPr>
    </w:p>
    <w:p>
      <w:pPr>
        <w:ind w:right="120" w:firstLine="449"/>
        <w:spacing w:after="0" w:line="308" w:lineRule="auto"/>
        <w:rPr>
          <w:sz w:val="20"/>
          <w:szCs w:val="20"/>
          <w:color w:val="auto"/>
        </w:rPr>
      </w:pPr>
      <w:r>
        <w:rPr>
          <w:rFonts w:ascii="Arial" w:cs="Arial" w:eastAsia="Arial" w:hAnsi="Arial"/>
          <w:sz w:val="17"/>
          <w:szCs w:val="17"/>
          <w:color w:val="auto"/>
        </w:rPr>
        <w:t>For the nine months ended September 30, 2016, net cash used in financing activities was $98.2 million, which primarily consisted of $103.1 million in principal payments against capital lease obligations, offset by $8.8 million in proceeds received for a sale-leaseback agreement.</w:t>
      </w:r>
    </w:p>
    <w:p>
      <w:pPr>
        <w:spacing w:after="0" w:line="146" w:lineRule="exact"/>
        <w:rPr>
          <w:sz w:val="20"/>
          <w:szCs w:val="20"/>
          <w:color w:val="auto"/>
        </w:rPr>
      </w:pPr>
    </w:p>
    <w:p>
      <w:pPr>
        <w:ind w:right="60" w:firstLine="449"/>
        <w:spacing w:after="0" w:line="255" w:lineRule="auto"/>
        <w:rPr>
          <w:sz w:val="20"/>
          <w:szCs w:val="20"/>
          <w:color w:val="auto"/>
        </w:rPr>
      </w:pPr>
      <w:r>
        <w:rPr>
          <w:rFonts w:ascii="Arial" w:cs="Arial" w:eastAsia="Arial" w:hAnsi="Arial"/>
          <w:sz w:val="18"/>
          <w:szCs w:val="18"/>
          <w:color w:val="auto"/>
        </w:rPr>
        <w:t>For the year ended December 31, 2016, net cash used in financing activities was $134.5 million, which primarily consisted of $137.9 million in principal payments against capital lease obligations and $3.8 million in principal payments against the note payable issued in 2015 as described below, offset by $8.8 million in proceeds received for a sale-leaseback agreement. The increase in cash used in financing activities during 2016 compared to 2015 was primarily due to an increase of $36.7 million in principal payments on capital leases for our infrastructure, a decrease of $11.9 million in cash received through the issuance of a note payable issued in 2015, as well as an increase of $3.8 million in payments against the note payable in 2016, partially offset by $8.8 million in cash received in a sale lease-back agreement.</w:t>
      </w:r>
    </w:p>
    <w:p>
      <w:pPr>
        <w:spacing w:after="0" w:line="1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77</w:t>
      </w:r>
    </w:p>
    <w:p>
      <w:pPr>
        <w:sectPr>
          <w:pgSz w:w="11900" w:h="16838" w:orient="portrait"/>
          <w:cols w:equalWidth="0" w:num="1">
            <w:col w:w="11240"/>
          </w:cols>
          <w:pgMar w:left="320" w:top="459" w:right="339" w:bottom="1440" w:gutter="0" w:footer="0" w:header="0"/>
        </w:sectPr>
      </w:pPr>
    </w:p>
    <w:bookmarkStart w:id="80" w:name="page81"/>
    <w:bookmarkEnd w:id="8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right="540" w:firstLine="449"/>
        <w:spacing w:after="0" w:line="263" w:lineRule="auto"/>
        <w:rPr>
          <w:sz w:val="20"/>
          <w:szCs w:val="20"/>
          <w:color w:val="auto"/>
        </w:rPr>
      </w:pPr>
      <w:r>
        <w:rPr>
          <w:rFonts w:ascii="Arial" w:cs="Arial" w:eastAsia="Arial" w:hAnsi="Arial"/>
          <w:sz w:val="18"/>
          <w:szCs w:val="18"/>
          <w:color w:val="auto"/>
        </w:rPr>
        <w:t>For the year ended December 31, 2015, net cash used in financing activities was $89.6 million, which primarily consisted of $101.2 million in principal payments against capital lease obligations, offset by $11.9 million in cash received through the issuance of a note payable to finance our infrastructure.</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Contractual Obligations</w:t>
      </w:r>
    </w:p>
    <w:p>
      <w:pPr>
        <w:spacing w:after="0" w:line="121" w:lineRule="exact"/>
        <w:rPr>
          <w:sz w:val="20"/>
          <w:szCs w:val="20"/>
          <w:color w:val="auto"/>
        </w:rPr>
      </w:pPr>
    </w:p>
    <w:p>
      <w:pPr>
        <w:jc w:val="both"/>
        <w:ind w:right="120" w:firstLine="449"/>
        <w:spacing w:after="0" w:line="263" w:lineRule="auto"/>
        <w:rPr>
          <w:sz w:val="20"/>
          <w:szCs w:val="20"/>
          <w:color w:val="auto"/>
        </w:rPr>
      </w:pPr>
      <w:r>
        <w:rPr>
          <w:rFonts w:ascii="Arial" w:cs="Arial" w:eastAsia="Arial" w:hAnsi="Arial"/>
          <w:sz w:val="18"/>
          <w:szCs w:val="18"/>
          <w:color w:val="auto"/>
        </w:rPr>
        <w:t>Our principal commitments consist of obligations under operating leases for office space and datacenter operations, and capital leases for datacenter equipment. The following table summarizes our commitments to settle contractual obligations in cash as of December 31, 2016, for the periods presented below:</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320" w:type="dxa"/>
            <w:vAlign w:val="bottom"/>
          </w:tcPr>
          <w:p>
            <w:pPr>
              <w:spacing w:after="0"/>
              <w:rPr>
                <w:sz w:val="14"/>
                <w:szCs w:val="14"/>
                <w:color w:val="auto"/>
              </w:rPr>
            </w:pPr>
          </w:p>
        </w:tc>
        <w:tc>
          <w:tcPr>
            <w:tcW w:w="520" w:type="dxa"/>
            <w:vAlign w:val="bottom"/>
            <w:gridSpan w:val="2"/>
            <w:vMerge w:val="restart"/>
          </w:tcPr>
          <w:p>
            <w:pPr>
              <w:jc w:val="right"/>
              <w:ind w:right="100"/>
              <w:spacing w:after="0"/>
              <w:rPr>
                <w:sz w:val="20"/>
                <w:szCs w:val="20"/>
                <w:color w:val="auto"/>
              </w:rPr>
            </w:pPr>
            <w:r>
              <w:rPr>
                <w:rFonts w:ascii="Arial" w:cs="Arial" w:eastAsia="Arial" w:hAnsi="Arial"/>
                <w:sz w:val="14"/>
                <w:szCs w:val="14"/>
                <w:b w:val="1"/>
                <w:bCs w:val="1"/>
                <w:color w:val="auto"/>
              </w:rPr>
              <w:t>Total</w:t>
            </w:r>
          </w:p>
        </w:tc>
        <w:tc>
          <w:tcPr>
            <w:tcW w:w="440" w:type="dxa"/>
            <w:vAlign w:val="bottom"/>
          </w:tcPr>
          <w:p>
            <w:pPr>
              <w:spacing w:after="0"/>
              <w:rPr>
                <w:sz w:val="14"/>
                <w:szCs w:val="14"/>
                <w:color w:val="auto"/>
              </w:rPr>
            </w:pPr>
          </w:p>
        </w:tc>
        <w:tc>
          <w:tcPr>
            <w:tcW w:w="820" w:type="dxa"/>
            <w:vAlign w:val="bottom"/>
            <w:gridSpan w:val="3"/>
          </w:tcPr>
          <w:p>
            <w:pPr>
              <w:spacing w:after="0"/>
              <w:rPr>
                <w:sz w:val="20"/>
                <w:szCs w:val="20"/>
                <w:color w:val="auto"/>
              </w:rPr>
            </w:pPr>
            <w:r>
              <w:rPr>
                <w:rFonts w:ascii="Arial" w:cs="Arial" w:eastAsia="Arial" w:hAnsi="Arial"/>
                <w:sz w:val="14"/>
                <w:szCs w:val="14"/>
                <w:b w:val="1"/>
                <w:bCs w:val="1"/>
                <w:color w:val="auto"/>
              </w:rPr>
              <w:t>Less than</w:t>
            </w:r>
          </w:p>
        </w:tc>
        <w:tc>
          <w:tcPr>
            <w:tcW w:w="240" w:type="dxa"/>
            <w:vAlign w:val="bottom"/>
          </w:tcPr>
          <w:p>
            <w:pPr>
              <w:spacing w:after="0"/>
              <w:rPr>
                <w:sz w:val="14"/>
                <w:szCs w:val="14"/>
                <w:color w:val="auto"/>
              </w:rPr>
            </w:pPr>
          </w:p>
        </w:tc>
        <w:tc>
          <w:tcPr>
            <w:tcW w:w="110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1 - 3 years</w:t>
            </w:r>
          </w:p>
        </w:tc>
        <w:tc>
          <w:tcPr>
            <w:tcW w:w="86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3 - 5 years</w:t>
            </w:r>
          </w:p>
        </w:tc>
        <w:tc>
          <w:tcPr>
            <w:tcW w:w="220" w:type="dxa"/>
            <w:vAlign w:val="bottom"/>
          </w:tcPr>
          <w:p>
            <w:pPr>
              <w:spacing w:after="0"/>
              <w:rPr>
                <w:sz w:val="14"/>
                <w:szCs w:val="14"/>
                <w:color w:val="auto"/>
              </w:rPr>
            </w:pPr>
          </w:p>
        </w:tc>
        <w:tc>
          <w:tcPr>
            <w:tcW w:w="720" w:type="dxa"/>
            <w:vAlign w:val="bottom"/>
            <w:gridSpan w:val="3"/>
          </w:tcPr>
          <w:p>
            <w:pPr>
              <w:ind w:left="20"/>
              <w:spacing w:after="0"/>
              <w:rPr>
                <w:sz w:val="20"/>
                <w:szCs w:val="20"/>
                <w:color w:val="auto"/>
              </w:rPr>
            </w:pPr>
            <w:r>
              <w:rPr>
                <w:rFonts w:ascii="Arial" w:cs="Arial" w:eastAsia="Arial" w:hAnsi="Arial"/>
                <w:sz w:val="14"/>
                <w:szCs w:val="14"/>
                <w:b w:val="1"/>
                <w:bCs w:val="1"/>
                <w:color w:val="auto"/>
              </w:rPr>
              <w:t>More than</w:t>
            </w:r>
          </w:p>
        </w:tc>
        <w:tc>
          <w:tcPr>
            <w:tcW w:w="0" w:type="dxa"/>
            <w:vAlign w:val="bottom"/>
          </w:tcPr>
          <w:p>
            <w:pPr>
              <w:spacing w:after="0"/>
              <w:rPr>
                <w:sz w:val="1"/>
                <w:szCs w:val="1"/>
                <w:color w:val="auto"/>
              </w:rPr>
            </w:pPr>
          </w:p>
        </w:tc>
      </w:tr>
      <w:tr>
        <w:trPr>
          <w:trHeight w:val="171"/>
        </w:trPr>
        <w:tc>
          <w:tcPr>
            <w:tcW w:w="6320" w:type="dxa"/>
            <w:vAlign w:val="bottom"/>
          </w:tcPr>
          <w:p>
            <w:pPr>
              <w:spacing w:after="0"/>
              <w:rPr>
                <w:sz w:val="14"/>
                <w:szCs w:val="14"/>
                <w:color w:val="auto"/>
              </w:rPr>
            </w:pPr>
          </w:p>
        </w:tc>
        <w:tc>
          <w:tcPr>
            <w:tcW w:w="520" w:type="dxa"/>
            <w:vAlign w:val="bottom"/>
            <w:gridSpan w:val="2"/>
            <w:vMerge w:val="continue"/>
          </w:tcPr>
          <w:p>
            <w:pPr>
              <w:spacing w:after="0"/>
              <w:rPr>
                <w:sz w:val="14"/>
                <w:szCs w:val="14"/>
                <w:color w:val="auto"/>
              </w:rPr>
            </w:pPr>
          </w:p>
        </w:tc>
        <w:tc>
          <w:tcPr>
            <w:tcW w:w="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gridSpan w:val="2"/>
          </w:tcPr>
          <w:p>
            <w:pPr>
              <w:ind w:left="20"/>
              <w:spacing w:after="0"/>
              <w:rPr>
                <w:sz w:val="20"/>
                <w:szCs w:val="20"/>
                <w:color w:val="auto"/>
              </w:rPr>
            </w:pPr>
            <w:r>
              <w:rPr>
                <w:rFonts w:ascii="Arial" w:cs="Arial" w:eastAsia="Arial" w:hAnsi="Arial"/>
                <w:sz w:val="14"/>
                <w:szCs w:val="14"/>
                <w:b w:val="1"/>
                <w:bCs w:val="1"/>
                <w:color w:val="auto"/>
              </w:rPr>
              <w:t>1 year</w:t>
            </w:r>
          </w:p>
        </w:tc>
        <w:tc>
          <w:tcPr>
            <w:tcW w:w="240" w:type="dxa"/>
            <w:vAlign w:val="bottom"/>
          </w:tcPr>
          <w:p>
            <w:pPr>
              <w:spacing w:after="0"/>
              <w:rPr>
                <w:sz w:val="14"/>
                <w:szCs w:val="14"/>
                <w:color w:val="auto"/>
              </w:rPr>
            </w:pPr>
          </w:p>
        </w:tc>
        <w:tc>
          <w:tcPr>
            <w:tcW w:w="1100" w:type="dxa"/>
            <w:vAlign w:val="bottom"/>
            <w:gridSpan w:val="3"/>
            <w:vMerge w:val="continue"/>
          </w:tcPr>
          <w:p>
            <w:pPr>
              <w:spacing w:after="0"/>
              <w:rPr>
                <w:sz w:val="14"/>
                <w:szCs w:val="14"/>
                <w:color w:val="auto"/>
              </w:rPr>
            </w:pPr>
          </w:p>
        </w:tc>
        <w:tc>
          <w:tcPr>
            <w:tcW w:w="860" w:type="dxa"/>
            <w:vAlign w:val="bottom"/>
            <w:gridSpan w:val="3"/>
            <w:vMerge w:val="continue"/>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w w:val="91"/>
              </w:rPr>
              <w:t>5 years</w:t>
            </w:r>
          </w:p>
        </w:tc>
        <w:tc>
          <w:tcPr>
            <w:tcW w:w="0" w:type="dxa"/>
            <w:vAlign w:val="bottom"/>
          </w:tcPr>
          <w:p>
            <w:pPr>
              <w:spacing w:after="0"/>
              <w:rPr>
                <w:sz w:val="1"/>
                <w:szCs w:val="1"/>
                <w:color w:val="auto"/>
              </w:rPr>
            </w:pPr>
          </w:p>
        </w:tc>
      </w:tr>
      <w:tr>
        <w:trPr>
          <w:trHeight w:val="142"/>
        </w:trPr>
        <w:tc>
          <w:tcPr>
            <w:tcW w:w="6320" w:type="dxa"/>
            <w:vAlign w:val="bottom"/>
          </w:tcPr>
          <w:p>
            <w:pPr>
              <w:spacing w:after="0"/>
              <w:rPr>
                <w:sz w:val="12"/>
                <w:szCs w:val="12"/>
                <w:color w:val="auto"/>
              </w:rPr>
            </w:pPr>
          </w:p>
        </w:tc>
        <w:tc>
          <w:tcPr>
            <w:tcW w:w="500" w:type="dxa"/>
            <w:vAlign w:val="bottom"/>
            <w:tcBorders>
              <w:top w:val="single" w:sz="8" w:color="auto"/>
            </w:tcBorders>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44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500" w:type="dxa"/>
            <w:vAlign w:val="bottom"/>
            <w:tcBorders>
              <w:top w:val="single" w:sz="8" w:color="auto"/>
            </w:tcBorders>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1100" w:type="dxa"/>
            <w:vAlign w:val="bottom"/>
            <w:tcBorders>
              <w:top w:val="single" w:sz="8" w:color="auto"/>
            </w:tcBorders>
            <w:gridSpan w:val="3"/>
          </w:tcPr>
          <w:p>
            <w:pPr>
              <w:ind w:left="60"/>
              <w:spacing w:after="0" w:line="142" w:lineRule="exact"/>
              <w:rPr>
                <w:sz w:val="20"/>
                <w:szCs w:val="20"/>
                <w:color w:val="auto"/>
              </w:rPr>
            </w:pPr>
            <w:r>
              <w:rPr>
                <w:rFonts w:ascii="Arial" w:cs="Arial" w:eastAsia="Arial" w:hAnsi="Arial"/>
                <w:sz w:val="14"/>
                <w:szCs w:val="14"/>
                <w:i w:val="1"/>
                <w:iCs w:val="1"/>
                <w:color w:val="auto"/>
              </w:rPr>
              <w:t>(In millions)</w:t>
            </w:r>
          </w:p>
        </w:tc>
        <w:tc>
          <w:tcPr>
            <w:tcW w:w="160" w:type="dxa"/>
            <w:vAlign w:val="bottom"/>
            <w:tcBorders>
              <w:top w:val="single" w:sz="8" w:color="auto"/>
            </w:tcBorders>
          </w:tcPr>
          <w:p>
            <w:pPr>
              <w:spacing w:after="0"/>
              <w:rPr>
                <w:sz w:val="12"/>
                <w:szCs w:val="12"/>
                <w:color w:val="auto"/>
              </w:rPr>
            </w:pPr>
          </w:p>
        </w:tc>
        <w:tc>
          <w:tcPr>
            <w:tcW w:w="460" w:type="dxa"/>
            <w:vAlign w:val="bottom"/>
            <w:tcBorders>
              <w:top w:val="single" w:sz="8" w:color="auto"/>
            </w:tcBorders>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560" w:type="dxa"/>
            <w:vAlign w:val="bottom"/>
            <w:tcBorders>
              <w:top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6320" w:type="dxa"/>
            <w:vAlign w:val="bottom"/>
            <w:shd w:val="clear" w:color="auto" w:fill="CCEEFF"/>
          </w:tcPr>
          <w:p>
            <w:pPr>
              <w:spacing w:after="0"/>
              <w:rPr>
                <w:sz w:val="20"/>
                <w:szCs w:val="20"/>
                <w:color w:val="auto"/>
              </w:rPr>
            </w:pPr>
            <w:r>
              <w:rPr>
                <w:rFonts w:ascii="Arial" w:cs="Arial" w:eastAsia="Arial" w:hAnsi="Arial"/>
                <w:sz w:val="18"/>
                <w:szCs w:val="18"/>
                <w:color w:val="auto"/>
              </w:rPr>
              <w:t>Operating lease commitments</w:t>
            </w:r>
            <w:r>
              <w:rPr>
                <w:rFonts w:ascii="Arial" w:cs="Arial" w:eastAsia="Arial" w:hAnsi="Arial"/>
                <w:sz w:val="15"/>
                <w:szCs w:val="15"/>
                <w:color w:val="auto"/>
              </w:rPr>
              <w:t>(1)</w:t>
            </w:r>
          </w:p>
        </w:tc>
        <w:tc>
          <w:tcPr>
            <w:tcW w:w="5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87"/>
              </w:rPr>
              <w:t>$557.2</w:t>
            </w:r>
          </w:p>
        </w:tc>
        <w:tc>
          <w:tcPr>
            <w:tcW w:w="54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w w:val="79"/>
              </w:rPr>
              <w:t>$</w:t>
            </w:r>
          </w:p>
        </w:tc>
        <w:tc>
          <w:tcPr>
            <w:tcW w:w="7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74.7</w:t>
            </w:r>
          </w:p>
        </w:tc>
        <w:tc>
          <w:tcPr>
            <w:tcW w:w="40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152.4</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97"/>
              </w:rPr>
              <w:t>132.3</w:t>
            </w:r>
          </w:p>
        </w:tc>
        <w:tc>
          <w:tcPr>
            <w:tcW w:w="32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w w:val="79"/>
              </w:rPr>
              <w:t>$</w:t>
            </w:r>
          </w:p>
        </w:tc>
        <w:tc>
          <w:tcPr>
            <w:tcW w:w="6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197.8</w:t>
            </w:r>
          </w:p>
        </w:tc>
        <w:tc>
          <w:tcPr>
            <w:tcW w:w="0" w:type="dxa"/>
            <w:vAlign w:val="bottom"/>
          </w:tcPr>
          <w:p>
            <w:pPr>
              <w:spacing w:after="0"/>
              <w:rPr>
                <w:sz w:val="1"/>
                <w:szCs w:val="1"/>
                <w:color w:val="auto"/>
              </w:rPr>
            </w:pPr>
          </w:p>
        </w:tc>
      </w:tr>
      <w:tr>
        <w:trPr>
          <w:trHeight w:val="216"/>
        </w:trPr>
        <w:tc>
          <w:tcPr>
            <w:tcW w:w="6320" w:type="dxa"/>
            <w:vAlign w:val="bottom"/>
          </w:tcPr>
          <w:p>
            <w:pPr>
              <w:spacing w:after="0"/>
              <w:rPr>
                <w:sz w:val="20"/>
                <w:szCs w:val="20"/>
                <w:color w:val="auto"/>
              </w:rPr>
            </w:pPr>
            <w:r>
              <w:rPr>
                <w:rFonts w:ascii="Arial" w:cs="Arial" w:eastAsia="Arial" w:hAnsi="Arial"/>
                <w:sz w:val="18"/>
                <w:szCs w:val="18"/>
                <w:color w:val="auto"/>
              </w:rPr>
              <w:t>Capital lease commitments</w:t>
            </w:r>
            <w:r>
              <w:rPr>
                <w:rFonts w:ascii="Arial" w:cs="Arial" w:eastAsia="Arial" w:hAnsi="Arial"/>
                <w:sz w:val="15"/>
                <w:szCs w:val="15"/>
                <w:color w:val="auto"/>
              </w:rPr>
              <w:t>(2)</w:t>
            </w:r>
          </w:p>
        </w:tc>
        <w:tc>
          <w:tcPr>
            <w:tcW w:w="520" w:type="dxa"/>
            <w:vAlign w:val="bottom"/>
            <w:gridSpan w:val="2"/>
          </w:tcPr>
          <w:p>
            <w:pPr>
              <w:jc w:val="right"/>
              <w:ind w:right="20"/>
              <w:spacing w:after="0"/>
              <w:rPr>
                <w:sz w:val="20"/>
                <w:szCs w:val="20"/>
                <w:color w:val="auto"/>
              </w:rPr>
            </w:pPr>
            <w:r>
              <w:rPr>
                <w:rFonts w:ascii="Arial" w:cs="Arial" w:eastAsia="Arial" w:hAnsi="Arial"/>
                <w:sz w:val="18"/>
                <w:szCs w:val="18"/>
                <w:color w:val="auto"/>
              </w:rPr>
              <w:t>271.4</w:t>
            </w: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gridSpan w:val="2"/>
          </w:tcPr>
          <w:p>
            <w:pPr>
              <w:jc w:val="right"/>
              <w:ind w:right="220"/>
              <w:spacing w:after="0"/>
              <w:rPr>
                <w:sz w:val="20"/>
                <w:szCs w:val="20"/>
                <w:color w:val="auto"/>
              </w:rPr>
            </w:pPr>
            <w:r>
              <w:rPr>
                <w:rFonts w:ascii="Arial" w:cs="Arial" w:eastAsia="Arial" w:hAnsi="Arial"/>
                <w:sz w:val="18"/>
                <w:szCs w:val="18"/>
                <w:color w:val="auto"/>
              </w:rPr>
              <w:t>136.9</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gridSpan w:val="2"/>
          </w:tcPr>
          <w:p>
            <w:pPr>
              <w:jc w:val="right"/>
              <w:ind w:right="460"/>
              <w:spacing w:after="0"/>
              <w:rPr>
                <w:sz w:val="20"/>
                <w:szCs w:val="20"/>
                <w:color w:val="auto"/>
              </w:rPr>
            </w:pPr>
            <w:r>
              <w:rPr>
                <w:rFonts w:ascii="Arial" w:cs="Arial" w:eastAsia="Arial" w:hAnsi="Arial"/>
                <w:sz w:val="18"/>
                <w:szCs w:val="18"/>
                <w:color w:val="auto"/>
              </w:rPr>
              <w:t>128.2</w:t>
            </w:r>
          </w:p>
        </w:tc>
        <w:tc>
          <w:tcPr>
            <w:tcW w:w="160" w:type="dxa"/>
            <w:vAlign w:val="bottom"/>
          </w:tcPr>
          <w:p>
            <w:pPr>
              <w:spacing w:after="0"/>
              <w:rPr>
                <w:sz w:val="18"/>
                <w:szCs w:val="18"/>
                <w:color w:val="auto"/>
              </w:rPr>
            </w:pPr>
          </w:p>
        </w:tc>
        <w:tc>
          <w:tcPr>
            <w:tcW w:w="700" w:type="dxa"/>
            <w:vAlign w:val="bottom"/>
            <w:gridSpan w:val="2"/>
          </w:tcPr>
          <w:p>
            <w:pPr>
              <w:jc w:val="right"/>
              <w:ind w:right="240"/>
              <w:spacing w:after="0"/>
              <w:rPr>
                <w:sz w:val="20"/>
                <w:szCs w:val="20"/>
                <w:color w:val="auto"/>
              </w:rPr>
            </w:pPr>
            <w:r>
              <w:rPr>
                <w:rFonts w:ascii="Arial" w:cs="Arial" w:eastAsia="Arial" w:hAnsi="Arial"/>
                <w:sz w:val="18"/>
                <w:szCs w:val="18"/>
                <w:color w:val="auto"/>
              </w:rPr>
              <w:t>6.3</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6320" w:type="dxa"/>
            <w:vAlign w:val="bottom"/>
            <w:shd w:val="clear" w:color="auto" w:fill="CCEEFF"/>
          </w:tcPr>
          <w:p>
            <w:pPr>
              <w:spacing w:after="0"/>
              <w:rPr>
                <w:sz w:val="20"/>
                <w:szCs w:val="20"/>
                <w:color w:val="auto"/>
              </w:rPr>
            </w:pPr>
            <w:r>
              <w:rPr>
                <w:rFonts w:ascii="Arial" w:cs="Arial" w:eastAsia="Arial" w:hAnsi="Arial"/>
                <w:sz w:val="18"/>
                <w:szCs w:val="18"/>
                <w:color w:val="auto"/>
              </w:rPr>
              <w:t>Other commitments</w:t>
            </w:r>
            <w:r>
              <w:rPr>
                <w:rFonts w:ascii="Arial" w:cs="Arial" w:eastAsia="Arial" w:hAnsi="Arial"/>
                <w:sz w:val="15"/>
                <w:szCs w:val="15"/>
                <w:color w:val="auto"/>
              </w:rPr>
              <w:t>(3)</w:t>
            </w:r>
          </w:p>
        </w:tc>
        <w:tc>
          <w:tcPr>
            <w:tcW w:w="5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75.3</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45.5</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23.4</w:t>
            </w:r>
          </w:p>
        </w:tc>
        <w:tc>
          <w:tcPr>
            <w:tcW w:w="16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1.7</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4.7</w:t>
            </w:r>
          </w:p>
        </w:tc>
        <w:tc>
          <w:tcPr>
            <w:tcW w:w="0" w:type="dxa"/>
            <w:vAlign w:val="bottom"/>
          </w:tcPr>
          <w:p>
            <w:pPr>
              <w:spacing w:after="0"/>
              <w:rPr>
                <w:sz w:val="1"/>
                <w:szCs w:val="1"/>
                <w:color w:val="auto"/>
              </w:rPr>
            </w:pPr>
          </w:p>
        </w:tc>
      </w:tr>
      <w:tr>
        <w:trPr>
          <w:trHeight w:val="223"/>
        </w:trPr>
        <w:tc>
          <w:tcPr>
            <w:tcW w:w="6320" w:type="dxa"/>
            <w:vAlign w:val="bottom"/>
          </w:tcPr>
          <w:p>
            <w:pPr>
              <w:spacing w:after="0"/>
              <w:rPr>
                <w:sz w:val="20"/>
                <w:szCs w:val="20"/>
                <w:color w:val="auto"/>
              </w:rPr>
            </w:pPr>
            <w:r>
              <w:rPr>
                <w:rFonts w:ascii="Arial" w:cs="Arial" w:eastAsia="Arial" w:hAnsi="Arial"/>
                <w:sz w:val="18"/>
                <w:szCs w:val="18"/>
                <w:color w:val="auto"/>
              </w:rPr>
              <w:t>Total contractual obligations</w:t>
            </w: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903.9</w:t>
            </w:r>
          </w:p>
        </w:tc>
        <w:tc>
          <w:tcPr>
            <w:tcW w:w="20" w:type="dxa"/>
            <w:vAlign w:val="bottom"/>
            <w:tcBorders>
              <w:bottom w:val="single" w:sz="8" w:color="auto"/>
            </w:tcBorders>
          </w:tcPr>
          <w:p>
            <w:pPr>
              <w:spacing w:after="0"/>
              <w:rPr>
                <w:sz w:val="19"/>
                <w:szCs w:val="19"/>
                <w:color w:val="auto"/>
              </w:rPr>
            </w:pPr>
          </w:p>
        </w:tc>
        <w:tc>
          <w:tcPr>
            <w:tcW w:w="44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79"/>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257.1</w:t>
            </w: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6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304.0</w:t>
            </w:r>
          </w:p>
        </w:tc>
        <w:tc>
          <w:tcPr>
            <w:tcW w:w="460" w:type="dxa"/>
            <w:vAlign w:val="bottom"/>
          </w:tcPr>
          <w:p>
            <w:pPr>
              <w:spacing w:after="0"/>
              <w:rPr>
                <w:sz w:val="19"/>
                <w:szCs w:val="19"/>
                <w:color w:val="auto"/>
              </w:rPr>
            </w:pPr>
          </w:p>
        </w:tc>
        <w:tc>
          <w:tcPr>
            <w:tcW w:w="16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7"/>
              </w:rPr>
              <w:t>140.3</w:t>
            </w:r>
          </w:p>
        </w:tc>
        <w:tc>
          <w:tcPr>
            <w:tcW w:w="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79"/>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202.5</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32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7" w:lineRule="exact"/>
        <w:rPr>
          <w:sz w:val="20"/>
          <w:szCs w:val="20"/>
          <w:color w:val="auto"/>
        </w:rPr>
      </w:pPr>
    </w:p>
    <w:p>
      <w:pPr>
        <w:ind w:left="340" w:right="180" w:hanging="332"/>
        <w:spacing w:after="0" w:line="193" w:lineRule="auto"/>
        <w:tabs>
          <w:tab w:leader="none" w:pos="340" w:val="left"/>
        </w:tabs>
        <w:numPr>
          <w:ilvl w:val="0"/>
          <w:numId w:val="46"/>
        </w:numPr>
        <w:rPr>
          <w:rFonts w:ascii="Arial" w:cs="Arial" w:eastAsia="Arial" w:hAnsi="Arial"/>
          <w:sz w:val="28"/>
          <w:szCs w:val="28"/>
          <w:color w:val="auto"/>
          <w:vertAlign w:val="superscript"/>
        </w:rPr>
      </w:pPr>
      <w:r>
        <w:rPr>
          <w:rFonts w:ascii="Arial" w:cs="Arial" w:eastAsia="Arial" w:hAnsi="Arial"/>
          <w:sz w:val="16"/>
          <w:szCs w:val="16"/>
          <w:color w:val="auto"/>
        </w:rPr>
        <w:t>Consists of future non-cancelable minimum rental payments under operating leases for our offices and datacenters, excluding sublease income and variable operating expenses. Non-cancelable sublease income as of December 31, 2016, for the next seven years is expected to be $15.6 million.</w:t>
      </w:r>
    </w:p>
    <w:p>
      <w:pPr>
        <w:spacing w:after="0" w:line="1" w:lineRule="exact"/>
        <w:rPr>
          <w:rFonts w:ascii="Arial" w:cs="Arial" w:eastAsia="Arial" w:hAnsi="Arial"/>
          <w:sz w:val="28"/>
          <w:szCs w:val="28"/>
          <w:color w:val="auto"/>
          <w:vertAlign w:val="superscript"/>
        </w:rPr>
      </w:pPr>
    </w:p>
    <w:p>
      <w:pPr>
        <w:ind w:left="340" w:hanging="332"/>
        <w:spacing w:after="0" w:line="183" w:lineRule="auto"/>
        <w:tabs>
          <w:tab w:leader="none" w:pos="340" w:val="left"/>
        </w:tabs>
        <w:numPr>
          <w:ilvl w:val="0"/>
          <w:numId w:val="46"/>
        </w:numPr>
        <w:rPr>
          <w:rFonts w:ascii="Arial" w:cs="Arial" w:eastAsia="Arial" w:hAnsi="Arial"/>
          <w:sz w:val="23"/>
          <w:szCs w:val="23"/>
          <w:color w:val="auto"/>
          <w:vertAlign w:val="superscript"/>
        </w:rPr>
      </w:pPr>
      <w:r>
        <w:rPr>
          <w:rFonts w:ascii="Arial" w:cs="Arial" w:eastAsia="Arial" w:hAnsi="Arial"/>
          <w:sz w:val="14"/>
          <w:szCs w:val="14"/>
          <w:color w:val="auto"/>
        </w:rPr>
        <w:t>Consists of future non-cancelable minimum rental payments under capital leases primarily for our infrastructure.</w:t>
      </w:r>
    </w:p>
    <w:p>
      <w:pPr>
        <w:spacing w:after="0" w:line="10" w:lineRule="exact"/>
        <w:rPr>
          <w:rFonts w:ascii="Arial" w:cs="Arial" w:eastAsia="Arial" w:hAnsi="Arial"/>
          <w:sz w:val="23"/>
          <w:szCs w:val="23"/>
          <w:color w:val="auto"/>
          <w:vertAlign w:val="superscript"/>
        </w:rPr>
      </w:pPr>
    </w:p>
    <w:p>
      <w:pPr>
        <w:ind w:left="340" w:right="240" w:hanging="332"/>
        <w:spacing w:after="0" w:line="187" w:lineRule="auto"/>
        <w:tabs>
          <w:tab w:leader="none" w:pos="340" w:val="left"/>
        </w:tabs>
        <w:numPr>
          <w:ilvl w:val="0"/>
          <w:numId w:val="46"/>
        </w:numPr>
        <w:rPr>
          <w:rFonts w:ascii="Arial" w:cs="Arial" w:eastAsia="Arial" w:hAnsi="Arial"/>
          <w:sz w:val="28"/>
          <w:szCs w:val="28"/>
          <w:color w:val="auto"/>
          <w:vertAlign w:val="superscript"/>
        </w:rPr>
      </w:pPr>
      <w:r>
        <w:rPr>
          <w:rFonts w:ascii="Arial" w:cs="Arial" w:eastAsia="Arial" w:hAnsi="Arial"/>
          <w:sz w:val="16"/>
          <w:szCs w:val="16"/>
          <w:color w:val="auto"/>
        </w:rPr>
        <w:t>Consists of lease payments for our previous corporate headquarters, infrastructure warranty contracts, commitments to third-party vendors for services related to our infrastructure, and a note payable related to financing of our infrastructure.</w:t>
      </w:r>
    </w:p>
    <w:p>
      <w:pPr>
        <w:spacing w:after="0" w:line="208" w:lineRule="exact"/>
        <w:rPr>
          <w:sz w:val="20"/>
          <w:szCs w:val="20"/>
          <w:color w:val="auto"/>
        </w:rPr>
      </w:pPr>
    </w:p>
    <w:p>
      <w:pPr>
        <w:ind w:right="720" w:firstLine="449"/>
        <w:spacing w:after="0" w:line="277" w:lineRule="auto"/>
        <w:rPr>
          <w:sz w:val="20"/>
          <w:szCs w:val="20"/>
          <w:color w:val="auto"/>
        </w:rPr>
      </w:pPr>
      <w:r>
        <w:rPr>
          <w:rFonts w:ascii="Arial" w:cs="Arial" w:eastAsia="Arial" w:hAnsi="Arial"/>
          <w:sz w:val="18"/>
          <w:szCs w:val="18"/>
          <w:color w:val="auto"/>
        </w:rPr>
        <w:t>In addition to the contractual obligations set forth above, as of September 30, 2017, we had an aggregate of $47.8 million in letters of credit outstanding under our revolving credit facility.</w:t>
      </w:r>
    </w:p>
    <w:p>
      <w:pPr>
        <w:spacing w:after="0" w:line="170" w:lineRule="exact"/>
        <w:rPr>
          <w:sz w:val="20"/>
          <w:szCs w:val="20"/>
          <w:color w:val="auto"/>
        </w:rPr>
      </w:pPr>
    </w:p>
    <w:p>
      <w:pPr>
        <w:ind w:right="60" w:firstLine="449"/>
        <w:spacing w:after="0" w:line="257" w:lineRule="auto"/>
        <w:rPr>
          <w:sz w:val="20"/>
          <w:szCs w:val="20"/>
          <w:color w:val="auto"/>
        </w:rPr>
      </w:pPr>
      <w:r>
        <w:rPr>
          <w:rFonts w:ascii="Arial" w:cs="Arial" w:eastAsia="Arial" w:hAnsi="Arial"/>
          <w:sz w:val="18"/>
          <w:szCs w:val="18"/>
          <w:color w:val="auto"/>
        </w:rPr>
        <w:t>Additionally, in October 2017, we entered into a new lease agreement in San Francisco, California, to serve as our new corporate headquarters. We expect to start making payments under the lease in the third quarter of 2019. The total minimum obligations under the lease agreement are expected to be approximately $827.0 million, which does not include expected tenant improvement reimbursements from the landlord of approximately $73.6 million and variable operating expenses. Our obligations under the lease will be supported by a $34.2 million letter of credit, which will reduce the borrowing capacity under our revolving credit facility.</w:t>
      </w:r>
    </w:p>
    <w:p>
      <w:pPr>
        <w:spacing w:after="0" w:line="188" w:lineRule="exact"/>
        <w:rPr>
          <w:sz w:val="20"/>
          <w:szCs w:val="20"/>
          <w:color w:val="auto"/>
        </w:rPr>
      </w:pPr>
    </w:p>
    <w:p>
      <w:pPr>
        <w:ind w:right="40" w:firstLine="449"/>
        <w:spacing w:after="0" w:line="273" w:lineRule="auto"/>
        <w:rPr>
          <w:sz w:val="20"/>
          <w:szCs w:val="20"/>
          <w:color w:val="auto"/>
        </w:rPr>
      </w:pPr>
      <w:r>
        <w:rPr>
          <w:rFonts w:ascii="Arial" w:cs="Arial" w:eastAsia="Arial" w:hAnsi="Arial"/>
          <w:sz w:val="17"/>
          <w:szCs w:val="17"/>
          <w:color w:val="auto"/>
        </w:rPr>
        <w:t>We plan to take possession of our new corporate headquarters over several phases. We expect to take initial possession in mid-2018, after which time we plan to incur capital expenditures on leasehold improvements and to begin recording rent expense for the portion of the new corporate headquarters that we possess. Capital expenditures will continue to increase as we take possession of the remaining space over the next few years. We will continue to operate in our current corporate headquarters until the new corporate headquarters is ready for occupancy, which is expected to be in 2019. We intend to sublease our current corporate headquarters once we occupy the new corporate headquarters. However, unless we transfer our contractual obligation, we will include the committed lease payments for our current corporate headquarters in the table above.</w:t>
      </w:r>
    </w:p>
    <w:p>
      <w:pPr>
        <w:spacing w:after="0" w:line="2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121" w:lineRule="exact"/>
        <w:rPr>
          <w:sz w:val="20"/>
          <w:szCs w:val="20"/>
          <w:color w:val="auto"/>
        </w:rPr>
      </w:pPr>
    </w:p>
    <w:p>
      <w:pPr>
        <w:jc w:val="both"/>
        <w:ind w:right="100" w:firstLine="449"/>
        <w:spacing w:after="0" w:line="263" w:lineRule="auto"/>
        <w:rPr>
          <w:sz w:val="20"/>
          <w:szCs w:val="20"/>
          <w:color w:val="auto"/>
        </w:rPr>
      </w:pPr>
      <w:r>
        <w:rPr>
          <w:rFonts w:ascii="Arial" w:cs="Arial" w:eastAsia="Arial" w:hAnsi="Arial"/>
          <w:sz w:val="18"/>
          <w:szCs w:val="18"/>
          <w:color w:val="auto"/>
        </w:rPr>
        <w:t>As of December 31, 2016, we did not have any relationships with unconsolidated entities or financial partnerships, such as entities often referred to as structured finance or variable interest entities, which would have been established for the purpose of facilitating off balance sheet arrangements or other contractually narrow or limited purposes.</w:t>
      </w:r>
    </w:p>
    <w:p>
      <w:pPr>
        <w:spacing w:after="0" w:line="1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78</w:t>
      </w:r>
    </w:p>
    <w:p>
      <w:pPr>
        <w:sectPr>
          <w:pgSz w:w="11900" w:h="16838" w:orient="portrait"/>
          <w:cols w:equalWidth="0" w:num="1">
            <w:col w:w="11240"/>
          </w:cols>
          <w:pgMar w:left="320" w:top="459" w:right="339" w:bottom="1440" w:gutter="0" w:footer="0" w:header="0"/>
        </w:sectPr>
      </w:pPr>
    </w:p>
    <w:bookmarkStart w:id="81" w:name="page82"/>
    <w:bookmarkEnd w:id="8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Impact of Stock-Based Compensation for Restricted Stock Units</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6"/>
          <w:szCs w:val="16"/>
          <w:color w:val="auto"/>
        </w:rPr>
        <w:t>We have granted restricted stock units, or RSUs, to our employees and members of our Board of Directors under our 2008 Equity Incentive Plan, or</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2008 Plan, and our 2017 Equity Incentive Plan, or 2017 Plan. We have two types of RSUs outstanding as of September 30, 2017:</w:t>
      </w:r>
    </w:p>
    <w:p>
      <w:pPr>
        <w:spacing w:after="0" w:line="116" w:lineRule="exact"/>
        <w:rPr>
          <w:sz w:val="20"/>
          <w:szCs w:val="20"/>
          <w:color w:val="auto"/>
        </w:rPr>
      </w:pPr>
    </w:p>
    <w:p>
      <w:pPr>
        <w:jc w:val="both"/>
        <w:ind w:left="440" w:right="140" w:hanging="432"/>
        <w:spacing w:after="0" w:line="263" w:lineRule="auto"/>
        <w:tabs>
          <w:tab w:leader="none" w:pos="440" w:val="left"/>
        </w:tabs>
        <w:numPr>
          <w:ilvl w:val="0"/>
          <w:numId w:val="47"/>
        </w:numPr>
        <w:rPr>
          <w:rFonts w:ascii="Arial" w:cs="Arial" w:eastAsia="Arial" w:hAnsi="Arial"/>
          <w:sz w:val="18"/>
          <w:szCs w:val="18"/>
          <w:color w:val="auto"/>
        </w:rPr>
      </w:pPr>
      <w:r>
        <w:rPr>
          <w:rFonts w:ascii="Arial" w:cs="Arial" w:eastAsia="Arial" w:hAnsi="Arial"/>
          <w:sz w:val="18"/>
          <w:szCs w:val="18"/>
          <w:color w:val="auto"/>
        </w:rPr>
        <w:t>One-tier RSUs, which have a service-based vesting condition over a four-year period. These awards typically have a cliff vesting period of one year and continue to vest quarterly thereafter. We recognize compensation expense associated with one-tier RSUs ratably on a straight-line basis over the requisite service period.</w:t>
      </w:r>
    </w:p>
    <w:p>
      <w:pPr>
        <w:spacing w:after="0" w:line="89" w:lineRule="exact"/>
        <w:rPr>
          <w:rFonts w:ascii="Arial" w:cs="Arial" w:eastAsia="Arial" w:hAnsi="Arial"/>
          <w:sz w:val="18"/>
          <w:szCs w:val="18"/>
          <w:color w:val="auto"/>
        </w:rPr>
      </w:pPr>
    </w:p>
    <w:p>
      <w:pPr>
        <w:ind w:left="440" w:right="160" w:hanging="432"/>
        <w:spacing w:after="0" w:line="287" w:lineRule="auto"/>
        <w:tabs>
          <w:tab w:leader="none" w:pos="440" w:val="left"/>
        </w:tabs>
        <w:numPr>
          <w:ilvl w:val="0"/>
          <w:numId w:val="47"/>
        </w:numPr>
        <w:rPr>
          <w:rFonts w:ascii="Arial" w:cs="Arial" w:eastAsia="Arial" w:hAnsi="Arial"/>
          <w:sz w:val="16"/>
          <w:szCs w:val="16"/>
          <w:color w:val="auto"/>
        </w:rPr>
      </w:pPr>
      <w:r>
        <w:rPr>
          <w:rFonts w:ascii="Arial" w:cs="Arial" w:eastAsia="Arial" w:hAnsi="Arial"/>
          <w:sz w:val="16"/>
          <w:szCs w:val="16"/>
          <w:color w:val="auto"/>
        </w:rPr>
        <w:t>Two-tier RSUs, which have both a service-based vesting condition and a liquidity event-related performance vesting condition. These awards typically have a service-based vesting period of four years with a cliff vesting period of one year and continue to vest monthly thereafter. Upon satisfaction of the Performance Vesting Condition, these awards will vest quarterly. The Performance Vesting Condition is satisfied on the earlier of</w:t>
      </w:r>
    </w:p>
    <w:p>
      <w:pPr>
        <w:spacing w:after="0" w:line="2" w:lineRule="exact"/>
        <w:rPr>
          <w:rFonts w:ascii="Arial" w:cs="Arial" w:eastAsia="Arial" w:hAnsi="Arial"/>
          <w:sz w:val="16"/>
          <w:szCs w:val="16"/>
          <w:color w:val="auto"/>
        </w:rPr>
      </w:pPr>
    </w:p>
    <w:p>
      <w:pPr>
        <w:ind w:left="440" w:right="140"/>
        <w:spacing w:after="0" w:line="260" w:lineRule="auto"/>
        <w:rPr>
          <w:rFonts w:ascii="Arial" w:cs="Arial" w:eastAsia="Arial" w:hAnsi="Arial"/>
          <w:sz w:val="16"/>
          <w:szCs w:val="16"/>
          <w:color w:val="auto"/>
        </w:rPr>
      </w:pPr>
      <w:r>
        <w:rPr>
          <w:rFonts w:ascii="Arial" w:cs="Arial" w:eastAsia="Arial" w:hAnsi="Arial"/>
          <w:sz w:val="18"/>
          <w:szCs w:val="18"/>
          <w:color w:val="auto"/>
        </w:rPr>
        <w:t>(i) an acquisition or change in control of the Company or (ii) the earlier of (a) six months after our initial public offering or (b) March 15 of the year following our initial public offering. Our last grant date for two-tier RSUs was May 2015.</w:t>
      </w:r>
    </w:p>
    <w:p>
      <w:pPr>
        <w:spacing w:after="0" w:line="185" w:lineRule="exact"/>
        <w:rPr>
          <w:sz w:val="20"/>
          <w:szCs w:val="20"/>
          <w:color w:val="auto"/>
        </w:rPr>
      </w:pPr>
    </w:p>
    <w:p>
      <w:pPr>
        <w:jc w:val="both"/>
        <w:ind w:right="160" w:firstLine="449"/>
        <w:spacing w:after="0" w:line="286" w:lineRule="auto"/>
        <w:rPr>
          <w:sz w:val="20"/>
          <w:szCs w:val="20"/>
          <w:color w:val="auto"/>
        </w:rPr>
      </w:pPr>
      <w:r>
        <w:rPr>
          <w:rFonts w:ascii="Arial" w:cs="Arial" w:eastAsia="Arial" w:hAnsi="Arial"/>
          <w:sz w:val="16"/>
          <w:szCs w:val="16"/>
          <w:color w:val="auto"/>
        </w:rPr>
        <w:t>As of September 30, 2017, all compensation expense related to two-tier RSUs remained unrecognized because the Performance Vesting Condition was not satisfied. At the time the Performance Vesting Condition becomes probable, we will recognize the cumulative stock-based compensation expense for the two-tier RSUs that have met their service-based vesting condition using the accelerated attribution method. If the Performance Vesting Condition had occurred on September 30, 2017, we would have recorded $415.4 million of stock-based compensation expense. As of September 30, 2017,</w:t>
      </w:r>
    </w:p>
    <w:p>
      <w:pPr>
        <w:spacing w:after="0" w:line="1" w:lineRule="exact"/>
        <w:rPr>
          <w:sz w:val="20"/>
          <w:szCs w:val="20"/>
          <w:color w:val="auto"/>
        </w:rPr>
      </w:pPr>
    </w:p>
    <w:p>
      <w:pPr>
        <w:ind w:right="100"/>
        <w:spacing w:after="0" w:line="273" w:lineRule="auto"/>
        <w:rPr>
          <w:sz w:val="20"/>
          <w:szCs w:val="20"/>
          <w:color w:val="auto"/>
        </w:rPr>
      </w:pPr>
      <w:r>
        <w:rPr>
          <w:rFonts w:ascii="Arial" w:cs="Arial" w:eastAsia="Arial" w:hAnsi="Arial"/>
          <w:sz w:val="17"/>
          <w:szCs w:val="17"/>
          <w:color w:val="auto"/>
        </w:rPr>
        <w:t>42.5 million two-tier RSUs were outstanding, of which 38.2 million had met their service condition. We expect to recognize approximately $9.4 million of additional stock-based compensation expense related to unvested two-tier RSUs, if the service and performance conditions are met, over the remaining service periods through 2019. See Note 1, “Description of the Business and Summary of Significant Accounting Policies” and Note 11, “Stockholders’ Equity” to our consolidated financial statements included elsewhere in this prospectus for further discussion.</w:t>
      </w:r>
    </w:p>
    <w:p>
      <w:pPr>
        <w:spacing w:after="0" w:line="2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Judgments</w:t>
      </w:r>
    </w:p>
    <w:p>
      <w:pPr>
        <w:spacing w:after="0" w:line="121" w:lineRule="exact"/>
        <w:rPr>
          <w:sz w:val="20"/>
          <w:szCs w:val="20"/>
          <w:color w:val="auto"/>
        </w:rPr>
      </w:pPr>
    </w:p>
    <w:p>
      <w:pPr>
        <w:ind w:right="80" w:firstLine="449"/>
        <w:spacing w:after="0" w:line="273" w:lineRule="auto"/>
        <w:rPr>
          <w:sz w:val="20"/>
          <w:szCs w:val="20"/>
          <w:color w:val="auto"/>
        </w:rPr>
      </w:pPr>
      <w:r>
        <w:rPr>
          <w:rFonts w:ascii="Arial" w:cs="Arial" w:eastAsia="Arial" w:hAnsi="Arial"/>
          <w:sz w:val="17"/>
          <w:szCs w:val="17"/>
          <w:color w:val="auto"/>
        </w:rPr>
        <w:t>Our consolidated financial statements and the related notes thereto included elsewhere in this prospectus are prepared in accordance with generally accepted accounting principles, or GAAP, in the United States. The preparation of consolidated financial statements also requires us to make estimates and assumptions that affect the reported amounts of assets, liabilities, revenue, costs and expenses, and related disclosures. We base our estimates on historical experience and on various other assumptions that we believe to be reasonable under the circumstances. Actual results could differ significantly from the estimates made by management. To the extent that there are differences between our estimates and actual results, our future financial statement presentation, financial condition, results of operations, and cash flows will be affected.</w:t>
      </w:r>
    </w:p>
    <w:p>
      <w:pPr>
        <w:spacing w:after="0" w:line="178" w:lineRule="exact"/>
        <w:rPr>
          <w:sz w:val="20"/>
          <w:szCs w:val="20"/>
          <w:color w:val="auto"/>
        </w:rPr>
      </w:pPr>
    </w:p>
    <w:p>
      <w:pPr>
        <w:ind w:right="80" w:firstLine="449"/>
        <w:spacing w:after="0" w:line="308" w:lineRule="auto"/>
        <w:rPr>
          <w:sz w:val="20"/>
          <w:szCs w:val="20"/>
          <w:color w:val="auto"/>
        </w:rPr>
      </w:pPr>
      <w:r>
        <w:rPr>
          <w:rFonts w:ascii="Arial" w:cs="Arial" w:eastAsia="Arial" w:hAnsi="Arial"/>
          <w:sz w:val="17"/>
          <w:szCs w:val="17"/>
          <w:color w:val="auto"/>
        </w:rPr>
        <w:t>We believe that the accounting policies described below involve a greater degree of judgment and complexity. Accordingly, these are the policies we believe are the most critical to aid in fully understanding and evaluating our consolidated financial condition and results of operations.</w:t>
      </w:r>
    </w:p>
    <w:p>
      <w:pPr>
        <w:spacing w:after="0" w:line="146" w:lineRule="exact"/>
        <w:rPr>
          <w:sz w:val="20"/>
          <w:szCs w:val="20"/>
          <w:color w:val="auto"/>
        </w:rPr>
      </w:pPr>
    </w:p>
    <w:p>
      <w:pPr>
        <w:ind w:firstLine="449"/>
        <w:spacing w:after="0" w:line="296" w:lineRule="auto"/>
        <w:rPr>
          <w:sz w:val="20"/>
          <w:szCs w:val="20"/>
          <w:color w:val="auto"/>
        </w:rPr>
      </w:pPr>
      <w:r>
        <w:rPr>
          <w:rFonts w:ascii="Arial" w:cs="Arial" w:eastAsia="Arial" w:hAnsi="Arial"/>
          <w:sz w:val="16"/>
          <w:szCs w:val="16"/>
          <w:color w:val="auto"/>
        </w:rPr>
        <w:t xml:space="preserve">In May 2014, the Financial Accounting Standards Board, or FASB, issued Accounting Standards Update, or ASU, No. 2014-09 </w:t>
      </w:r>
      <w:r>
        <w:rPr>
          <w:rFonts w:ascii="Arial" w:cs="Arial" w:eastAsia="Arial" w:hAnsi="Arial"/>
          <w:sz w:val="16"/>
          <w:szCs w:val="16"/>
          <w:i w:val="1"/>
          <w:iCs w:val="1"/>
          <w:color w:val="auto"/>
        </w:rPr>
        <w:t>Revenue from</w:t>
      </w:r>
      <w:r>
        <w:rPr>
          <w:rFonts w:ascii="Arial" w:cs="Arial" w:eastAsia="Arial" w:hAnsi="Arial"/>
          <w:sz w:val="16"/>
          <w:szCs w:val="16"/>
          <w:color w:val="auto"/>
        </w:rPr>
        <w:t xml:space="preserve"> </w:t>
      </w:r>
      <w:r>
        <w:rPr>
          <w:rFonts w:ascii="Arial" w:cs="Arial" w:eastAsia="Arial" w:hAnsi="Arial"/>
          <w:sz w:val="16"/>
          <w:szCs w:val="16"/>
          <w:i w:val="1"/>
          <w:iCs w:val="1"/>
          <w:color w:val="auto"/>
        </w:rPr>
        <w:t>Contracts with Customers (Topic 606)</w:t>
      </w:r>
      <w:r>
        <w:rPr>
          <w:rFonts w:ascii="Arial" w:cs="Arial" w:eastAsia="Arial" w:hAnsi="Arial"/>
          <w:sz w:val="16"/>
          <w:szCs w:val="16"/>
          <w:color w:val="auto"/>
        </w:rPr>
        <w:t>, or Topic 606. Topic 606 supersedes the revenue recognition requirements in Accounting Standards Codification,</w:t>
      </w:r>
      <w:r>
        <w:rPr>
          <w:rFonts w:ascii="Arial" w:cs="Arial" w:eastAsia="Arial" w:hAnsi="Arial"/>
          <w:sz w:val="16"/>
          <w:szCs w:val="16"/>
          <w:i w:val="1"/>
          <w:iCs w:val="1"/>
          <w:color w:val="auto"/>
        </w:rPr>
        <w:t xml:space="preserve"> Revenue Recognition</w:t>
      </w:r>
      <w:r>
        <w:rPr>
          <w:rFonts w:ascii="Arial" w:cs="Arial" w:eastAsia="Arial" w:hAnsi="Arial"/>
          <w:sz w:val="16"/>
          <w:szCs w:val="16"/>
          <w:color w:val="auto"/>
        </w:rPr>
        <w:t>, or Topic 605, and requires the recognition of revenue when promised goods or services are transferred to customers in an amount that</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reflects the consideration to which the entity expects to be entitled to in exchange for those goods or services. Topic 606 also includes Subtopic 340-40, </w:t>
      </w:r>
      <w:r>
        <w:rPr>
          <w:rFonts w:ascii="Arial" w:cs="Arial" w:eastAsia="Arial" w:hAnsi="Arial"/>
          <w:sz w:val="16"/>
          <w:szCs w:val="16"/>
          <w:i w:val="1"/>
          <w:iCs w:val="1"/>
          <w:color w:val="auto"/>
        </w:rPr>
        <w:t>Other Assets and Deferred Costs—Contracts with Customers</w:t>
      </w:r>
      <w:r>
        <w:rPr>
          <w:rFonts w:ascii="Arial" w:cs="Arial" w:eastAsia="Arial" w:hAnsi="Arial"/>
          <w:sz w:val="16"/>
          <w:szCs w:val="16"/>
          <w:color w:val="auto"/>
        </w:rPr>
        <w:t>, which requires the deferral of incremental costs of obtaining a contract with a customer.</w:t>
      </w:r>
    </w:p>
    <w:p>
      <w:pPr>
        <w:spacing w:after="0" w:line="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79</w:t>
      </w:r>
    </w:p>
    <w:p>
      <w:pPr>
        <w:sectPr>
          <w:pgSz w:w="11900" w:h="16838" w:orient="portrait"/>
          <w:cols w:equalWidth="0" w:num="1">
            <w:col w:w="11240"/>
          </w:cols>
          <w:pgMar w:left="320" w:top="459" w:right="339" w:bottom="1440" w:gutter="0" w:footer="0" w:header="0"/>
        </w:sectPr>
      </w:pPr>
    </w:p>
    <w:bookmarkStart w:id="82" w:name="page83"/>
    <w:bookmarkEnd w:id="8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right="60" w:firstLine="449"/>
        <w:spacing w:after="0" w:line="263" w:lineRule="auto"/>
        <w:rPr>
          <w:sz w:val="20"/>
          <w:szCs w:val="20"/>
          <w:color w:val="auto"/>
        </w:rPr>
      </w:pPr>
      <w:r>
        <w:rPr>
          <w:rFonts w:ascii="Arial" w:cs="Arial" w:eastAsia="Arial" w:hAnsi="Arial"/>
          <w:sz w:val="18"/>
          <w:szCs w:val="18"/>
          <w:color w:val="auto"/>
        </w:rPr>
        <w:t>We adopted the requirements of Topic 606 as of January 1, 2017, utilizing the full retrospective method of transition. As such, Topic 606 is reflected in our financial results for all periods presented in this prospectus. The adoption of Topic 606 resulted in changes to our accounting policies for revenue recognition and deferred commissions.</w:t>
      </w:r>
    </w:p>
    <w:p>
      <w:pPr>
        <w:spacing w:after="0" w:line="184" w:lineRule="exact"/>
        <w:rPr>
          <w:sz w:val="20"/>
          <w:szCs w:val="20"/>
          <w:color w:val="auto"/>
        </w:rPr>
      </w:pPr>
    </w:p>
    <w:p>
      <w:pPr>
        <w:ind w:firstLine="449"/>
        <w:spacing w:after="0" w:line="308" w:lineRule="auto"/>
        <w:rPr>
          <w:sz w:val="20"/>
          <w:szCs w:val="20"/>
          <w:color w:val="auto"/>
        </w:rPr>
      </w:pPr>
      <w:r>
        <w:rPr>
          <w:rFonts w:ascii="Arial" w:cs="Arial" w:eastAsia="Arial" w:hAnsi="Arial"/>
          <w:sz w:val="17"/>
          <w:szCs w:val="17"/>
          <w:color w:val="auto"/>
        </w:rPr>
        <w:t>The impact of adopting Topic 606 on our revenue was not material to any of the periods presented. The primary impact of adopting Topic 606 relates to the deferral of incremental costs of customer contracts and the amortization of those costs over a longer period of benefit.</w:t>
      </w:r>
    </w:p>
    <w:p>
      <w:pPr>
        <w:spacing w:after="0" w:line="254"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117" w:lineRule="exact"/>
        <w:rPr>
          <w:sz w:val="20"/>
          <w:szCs w:val="20"/>
          <w:color w:val="auto"/>
        </w:rPr>
      </w:pPr>
    </w:p>
    <w:p>
      <w:pPr>
        <w:ind w:right="360" w:firstLine="449"/>
        <w:spacing w:after="0" w:line="277" w:lineRule="auto"/>
        <w:rPr>
          <w:sz w:val="20"/>
          <w:szCs w:val="20"/>
          <w:color w:val="auto"/>
        </w:rPr>
      </w:pPr>
      <w:r>
        <w:rPr>
          <w:rFonts w:ascii="Arial" w:cs="Arial" w:eastAsia="Arial" w:hAnsi="Arial"/>
          <w:sz w:val="18"/>
          <w:szCs w:val="18"/>
          <w:color w:val="auto"/>
        </w:rPr>
        <w:t>We generate revenue from sales of subscriptions to our platform. Subscription fees exclude sales and other indirect taxes. We determine revenue recognition through the following steps:</w:t>
      </w:r>
    </w:p>
    <w:p>
      <w:pPr>
        <w:spacing w:after="0" w:line="76" w:lineRule="exact"/>
        <w:rPr>
          <w:sz w:val="20"/>
          <w:szCs w:val="20"/>
          <w:color w:val="auto"/>
        </w:rPr>
      </w:pPr>
    </w:p>
    <w:p>
      <w:pPr>
        <w:ind w:left="440" w:hanging="432"/>
        <w:spacing w:after="0"/>
        <w:tabs>
          <w:tab w:leader="none" w:pos="440" w:val="left"/>
        </w:tabs>
        <w:numPr>
          <w:ilvl w:val="0"/>
          <w:numId w:val="48"/>
        </w:numPr>
        <w:rPr>
          <w:rFonts w:ascii="Arial" w:cs="Arial" w:eastAsia="Arial" w:hAnsi="Arial"/>
          <w:sz w:val="18"/>
          <w:szCs w:val="18"/>
          <w:color w:val="auto"/>
        </w:rPr>
      </w:pPr>
      <w:r>
        <w:rPr>
          <w:rFonts w:ascii="Arial" w:cs="Arial" w:eastAsia="Arial" w:hAnsi="Arial"/>
          <w:sz w:val="18"/>
          <w:szCs w:val="18"/>
          <w:color w:val="auto"/>
        </w:rPr>
        <w:t>Identification of the contract, or contracts, with a customer</w:t>
      </w:r>
    </w:p>
    <w:p>
      <w:pPr>
        <w:spacing w:after="0" w:line="130" w:lineRule="exact"/>
        <w:rPr>
          <w:rFonts w:ascii="Arial" w:cs="Arial" w:eastAsia="Arial" w:hAnsi="Arial"/>
          <w:sz w:val="18"/>
          <w:szCs w:val="18"/>
          <w:color w:val="auto"/>
        </w:rPr>
      </w:pPr>
    </w:p>
    <w:p>
      <w:pPr>
        <w:ind w:left="440" w:hanging="432"/>
        <w:spacing w:after="0"/>
        <w:tabs>
          <w:tab w:leader="none" w:pos="440" w:val="left"/>
        </w:tabs>
        <w:numPr>
          <w:ilvl w:val="0"/>
          <w:numId w:val="48"/>
        </w:numPr>
        <w:rPr>
          <w:rFonts w:ascii="Arial" w:cs="Arial" w:eastAsia="Arial" w:hAnsi="Arial"/>
          <w:sz w:val="18"/>
          <w:szCs w:val="18"/>
          <w:color w:val="auto"/>
        </w:rPr>
      </w:pPr>
      <w:r>
        <w:rPr>
          <w:rFonts w:ascii="Arial" w:cs="Arial" w:eastAsia="Arial" w:hAnsi="Arial"/>
          <w:sz w:val="18"/>
          <w:szCs w:val="18"/>
          <w:color w:val="auto"/>
        </w:rPr>
        <w:t>Identification of the performance obligations in the contract</w:t>
      </w:r>
    </w:p>
    <w:p>
      <w:pPr>
        <w:spacing w:after="0" w:line="130" w:lineRule="exact"/>
        <w:rPr>
          <w:rFonts w:ascii="Arial" w:cs="Arial" w:eastAsia="Arial" w:hAnsi="Arial"/>
          <w:sz w:val="18"/>
          <w:szCs w:val="18"/>
          <w:color w:val="auto"/>
        </w:rPr>
      </w:pPr>
    </w:p>
    <w:p>
      <w:pPr>
        <w:ind w:left="440" w:hanging="432"/>
        <w:spacing w:after="0"/>
        <w:tabs>
          <w:tab w:leader="none" w:pos="440" w:val="left"/>
        </w:tabs>
        <w:numPr>
          <w:ilvl w:val="0"/>
          <w:numId w:val="48"/>
        </w:numPr>
        <w:rPr>
          <w:rFonts w:ascii="Arial" w:cs="Arial" w:eastAsia="Arial" w:hAnsi="Arial"/>
          <w:sz w:val="18"/>
          <w:szCs w:val="18"/>
          <w:color w:val="auto"/>
        </w:rPr>
      </w:pPr>
      <w:r>
        <w:rPr>
          <w:rFonts w:ascii="Arial" w:cs="Arial" w:eastAsia="Arial" w:hAnsi="Arial"/>
          <w:sz w:val="18"/>
          <w:szCs w:val="18"/>
          <w:color w:val="auto"/>
        </w:rPr>
        <w:t>Determination of the transaction price</w:t>
      </w:r>
    </w:p>
    <w:p>
      <w:pPr>
        <w:spacing w:after="0" w:line="130" w:lineRule="exact"/>
        <w:rPr>
          <w:rFonts w:ascii="Arial" w:cs="Arial" w:eastAsia="Arial" w:hAnsi="Arial"/>
          <w:sz w:val="18"/>
          <w:szCs w:val="18"/>
          <w:color w:val="auto"/>
        </w:rPr>
      </w:pPr>
    </w:p>
    <w:p>
      <w:pPr>
        <w:ind w:left="440" w:hanging="432"/>
        <w:spacing w:after="0"/>
        <w:tabs>
          <w:tab w:leader="none" w:pos="440" w:val="left"/>
        </w:tabs>
        <w:numPr>
          <w:ilvl w:val="0"/>
          <w:numId w:val="48"/>
        </w:numPr>
        <w:rPr>
          <w:rFonts w:ascii="Arial" w:cs="Arial" w:eastAsia="Arial" w:hAnsi="Arial"/>
          <w:sz w:val="18"/>
          <w:szCs w:val="18"/>
          <w:color w:val="auto"/>
        </w:rPr>
      </w:pPr>
      <w:r>
        <w:rPr>
          <w:rFonts w:ascii="Arial" w:cs="Arial" w:eastAsia="Arial" w:hAnsi="Arial"/>
          <w:sz w:val="18"/>
          <w:szCs w:val="18"/>
          <w:color w:val="auto"/>
        </w:rPr>
        <w:t>Allocation of the transaction price to the performance obligations in the contract</w:t>
      </w:r>
    </w:p>
    <w:p>
      <w:pPr>
        <w:spacing w:after="0" w:line="130" w:lineRule="exact"/>
        <w:rPr>
          <w:rFonts w:ascii="Arial" w:cs="Arial" w:eastAsia="Arial" w:hAnsi="Arial"/>
          <w:sz w:val="18"/>
          <w:szCs w:val="18"/>
          <w:color w:val="auto"/>
        </w:rPr>
      </w:pPr>
    </w:p>
    <w:p>
      <w:pPr>
        <w:ind w:left="440" w:hanging="432"/>
        <w:spacing w:after="0"/>
        <w:tabs>
          <w:tab w:leader="none" w:pos="440" w:val="left"/>
        </w:tabs>
        <w:numPr>
          <w:ilvl w:val="0"/>
          <w:numId w:val="48"/>
        </w:numPr>
        <w:rPr>
          <w:rFonts w:ascii="Arial" w:cs="Arial" w:eastAsia="Arial" w:hAnsi="Arial"/>
          <w:sz w:val="18"/>
          <w:szCs w:val="18"/>
          <w:color w:val="auto"/>
        </w:rPr>
      </w:pPr>
      <w:r>
        <w:rPr>
          <w:rFonts w:ascii="Arial" w:cs="Arial" w:eastAsia="Arial" w:hAnsi="Arial"/>
          <w:sz w:val="18"/>
          <w:szCs w:val="18"/>
          <w:color w:val="auto"/>
        </w:rPr>
        <w:t>Recognition of revenue when, or as, we satisfy a performance obligation</w:t>
      </w:r>
    </w:p>
    <w:p>
      <w:pPr>
        <w:spacing w:after="0" w:line="225" w:lineRule="exact"/>
        <w:rPr>
          <w:sz w:val="20"/>
          <w:szCs w:val="20"/>
          <w:color w:val="auto"/>
        </w:rPr>
      </w:pPr>
    </w:p>
    <w:p>
      <w:pPr>
        <w:ind w:right="40" w:firstLine="449"/>
        <w:spacing w:after="0" w:line="311" w:lineRule="auto"/>
        <w:rPr>
          <w:sz w:val="20"/>
          <w:szCs w:val="20"/>
          <w:color w:val="auto"/>
        </w:rPr>
      </w:pPr>
      <w:r>
        <w:rPr>
          <w:rFonts w:ascii="Arial" w:cs="Arial" w:eastAsia="Arial" w:hAnsi="Arial"/>
          <w:sz w:val="16"/>
          <w:szCs w:val="16"/>
          <w:color w:val="auto"/>
        </w:rPr>
        <w:t>Our subscription agreements typically have monthly or annual contractual terms, and a small percentage have multi-year contractual terms. Revenue is recognized ratably over the related contractual term generally beginning on the date that our platform is made available to a customer. Our agreements are generally non-cancelable. We typically bill in advance for monthly contracts and annually in advance for contracts with terms of one year or longer.</w:t>
      </w:r>
    </w:p>
    <w:p>
      <w:pPr>
        <w:spacing w:after="0" w:line="257"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Deferred commissions</w:t>
      </w:r>
    </w:p>
    <w:p>
      <w:pPr>
        <w:spacing w:after="0" w:line="117" w:lineRule="exact"/>
        <w:rPr>
          <w:sz w:val="20"/>
          <w:szCs w:val="20"/>
          <w:color w:val="auto"/>
        </w:rPr>
      </w:pPr>
    </w:p>
    <w:p>
      <w:pPr>
        <w:ind w:right="40" w:firstLine="449"/>
        <w:spacing w:after="0" w:line="296" w:lineRule="auto"/>
        <w:rPr>
          <w:sz w:val="20"/>
          <w:szCs w:val="20"/>
          <w:color w:val="auto"/>
        </w:rPr>
      </w:pPr>
      <w:r>
        <w:rPr>
          <w:rFonts w:ascii="Arial" w:cs="Arial" w:eastAsia="Arial" w:hAnsi="Arial"/>
          <w:sz w:val="16"/>
          <w:szCs w:val="16"/>
          <w:color w:val="auto"/>
        </w:rPr>
        <w:t>Sales commissions and the related payroll taxes earned by our outbound sales team, as well as commissions earned by third-party resellers, are considered to be incremental and recoverable costs of obtaining a contract with a user. These costs are deferred and then amortized over a period of benefit that we have determined to be five years. We determined the period of benefit by taking into consideration our historical customer attrition rates, the useful life of our technology, and the impact of competition in our industry. Changing the period of benefit by one year would result in a change to expense of approximately $1.0 million or less in each of the periods presented. Amortization of deferred commissions is included in sales and marketing expenses.</w:t>
      </w:r>
    </w:p>
    <w:p>
      <w:pPr>
        <w:spacing w:after="0" w:line="269"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Common stock valuations</w:t>
      </w:r>
    </w:p>
    <w:p>
      <w:pPr>
        <w:spacing w:after="0" w:line="117" w:lineRule="exact"/>
        <w:rPr>
          <w:sz w:val="20"/>
          <w:szCs w:val="20"/>
          <w:color w:val="auto"/>
        </w:rPr>
      </w:pPr>
    </w:p>
    <w:p>
      <w:pPr>
        <w:ind w:right="200" w:firstLine="449"/>
        <w:spacing w:after="0" w:line="277" w:lineRule="auto"/>
        <w:rPr>
          <w:sz w:val="20"/>
          <w:szCs w:val="20"/>
          <w:color w:val="auto"/>
        </w:rPr>
      </w:pPr>
      <w:r>
        <w:rPr>
          <w:rFonts w:ascii="Arial" w:cs="Arial" w:eastAsia="Arial" w:hAnsi="Arial"/>
          <w:sz w:val="18"/>
          <w:szCs w:val="18"/>
          <w:color w:val="auto"/>
        </w:rPr>
        <w:t>Since August 2015, we have granted RSUs as the only stock-based payment awards to our employees. While we stopped granting stock options in August 2015, we currently have stock options outstanding that will continue to vest through 2019.</w:t>
      </w:r>
    </w:p>
    <w:p>
      <w:pPr>
        <w:spacing w:after="0" w:line="170" w:lineRule="exact"/>
        <w:rPr>
          <w:sz w:val="20"/>
          <w:szCs w:val="20"/>
          <w:color w:val="auto"/>
        </w:rPr>
      </w:pPr>
    </w:p>
    <w:p>
      <w:pPr>
        <w:ind w:right="80" w:firstLine="449"/>
        <w:spacing w:after="0" w:line="259" w:lineRule="auto"/>
        <w:rPr>
          <w:sz w:val="20"/>
          <w:szCs w:val="20"/>
          <w:color w:val="auto"/>
        </w:rPr>
      </w:pPr>
      <w:r>
        <w:rPr>
          <w:rFonts w:ascii="Arial" w:cs="Arial" w:eastAsia="Arial" w:hAnsi="Arial"/>
          <w:sz w:val="18"/>
          <w:szCs w:val="18"/>
          <w:color w:val="auto"/>
        </w:rPr>
        <w:t>The fair values of the common stock underlying the RSUs were determined by our Board of Directors, with input from management and contemporaneous third-party valuations, which were performed at least quarterly. If RSUs were granted a short period of time prior to the date of a valuation report, we retrospectively assessed the fair value used for financial reporting purposes after considering the fair value reflected in the subsequent valuation report and other facts and circumstances on the date of grant as discussed below.</w:t>
      </w:r>
    </w:p>
    <w:p>
      <w:pPr>
        <w:spacing w:after="0" w:line="187" w:lineRule="exact"/>
        <w:rPr>
          <w:sz w:val="20"/>
          <w:szCs w:val="20"/>
          <w:color w:val="auto"/>
        </w:rPr>
      </w:pPr>
    </w:p>
    <w:p>
      <w:pPr>
        <w:ind w:right="140" w:firstLine="449"/>
        <w:spacing w:after="0" w:line="277" w:lineRule="auto"/>
        <w:rPr>
          <w:sz w:val="20"/>
          <w:szCs w:val="20"/>
          <w:color w:val="auto"/>
        </w:rPr>
      </w:pPr>
      <w:r>
        <w:rPr>
          <w:rFonts w:ascii="Arial" w:cs="Arial" w:eastAsia="Arial" w:hAnsi="Arial"/>
          <w:sz w:val="18"/>
          <w:szCs w:val="18"/>
          <w:color w:val="auto"/>
        </w:rPr>
        <w:t xml:space="preserve">Given the absence of a public trading market for our common stock, and in accordance with the American Institute of Certified Public Accountants Practice Guide, </w:t>
      </w:r>
      <w:r>
        <w:rPr>
          <w:rFonts w:ascii="Arial" w:cs="Arial" w:eastAsia="Arial" w:hAnsi="Arial"/>
          <w:sz w:val="18"/>
          <w:szCs w:val="18"/>
          <w:i w:val="1"/>
          <w:iCs w:val="1"/>
          <w:color w:val="auto"/>
        </w:rPr>
        <w:t>Valuation of Privately-Held-Company Equity Securities</w:t>
      </w:r>
    </w:p>
    <w:p>
      <w:pPr>
        <w:spacing w:after="0" w:line="10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80</w:t>
      </w:r>
    </w:p>
    <w:p>
      <w:pPr>
        <w:sectPr>
          <w:pgSz w:w="11900" w:h="16838" w:orient="portrait"/>
          <w:cols w:equalWidth="0" w:num="1">
            <w:col w:w="11200"/>
          </w:cols>
          <w:pgMar w:left="320" w:top="459" w:right="379" w:bottom="1440" w:gutter="0" w:footer="0" w:header="0"/>
        </w:sectPr>
      </w:pPr>
    </w:p>
    <w:bookmarkStart w:id="83" w:name="page84"/>
    <w:bookmarkEnd w:id="8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spacing w:after="0" w:line="277" w:lineRule="auto"/>
        <w:rPr>
          <w:sz w:val="20"/>
          <w:szCs w:val="20"/>
          <w:color w:val="auto"/>
        </w:rPr>
      </w:pPr>
      <w:r>
        <w:rPr>
          <w:rFonts w:ascii="Arial" w:cs="Arial" w:eastAsia="Arial" w:hAnsi="Arial"/>
          <w:sz w:val="18"/>
          <w:szCs w:val="18"/>
          <w:i w:val="1"/>
          <w:iCs w:val="1"/>
          <w:color w:val="auto"/>
        </w:rPr>
        <w:t xml:space="preserve">Issued as Compensation, </w:t>
      </w:r>
      <w:r>
        <w:rPr>
          <w:rFonts w:ascii="Arial" w:cs="Arial" w:eastAsia="Arial" w:hAnsi="Arial"/>
          <w:sz w:val="18"/>
          <w:szCs w:val="18"/>
          <w:color w:val="auto"/>
        </w:rPr>
        <w:t>or AICPA Guide, our Board of Directors exercised reasonable judgment and considered numerous objective and subjective factors</w:t>
      </w:r>
      <w:r>
        <w:rPr>
          <w:rFonts w:ascii="Arial" w:cs="Arial" w:eastAsia="Arial" w:hAnsi="Arial"/>
          <w:sz w:val="18"/>
          <w:szCs w:val="18"/>
          <w:i w:val="1"/>
          <w:iCs w:val="1"/>
          <w:color w:val="auto"/>
        </w:rPr>
        <w:t xml:space="preserve"> </w:t>
      </w:r>
      <w:r>
        <w:rPr>
          <w:rFonts w:ascii="Arial" w:cs="Arial" w:eastAsia="Arial" w:hAnsi="Arial"/>
          <w:sz w:val="18"/>
          <w:szCs w:val="18"/>
          <w:color w:val="auto"/>
        </w:rPr>
        <w:t>to determine the best estimate of the fair value of our common stock including:</w:t>
      </w:r>
    </w:p>
    <w:p>
      <w:pPr>
        <w:spacing w:after="0" w:line="76" w:lineRule="exact"/>
        <w:rPr>
          <w:sz w:val="20"/>
          <w:szCs w:val="20"/>
          <w:color w:val="auto"/>
        </w:rPr>
      </w:pPr>
    </w:p>
    <w:p>
      <w:pPr>
        <w:ind w:left="440" w:hanging="432"/>
        <w:spacing w:after="0"/>
        <w:tabs>
          <w:tab w:leader="none" w:pos="440" w:val="left"/>
        </w:tabs>
        <w:numPr>
          <w:ilvl w:val="0"/>
          <w:numId w:val="49"/>
        </w:numPr>
        <w:rPr>
          <w:rFonts w:ascii="Arial" w:cs="Arial" w:eastAsia="Arial" w:hAnsi="Arial"/>
          <w:sz w:val="18"/>
          <w:szCs w:val="18"/>
          <w:color w:val="auto"/>
        </w:rPr>
      </w:pPr>
      <w:r>
        <w:rPr>
          <w:rFonts w:ascii="Arial" w:cs="Arial" w:eastAsia="Arial" w:hAnsi="Arial"/>
          <w:sz w:val="18"/>
          <w:szCs w:val="18"/>
          <w:color w:val="auto"/>
        </w:rPr>
        <w:t>The results of contemporaneous valuations of our common stock by unrelated third parties;</w:t>
      </w:r>
    </w:p>
    <w:p>
      <w:pPr>
        <w:spacing w:after="0" w:line="130" w:lineRule="exact"/>
        <w:rPr>
          <w:rFonts w:ascii="Arial" w:cs="Arial" w:eastAsia="Arial" w:hAnsi="Arial"/>
          <w:sz w:val="18"/>
          <w:szCs w:val="18"/>
          <w:color w:val="auto"/>
        </w:rPr>
      </w:pPr>
    </w:p>
    <w:p>
      <w:pPr>
        <w:ind w:left="440" w:hanging="432"/>
        <w:spacing w:after="0"/>
        <w:tabs>
          <w:tab w:leader="none" w:pos="440" w:val="left"/>
        </w:tabs>
        <w:numPr>
          <w:ilvl w:val="0"/>
          <w:numId w:val="49"/>
        </w:numPr>
        <w:rPr>
          <w:rFonts w:ascii="Arial" w:cs="Arial" w:eastAsia="Arial" w:hAnsi="Arial"/>
          <w:sz w:val="18"/>
          <w:szCs w:val="18"/>
          <w:color w:val="auto"/>
        </w:rPr>
      </w:pPr>
      <w:r>
        <w:rPr>
          <w:rFonts w:ascii="Arial" w:cs="Arial" w:eastAsia="Arial" w:hAnsi="Arial"/>
          <w:sz w:val="18"/>
          <w:szCs w:val="18"/>
          <w:color w:val="auto"/>
        </w:rPr>
        <w:t>The rights, preferences, and privileges of our convertible preferred stock relative to those of our common stock;</w:t>
      </w:r>
    </w:p>
    <w:p>
      <w:pPr>
        <w:spacing w:after="0" w:line="130" w:lineRule="exact"/>
        <w:rPr>
          <w:rFonts w:ascii="Arial" w:cs="Arial" w:eastAsia="Arial" w:hAnsi="Arial"/>
          <w:sz w:val="18"/>
          <w:szCs w:val="18"/>
          <w:color w:val="auto"/>
        </w:rPr>
      </w:pPr>
    </w:p>
    <w:p>
      <w:pPr>
        <w:ind w:left="440" w:right="300" w:hanging="432"/>
        <w:spacing w:after="0" w:line="277" w:lineRule="auto"/>
        <w:tabs>
          <w:tab w:leader="none" w:pos="440" w:val="left"/>
        </w:tabs>
        <w:numPr>
          <w:ilvl w:val="0"/>
          <w:numId w:val="49"/>
        </w:numPr>
        <w:rPr>
          <w:rFonts w:ascii="Arial" w:cs="Arial" w:eastAsia="Arial" w:hAnsi="Arial"/>
          <w:sz w:val="18"/>
          <w:szCs w:val="18"/>
          <w:color w:val="auto"/>
        </w:rPr>
      </w:pPr>
      <w:r>
        <w:rPr>
          <w:rFonts w:ascii="Arial" w:cs="Arial" w:eastAsia="Arial" w:hAnsi="Arial"/>
          <w:sz w:val="18"/>
          <w:szCs w:val="18"/>
          <w:color w:val="auto"/>
        </w:rPr>
        <w:t>Market multiples of comparable public companies in our industry as indicated by their market capitalization and guideline merger and acquisition transactions;</w:t>
      </w:r>
    </w:p>
    <w:p>
      <w:pPr>
        <w:spacing w:after="0" w:line="75" w:lineRule="exact"/>
        <w:rPr>
          <w:rFonts w:ascii="Arial" w:cs="Arial" w:eastAsia="Arial" w:hAnsi="Arial"/>
          <w:sz w:val="18"/>
          <w:szCs w:val="18"/>
          <w:color w:val="auto"/>
        </w:rPr>
      </w:pPr>
    </w:p>
    <w:p>
      <w:pPr>
        <w:ind w:left="440" w:hanging="432"/>
        <w:spacing w:after="0"/>
        <w:tabs>
          <w:tab w:leader="none" w:pos="440" w:val="left"/>
        </w:tabs>
        <w:numPr>
          <w:ilvl w:val="0"/>
          <w:numId w:val="49"/>
        </w:numPr>
        <w:rPr>
          <w:rFonts w:ascii="Arial" w:cs="Arial" w:eastAsia="Arial" w:hAnsi="Arial"/>
          <w:sz w:val="18"/>
          <w:szCs w:val="18"/>
          <w:color w:val="auto"/>
        </w:rPr>
      </w:pPr>
      <w:r>
        <w:rPr>
          <w:rFonts w:ascii="Arial" w:cs="Arial" w:eastAsia="Arial" w:hAnsi="Arial"/>
          <w:sz w:val="18"/>
          <w:szCs w:val="18"/>
          <w:color w:val="auto"/>
        </w:rPr>
        <w:t>Our performance and market position relative to our competitors, who may change from time to time;</w:t>
      </w:r>
    </w:p>
    <w:p>
      <w:pPr>
        <w:spacing w:after="0" w:line="130" w:lineRule="exact"/>
        <w:rPr>
          <w:rFonts w:ascii="Arial" w:cs="Arial" w:eastAsia="Arial" w:hAnsi="Arial"/>
          <w:sz w:val="18"/>
          <w:szCs w:val="18"/>
          <w:color w:val="auto"/>
        </w:rPr>
      </w:pPr>
    </w:p>
    <w:p>
      <w:pPr>
        <w:ind w:left="440" w:hanging="432"/>
        <w:spacing w:after="0"/>
        <w:tabs>
          <w:tab w:leader="none" w:pos="440" w:val="left"/>
        </w:tabs>
        <w:numPr>
          <w:ilvl w:val="0"/>
          <w:numId w:val="49"/>
        </w:numPr>
        <w:rPr>
          <w:rFonts w:ascii="Arial" w:cs="Arial" w:eastAsia="Arial" w:hAnsi="Arial"/>
          <w:sz w:val="18"/>
          <w:szCs w:val="18"/>
          <w:color w:val="auto"/>
        </w:rPr>
      </w:pPr>
      <w:r>
        <w:rPr>
          <w:rFonts w:ascii="Arial" w:cs="Arial" w:eastAsia="Arial" w:hAnsi="Arial"/>
          <w:sz w:val="18"/>
          <w:szCs w:val="18"/>
          <w:color w:val="auto"/>
        </w:rPr>
        <w:t>Our historical financial results and estimated trends and prospects for our future performance;</w:t>
      </w:r>
    </w:p>
    <w:p>
      <w:pPr>
        <w:spacing w:after="0" w:line="130" w:lineRule="exact"/>
        <w:rPr>
          <w:rFonts w:ascii="Arial" w:cs="Arial" w:eastAsia="Arial" w:hAnsi="Arial"/>
          <w:sz w:val="18"/>
          <w:szCs w:val="18"/>
          <w:color w:val="auto"/>
        </w:rPr>
      </w:pPr>
    </w:p>
    <w:p>
      <w:pPr>
        <w:ind w:left="440" w:hanging="432"/>
        <w:spacing w:after="0"/>
        <w:tabs>
          <w:tab w:leader="none" w:pos="440" w:val="left"/>
        </w:tabs>
        <w:numPr>
          <w:ilvl w:val="0"/>
          <w:numId w:val="49"/>
        </w:numPr>
        <w:rPr>
          <w:rFonts w:ascii="Arial" w:cs="Arial" w:eastAsia="Arial" w:hAnsi="Arial"/>
          <w:sz w:val="18"/>
          <w:szCs w:val="18"/>
          <w:color w:val="auto"/>
        </w:rPr>
      </w:pPr>
      <w:r>
        <w:rPr>
          <w:rFonts w:ascii="Arial" w:cs="Arial" w:eastAsia="Arial" w:hAnsi="Arial"/>
          <w:sz w:val="18"/>
          <w:szCs w:val="18"/>
          <w:color w:val="auto"/>
        </w:rPr>
        <w:t>Valuations published by institutional investors that hold investments in our capital stock;</w:t>
      </w:r>
    </w:p>
    <w:p>
      <w:pPr>
        <w:spacing w:after="0" w:line="130" w:lineRule="exact"/>
        <w:rPr>
          <w:rFonts w:ascii="Arial" w:cs="Arial" w:eastAsia="Arial" w:hAnsi="Arial"/>
          <w:sz w:val="18"/>
          <w:szCs w:val="18"/>
          <w:color w:val="auto"/>
        </w:rPr>
      </w:pPr>
    </w:p>
    <w:p>
      <w:pPr>
        <w:ind w:left="440" w:hanging="432"/>
        <w:spacing w:after="0"/>
        <w:tabs>
          <w:tab w:leader="none" w:pos="440" w:val="left"/>
        </w:tabs>
        <w:numPr>
          <w:ilvl w:val="0"/>
          <w:numId w:val="49"/>
        </w:numPr>
        <w:rPr>
          <w:rFonts w:ascii="Arial" w:cs="Arial" w:eastAsia="Arial" w:hAnsi="Arial"/>
          <w:sz w:val="18"/>
          <w:szCs w:val="18"/>
          <w:color w:val="auto"/>
        </w:rPr>
      </w:pPr>
      <w:r>
        <w:rPr>
          <w:rFonts w:ascii="Arial" w:cs="Arial" w:eastAsia="Arial" w:hAnsi="Arial"/>
          <w:sz w:val="18"/>
          <w:szCs w:val="18"/>
          <w:color w:val="auto"/>
        </w:rPr>
        <w:t>The economic and competitive environment;</w:t>
      </w:r>
    </w:p>
    <w:p>
      <w:pPr>
        <w:spacing w:after="0" w:line="130" w:lineRule="exact"/>
        <w:rPr>
          <w:rFonts w:ascii="Arial" w:cs="Arial" w:eastAsia="Arial" w:hAnsi="Arial"/>
          <w:sz w:val="18"/>
          <w:szCs w:val="18"/>
          <w:color w:val="auto"/>
        </w:rPr>
      </w:pPr>
    </w:p>
    <w:p>
      <w:pPr>
        <w:ind w:left="440" w:hanging="432"/>
        <w:spacing w:after="0"/>
        <w:tabs>
          <w:tab w:leader="none" w:pos="440" w:val="left"/>
        </w:tabs>
        <w:numPr>
          <w:ilvl w:val="0"/>
          <w:numId w:val="49"/>
        </w:numPr>
        <w:rPr>
          <w:rFonts w:ascii="Arial" w:cs="Arial" w:eastAsia="Arial" w:hAnsi="Arial"/>
          <w:sz w:val="18"/>
          <w:szCs w:val="18"/>
          <w:color w:val="auto"/>
        </w:rPr>
      </w:pPr>
      <w:r>
        <w:rPr>
          <w:rFonts w:ascii="Arial" w:cs="Arial" w:eastAsia="Arial" w:hAnsi="Arial"/>
          <w:sz w:val="18"/>
          <w:szCs w:val="18"/>
          <w:color w:val="auto"/>
        </w:rPr>
        <w:t>The likelihood and timeline of achieving a liquidity event, such as an initial public offering or sale, given prevailing market conditions;</w:t>
      </w:r>
    </w:p>
    <w:p>
      <w:pPr>
        <w:spacing w:after="0" w:line="130" w:lineRule="exact"/>
        <w:rPr>
          <w:rFonts w:ascii="Arial" w:cs="Arial" w:eastAsia="Arial" w:hAnsi="Arial"/>
          <w:sz w:val="18"/>
          <w:szCs w:val="18"/>
          <w:color w:val="auto"/>
        </w:rPr>
      </w:pPr>
    </w:p>
    <w:p>
      <w:pPr>
        <w:ind w:left="440" w:hanging="432"/>
        <w:spacing w:after="0"/>
        <w:tabs>
          <w:tab w:leader="none" w:pos="440" w:val="left"/>
        </w:tabs>
        <w:numPr>
          <w:ilvl w:val="0"/>
          <w:numId w:val="49"/>
        </w:numPr>
        <w:rPr>
          <w:rFonts w:ascii="Arial" w:cs="Arial" w:eastAsia="Arial" w:hAnsi="Arial"/>
          <w:sz w:val="18"/>
          <w:szCs w:val="18"/>
          <w:color w:val="auto"/>
        </w:rPr>
      </w:pPr>
      <w:r>
        <w:rPr>
          <w:rFonts w:ascii="Arial" w:cs="Arial" w:eastAsia="Arial" w:hAnsi="Arial"/>
          <w:sz w:val="18"/>
          <w:szCs w:val="18"/>
          <w:color w:val="auto"/>
        </w:rPr>
        <w:t>Any adjustments necessary to recognize a lack of marketability for our common stock; and</w:t>
      </w:r>
    </w:p>
    <w:p>
      <w:pPr>
        <w:spacing w:after="0" w:line="130" w:lineRule="exact"/>
        <w:rPr>
          <w:rFonts w:ascii="Arial" w:cs="Arial" w:eastAsia="Arial" w:hAnsi="Arial"/>
          <w:sz w:val="18"/>
          <w:szCs w:val="18"/>
          <w:color w:val="auto"/>
        </w:rPr>
      </w:pPr>
    </w:p>
    <w:p>
      <w:pPr>
        <w:ind w:left="440" w:hanging="432"/>
        <w:spacing w:after="0"/>
        <w:tabs>
          <w:tab w:leader="none" w:pos="440" w:val="left"/>
        </w:tabs>
        <w:numPr>
          <w:ilvl w:val="0"/>
          <w:numId w:val="49"/>
        </w:numPr>
        <w:rPr>
          <w:rFonts w:ascii="Arial" w:cs="Arial" w:eastAsia="Arial" w:hAnsi="Arial"/>
          <w:sz w:val="18"/>
          <w:szCs w:val="18"/>
          <w:color w:val="auto"/>
        </w:rPr>
      </w:pPr>
      <w:r>
        <w:rPr>
          <w:rFonts w:ascii="Arial" w:cs="Arial" w:eastAsia="Arial" w:hAnsi="Arial"/>
          <w:sz w:val="18"/>
          <w:szCs w:val="18"/>
          <w:color w:val="auto"/>
        </w:rPr>
        <w:t>Precedent sales of or offers to purchase our capital stock.</w:t>
      </w:r>
    </w:p>
    <w:p>
      <w:pPr>
        <w:spacing w:after="0" w:line="225" w:lineRule="exact"/>
        <w:rPr>
          <w:sz w:val="20"/>
          <w:szCs w:val="20"/>
          <w:color w:val="auto"/>
        </w:rPr>
      </w:pPr>
    </w:p>
    <w:p>
      <w:pPr>
        <w:ind w:right="80" w:firstLine="449"/>
        <w:spacing w:after="0" w:line="255" w:lineRule="auto"/>
        <w:rPr>
          <w:sz w:val="20"/>
          <w:szCs w:val="20"/>
          <w:color w:val="auto"/>
        </w:rPr>
      </w:pPr>
      <w:r>
        <w:rPr>
          <w:rFonts w:ascii="Arial" w:cs="Arial" w:eastAsia="Arial" w:hAnsi="Arial"/>
          <w:sz w:val="18"/>
          <w:szCs w:val="18"/>
          <w:color w:val="auto"/>
        </w:rPr>
        <w:t>In valuing our common stock, our Board of Directors determined the fair value of our common stock using both the income and market approach valuation methods. The income approach estimates value based on the expectation of future cash flows that a company will generate. These future cash flows are discounted to their present values using a discount rate based on our weighted average cost of capital, and is adjusted to reflect the risks inherent in our cash flows. The market approach estimates value based on a comparison of the subject company to comparable public companies in a similar line of business. From the comparable companies, a representative market value multiple is determined and then applied to the subject company’s financial forecasts to estimate the value of the subject company.</w:t>
      </w:r>
    </w:p>
    <w:p>
      <w:pPr>
        <w:spacing w:after="0" w:line="192" w:lineRule="exact"/>
        <w:rPr>
          <w:sz w:val="20"/>
          <w:szCs w:val="20"/>
          <w:color w:val="auto"/>
        </w:rPr>
      </w:pPr>
    </w:p>
    <w:p>
      <w:pPr>
        <w:jc w:val="both"/>
        <w:ind w:right="100" w:firstLine="449"/>
        <w:spacing w:after="0" w:line="263" w:lineRule="auto"/>
        <w:rPr>
          <w:sz w:val="20"/>
          <w:szCs w:val="20"/>
          <w:color w:val="auto"/>
        </w:rPr>
      </w:pPr>
      <w:r>
        <w:rPr>
          <w:rFonts w:ascii="Arial" w:cs="Arial" w:eastAsia="Arial" w:hAnsi="Arial"/>
          <w:sz w:val="18"/>
          <w:szCs w:val="18"/>
          <w:color w:val="auto"/>
        </w:rPr>
        <w:t>For valuations prior to August 31, 2017, the equity valuation was based on both the income and the market approach valuation methods, in addition to giving consideration to recent secondary sales of our common stock. The Option Pricing Method was selected as the principal equity allocation method. These methods were consistent with prior valuations.</w:t>
      </w:r>
    </w:p>
    <w:p>
      <w:pPr>
        <w:spacing w:after="0" w:line="184" w:lineRule="exact"/>
        <w:rPr>
          <w:sz w:val="20"/>
          <w:szCs w:val="20"/>
          <w:color w:val="auto"/>
        </w:rPr>
      </w:pPr>
    </w:p>
    <w:p>
      <w:pPr>
        <w:ind w:right="120" w:firstLine="449"/>
        <w:spacing w:after="0" w:line="259" w:lineRule="auto"/>
        <w:rPr>
          <w:sz w:val="20"/>
          <w:szCs w:val="20"/>
          <w:color w:val="auto"/>
        </w:rPr>
      </w:pPr>
      <w:r>
        <w:rPr>
          <w:rFonts w:ascii="Arial" w:cs="Arial" w:eastAsia="Arial" w:hAnsi="Arial"/>
          <w:sz w:val="18"/>
          <w:szCs w:val="18"/>
          <w:color w:val="auto"/>
        </w:rPr>
        <w:t>For valuations as of and subsequent to August 31, 2017, we have used a hybrid method to determine the fair value of our common stock, in addition to giving consideration to recent secondary sales of our common stock. Under the hybrid method, multiple valuation approaches were used and then combined into a single probability weighted valuation. Our approaches included the use of initial public offering scenarios, a scenario assuming continued operation as a private entity, and a scenario assuming an acquisition of the company.</w:t>
      </w:r>
    </w:p>
    <w:p>
      <w:pPr>
        <w:spacing w:after="0" w:line="187" w:lineRule="exact"/>
        <w:rPr>
          <w:sz w:val="20"/>
          <w:szCs w:val="20"/>
          <w:color w:val="auto"/>
        </w:rPr>
      </w:pPr>
    </w:p>
    <w:p>
      <w:pPr>
        <w:ind w:right="440" w:firstLine="449"/>
        <w:spacing w:after="0" w:line="279" w:lineRule="auto"/>
        <w:rPr>
          <w:sz w:val="20"/>
          <w:szCs w:val="20"/>
          <w:color w:val="auto"/>
        </w:rPr>
      </w:pPr>
      <w:r>
        <w:rPr>
          <w:rFonts w:ascii="Arial" w:cs="Arial" w:eastAsia="Arial" w:hAnsi="Arial"/>
          <w:sz w:val="17"/>
          <w:szCs w:val="17"/>
          <w:color w:val="auto"/>
        </w:rPr>
        <w:t>Application of these approaches involves the use of estimates, judgment, and assumptions that are highly complex and subjective, such as those regarding our expected future revenue, expenses, and cash flows, discount rates, market multiples, the selection of comparable companies, and the probability of future events. Changes in any or all of these estimates and assumptions, or the relationships between those assumptions, impact our valuations as of each valuation date and may have a material impact on the valuation of common stock.</w:t>
      </w:r>
    </w:p>
    <w:p>
      <w:pPr>
        <w:spacing w:after="0" w:line="171" w:lineRule="exact"/>
        <w:rPr>
          <w:sz w:val="20"/>
          <w:szCs w:val="20"/>
          <w:color w:val="auto"/>
        </w:rPr>
      </w:pPr>
    </w:p>
    <w:p>
      <w:pPr>
        <w:ind w:right="360" w:firstLine="449"/>
        <w:spacing w:after="0" w:line="277" w:lineRule="auto"/>
        <w:rPr>
          <w:sz w:val="20"/>
          <w:szCs w:val="20"/>
          <w:color w:val="auto"/>
        </w:rPr>
      </w:pPr>
      <w:r>
        <w:rPr>
          <w:rFonts w:ascii="Arial" w:cs="Arial" w:eastAsia="Arial" w:hAnsi="Arial"/>
          <w:sz w:val="18"/>
          <w:szCs w:val="18"/>
          <w:color w:val="auto"/>
        </w:rPr>
        <w:t>For valuations after the completion of this initial public offering, our Board of Directors will determine the fair value of each share of underlying common stock based on the closing price of our Class A common stock as reported on the date of the grant.</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81</w:t>
      </w:r>
    </w:p>
    <w:p>
      <w:pPr>
        <w:sectPr>
          <w:pgSz w:w="11900" w:h="16838" w:orient="portrait"/>
          <w:cols w:equalWidth="0" w:num="1">
            <w:col w:w="11240"/>
          </w:cols>
          <w:pgMar w:left="320" w:top="459" w:right="339" w:bottom="1440" w:gutter="0" w:footer="0" w:header="0"/>
        </w:sectPr>
      </w:pPr>
    </w:p>
    <w:bookmarkStart w:id="84" w:name="page85"/>
    <w:bookmarkEnd w:id="8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Business combinations and valuation of goodwill and other acquired intangible assets</w:t>
      </w:r>
    </w:p>
    <w:p>
      <w:pPr>
        <w:spacing w:after="0" w:line="117" w:lineRule="exact"/>
        <w:rPr>
          <w:sz w:val="20"/>
          <w:szCs w:val="20"/>
          <w:color w:val="auto"/>
        </w:rPr>
      </w:pPr>
    </w:p>
    <w:p>
      <w:pPr>
        <w:ind w:right="60" w:firstLine="449"/>
        <w:spacing w:after="0" w:line="286" w:lineRule="auto"/>
        <w:rPr>
          <w:sz w:val="20"/>
          <w:szCs w:val="20"/>
          <w:color w:val="auto"/>
        </w:rPr>
      </w:pPr>
      <w:r>
        <w:rPr>
          <w:rFonts w:ascii="Arial" w:cs="Arial" w:eastAsia="Arial" w:hAnsi="Arial"/>
          <w:sz w:val="17"/>
          <w:szCs w:val="17"/>
          <w:color w:val="auto"/>
        </w:rPr>
        <w:t>When we acquire a business, we allocate the purchase price to the net tangible and identifiable intangible assets acquired based on their fair values. Any residual purchase price is recorded as goodwill. The estimation of the fair value of acquired assets and assumed liabilities requires management to apply significant judgment, especially with respect to intangible assets, which consist primarily of developed technologies.</w:t>
      </w:r>
    </w:p>
    <w:p>
      <w:pPr>
        <w:spacing w:after="0" w:line="165" w:lineRule="exact"/>
        <w:rPr>
          <w:sz w:val="20"/>
          <w:szCs w:val="20"/>
          <w:color w:val="auto"/>
        </w:rPr>
      </w:pPr>
    </w:p>
    <w:p>
      <w:pPr>
        <w:ind w:firstLine="449"/>
        <w:spacing w:after="0" w:line="257" w:lineRule="auto"/>
        <w:rPr>
          <w:sz w:val="20"/>
          <w:szCs w:val="20"/>
          <w:color w:val="auto"/>
        </w:rPr>
      </w:pPr>
      <w:r>
        <w:rPr>
          <w:rFonts w:ascii="Arial" w:cs="Arial" w:eastAsia="Arial" w:hAnsi="Arial"/>
          <w:sz w:val="18"/>
          <w:szCs w:val="18"/>
          <w:color w:val="auto"/>
        </w:rPr>
        <w:t>These estimates are based upon a number of factors, including historical experience, market conditions, and information obtained from the management of acquired companies. To determine the fair value of acquired intangible assets, we make estimates that can include, but are not limited to, the cash flows that an asset is expected to generate in the future, the appropriate weighted-average cost of capital to utilize, the cost savings expected to be derived from acquiring an asset, and the expected use of the asset. These same factors are also considered in determining the useful life of acquired intangible assets, which impacts the timing of future amortization expense.</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Pronouncements</w:t>
      </w:r>
    </w:p>
    <w:p>
      <w:pPr>
        <w:spacing w:after="0" w:line="121" w:lineRule="exact"/>
        <w:rPr>
          <w:sz w:val="20"/>
          <w:szCs w:val="20"/>
          <w:color w:val="auto"/>
        </w:rPr>
      </w:pPr>
    </w:p>
    <w:p>
      <w:pPr>
        <w:ind w:firstLine="449"/>
        <w:spacing w:after="0" w:line="287" w:lineRule="auto"/>
        <w:rPr>
          <w:sz w:val="20"/>
          <w:szCs w:val="20"/>
          <w:color w:val="auto"/>
        </w:rPr>
      </w:pPr>
      <w:r>
        <w:rPr>
          <w:rFonts w:ascii="Arial" w:cs="Arial" w:eastAsia="Arial" w:hAnsi="Arial"/>
          <w:sz w:val="16"/>
          <w:szCs w:val="16"/>
          <w:color w:val="auto"/>
        </w:rPr>
        <w:t xml:space="preserve">In February 2016, the FASB issued ASU No. 2016-02, </w:t>
      </w:r>
      <w:r>
        <w:rPr>
          <w:rFonts w:ascii="Arial" w:cs="Arial" w:eastAsia="Arial" w:hAnsi="Arial"/>
          <w:sz w:val="16"/>
          <w:szCs w:val="16"/>
          <w:i w:val="1"/>
          <w:iCs w:val="1"/>
          <w:color w:val="auto"/>
        </w:rPr>
        <w:t>Leases (Topic 842)</w:t>
      </w:r>
      <w:r>
        <w:rPr>
          <w:rFonts w:ascii="Arial" w:cs="Arial" w:eastAsia="Arial" w:hAnsi="Arial"/>
          <w:sz w:val="16"/>
          <w:szCs w:val="16"/>
          <w:color w:val="auto"/>
        </w:rPr>
        <w:t>. Most prominent among the changes in the standard is the recognition of right of use assets and lease liabilities by lessees for those leases classified as operating leases under current GAAP. Under the standard, disclosures are required to meet the objective of enabling users of financial statements to assess the amount, timing, and uncertainty of cash flows arising from leases. We will be required to recognize and measure leases existing at, or entered into after, the beginning of the earliest comparative period presented using a modified retrospective approach, with certain practical expedients available. The new standard is effective for fiscal years beginning after December 15, 2018. Early adoption by public entities is permitted. We are in the initial stage of our assessment of the new standard and are currently evaluating the timing of adoption, the quantitative impact of adoption, and the related disclosure requirements. We anticipate the adoption of this standard will result in a substantial increase in our non-current assets and liabilities recorded on the consolidated balance sheets. The adoption of the standard is not expected to have a material impact on the consolidated statement of operations. While we are assessing all potential impacts of the adoption of the standard, we currently expect the most significant impact to be the capitalization of right-to-use assets and lease liabilities for our office space and datacenter operating leases. We expect our accounting for capital leases related to infrastructure equipment to remain substantially unchanged under the new standard.</w:t>
      </w:r>
    </w:p>
    <w:p>
      <w:pPr>
        <w:spacing w:after="0" w:line="172" w:lineRule="exact"/>
        <w:rPr>
          <w:sz w:val="20"/>
          <w:szCs w:val="20"/>
          <w:color w:val="auto"/>
        </w:rPr>
      </w:pPr>
    </w:p>
    <w:p>
      <w:pPr>
        <w:ind w:right="500" w:firstLine="449"/>
        <w:spacing w:after="0" w:line="277" w:lineRule="auto"/>
        <w:rPr>
          <w:sz w:val="20"/>
          <w:szCs w:val="20"/>
          <w:color w:val="auto"/>
        </w:rPr>
      </w:pPr>
      <w:r>
        <w:rPr>
          <w:rFonts w:ascii="Arial" w:cs="Arial" w:eastAsia="Arial" w:hAnsi="Arial"/>
          <w:sz w:val="18"/>
          <w:szCs w:val="18"/>
          <w:color w:val="auto"/>
        </w:rPr>
        <w:t>See Note 1, “Description of the Business and Summary of Significant Accounting Policies” to our consolidated financial statements included elsewhere in this prospectus for more information about other recent accounting pronouncements.</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Quantitative and Qualitative Disclosures about Market Risk</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7"/>
          <w:szCs w:val="17"/>
          <w:color w:val="auto"/>
        </w:rPr>
        <w:t>We are exposed to market risks in the ordinary course of our business, including interest rate, foreign currency exchange, and inflation risks.</w:t>
      </w:r>
    </w:p>
    <w:p>
      <w:pPr>
        <w:spacing w:after="0" w:line="345"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Interest rate risk</w:t>
      </w:r>
    </w:p>
    <w:p>
      <w:pPr>
        <w:spacing w:after="0" w:line="117" w:lineRule="exact"/>
        <w:rPr>
          <w:sz w:val="20"/>
          <w:szCs w:val="20"/>
          <w:color w:val="auto"/>
        </w:rPr>
      </w:pPr>
    </w:p>
    <w:p>
      <w:pPr>
        <w:ind w:right="20" w:firstLine="449"/>
        <w:spacing w:after="0" w:line="296" w:lineRule="auto"/>
        <w:rPr>
          <w:sz w:val="20"/>
          <w:szCs w:val="20"/>
          <w:color w:val="auto"/>
        </w:rPr>
      </w:pPr>
      <w:r>
        <w:rPr>
          <w:rFonts w:ascii="Arial" w:cs="Arial" w:eastAsia="Arial" w:hAnsi="Arial"/>
          <w:sz w:val="16"/>
          <w:szCs w:val="16"/>
          <w:color w:val="auto"/>
        </w:rPr>
        <w:t>We had cash and cash equivalents of $422.7 million as of September 30, 2017. We hold our cash and cash equivalents for working capital purposes. Our cash and cash equivalents are held in cash deposits and money market funds. The primary objectives of our investment activities are the preservation of capital, the fulfillment of liquidity needs, and the control of cash and investments. We do not enter into investments for trading or speculative purposes. Due to the short-term nature of these instruments, we believe that we do not have any material exposure to changes in the fair value of our investment portfolio as a result of changes in interest rates. Decreases in interest rates, however, would reduce future interest income.</w:t>
      </w:r>
    </w:p>
    <w:p>
      <w:pPr>
        <w:spacing w:after="0" w:line="94"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82</w:t>
      </w:r>
    </w:p>
    <w:p>
      <w:pPr>
        <w:sectPr>
          <w:pgSz w:w="11900" w:h="16838" w:orient="portrait"/>
          <w:cols w:equalWidth="0" w:num="1">
            <w:col w:w="11120"/>
          </w:cols>
          <w:pgMar w:left="320" w:top="459" w:right="459" w:bottom="1440" w:gutter="0" w:footer="0" w:header="0"/>
        </w:sectPr>
      </w:pPr>
    </w:p>
    <w:bookmarkStart w:id="85" w:name="page86"/>
    <w:bookmarkEnd w:id="8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firstLine="449"/>
        <w:spacing w:after="0" w:line="263" w:lineRule="auto"/>
        <w:rPr>
          <w:sz w:val="20"/>
          <w:szCs w:val="20"/>
          <w:color w:val="auto"/>
        </w:rPr>
      </w:pPr>
      <w:r>
        <w:rPr>
          <w:rFonts w:ascii="Arial" w:cs="Arial" w:eastAsia="Arial" w:hAnsi="Arial"/>
          <w:sz w:val="18"/>
          <w:szCs w:val="18"/>
          <w:color w:val="auto"/>
        </w:rPr>
        <w:t>Any borrowings under the revolving credit facility bear interest at a variable rate tied to the prime rate or the LIBOR rate. As of September 30, 2017, we had no amounts outstanding under the revolving credit facility. We do not have any other long-term debt or financial liabilities with floating interest rates that would subject us to interest rate fluctuations.</w:t>
      </w:r>
    </w:p>
    <w:p>
      <w:pPr>
        <w:spacing w:after="0" w:line="184" w:lineRule="exact"/>
        <w:rPr>
          <w:sz w:val="20"/>
          <w:szCs w:val="20"/>
          <w:color w:val="auto"/>
        </w:rPr>
      </w:pPr>
    </w:p>
    <w:p>
      <w:pPr>
        <w:ind w:left="460"/>
        <w:spacing w:after="0"/>
        <w:rPr>
          <w:sz w:val="20"/>
          <w:szCs w:val="20"/>
          <w:color w:val="auto"/>
        </w:rPr>
      </w:pPr>
      <w:r>
        <w:rPr>
          <w:rFonts w:ascii="Arial" w:cs="Arial" w:eastAsia="Arial" w:hAnsi="Arial"/>
          <w:sz w:val="16"/>
          <w:szCs w:val="16"/>
          <w:color w:val="auto"/>
        </w:rPr>
        <w:t>A hypothetical 10% change in interest rates during any of the periods presented would not have had a material impact on our financial statements.</w:t>
      </w:r>
    </w:p>
    <w:p>
      <w:pPr>
        <w:spacing w:after="0" w:line="356"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Foreign currency exchange risk</w:t>
      </w:r>
    </w:p>
    <w:p>
      <w:pPr>
        <w:spacing w:after="0" w:line="117" w:lineRule="exact"/>
        <w:rPr>
          <w:sz w:val="20"/>
          <w:szCs w:val="20"/>
          <w:color w:val="auto"/>
        </w:rPr>
      </w:pPr>
    </w:p>
    <w:p>
      <w:pPr>
        <w:ind w:right="60" w:firstLine="449"/>
        <w:spacing w:after="0" w:line="269" w:lineRule="auto"/>
        <w:rPr>
          <w:sz w:val="20"/>
          <w:szCs w:val="20"/>
          <w:color w:val="auto"/>
        </w:rPr>
      </w:pPr>
      <w:r>
        <w:rPr>
          <w:rFonts w:ascii="Arial" w:cs="Arial" w:eastAsia="Arial" w:hAnsi="Arial"/>
          <w:sz w:val="17"/>
          <w:szCs w:val="17"/>
          <w:color w:val="auto"/>
        </w:rPr>
        <w:t>Our results of operations and cash flows are subject to fluctuations due to changes in foreign currency exchange rates relative to U.S. dollars, our reporting currency. Our revenue is generated in U.S. dollars, euros, British pounds sterling, Australian dollars, Canadian dollars, and Japanese yen. Our expenses are generally denominated in the currencies in which our operations are located, which are primarily the United States and, to a lesser extent, Europe and Asia. The functional currency of Dropbox International Unlimited, our international headquarters and largest international entity, is denominated in U.S. dollars. Our results of operations and cash flows are, therefore, subject to fluctuations due to changes in foreign currency exchange rates in ways that are unrelated to our operating performance. As exchange rates may fluctuate significantly between periods, revenue and operating expenses, when converted into U.S. dollars, may also experience significant fluctuations between periods. Historically, a majority of our revenue and operating expenses have been denominated in U.S. dollars, euros, and British pounds sterling. Although we are impacted by the exchange rate movements from a number of currencies relative to the U.S. dollar, our results of operations are particularly impacted by fluctuations in the U.S. dollar-euro and U.S. dollar-British pounds sterling exchange rate. In 2016, 23% of our sales were denominated in currencies other than U.S. dollars. Our expenses, by contrast, are primarily denominated in U.S. dollars. As a result, any increase in the value of the U.S. dollar against these foreign currencies could cause our revenue to decline relative to our costs, thereby decreasing our gross margins.</w:t>
      </w:r>
    </w:p>
    <w:p>
      <w:pPr>
        <w:spacing w:after="0" w:line="179" w:lineRule="exact"/>
        <w:rPr>
          <w:sz w:val="20"/>
          <w:szCs w:val="20"/>
          <w:color w:val="auto"/>
        </w:rPr>
      </w:pPr>
    </w:p>
    <w:p>
      <w:pPr>
        <w:ind w:right="20" w:firstLine="449"/>
        <w:spacing w:after="0" w:line="259" w:lineRule="auto"/>
        <w:rPr>
          <w:sz w:val="20"/>
          <w:szCs w:val="20"/>
          <w:color w:val="auto"/>
        </w:rPr>
      </w:pPr>
      <w:r>
        <w:rPr>
          <w:rFonts w:ascii="Arial" w:cs="Arial" w:eastAsia="Arial" w:hAnsi="Arial"/>
          <w:sz w:val="18"/>
          <w:szCs w:val="18"/>
          <w:color w:val="auto"/>
        </w:rPr>
        <w:t>We recorded $2.1 million and $6.9 million in net foreign currency transaction gains in the nine months ended September 30, 2016 and 2017, respectively. Further, we recorded $4.6 million and $3.6 million in net foreign currency transaction losses in the years ended December 31, 2015 and 2016, respectively. A hypothetical 10% change in foreign currency rates would not have resulted in material gains or losses for both the nine months ended September 30, 2016 and 2017, or both the years ended December 31, 2015 and 2016.</w:t>
      </w:r>
    </w:p>
    <w:p>
      <w:pPr>
        <w:spacing w:after="0" w:line="187" w:lineRule="exact"/>
        <w:rPr>
          <w:sz w:val="20"/>
          <w:szCs w:val="20"/>
          <w:color w:val="auto"/>
        </w:rPr>
      </w:pPr>
    </w:p>
    <w:p>
      <w:pPr>
        <w:jc w:val="both"/>
        <w:ind w:right="20" w:firstLine="449"/>
        <w:spacing w:after="0" w:line="277" w:lineRule="auto"/>
        <w:rPr>
          <w:sz w:val="20"/>
          <w:szCs w:val="20"/>
          <w:color w:val="auto"/>
        </w:rPr>
      </w:pPr>
      <w:r>
        <w:rPr>
          <w:rFonts w:ascii="Arial" w:cs="Arial" w:eastAsia="Arial" w:hAnsi="Arial"/>
          <w:sz w:val="18"/>
          <w:szCs w:val="18"/>
          <w:color w:val="auto"/>
        </w:rPr>
        <w:t>To date, we have not engaged in any hedging activities. As our international operations grow, we will continue to reassess our approach to managing risks relating to fluctuations in currency rates.</w:t>
      </w:r>
    </w:p>
    <w:p>
      <w:pPr>
        <w:spacing w:after="0" w:line="278"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Inflation risk</w:t>
      </w:r>
    </w:p>
    <w:p>
      <w:pPr>
        <w:spacing w:after="0" w:line="117" w:lineRule="exact"/>
        <w:rPr>
          <w:sz w:val="20"/>
          <w:szCs w:val="20"/>
          <w:color w:val="auto"/>
        </w:rPr>
      </w:pPr>
    </w:p>
    <w:p>
      <w:pPr>
        <w:jc w:val="both"/>
        <w:ind w:firstLine="449"/>
        <w:spacing w:after="0" w:line="263" w:lineRule="auto"/>
        <w:rPr>
          <w:sz w:val="20"/>
          <w:szCs w:val="20"/>
          <w:color w:val="auto"/>
        </w:rPr>
      </w:pPr>
      <w:r>
        <w:rPr>
          <w:rFonts w:ascii="Arial" w:cs="Arial" w:eastAsia="Arial" w:hAnsi="Arial"/>
          <w:sz w:val="18"/>
          <w:szCs w:val="18"/>
          <w:color w:val="auto"/>
        </w:rPr>
        <w:t>We do not believe that inflation has had a material effect on our business, results of operations, or financial condition. Nonetheless, if our costs were to become subject to significant inflationary pressures, we may not be able to fully offset such higher costs. Our inability or failure to do so could harm our business, results of operations, or financial condition.</w:t>
      </w:r>
    </w:p>
    <w:p>
      <w:pPr>
        <w:spacing w:after="0" w:line="11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83</w:t>
      </w:r>
    </w:p>
    <w:p>
      <w:pPr>
        <w:sectPr>
          <w:pgSz w:w="11900" w:h="16838" w:orient="portrait"/>
          <w:cols w:equalWidth="0" w:num="1">
            <w:col w:w="11180"/>
          </w:cols>
          <w:pgMar w:left="320" w:top="459" w:right="399" w:bottom="1440" w:gutter="0" w:footer="0" w:header="0"/>
        </w:sectPr>
      </w:pPr>
    </w:p>
    <w:bookmarkStart w:id="86" w:name="page87"/>
    <w:bookmarkEnd w:id="8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BUSINESS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Business</w:t>
      </w:r>
    </w:p>
    <w:p>
      <w:pPr>
        <w:spacing w:after="0" w:line="121" w:lineRule="exact"/>
        <w:rPr>
          <w:sz w:val="20"/>
          <w:szCs w:val="20"/>
          <w:color w:val="auto"/>
        </w:rPr>
      </w:pPr>
    </w:p>
    <w:p>
      <w:pPr>
        <w:ind w:right="60" w:firstLine="449"/>
        <w:spacing w:after="0" w:line="277" w:lineRule="auto"/>
        <w:rPr>
          <w:sz w:val="20"/>
          <w:szCs w:val="20"/>
          <w:color w:val="auto"/>
        </w:rPr>
      </w:pPr>
      <w:r>
        <w:rPr>
          <w:rFonts w:ascii="Arial" w:cs="Arial" w:eastAsia="Arial" w:hAnsi="Arial"/>
          <w:sz w:val="18"/>
          <w:szCs w:val="18"/>
          <w:color w:val="auto"/>
        </w:rPr>
        <w:t>Dropbox is a global collaboration platform that’s transforming the way people work together. We serve more than 500 million registered users across 180 countries.</w:t>
      </w:r>
    </w:p>
    <w:p>
      <w:pPr>
        <w:spacing w:after="0" w:line="170" w:lineRule="exact"/>
        <w:rPr>
          <w:sz w:val="20"/>
          <w:szCs w:val="20"/>
          <w:color w:val="auto"/>
        </w:rPr>
      </w:pPr>
    </w:p>
    <w:p>
      <w:pPr>
        <w:ind w:right="120" w:firstLine="449"/>
        <w:spacing w:after="0" w:line="277" w:lineRule="auto"/>
        <w:rPr>
          <w:sz w:val="20"/>
          <w:szCs w:val="20"/>
          <w:color w:val="auto"/>
        </w:rPr>
      </w:pPr>
      <w:r>
        <w:rPr>
          <w:rFonts w:ascii="Arial" w:cs="Arial" w:eastAsia="Arial" w:hAnsi="Arial"/>
          <w:sz w:val="18"/>
          <w:szCs w:val="18"/>
          <w:color w:val="auto"/>
        </w:rPr>
        <w:t>Our modern economy runs on knowledge. Today, knowledge lives in the cloud as digital content, and Dropbox is the place where more and more of this content is created, accessed, and shared with the world.</w:t>
      </w:r>
    </w:p>
    <w:p>
      <w:pPr>
        <w:spacing w:after="0" w:line="170" w:lineRule="exact"/>
        <w:rPr>
          <w:sz w:val="20"/>
          <w:szCs w:val="20"/>
          <w:color w:val="auto"/>
        </w:rPr>
      </w:pPr>
    </w:p>
    <w:p>
      <w:pPr>
        <w:ind w:right="80" w:firstLine="449"/>
        <w:spacing w:after="0" w:line="263" w:lineRule="auto"/>
        <w:rPr>
          <w:sz w:val="20"/>
          <w:szCs w:val="20"/>
          <w:color w:val="auto"/>
        </w:rPr>
      </w:pPr>
      <w:r>
        <w:rPr>
          <w:rFonts w:ascii="Arial" w:cs="Arial" w:eastAsia="Arial" w:hAnsi="Arial"/>
          <w:sz w:val="18"/>
          <w:szCs w:val="18"/>
          <w:color w:val="auto"/>
        </w:rPr>
        <w:t>Dropbox was founded in 2007 with a simple idea: Life would be a lot better if everyone could access their most important information anytime from any device. Over the past decade, we’ve largely accomplished that mission—but along the way we recognized that for most of our users, sharing and collaborating on Dropbox was even more valuable than storing files.</w:t>
      </w:r>
    </w:p>
    <w:p>
      <w:pPr>
        <w:spacing w:after="0" w:line="184" w:lineRule="exact"/>
        <w:rPr>
          <w:sz w:val="20"/>
          <w:szCs w:val="20"/>
          <w:color w:val="auto"/>
        </w:rPr>
      </w:pPr>
    </w:p>
    <w:p>
      <w:pPr>
        <w:ind w:right="100" w:firstLine="449"/>
        <w:spacing w:after="0" w:line="263" w:lineRule="auto"/>
        <w:rPr>
          <w:sz w:val="20"/>
          <w:szCs w:val="20"/>
          <w:color w:val="auto"/>
        </w:rPr>
      </w:pPr>
      <w:r>
        <w:rPr>
          <w:rFonts w:ascii="Arial" w:cs="Arial" w:eastAsia="Arial" w:hAnsi="Arial"/>
          <w:sz w:val="18"/>
          <w:szCs w:val="18"/>
          <w:color w:val="auto"/>
        </w:rPr>
        <w:t>Our market opportunity has grown as we’ve expanded from keeping files in sync to keeping teams in sync. Today, Dropbox is well positioned to reimagine the way work gets done. We’re focused on reducing the inordinate amount of time and energy the world wastes on “work about work”—tedious tasks like searching for content, switching between applications, and managing workflows.</w:t>
      </w:r>
    </w:p>
    <w:p>
      <w:pPr>
        <w:spacing w:after="0" w:line="184" w:lineRule="exact"/>
        <w:rPr>
          <w:sz w:val="20"/>
          <w:szCs w:val="20"/>
          <w:color w:val="auto"/>
        </w:rPr>
      </w:pPr>
    </w:p>
    <w:p>
      <w:pPr>
        <w:jc w:val="both"/>
        <w:ind w:right="300" w:firstLine="449"/>
        <w:spacing w:after="0" w:line="263" w:lineRule="auto"/>
        <w:rPr>
          <w:sz w:val="20"/>
          <w:szCs w:val="20"/>
          <w:color w:val="auto"/>
        </w:rPr>
      </w:pPr>
      <w:r>
        <w:rPr>
          <w:rFonts w:ascii="Arial" w:cs="Arial" w:eastAsia="Arial" w:hAnsi="Arial"/>
          <w:sz w:val="18"/>
          <w:szCs w:val="18"/>
          <w:color w:val="auto"/>
        </w:rPr>
        <w:t>We believe the need for our platform will continue to grow as teams become more fluid and global, and content is increasingly fragmented across incompatible tools and devices. Dropbox breaks down silos by centralizing the flow of information between the products and services our users prefer, even if they’re not our own.</w:t>
      </w:r>
    </w:p>
    <w:p>
      <w:pPr>
        <w:spacing w:after="0" w:line="184" w:lineRule="exact"/>
        <w:rPr>
          <w:sz w:val="20"/>
          <w:szCs w:val="20"/>
          <w:color w:val="auto"/>
        </w:rPr>
      </w:pPr>
    </w:p>
    <w:p>
      <w:pPr>
        <w:ind w:firstLine="449"/>
        <w:spacing w:after="0" w:line="277" w:lineRule="auto"/>
        <w:rPr>
          <w:sz w:val="20"/>
          <w:szCs w:val="20"/>
          <w:color w:val="auto"/>
        </w:rPr>
      </w:pPr>
      <w:r>
        <w:rPr>
          <w:rFonts w:ascii="Arial" w:cs="Arial" w:eastAsia="Arial" w:hAnsi="Arial"/>
          <w:sz w:val="18"/>
          <w:szCs w:val="18"/>
          <w:color w:val="auto"/>
        </w:rPr>
        <w:t>By solving these universal problems, we’ve become invaluable to our users. The popularity of our platform drives viral growth, which has allowed us to scale rapidly and efficiently. We’ve built a thriving global business with more than 10 million paying users.</w:t>
      </w:r>
    </w:p>
    <w:p>
      <w:pPr>
        <w:spacing w:after="0" w:line="170" w:lineRule="exact"/>
        <w:rPr>
          <w:sz w:val="20"/>
          <w:szCs w:val="20"/>
          <w:color w:val="auto"/>
        </w:rPr>
      </w:pPr>
    </w:p>
    <w:p>
      <w:pPr>
        <w:ind w:right="260" w:firstLine="449"/>
        <w:spacing w:after="0" w:line="263" w:lineRule="auto"/>
        <w:rPr>
          <w:sz w:val="20"/>
          <w:szCs w:val="20"/>
          <w:color w:val="auto"/>
        </w:rPr>
      </w:pPr>
      <w:r>
        <w:rPr>
          <w:rFonts w:ascii="Arial" w:cs="Arial" w:eastAsia="Arial" w:hAnsi="Arial"/>
          <w:sz w:val="18"/>
          <w:szCs w:val="18"/>
          <w:color w:val="auto"/>
        </w:rPr>
        <w:t>Our revenue was $603.8 million and $844.8 million in 2015 and 2016, respectively, representing a growth rate of 40%. We generated net losses of $325.9 million and $210.2 million in 2015 and 2016, respectively. We also generated positive free cash flow of $137.4 million in 2016 compared to negative free cash flow of $63.9 million in 2015.</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Users</w:t>
      </w:r>
    </w:p>
    <w:p>
      <w:pPr>
        <w:spacing w:after="0" w:line="121" w:lineRule="exact"/>
        <w:rPr>
          <w:sz w:val="20"/>
          <w:szCs w:val="20"/>
          <w:color w:val="auto"/>
        </w:rPr>
      </w:pPr>
    </w:p>
    <w:p>
      <w:pPr>
        <w:ind w:right="280" w:firstLine="449"/>
        <w:spacing w:after="0" w:line="277" w:lineRule="auto"/>
        <w:rPr>
          <w:sz w:val="20"/>
          <w:szCs w:val="20"/>
          <w:color w:val="auto"/>
        </w:rPr>
      </w:pPr>
      <w:r>
        <w:rPr>
          <w:rFonts w:ascii="Arial" w:cs="Arial" w:eastAsia="Arial" w:hAnsi="Arial"/>
          <w:sz w:val="18"/>
          <w:szCs w:val="18"/>
          <w:color w:val="auto"/>
        </w:rPr>
        <w:t>We’re constantly inspired by the diverse ways people use Dropbox to bring their ideas to life and achieve their missions faster. Here are just a few examples:</w:t>
      </w:r>
    </w:p>
    <w:p>
      <w:pPr>
        <w:spacing w:after="0" w:line="76" w:lineRule="exact"/>
        <w:rPr>
          <w:sz w:val="20"/>
          <w:szCs w:val="20"/>
          <w:color w:val="auto"/>
        </w:rPr>
      </w:pPr>
    </w:p>
    <w:p>
      <w:pPr>
        <w:ind w:left="880" w:hanging="319"/>
        <w:spacing w:after="0"/>
        <w:tabs>
          <w:tab w:leader="none" w:pos="880" w:val="left"/>
        </w:tabs>
        <w:numPr>
          <w:ilvl w:val="0"/>
          <w:numId w:val="50"/>
        </w:numPr>
        <w:rPr>
          <w:rFonts w:ascii="Arial" w:cs="Arial" w:eastAsia="Arial" w:hAnsi="Arial"/>
          <w:sz w:val="18"/>
          <w:szCs w:val="18"/>
          <w:color w:val="auto"/>
        </w:rPr>
      </w:pPr>
      <w:r>
        <w:rPr>
          <w:rFonts w:ascii="Arial" w:cs="Arial" w:eastAsia="Arial" w:hAnsi="Arial"/>
          <w:sz w:val="18"/>
          <w:szCs w:val="18"/>
          <w:color w:val="auto"/>
        </w:rPr>
        <w:t>Nobel Prize-winning researchers sync data with collaborators to speed development of new scientific breakthroughs.</w:t>
      </w:r>
    </w:p>
    <w:p>
      <w:pPr>
        <w:spacing w:after="0" w:line="130" w:lineRule="exact"/>
        <w:rPr>
          <w:rFonts w:ascii="Arial" w:cs="Arial" w:eastAsia="Arial" w:hAnsi="Arial"/>
          <w:sz w:val="18"/>
          <w:szCs w:val="18"/>
          <w:color w:val="auto"/>
        </w:rPr>
      </w:pPr>
    </w:p>
    <w:p>
      <w:pPr>
        <w:ind w:left="880" w:hanging="319"/>
        <w:spacing w:after="0"/>
        <w:tabs>
          <w:tab w:leader="none" w:pos="880" w:val="left"/>
        </w:tabs>
        <w:numPr>
          <w:ilvl w:val="0"/>
          <w:numId w:val="50"/>
        </w:numPr>
        <w:rPr>
          <w:rFonts w:ascii="Arial" w:cs="Arial" w:eastAsia="Arial" w:hAnsi="Arial"/>
          <w:sz w:val="18"/>
          <w:szCs w:val="18"/>
          <w:color w:val="auto"/>
        </w:rPr>
      </w:pPr>
      <w:r>
        <w:rPr>
          <w:rFonts w:ascii="Arial" w:cs="Arial" w:eastAsia="Arial" w:hAnsi="Arial"/>
          <w:sz w:val="18"/>
          <w:szCs w:val="18"/>
          <w:color w:val="auto"/>
        </w:rPr>
        <w:t>Designers for a sustainable apparel company iterate on new designs and coordinate store openings.</w:t>
      </w:r>
    </w:p>
    <w:p>
      <w:pPr>
        <w:spacing w:after="0" w:line="130" w:lineRule="exact"/>
        <w:rPr>
          <w:rFonts w:ascii="Arial" w:cs="Arial" w:eastAsia="Arial" w:hAnsi="Arial"/>
          <w:sz w:val="18"/>
          <w:szCs w:val="18"/>
          <w:color w:val="auto"/>
        </w:rPr>
      </w:pPr>
    </w:p>
    <w:p>
      <w:pPr>
        <w:ind w:left="880" w:hanging="319"/>
        <w:spacing w:after="0"/>
        <w:tabs>
          <w:tab w:leader="none" w:pos="880" w:val="left"/>
        </w:tabs>
        <w:numPr>
          <w:ilvl w:val="0"/>
          <w:numId w:val="50"/>
        </w:numPr>
        <w:rPr>
          <w:rFonts w:ascii="Arial" w:cs="Arial" w:eastAsia="Arial" w:hAnsi="Arial"/>
          <w:sz w:val="18"/>
          <w:szCs w:val="18"/>
          <w:color w:val="auto"/>
        </w:rPr>
      </w:pPr>
      <w:r>
        <w:rPr>
          <w:rFonts w:ascii="Arial" w:cs="Arial" w:eastAsia="Arial" w:hAnsi="Arial"/>
          <w:sz w:val="18"/>
          <w:szCs w:val="18"/>
          <w:color w:val="auto"/>
        </w:rPr>
        <w:t>A commercial construction company shares blueprints with subcontractors on job sites and sends bids to prospective clients.</w:t>
      </w:r>
    </w:p>
    <w:p>
      <w:pPr>
        <w:spacing w:after="0" w:line="130" w:lineRule="exact"/>
        <w:rPr>
          <w:rFonts w:ascii="Arial" w:cs="Arial" w:eastAsia="Arial" w:hAnsi="Arial"/>
          <w:sz w:val="18"/>
          <w:szCs w:val="18"/>
          <w:color w:val="auto"/>
        </w:rPr>
      </w:pPr>
    </w:p>
    <w:p>
      <w:pPr>
        <w:ind w:left="880" w:hanging="319"/>
        <w:spacing w:after="0"/>
        <w:tabs>
          <w:tab w:leader="none" w:pos="880" w:val="left"/>
        </w:tabs>
        <w:numPr>
          <w:ilvl w:val="0"/>
          <w:numId w:val="50"/>
        </w:numPr>
        <w:rPr>
          <w:rFonts w:ascii="Arial" w:cs="Arial" w:eastAsia="Arial" w:hAnsi="Arial"/>
          <w:sz w:val="18"/>
          <w:szCs w:val="18"/>
          <w:color w:val="auto"/>
        </w:rPr>
      </w:pPr>
      <w:r>
        <w:rPr>
          <w:rFonts w:ascii="Arial" w:cs="Arial" w:eastAsia="Arial" w:hAnsi="Arial"/>
          <w:sz w:val="18"/>
          <w:szCs w:val="18"/>
          <w:color w:val="auto"/>
        </w:rPr>
        <w:t>A Fortune 500 online travel company keeps its global workforce connected with business partners around the world.</w:t>
      </w:r>
    </w:p>
    <w:p>
      <w:pPr>
        <w:spacing w:after="0" w:line="130" w:lineRule="exact"/>
        <w:rPr>
          <w:rFonts w:ascii="Arial" w:cs="Arial" w:eastAsia="Arial" w:hAnsi="Arial"/>
          <w:sz w:val="18"/>
          <w:szCs w:val="18"/>
          <w:color w:val="auto"/>
        </w:rPr>
      </w:pPr>
    </w:p>
    <w:p>
      <w:pPr>
        <w:ind w:left="880" w:hanging="319"/>
        <w:spacing w:after="0"/>
        <w:tabs>
          <w:tab w:leader="none" w:pos="880" w:val="left"/>
        </w:tabs>
        <w:numPr>
          <w:ilvl w:val="0"/>
          <w:numId w:val="50"/>
        </w:numPr>
        <w:rPr>
          <w:rFonts w:ascii="Arial" w:cs="Arial" w:eastAsia="Arial" w:hAnsi="Arial"/>
          <w:sz w:val="18"/>
          <w:szCs w:val="18"/>
          <w:color w:val="auto"/>
        </w:rPr>
      </w:pPr>
      <w:r>
        <w:rPr>
          <w:rFonts w:ascii="Arial" w:cs="Arial" w:eastAsia="Arial" w:hAnsi="Arial"/>
          <w:sz w:val="18"/>
          <w:szCs w:val="18"/>
          <w:color w:val="auto"/>
        </w:rPr>
        <w:t>Pro bono lawyers at a refugee assistance organization collect and share information across continents to save lives.</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What Sets Us Apart</w:t>
      </w:r>
    </w:p>
    <w:p>
      <w:pPr>
        <w:spacing w:after="0" w:line="121" w:lineRule="exact"/>
        <w:rPr>
          <w:sz w:val="20"/>
          <w:szCs w:val="20"/>
          <w:color w:val="auto"/>
        </w:rPr>
      </w:pPr>
    </w:p>
    <w:p>
      <w:pPr>
        <w:ind w:right="60" w:firstLine="449"/>
        <w:spacing w:after="0" w:line="277" w:lineRule="auto"/>
        <w:rPr>
          <w:sz w:val="20"/>
          <w:szCs w:val="20"/>
          <w:color w:val="auto"/>
        </w:rPr>
      </w:pPr>
      <w:r>
        <w:rPr>
          <w:rFonts w:ascii="Arial" w:cs="Arial" w:eastAsia="Arial" w:hAnsi="Arial"/>
          <w:sz w:val="18"/>
          <w:szCs w:val="18"/>
          <w:color w:val="auto"/>
        </w:rPr>
        <w:t>Since the beginning, we’ve focused on simplifying the lives of our users. In a world where business software can be frustrating to use, challenging to integrate, and expensive to sell, we take a different approach.</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84</w:t>
      </w:r>
    </w:p>
    <w:p>
      <w:pPr>
        <w:sectPr>
          <w:pgSz w:w="11900" w:h="16838" w:orient="portrait"/>
          <w:cols w:equalWidth="0" w:num="1">
            <w:col w:w="11240"/>
          </w:cols>
          <w:pgMar w:left="320" w:top="459" w:right="339" w:bottom="1440" w:gutter="0" w:footer="0" w:header="0"/>
        </w:sectPr>
      </w:pPr>
    </w:p>
    <w:bookmarkStart w:id="87" w:name="page88"/>
    <w:bookmarkEnd w:id="8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Simple and intuitive design</w:t>
      </w:r>
    </w:p>
    <w:p>
      <w:pPr>
        <w:spacing w:after="0" w:line="117" w:lineRule="exact"/>
        <w:rPr>
          <w:sz w:val="20"/>
          <w:szCs w:val="20"/>
          <w:color w:val="auto"/>
        </w:rPr>
      </w:pPr>
    </w:p>
    <w:p>
      <w:pPr>
        <w:jc w:val="both"/>
        <w:ind w:right="60" w:firstLine="449"/>
        <w:spacing w:after="0" w:line="286" w:lineRule="auto"/>
        <w:rPr>
          <w:sz w:val="20"/>
          <w:szCs w:val="20"/>
          <w:color w:val="auto"/>
        </w:rPr>
      </w:pPr>
      <w:r>
        <w:rPr>
          <w:rFonts w:ascii="Arial" w:cs="Arial" w:eastAsia="Arial" w:hAnsi="Arial"/>
          <w:sz w:val="17"/>
          <w:szCs w:val="17"/>
          <w:color w:val="auto"/>
        </w:rPr>
        <w:t>While traditional tools developed in the desktop age have struggled to keep up with evolving user demands, Dropbox was designed for the cloud era. We build simple, beautiful products that bring joy to our users and make it easier for them to do their best work. Unencumbered by legacy features, we can perfect the aspects of our platform that matter most today, such as the mobile experience and the ability to work in teams.</w:t>
      </w:r>
    </w:p>
    <w:p>
      <w:pPr>
        <w:spacing w:after="0" w:line="273"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Open ecosystem</w:t>
      </w:r>
    </w:p>
    <w:p>
      <w:pPr>
        <w:spacing w:after="0" w:line="117" w:lineRule="exact"/>
        <w:rPr>
          <w:sz w:val="20"/>
          <w:szCs w:val="20"/>
          <w:color w:val="auto"/>
        </w:rPr>
      </w:pPr>
    </w:p>
    <w:p>
      <w:pPr>
        <w:ind w:right="80" w:firstLine="449"/>
        <w:spacing w:after="0" w:line="263" w:lineRule="auto"/>
        <w:rPr>
          <w:sz w:val="20"/>
          <w:szCs w:val="20"/>
          <w:color w:val="auto"/>
        </w:rPr>
      </w:pPr>
      <w:r>
        <w:rPr>
          <w:rFonts w:ascii="Arial" w:cs="Arial" w:eastAsia="Arial" w:hAnsi="Arial"/>
          <w:sz w:val="18"/>
          <w:szCs w:val="18"/>
          <w:color w:val="auto"/>
        </w:rPr>
        <w:t>We know people will continue to use a wide variety of tools and platforms. That’s why we’ve built Dropbox to work seamlessly with other products, integrating with everything from Google and Microsoft to Slack and Autodesk. More than 75% of Dropbox Business teams have linked to one or more third-party applications.</w:t>
      </w:r>
    </w:p>
    <w:p>
      <w:pPr>
        <w:spacing w:after="0" w:line="292"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Viral, bottom-up adoption</w:t>
      </w:r>
    </w:p>
    <w:p>
      <w:pPr>
        <w:spacing w:after="0" w:line="117" w:lineRule="exact"/>
        <w:rPr>
          <w:sz w:val="20"/>
          <w:szCs w:val="20"/>
          <w:color w:val="auto"/>
        </w:rPr>
      </w:pPr>
    </w:p>
    <w:p>
      <w:pPr>
        <w:ind w:right="300" w:firstLine="449"/>
        <w:spacing w:after="0" w:line="259" w:lineRule="auto"/>
        <w:rPr>
          <w:sz w:val="20"/>
          <w:szCs w:val="20"/>
          <w:color w:val="auto"/>
        </w:rPr>
      </w:pPr>
      <w:r>
        <w:rPr>
          <w:rFonts w:ascii="Arial" w:cs="Arial" w:eastAsia="Arial" w:hAnsi="Arial"/>
          <w:sz w:val="18"/>
          <w:szCs w:val="18"/>
          <w:color w:val="auto"/>
        </w:rPr>
        <w:t>Our 500 million registered users are our best salespeople. They’ve spread Dropbox to their friends and brought us into their offices. Every year, millions of individual users sign up for Dropbox at work. Bottom-up adoption within organizations has been critical to our success as users increasingly choose their own tools at work. We generate over 90% of our revenue from self-serve channels—users who purchase a subscription through our app or website.</w:t>
      </w:r>
    </w:p>
    <w:p>
      <w:pPr>
        <w:spacing w:after="0" w:line="295"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Performance and security</w:t>
      </w:r>
    </w:p>
    <w:p>
      <w:pPr>
        <w:spacing w:after="0" w:line="117" w:lineRule="exact"/>
        <w:rPr>
          <w:sz w:val="20"/>
          <w:szCs w:val="20"/>
          <w:color w:val="auto"/>
        </w:rPr>
      </w:pPr>
    </w:p>
    <w:p>
      <w:pPr>
        <w:ind w:firstLine="449"/>
        <w:spacing w:after="0" w:line="257" w:lineRule="auto"/>
        <w:rPr>
          <w:sz w:val="20"/>
          <w:szCs w:val="20"/>
          <w:color w:val="auto"/>
        </w:rPr>
      </w:pPr>
      <w:r>
        <w:rPr>
          <w:rFonts w:ascii="Arial" w:cs="Arial" w:eastAsia="Arial" w:hAnsi="Arial"/>
          <w:sz w:val="18"/>
          <w:szCs w:val="18"/>
          <w:color w:val="auto"/>
        </w:rPr>
        <w:t>Our custom-built infrastructure allows us to maintain high standards of performance, availability, and security. Dropbox is built on proprietary, block-level sync technology to achieve industry-leading performance. In 2016, IDC highlighted our sync performance as best-in-class, outperforming competitors on multiple sync tests, including upload and download speeds for large files. We designed our platform with multiple layers of redundancy to guard against data loss and deliver high availability. We also offer numerous layers of protection, from secure file data transfer and encryption to network configuration and application-level controls.</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Industry Trends in Our Favor</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Content is increasingly scattered</w:t>
      </w:r>
    </w:p>
    <w:p>
      <w:pPr>
        <w:spacing w:after="0" w:line="117" w:lineRule="exact"/>
        <w:rPr>
          <w:sz w:val="20"/>
          <w:szCs w:val="20"/>
          <w:color w:val="auto"/>
        </w:rPr>
      </w:pPr>
    </w:p>
    <w:p>
      <w:pPr>
        <w:jc w:val="both"/>
        <w:ind w:right="120" w:firstLine="449"/>
        <w:spacing w:after="0" w:line="263" w:lineRule="auto"/>
        <w:rPr>
          <w:sz w:val="20"/>
          <w:szCs w:val="20"/>
          <w:color w:val="auto"/>
        </w:rPr>
      </w:pPr>
      <w:r>
        <w:rPr>
          <w:rFonts w:ascii="Arial" w:cs="Arial" w:eastAsia="Arial" w:hAnsi="Arial"/>
          <w:sz w:val="18"/>
          <w:szCs w:val="18"/>
          <w:color w:val="auto"/>
        </w:rPr>
        <w:t>The proliferation of devices, operating systems, and applications has dramatically increased the volume and complexity of content in the workplace. Content is now routinely scattered across multiple silos, making it harder to access. According to a 2016 IDC report, more than half of companies ranging from 100 to 5,000+ employees use at least three repositories for accessing documents on a weekly basis.</w:t>
      </w:r>
    </w:p>
    <w:p>
      <w:pPr>
        <w:spacing w:after="0" w:line="292"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The tools people use are fragmented</w:t>
      </w:r>
    </w:p>
    <w:p>
      <w:pPr>
        <w:spacing w:after="0" w:line="117" w:lineRule="exact"/>
        <w:rPr>
          <w:sz w:val="20"/>
          <w:szCs w:val="20"/>
          <w:color w:val="auto"/>
        </w:rPr>
      </w:pPr>
    </w:p>
    <w:p>
      <w:pPr>
        <w:jc w:val="both"/>
        <w:ind w:right="20" w:firstLine="449"/>
        <w:spacing w:after="0" w:line="311" w:lineRule="auto"/>
        <w:rPr>
          <w:sz w:val="20"/>
          <w:szCs w:val="20"/>
          <w:color w:val="auto"/>
        </w:rPr>
      </w:pPr>
      <w:r>
        <w:rPr>
          <w:rFonts w:ascii="Arial" w:cs="Arial" w:eastAsia="Arial" w:hAnsi="Arial"/>
          <w:sz w:val="16"/>
          <w:szCs w:val="16"/>
          <w:color w:val="auto"/>
        </w:rPr>
        <w:t>Content created at work tends to follow a predictable pattern: It’s authored, sent out for feedback, and shared or published once it’s done. At the same time, teams are organizing that content and coordinating tasks around it. But many of the tools people use today don’t work well together and support only one or two steps of the content lifecycle. This requires users to constantly switch between these tools and makes it even harder to get work done.</w:t>
      </w:r>
    </w:p>
    <w:p>
      <w:pPr>
        <w:spacing w:after="0" w:line="257"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Teams have become more fluid and global</w:t>
      </w:r>
    </w:p>
    <w:p>
      <w:pPr>
        <w:spacing w:after="0" w:line="117" w:lineRule="exact"/>
        <w:rPr>
          <w:sz w:val="20"/>
          <w:szCs w:val="20"/>
          <w:color w:val="auto"/>
        </w:rPr>
      </w:pPr>
    </w:p>
    <w:p>
      <w:pPr>
        <w:ind w:right="280" w:firstLine="449"/>
        <w:spacing w:after="0" w:line="259" w:lineRule="auto"/>
        <w:rPr>
          <w:sz w:val="20"/>
          <w:szCs w:val="20"/>
          <w:color w:val="auto"/>
        </w:rPr>
      </w:pPr>
      <w:r>
        <w:rPr>
          <w:rFonts w:ascii="Arial" w:cs="Arial" w:eastAsia="Arial" w:hAnsi="Arial"/>
          <w:sz w:val="18"/>
          <w:szCs w:val="18"/>
          <w:color w:val="auto"/>
        </w:rPr>
        <w:t>Technology hasn’t kept up with a modern workforce that’s increasingly fluid and mobile. People work together on teams that span different functions, organizations, and geographies. A 2016 study by Deloitte found that 37% of the global workforce is now mobile, 30% of full-time employees primarily work remotely, and 20% of the workforce is made up of temporary workers, contractors, and freelancers. The ability to swiftly disseminate content and its relevant context is critical to keeping teams in sync.</w:t>
      </w:r>
    </w:p>
    <w:p>
      <w:pPr>
        <w:spacing w:after="0" w:line="1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85</w:t>
      </w:r>
    </w:p>
    <w:p>
      <w:pPr>
        <w:sectPr>
          <w:pgSz w:w="11900" w:h="16838" w:orient="portrait"/>
          <w:cols w:equalWidth="0" w:num="1">
            <w:col w:w="11240"/>
          </w:cols>
          <w:pgMar w:left="320" w:top="459" w:right="339" w:bottom="1440" w:gutter="0" w:footer="0" w:header="0"/>
        </w:sectPr>
      </w:pPr>
    </w:p>
    <w:bookmarkStart w:id="88" w:name="page89"/>
    <w:bookmarkEnd w:id="8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“Work about work” is wasteful and stifles creativity</w:t>
      </w:r>
    </w:p>
    <w:p>
      <w:pPr>
        <w:spacing w:after="0" w:line="117" w:lineRule="exact"/>
        <w:rPr>
          <w:sz w:val="20"/>
          <w:szCs w:val="20"/>
          <w:color w:val="auto"/>
        </w:rPr>
      </w:pPr>
    </w:p>
    <w:p>
      <w:pPr>
        <w:ind w:right="60" w:firstLine="449"/>
        <w:spacing w:after="0" w:line="259" w:lineRule="auto"/>
        <w:rPr>
          <w:sz w:val="20"/>
          <w:szCs w:val="20"/>
          <w:color w:val="auto"/>
        </w:rPr>
      </w:pPr>
      <w:r>
        <w:rPr>
          <w:rFonts w:ascii="Arial" w:cs="Arial" w:eastAsia="Arial" w:hAnsi="Arial"/>
          <w:sz w:val="18"/>
          <w:szCs w:val="18"/>
          <w:color w:val="auto"/>
        </w:rPr>
        <w:t>The combination of scattered content, fragmented tools, and fluid team structures has led to decreased workplace productivity. According to a report by McKinsey &amp; Company, knowledge workers spend approximately 60% of their time at work on tedious tasks such as searching for content, reviewing email, and re-sharing context to keep team members in the loop—what we call “work about work.” This means they spend just 40% of their time doing the jobs they were hired to do.</w:t>
      </w:r>
    </w:p>
    <w:p>
      <w:pPr>
        <w:spacing w:after="0" w:line="295"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Individual users are changing the way software is adopted and purchased</w:t>
      </w:r>
    </w:p>
    <w:p>
      <w:pPr>
        <w:spacing w:after="0" w:line="117" w:lineRule="exact"/>
        <w:rPr>
          <w:sz w:val="20"/>
          <w:szCs w:val="20"/>
          <w:color w:val="auto"/>
        </w:rPr>
      </w:pPr>
    </w:p>
    <w:p>
      <w:pPr>
        <w:jc w:val="both"/>
        <w:ind w:right="120" w:firstLine="449"/>
        <w:spacing w:after="0" w:line="311" w:lineRule="auto"/>
        <w:rPr>
          <w:sz w:val="20"/>
          <w:szCs w:val="20"/>
          <w:color w:val="auto"/>
        </w:rPr>
      </w:pPr>
      <w:r>
        <w:rPr>
          <w:rFonts w:ascii="Arial" w:cs="Arial" w:eastAsia="Arial" w:hAnsi="Arial"/>
          <w:sz w:val="16"/>
          <w:szCs w:val="16"/>
          <w:color w:val="auto"/>
        </w:rPr>
        <w:t>Software purchasing decisions have traditionally been made by an organization’s IT department, which often deploys products that employees don’t like and many refuse to adopt. As individuals increasingly choose their own tools at work, purchasing power has become more decentralized. A 2017 IDC report noted that new devices and software were being adopted at a faster rate by individual users than by IT departments.</w:t>
      </w:r>
    </w:p>
    <w:p>
      <w:pPr>
        <w:spacing w:after="0" w:line="2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Solution</w:t>
      </w:r>
    </w:p>
    <w:p>
      <w:pPr>
        <w:spacing w:after="0" w:line="121" w:lineRule="exact"/>
        <w:rPr>
          <w:sz w:val="20"/>
          <w:szCs w:val="20"/>
          <w:color w:val="auto"/>
        </w:rPr>
      </w:pPr>
    </w:p>
    <w:p>
      <w:pPr>
        <w:ind w:right="240" w:firstLine="449"/>
        <w:spacing w:after="0" w:line="308" w:lineRule="auto"/>
        <w:rPr>
          <w:sz w:val="20"/>
          <w:szCs w:val="20"/>
          <w:color w:val="auto"/>
        </w:rPr>
      </w:pPr>
      <w:r>
        <w:rPr>
          <w:rFonts w:ascii="Arial" w:cs="Arial" w:eastAsia="Arial" w:hAnsi="Arial"/>
          <w:sz w:val="17"/>
          <w:szCs w:val="17"/>
          <w:color w:val="auto"/>
        </w:rPr>
        <w:t>Dropbox allows individuals, teams, and organizations to collaborate more effectively. Anyone can sign up for free through our website or app, and upgrade to a paid subscription plan for premium features. Our platform offers an elegant solution to the challenges described above.</w:t>
      </w:r>
    </w:p>
    <w:p>
      <w:pPr>
        <w:spacing w:after="0" w:line="254"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Key elements of our platform</w:t>
      </w:r>
    </w:p>
    <w:p>
      <w:pPr>
        <w:spacing w:after="0" w:line="131" w:lineRule="exact"/>
        <w:rPr>
          <w:sz w:val="20"/>
          <w:szCs w:val="20"/>
          <w:color w:val="auto"/>
        </w:rPr>
      </w:pPr>
    </w:p>
    <w:p>
      <w:pPr>
        <w:ind w:left="880" w:right="140" w:hanging="319"/>
        <w:spacing w:after="0" w:line="279" w:lineRule="auto"/>
        <w:tabs>
          <w:tab w:leader="none" w:pos="880" w:val="left"/>
        </w:tabs>
        <w:numPr>
          <w:ilvl w:val="0"/>
          <w:numId w:val="51"/>
        </w:numPr>
        <w:rPr>
          <w:rFonts w:ascii="Arial" w:cs="Arial" w:eastAsia="Arial" w:hAnsi="Arial"/>
          <w:sz w:val="17"/>
          <w:szCs w:val="17"/>
          <w:color w:val="auto"/>
        </w:rPr>
      </w:pPr>
      <w:r>
        <w:rPr>
          <w:rFonts w:ascii="Arial" w:cs="Arial" w:eastAsia="Arial" w:hAnsi="Arial"/>
          <w:sz w:val="17"/>
          <w:szCs w:val="17"/>
          <w:i w:val="1"/>
          <w:iCs w:val="1"/>
          <w:color w:val="auto"/>
        </w:rPr>
        <w:t xml:space="preserve">Unified home for content. </w:t>
      </w:r>
      <w:r>
        <w:rPr>
          <w:rFonts w:ascii="Arial" w:cs="Arial" w:eastAsia="Arial" w:hAnsi="Arial"/>
          <w:sz w:val="17"/>
          <w:szCs w:val="17"/>
          <w:color w:val="auto"/>
        </w:rPr>
        <w:t>We provide a unified home for the world’s content and the relevant context around it. To date, our users have added</w:t>
      </w:r>
      <w:r>
        <w:rPr>
          <w:rFonts w:ascii="Arial" w:cs="Arial" w:eastAsia="Arial" w:hAnsi="Arial"/>
          <w:sz w:val="17"/>
          <w:szCs w:val="17"/>
          <w:i w:val="1"/>
          <w:iCs w:val="1"/>
          <w:color w:val="auto"/>
        </w:rPr>
        <w:t xml:space="preserve"> </w:t>
      </w:r>
      <w:r>
        <w:rPr>
          <w:rFonts w:ascii="Arial" w:cs="Arial" w:eastAsia="Arial" w:hAnsi="Arial"/>
          <w:sz w:val="17"/>
          <w:szCs w:val="17"/>
          <w:color w:val="auto"/>
        </w:rPr>
        <w:t>more than 400 billion pieces of content to Dropbox, totaling over an exabyte (more than 1,000,000,000 gigabytes). When users join Dropbox, they gain access to a digital workspace that supports the full content lifecycle—they can create and organize their content, access it from anywhere, share it with internal and external collaborators, and review feedback and history.</w:t>
      </w:r>
    </w:p>
    <w:p>
      <w:pPr>
        <w:spacing w:after="0" w:line="76" w:lineRule="exact"/>
        <w:rPr>
          <w:rFonts w:ascii="Arial" w:cs="Arial" w:eastAsia="Arial" w:hAnsi="Arial"/>
          <w:sz w:val="17"/>
          <w:szCs w:val="17"/>
          <w:color w:val="auto"/>
        </w:rPr>
      </w:pPr>
    </w:p>
    <w:p>
      <w:pPr>
        <w:ind w:left="880" w:right="200" w:hanging="319"/>
        <w:spacing w:after="0" w:line="259" w:lineRule="auto"/>
        <w:tabs>
          <w:tab w:leader="none" w:pos="880" w:val="left"/>
        </w:tabs>
        <w:numPr>
          <w:ilvl w:val="0"/>
          <w:numId w:val="51"/>
        </w:numPr>
        <w:rPr>
          <w:rFonts w:ascii="Arial" w:cs="Arial" w:eastAsia="Arial" w:hAnsi="Arial"/>
          <w:sz w:val="18"/>
          <w:szCs w:val="18"/>
          <w:color w:val="auto"/>
        </w:rPr>
      </w:pPr>
      <w:r>
        <w:rPr>
          <w:rFonts w:ascii="Arial" w:cs="Arial" w:eastAsia="Arial" w:hAnsi="Arial"/>
          <w:sz w:val="18"/>
          <w:szCs w:val="18"/>
          <w:i w:val="1"/>
          <w:iCs w:val="1"/>
          <w:color w:val="auto"/>
        </w:rPr>
        <w:t xml:space="preserve">Global sharing network. </w:t>
      </w:r>
      <w:r>
        <w:rPr>
          <w:rFonts w:ascii="Arial" w:cs="Arial" w:eastAsia="Arial" w:hAnsi="Arial"/>
          <w:sz w:val="18"/>
          <w:szCs w:val="18"/>
          <w:color w:val="auto"/>
        </w:rPr>
        <w:t>We’ve built one of the largest collaboration platforms in the world, with more than 4.5 billion connections to shared</w:t>
      </w:r>
      <w:r>
        <w:rPr>
          <w:rFonts w:ascii="Arial" w:cs="Arial" w:eastAsia="Arial" w:hAnsi="Arial"/>
          <w:sz w:val="18"/>
          <w:szCs w:val="18"/>
          <w:i w:val="1"/>
          <w:iCs w:val="1"/>
          <w:color w:val="auto"/>
        </w:rPr>
        <w:t xml:space="preserve"> </w:t>
      </w:r>
      <w:r>
        <w:rPr>
          <w:rFonts w:ascii="Arial" w:cs="Arial" w:eastAsia="Arial" w:hAnsi="Arial"/>
          <w:sz w:val="18"/>
          <w:szCs w:val="18"/>
          <w:color w:val="auto"/>
        </w:rPr>
        <w:t>content. We cater to the needs of dynamic, dispersed teams. The overwhelming majority of our customers use Dropbox to share and collaborate. As we continue to grow, more users benefit from frictionless sharing, and powerful network effects increase the utility and stickiness of our platform.</w:t>
      </w:r>
    </w:p>
    <w:p>
      <w:pPr>
        <w:spacing w:after="0" w:line="92" w:lineRule="exact"/>
        <w:rPr>
          <w:rFonts w:ascii="Arial" w:cs="Arial" w:eastAsia="Arial" w:hAnsi="Arial"/>
          <w:sz w:val="18"/>
          <w:szCs w:val="18"/>
          <w:color w:val="auto"/>
        </w:rPr>
      </w:pPr>
    </w:p>
    <w:p>
      <w:pPr>
        <w:ind w:left="880" w:right="220" w:hanging="319"/>
        <w:spacing w:after="0" w:line="286" w:lineRule="auto"/>
        <w:tabs>
          <w:tab w:leader="none" w:pos="880" w:val="left"/>
        </w:tabs>
        <w:numPr>
          <w:ilvl w:val="0"/>
          <w:numId w:val="51"/>
        </w:numPr>
        <w:rPr>
          <w:rFonts w:ascii="Arial" w:cs="Arial" w:eastAsia="Arial" w:hAnsi="Arial"/>
          <w:sz w:val="17"/>
          <w:szCs w:val="17"/>
          <w:color w:val="auto"/>
        </w:rPr>
      </w:pPr>
      <w:r>
        <w:rPr>
          <w:rFonts w:ascii="Arial" w:cs="Arial" w:eastAsia="Arial" w:hAnsi="Arial"/>
          <w:sz w:val="17"/>
          <w:szCs w:val="17"/>
          <w:i w:val="1"/>
          <w:iCs w:val="1"/>
          <w:color w:val="auto"/>
        </w:rPr>
        <w:t xml:space="preserve">New product experiences. </w:t>
      </w:r>
      <w:r>
        <w:rPr>
          <w:rFonts w:ascii="Arial" w:cs="Arial" w:eastAsia="Arial" w:hAnsi="Arial"/>
          <w:sz w:val="17"/>
          <w:szCs w:val="17"/>
          <w:color w:val="auto"/>
        </w:rPr>
        <w:t>The insights we glean from our community of users lead us to develop new product experiences, like Paper, Smart</w:t>
      </w:r>
      <w:r>
        <w:rPr>
          <w:rFonts w:ascii="Arial" w:cs="Arial" w:eastAsia="Arial" w:hAnsi="Arial"/>
          <w:sz w:val="17"/>
          <w:szCs w:val="17"/>
          <w:i w:val="1"/>
          <w:iCs w:val="1"/>
          <w:color w:val="auto"/>
        </w:rPr>
        <w:t xml:space="preserve"> </w:t>
      </w:r>
      <w:r>
        <w:rPr>
          <w:rFonts w:ascii="Arial" w:cs="Arial" w:eastAsia="Arial" w:hAnsi="Arial"/>
          <w:sz w:val="17"/>
          <w:szCs w:val="17"/>
          <w:color w:val="auto"/>
        </w:rPr>
        <w:t>Sync, and Showcase. Machine learning further improves the user experience by enabling more intelligent search and better organization of information. This ongoing innovation broadens the value of our platform and deepens user engagement.</w:t>
      </w:r>
    </w:p>
    <w:p>
      <w:pPr>
        <w:spacing w:after="0" w:line="165" w:lineRule="exact"/>
        <w:rPr>
          <w:sz w:val="20"/>
          <w:szCs w:val="20"/>
          <w:color w:val="auto"/>
        </w:rPr>
      </w:pPr>
    </w:p>
    <w:p>
      <w:pPr>
        <w:ind w:firstLine="449"/>
        <w:spacing w:after="0" w:line="311" w:lineRule="auto"/>
        <w:rPr>
          <w:sz w:val="20"/>
          <w:szCs w:val="20"/>
          <w:color w:val="auto"/>
        </w:rPr>
      </w:pPr>
      <w:r>
        <w:rPr>
          <w:rFonts w:ascii="Arial" w:cs="Arial" w:eastAsia="Arial" w:hAnsi="Arial"/>
          <w:sz w:val="16"/>
          <w:szCs w:val="16"/>
          <w:color w:val="auto"/>
        </w:rPr>
        <w:t>These elements reinforce one another to produce a powerful flywheel effect. As users create and share more content with more people, they expand our global sharing network. This network allows us to gather insights and feedback that help us create new product experiences. And with our scale, we can instantly put these innovations in the hands of millions. This, in turn, helps attract more users and content, which further propels the flywheel.</w:t>
      </w:r>
    </w:p>
    <w:p>
      <w:pPr>
        <w:spacing w:after="0" w:line="2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Growth Strategy</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Increase adoption and paid conversion</w:t>
      </w:r>
    </w:p>
    <w:p>
      <w:pPr>
        <w:spacing w:after="0" w:line="117" w:lineRule="exact"/>
        <w:rPr>
          <w:sz w:val="20"/>
          <w:szCs w:val="20"/>
          <w:color w:val="auto"/>
        </w:rPr>
      </w:pPr>
    </w:p>
    <w:p>
      <w:pPr>
        <w:ind w:right="120" w:firstLine="449"/>
        <w:spacing w:after="0" w:line="311" w:lineRule="auto"/>
        <w:rPr>
          <w:sz w:val="20"/>
          <w:szCs w:val="20"/>
          <w:color w:val="auto"/>
        </w:rPr>
      </w:pPr>
      <w:r>
        <w:rPr>
          <w:rFonts w:ascii="Arial" w:cs="Arial" w:eastAsia="Arial" w:hAnsi="Arial"/>
          <w:sz w:val="16"/>
          <w:szCs w:val="16"/>
          <w:color w:val="auto"/>
        </w:rPr>
        <w:t>We designed Dropbox to be easy to try, use, and buy. Anyone can create an account and be up and running in minutes. We estimate that approximately 300 million of our registered users have characteristics—including certain email domains, devices, and geographies—that make them more likely to pay over time. With more than 10 million paying users, we have a significant opportunity to grow our customer base. We reach our users via</w:t>
      </w:r>
    </w:p>
    <w:p>
      <w:pPr>
        <w:spacing w:after="0" w:line="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86</w:t>
      </w:r>
    </w:p>
    <w:p>
      <w:pPr>
        <w:sectPr>
          <w:pgSz w:w="11900" w:h="16838" w:orient="portrait"/>
          <w:cols w:equalWidth="0" w:num="1">
            <w:col w:w="11240"/>
          </w:cols>
          <w:pgMar w:left="320" w:top="459" w:right="339" w:bottom="1440" w:gutter="0" w:footer="0" w:header="0"/>
        </w:sectPr>
      </w:pPr>
    </w:p>
    <w:bookmarkStart w:id="89" w:name="page90"/>
    <w:bookmarkEnd w:id="8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right="20"/>
        <w:spacing w:after="0" w:line="263" w:lineRule="auto"/>
        <w:rPr>
          <w:sz w:val="20"/>
          <w:szCs w:val="20"/>
          <w:color w:val="auto"/>
        </w:rPr>
      </w:pPr>
      <w:r>
        <w:rPr>
          <w:rFonts w:ascii="Arial" w:cs="Arial" w:eastAsia="Arial" w:hAnsi="Arial"/>
          <w:sz w:val="18"/>
          <w:szCs w:val="18"/>
          <w:color w:val="auto"/>
        </w:rPr>
        <w:t>in-product notifications on our website and across more than 400 million actively connected devices, without any external marketing spend. We define an actively connected device as a desktop, laptop, phone, or tablet on which our app has been installed, and from which our app has been launched and made a request to our server at least once in the most recent quarter.</w:t>
      </w:r>
    </w:p>
    <w:p>
      <w:pPr>
        <w:spacing w:after="0" w:line="292"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Upgrade our paying users</w:t>
      </w:r>
    </w:p>
    <w:p>
      <w:pPr>
        <w:spacing w:after="0" w:line="117" w:lineRule="exact"/>
        <w:rPr>
          <w:sz w:val="20"/>
          <w:szCs w:val="20"/>
          <w:color w:val="auto"/>
        </w:rPr>
      </w:pPr>
    </w:p>
    <w:p>
      <w:pPr>
        <w:ind w:firstLine="449"/>
        <w:spacing w:after="0" w:line="255" w:lineRule="auto"/>
        <w:rPr>
          <w:sz w:val="20"/>
          <w:szCs w:val="20"/>
          <w:color w:val="auto"/>
        </w:rPr>
      </w:pPr>
      <w:r>
        <w:rPr>
          <w:rFonts w:ascii="Arial" w:cs="Arial" w:eastAsia="Arial" w:hAnsi="Arial"/>
          <w:sz w:val="18"/>
          <w:szCs w:val="18"/>
          <w:color w:val="auto"/>
        </w:rPr>
        <w:t>We offer a range of paid subscription plans, from Plus and Professional for individuals to Standard, Advanced, and Enterprise for teams. We analyze usage patterns within our network and run hundreds of targeted marketing campaigns to encourage paying users to upgrade their plans. For example, we prompt individual subscribers who collaborate with others on Dropbox to purchase our Standard or Advanced plans for a better team experience. In the first three quarters of 2017, over 40% of new Dropbox Business teams included a member who was previously a Plus subscriber. We believe that a large majority of individual customers use Dropbox for work, which creates an opportunity to significantly increase conversion to Dropbox Business team offerings over time.</w:t>
      </w:r>
    </w:p>
    <w:p>
      <w:pPr>
        <w:spacing w:after="0" w:line="300"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Apply insights to build new product experiences</w:t>
      </w:r>
    </w:p>
    <w:p>
      <w:pPr>
        <w:spacing w:after="0" w:line="117" w:lineRule="exact"/>
        <w:rPr>
          <w:sz w:val="20"/>
          <w:szCs w:val="20"/>
          <w:color w:val="auto"/>
        </w:rPr>
      </w:pPr>
    </w:p>
    <w:p>
      <w:pPr>
        <w:ind w:right="280" w:firstLine="449"/>
        <w:spacing w:after="0" w:line="259" w:lineRule="auto"/>
        <w:rPr>
          <w:sz w:val="20"/>
          <w:szCs w:val="20"/>
          <w:color w:val="auto"/>
        </w:rPr>
      </w:pPr>
      <w:r>
        <w:rPr>
          <w:rFonts w:ascii="Arial" w:cs="Arial" w:eastAsia="Arial" w:hAnsi="Arial"/>
          <w:sz w:val="18"/>
          <w:szCs w:val="18"/>
          <w:color w:val="auto"/>
        </w:rPr>
        <w:t>As our community of users grows, we gain more insight into their needs and pain points. We translate these insights into new product experiences that support the entire content lifecycle. For example, we learned through analytics and research that our users often work with many different types of content. As a result, we added the ability to embed rich media in Paper so they can pull everything together in one place—from InVision graphics and Google slides to Spotify tracks and Vimeo clips.</w:t>
      </w:r>
    </w:p>
    <w:p>
      <w:pPr>
        <w:spacing w:after="0" w:line="295"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Expand our ecosystem</w:t>
      </w:r>
    </w:p>
    <w:p>
      <w:pPr>
        <w:spacing w:after="0" w:line="117" w:lineRule="exact"/>
        <w:rPr>
          <w:sz w:val="20"/>
          <w:szCs w:val="20"/>
          <w:color w:val="auto"/>
        </w:rPr>
      </w:pPr>
    </w:p>
    <w:p>
      <w:pPr>
        <w:ind w:right="220" w:firstLine="449"/>
        <w:spacing w:after="0" w:line="311" w:lineRule="auto"/>
        <w:rPr>
          <w:sz w:val="20"/>
          <w:szCs w:val="20"/>
          <w:color w:val="auto"/>
        </w:rPr>
      </w:pPr>
      <w:r>
        <w:rPr>
          <w:rFonts w:ascii="Arial" w:cs="Arial" w:eastAsia="Arial" w:hAnsi="Arial"/>
          <w:sz w:val="16"/>
          <w:szCs w:val="16"/>
          <w:color w:val="auto"/>
        </w:rPr>
        <w:t>Our open and thriving ecosystem fosters deeper relationships with our users and makes Dropbox more valuable to them over time. The scale and reach of our platform is enhanced by a number of third-party applications, developers, and technology partners. As of September 30, 2017, Dropbox was receiving over 50 billion API calls per month, and more than 500,000 developers had registered and built applications on our platform.</w:t>
      </w:r>
    </w:p>
    <w:p>
      <w:pPr>
        <w:spacing w:after="0" w:line="2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Market Opportunity</w:t>
      </w:r>
    </w:p>
    <w:p>
      <w:pPr>
        <w:spacing w:after="0" w:line="121" w:lineRule="exact"/>
        <w:rPr>
          <w:sz w:val="20"/>
          <w:szCs w:val="20"/>
          <w:color w:val="auto"/>
        </w:rPr>
      </w:pPr>
    </w:p>
    <w:p>
      <w:pPr>
        <w:ind w:right="120" w:firstLine="449"/>
        <w:spacing w:after="0" w:line="263" w:lineRule="auto"/>
        <w:rPr>
          <w:sz w:val="20"/>
          <w:szCs w:val="20"/>
          <w:color w:val="auto"/>
        </w:rPr>
      </w:pPr>
      <w:r>
        <w:rPr>
          <w:rFonts w:ascii="Arial" w:cs="Arial" w:eastAsia="Arial" w:hAnsi="Arial"/>
          <w:sz w:val="18"/>
          <w:szCs w:val="18"/>
          <w:color w:val="auto"/>
        </w:rPr>
        <w:t>Over the past decade, Dropbox has pioneered the worldwide adoption of file sync and share software. We’ve since expanded our capabilities and introduced new product experiences to help our users get work done. For the second consecutive year, Gartner has named Dropbox a leader in their Magic Quadrant for Content Collaboration Platforms.</w:t>
      </w:r>
    </w:p>
    <w:p>
      <w:pPr>
        <w:spacing w:after="0" w:line="184" w:lineRule="exact"/>
        <w:rPr>
          <w:sz w:val="20"/>
          <w:szCs w:val="20"/>
          <w:color w:val="auto"/>
        </w:rPr>
      </w:pPr>
    </w:p>
    <w:p>
      <w:pPr>
        <w:ind w:right="160" w:firstLine="449"/>
        <w:spacing w:after="0" w:line="277" w:lineRule="auto"/>
        <w:rPr>
          <w:sz w:val="20"/>
          <w:szCs w:val="20"/>
          <w:color w:val="auto"/>
        </w:rPr>
      </w:pPr>
      <w:r>
        <w:rPr>
          <w:rFonts w:ascii="Arial" w:cs="Arial" w:eastAsia="Arial" w:hAnsi="Arial"/>
          <w:sz w:val="18"/>
          <w:szCs w:val="18"/>
          <w:color w:val="auto"/>
        </w:rPr>
        <w:t>Our addressable market includes collaborative applications, content management, project and portfolio management, and public cloud storage. IDC estimates that investment in these categories will total more than $50 billion in 2019.</w:t>
      </w:r>
    </w:p>
    <w:p>
      <w:pPr>
        <w:spacing w:after="0" w:line="170" w:lineRule="exact"/>
        <w:rPr>
          <w:sz w:val="20"/>
          <w:szCs w:val="20"/>
          <w:color w:val="auto"/>
        </w:rPr>
      </w:pPr>
    </w:p>
    <w:p>
      <w:pPr>
        <w:ind w:right="220" w:firstLine="449"/>
        <w:spacing w:after="0" w:line="342" w:lineRule="auto"/>
        <w:rPr>
          <w:sz w:val="20"/>
          <w:szCs w:val="20"/>
          <w:color w:val="auto"/>
        </w:rPr>
      </w:pPr>
      <w:r>
        <w:rPr>
          <w:rFonts w:ascii="Arial" w:cs="Arial" w:eastAsia="Arial" w:hAnsi="Arial"/>
          <w:sz w:val="16"/>
          <w:szCs w:val="16"/>
          <w:color w:val="auto"/>
        </w:rPr>
        <w:t>As one of the few large-scale collaboration platforms that serves customers of all sizes, we also have an opportunity to reach a broad population of independent knowledge and creative workers. We believe that this market hasn’t traditionally been included in IT spending estimates.</w:t>
      </w:r>
    </w:p>
    <w:p>
      <w:pPr>
        <w:spacing w:after="0" w:line="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87</w:t>
      </w:r>
    </w:p>
    <w:p>
      <w:pPr>
        <w:sectPr>
          <w:pgSz w:w="11900" w:h="16838" w:orient="portrait"/>
          <w:cols w:equalWidth="0" w:num="1">
            <w:col w:w="11240"/>
          </w:cols>
          <w:pgMar w:left="320" w:top="459" w:right="339" w:bottom="1440" w:gutter="0" w:footer="0" w:header="0"/>
        </w:sectPr>
      </w:pPr>
    </w:p>
    <w:bookmarkStart w:id="90" w:name="page91"/>
    <w:bookmarkEnd w:id="9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Capabilities</w:t>
      </w:r>
    </w:p>
    <w:p>
      <w:pPr>
        <w:spacing w:after="0" w:line="121" w:lineRule="exact"/>
        <w:rPr>
          <w:sz w:val="20"/>
          <w:szCs w:val="20"/>
          <w:color w:val="auto"/>
        </w:rPr>
      </w:pPr>
    </w:p>
    <w:p>
      <w:pPr>
        <w:ind w:firstLine="449"/>
        <w:spacing w:after="0" w:line="263" w:lineRule="auto"/>
        <w:rPr>
          <w:sz w:val="20"/>
          <w:szCs w:val="20"/>
          <w:color w:val="auto"/>
        </w:rPr>
      </w:pPr>
      <w:r>
        <w:rPr>
          <w:rFonts w:ascii="Arial" w:cs="Arial" w:eastAsia="Arial" w:hAnsi="Arial"/>
          <w:sz w:val="18"/>
          <w:szCs w:val="18"/>
          <w:color w:val="auto"/>
        </w:rPr>
        <w:t>Dropbox is a digital workspace where individuals and teams can create content, access it from anywhere, and share it with collaborators. The power of our platform lies in the breadth of our capabilities and the diverse ways our users make Dropbox work for them. We monetize through a range of subscription plans. Our platform capabilities are described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973455</wp:posOffset>
            </wp:positionH>
            <wp:positionV relativeFrom="paragraph">
              <wp:posOffset>219710</wp:posOffset>
            </wp:positionV>
            <wp:extent cx="5194935" cy="583755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5194935" cy="58375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88</w:t>
      </w:r>
    </w:p>
    <w:p>
      <w:pPr>
        <w:sectPr>
          <w:pgSz w:w="11900" w:h="16838" w:orient="portrait"/>
          <w:cols w:equalWidth="0" w:num="1">
            <w:col w:w="11120"/>
          </w:cols>
          <w:pgMar w:left="320" w:top="459" w:right="459" w:bottom="1440" w:gutter="0" w:footer="0" w:header="0"/>
        </w:sectPr>
      </w:pPr>
    </w:p>
    <w:bookmarkStart w:id="91" w:name="page92"/>
    <w:bookmarkEnd w:id="9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Create</w:t>
      </w:r>
    </w:p>
    <w:p>
      <w:pPr>
        <w:spacing w:after="0" w:line="117" w:lineRule="exact"/>
        <w:rPr>
          <w:sz w:val="20"/>
          <w:szCs w:val="20"/>
          <w:color w:val="auto"/>
        </w:rPr>
      </w:pPr>
    </w:p>
    <w:p>
      <w:pPr>
        <w:ind w:firstLine="449"/>
        <w:spacing w:after="0" w:line="263" w:lineRule="auto"/>
        <w:rPr>
          <w:sz w:val="20"/>
          <w:szCs w:val="20"/>
          <w:color w:val="auto"/>
        </w:rPr>
      </w:pPr>
      <w:r>
        <w:rPr>
          <w:rFonts w:ascii="Arial" w:cs="Arial" w:eastAsia="Arial" w:hAnsi="Arial"/>
          <w:sz w:val="18"/>
          <w:szCs w:val="18"/>
          <w:i w:val="1"/>
          <w:iCs w:val="1"/>
          <w:color w:val="auto"/>
        </w:rPr>
        <w:t>Paper</w:t>
      </w:r>
      <w:r>
        <w:rPr>
          <w:rFonts w:ascii="Arial" w:cs="Arial" w:eastAsia="Arial" w:hAnsi="Arial"/>
          <w:sz w:val="18"/>
          <w:szCs w:val="18"/>
          <w:color w:val="auto"/>
        </w:rPr>
        <w:t>. We introduced Paper in January 2017 as a collaborative surface to bring people and ideas together. With Paper, users can co-author content,</w:t>
      </w:r>
      <w:r>
        <w:rPr>
          <w:rFonts w:ascii="Arial" w:cs="Arial" w:eastAsia="Arial" w:hAnsi="Arial"/>
          <w:sz w:val="18"/>
          <w:szCs w:val="18"/>
          <w:i w:val="1"/>
          <w:iCs w:val="1"/>
          <w:color w:val="auto"/>
        </w:rPr>
        <w:t xml:space="preserve"> </w:t>
      </w:r>
      <w:r>
        <w:rPr>
          <w:rFonts w:ascii="Arial" w:cs="Arial" w:eastAsia="Arial" w:hAnsi="Arial"/>
          <w:sz w:val="18"/>
          <w:szCs w:val="18"/>
          <w:color w:val="auto"/>
        </w:rPr>
        <w:t>tag others, assign tasks with due dates, embed and comment on files, tables, checklists, code snippets, and rich media—all in real-time. We designed Paper to be simple and beautiful so users can focus on the most important ideas and tasks at hand.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1247775</wp:posOffset>
            </wp:positionH>
            <wp:positionV relativeFrom="paragraph">
              <wp:posOffset>-10795</wp:posOffset>
            </wp:positionV>
            <wp:extent cx="4654550" cy="602615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4654550" cy="60261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89</w:t>
      </w:r>
    </w:p>
    <w:p>
      <w:pPr>
        <w:sectPr>
          <w:pgSz w:w="11900" w:h="16838" w:orient="portrait"/>
          <w:cols w:equalWidth="0" w:num="1">
            <w:col w:w="11140"/>
          </w:cols>
          <w:pgMar w:left="320" w:top="459" w:right="439" w:bottom="1440" w:gutter="0" w:footer="0" w:header="0"/>
        </w:sectPr>
      </w:pPr>
    </w:p>
    <w:bookmarkStart w:id="92" w:name="page93"/>
    <w:bookmarkEnd w:id="9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firstLine="449"/>
        <w:spacing w:after="0" w:line="257" w:lineRule="auto"/>
        <w:rPr>
          <w:sz w:val="20"/>
          <w:szCs w:val="20"/>
          <w:color w:val="auto"/>
        </w:rPr>
      </w:pPr>
      <w:r>
        <w:rPr>
          <w:rFonts w:ascii="Arial" w:cs="Arial" w:eastAsia="Arial" w:hAnsi="Arial"/>
          <w:sz w:val="18"/>
          <w:szCs w:val="18"/>
          <w:i w:val="1"/>
          <w:iCs w:val="1"/>
          <w:color w:val="auto"/>
        </w:rPr>
        <w:t>Doc scanner</w:t>
      </w:r>
      <w:r>
        <w:rPr>
          <w:rFonts w:ascii="Arial" w:cs="Arial" w:eastAsia="Arial" w:hAnsi="Arial"/>
          <w:sz w:val="18"/>
          <w:szCs w:val="18"/>
          <w:color w:val="auto"/>
        </w:rPr>
        <w:t>. The doc scanner in our mobile app lets users create content in Dropbox from hard copies. This includes transforming everything from</w:t>
      </w:r>
      <w:r>
        <w:rPr>
          <w:rFonts w:ascii="Arial" w:cs="Arial" w:eastAsia="Arial" w:hAnsi="Arial"/>
          <w:sz w:val="18"/>
          <w:szCs w:val="18"/>
          <w:i w:val="1"/>
          <w:iCs w:val="1"/>
          <w:color w:val="auto"/>
        </w:rPr>
        <w:t xml:space="preserve"> </w:t>
      </w:r>
      <w:r>
        <w:rPr>
          <w:rFonts w:ascii="Arial" w:cs="Arial" w:eastAsia="Arial" w:hAnsi="Arial"/>
          <w:sz w:val="18"/>
          <w:szCs w:val="18"/>
          <w:color w:val="auto"/>
        </w:rPr>
        <w:t>printed materials to whiteboard brainstorming sessions into virtual documents that they can edit and share. We apply proprietary machine learning techniques to automatically detect the document being scanned, extract it from the background, fit it to a rectangular shape, remove shadows, adjust the contrast, and save it as a PDF or image file. For Dropbox Business teams, scanned content is analyzed using Optical Character Recognition so text within these scans is searchable in Dropbox.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982345</wp:posOffset>
            </wp:positionH>
            <wp:positionV relativeFrom="paragraph">
              <wp:posOffset>-8255</wp:posOffset>
            </wp:positionV>
            <wp:extent cx="5186045" cy="393446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5186045" cy="39344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90</w:t>
      </w:r>
    </w:p>
    <w:p>
      <w:pPr>
        <w:sectPr>
          <w:pgSz w:w="11900" w:h="16838" w:orient="portrait"/>
          <w:cols w:equalWidth="0" w:num="1">
            <w:col w:w="11080"/>
          </w:cols>
          <w:pgMar w:left="320" w:top="459" w:right="499" w:bottom="1440" w:gutter="0" w:footer="0" w:header="0"/>
        </w:sectPr>
      </w:pPr>
    </w:p>
    <w:bookmarkStart w:id="93" w:name="page94"/>
    <w:bookmarkEnd w:id="9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Access and organize</w:t>
      </w:r>
    </w:p>
    <w:p>
      <w:pPr>
        <w:spacing w:after="0" w:line="117" w:lineRule="exact"/>
        <w:rPr>
          <w:sz w:val="20"/>
          <w:szCs w:val="20"/>
          <w:color w:val="auto"/>
        </w:rPr>
      </w:pPr>
    </w:p>
    <w:p>
      <w:pPr>
        <w:jc w:val="both"/>
        <w:ind w:right="60" w:firstLine="449"/>
        <w:spacing w:after="0" w:line="263" w:lineRule="auto"/>
        <w:rPr>
          <w:sz w:val="20"/>
          <w:szCs w:val="20"/>
          <w:color w:val="auto"/>
        </w:rPr>
      </w:pPr>
      <w:r>
        <w:rPr>
          <w:rFonts w:ascii="Arial" w:cs="Arial" w:eastAsia="Arial" w:hAnsi="Arial"/>
          <w:sz w:val="18"/>
          <w:szCs w:val="18"/>
          <w:i w:val="1"/>
          <w:iCs w:val="1"/>
          <w:color w:val="auto"/>
        </w:rPr>
        <w:t>Search</w:t>
      </w:r>
      <w:r>
        <w:rPr>
          <w:rFonts w:ascii="Arial" w:cs="Arial" w:eastAsia="Arial" w:hAnsi="Arial"/>
          <w:sz w:val="18"/>
          <w:szCs w:val="18"/>
          <w:color w:val="auto"/>
        </w:rPr>
        <w:t>. Dropbox has powerful search capabilities that allow users to quickly find the files and folders they need. Our autocomplete technology</w:t>
      </w:r>
      <w:r>
        <w:rPr>
          <w:rFonts w:ascii="Arial" w:cs="Arial" w:eastAsia="Arial" w:hAnsi="Arial"/>
          <w:sz w:val="18"/>
          <w:szCs w:val="18"/>
          <w:i w:val="1"/>
          <w:iCs w:val="1"/>
          <w:color w:val="auto"/>
        </w:rPr>
        <w:t xml:space="preserve"> </w:t>
      </w:r>
      <w:r>
        <w:rPr>
          <w:rFonts w:ascii="Arial" w:cs="Arial" w:eastAsia="Arial" w:hAnsi="Arial"/>
          <w:sz w:val="18"/>
          <w:szCs w:val="18"/>
          <w:color w:val="auto"/>
        </w:rPr>
        <w:t>surfaces and prioritizes content based on users’ previous activity. For Dropbox Professional subscribers and Dropbox Business teams, full text search allows users to scan the entire content of their files.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982345</wp:posOffset>
            </wp:positionH>
            <wp:positionV relativeFrom="paragraph">
              <wp:posOffset>-10795</wp:posOffset>
            </wp:positionV>
            <wp:extent cx="5186045" cy="280289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5186045" cy="2802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jc w:val="both"/>
        <w:ind w:firstLine="449"/>
        <w:spacing w:after="0" w:line="263" w:lineRule="auto"/>
        <w:rPr>
          <w:sz w:val="20"/>
          <w:szCs w:val="20"/>
          <w:color w:val="auto"/>
        </w:rPr>
      </w:pPr>
      <w:r>
        <w:rPr>
          <w:rFonts w:ascii="Arial" w:cs="Arial" w:eastAsia="Arial" w:hAnsi="Arial"/>
          <w:sz w:val="18"/>
          <w:szCs w:val="18"/>
          <w:i w:val="1"/>
          <w:iCs w:val="1"/>
          <w:color w:val="auto"/>
        </w:rPr>
        <w:t>Rich previews</w:t>
      </w:r>
      <w:r>
        <w:rPr>
          <w:rFonts w:ascii="Arial" w:cs="Arial" w:eastAsia="Arial" w:hAnsi="Arial"/>
          <w:sz w:val="18"/>
          <w:szCs w:val="18"/>
          <w:color w:val="auto"/>
        </w:rPr>
        <w:t>. Rich previews allow users to easily interact with files across any device without having to open different applications. Users can</w:t>
      </w:r>
      <w:r>
        <w:rPr>
          <w:rFonts w:ascii="Arial" w:cs="Arial" w:eastAsia="Arial" w:hAnsi="Arial"/>
          <w:sz w:val="18"/>
          <w:szCs w:val="18"/>
          <w:i w:val="1"/>
          <w:iCs w:val="1"/>
          <w:color w:val="auto"/>
        </w:rPr>
        <w:t xml:space="preserve"> </w:t>
      </w:r>
      <w:r>
        <w:rPr>
          <w:rFonts w:ascii="Arial" w:cs="Arial" w:eastAsia="Arial" w:hAnsi="Arial"/>
          <w:sz w:val="18"/>
          <w:szCs w:val="18"/>
          <w:color w:val="auto"/>
        </w:rPr>
        <w:t>comment on, annotate, review, and present files, and see who viewed and edited them. We support previews of over 280 file types, and Dropbox users currently preview files tens of millions of times every day.</w:t>
      </w:r>
    </w:p>
    <w:p>
      <w:pPr>
        <w:spacing w:after="0" w:line="116" w:lineRule="exact"/>
        <w:rPr>
          <w:sz w:val="20"/>
          <w:szCs w:val="20"/>
          <w:color w:val="auto"/>
        </w:rPr>
      </w:pPr>
    </w:p>
    <w:p>
      <w:pPr>
        <w:jc w:val="center"/>
        <w:ind w:right="-439"/>
        <w:spacing w:after="0"/>
        <w:rPr>
          <w:sz w:val="20"/>
          <w:szCs w:val="20"/>
          <w:color w:val="auto"/>
        </w:rPr>
      </w:pPr>
      <w:r>
        <w:rPr>
          <w:rFonts w:ascii="Arial" w:cs="Arial" w:eastAsia="Arial" w:hAnsi="Arial"/>
          <w:sz w:val="18"/>
          <w:szCs w:val="18"/>
          <w:color w:val="auto"/>
        </w:rPr>
        <w:t>91</w:t>
      </w:r>
    </w:p>
    <w:p>
      <w:pPr>
        <w:sectPr>
          <w:pgSz w:w="11900" w:h="16838" w:orient="portrait"/>
          <w:cols w:equalWidth="0" w:num="1">
            <w:col w:w="10820"/>
          </w:cols>
          <w:pgMar w:left="320" w:top="459" w:right="759" w:bottom="1440" w:gutter="0" w:footer="0" w:header="0"/>
        </w:sectPr>
      </w:pPr>
    </w:p>
    <w:bookmarkStart w:id="94" w:name="page95"/>
    <w:bookmarkEnd w:id="9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right="200" w:firstLine="449"/>
        <w:spacing w:after="0" w:line="301" w:lineRule="auto"/>
        <w:rPr>
          <w:sz w:val="20"/>
          <w:szCs w:val="20"/>
          <w:color w:val="auto"/>
        </w:rPr>
      </w:pPr>
      <w:r>
        <w:rPr>
          <w:rFonts w:ascii="Arial" w:cs="Arial" w:eastAsia="Arial" w:hAnsi="Arial"/>
          <w:sz w:val="16"/>
          <w:szCs w:val="16"/>
          <w:i w:val="1"/>
          <w:iCs w:val="1"/>
          <w:color w:val="auto"/>
        </w:rPr>
        <w:t>Smart Sync</w:t>
      </w:r>
      <w:r>
        <w:rPr>
          <w:rFonts w:ascii="Arial" w:cs="Arial" w:eastAsia="Arial" w:hAnsi="Arial"/>
          <w:sz w:val="16"/>
          <w:szCs w:val="16"/>
          <w:color w:val="auto"/>
        </w:rPr>
        <w:t>. With Smart Sync, users can access all of their content natively on their computers without taking up storage space on their local hard</w:t>
      </w:r>
      <w:r>
        <w:rPr>
          <w:rFonts w:ascii="Arial" w:cs="Arial" w:eastAsia="Arial" w:hAnsi="Arial"/>
          <w:sz w:val="16"/>
          <w:szCs w:val="16"/>
          <w:i w:val="1"/>
          <w:iCs w:val="1"/>
          <w:color w:val="auto"/>
        </w:rPr>
        <w:t xml:space="preserve"> </w:t>
      </w:r>
      <w:r>
        <w:rPr>
          <w:rFonts w:ascii="Arial" w:cs="Arial" w:eastAsia="Arial" w:hAnsi="Arial"/>
          <w:sz w:val="16"/>
          <w:szCs w:val="16"/>
          <w:color w:val="auto"/>
        </w:rPr>
        <w:t>drives. We intelligently sync files to a user’s computer as they need them, and users can control which files or folders are always synced locally. With Smart Sync, files that are only stored in the cloud appear in the local file system and can be opened directly from Windows File Explorer or Mac Finder, instead of having to navigate to our web interface. Smart Sync is available to Dropbox Professional subscribers and Dropbox Business teams.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982345</wp:posOffset>
            </wp:positionH>
            <wp:positionV relativeFrom="paragraph">
              <wp:posOffset>-27940</wp:posOffset>
            </wp:positionV>
            <wp:extent cx="5186045" cy="351472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5186045" cy="35147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firstLine="449"/>
        <w:spacing w:after="0" w:line="263" w:lineRule="auto"/>
        <w:rPr>
          <w:sz w:val="20"/>
          <w:szCs w:val="20"/>
          <w:color w:val="auto"/>
        </w:rPr>
      </w:pPr>
      <w:r>
        <w:rPr>
          <w:rFonts w:ascii="Arial" w:cs="Arial" w:eastAsia="Arial" w:hAnsi="Arial"/>
          <w:sz w:val="18"/>
          <w:szCs w:val="18"/>
          <w:i w:val="1"/>
          <w:iCs w:val="1"/>
          <w:color w:val="auto"/>
        </w:rPr>
        <w:t>Version history</w:t>
      </w:r>
      <w:r>
        <w:rPr>
          <w:rFonts w:ascii="Arial" w:cs="Arial" w:eastAsia="Arial" w:hAnsi="Arial"/>
          <w:sz w:val="18"/>
          <w:szCs w:val="18"/>
          <w:color w:val="auto"/>
        </w:rPr>
        <w:t>. As paying users work on files, we keep snapshots of all changes made on our servers. Users can see a file’s complete version history</w:t>
      </w:r>
      <w:r>
        <w:rPr>
          <w:rFonts w:ascii="Arial" w:cs="Arial" w:eastAsia="Arial" w:hAnsi="Arial"/>
          <w:sz w:val="18"/>
          <w:szCs w:val="18"/>
          <w:i w:val="1"/>
          <w:iCs w:val="1"/>
          <w:color w:val="auto"/>
        </w:rPr>
        <w:t xml:space="preserve"> </w:t>
      </w:r>
      <w:r>
        <w:rPr>
          <w:rFonts w:ascii="Arial" w:cs="Arial" w:eastAsia="Arial" w:hAnsi="Arial"/>
          <w:sz w:val="18"/>
          <w:szCs w:val="18"/>
          <w:color w:val="auto"/>
        </w:rPr>
        <w:t>so they can reference and retrieve older versions if needed. Version histories are kept between 30 to 120 days for paying users, depending on subscription plan.</w:t>
      </w:r>
    </w:p>
    <w:p>
      <w:pPr>
        <w:spacing w:after="0" w:line="184" w:lineRule="exact"/>
        <w:rPr>
          <w:sz w:val="20"/>
          <w:szCs w:val="20"/>
          <w:color w:val="auto"/>
        </w:rPr>
      </w:pPr>
    </w:p>
    <w:p>
      <w:pPr>
        <w:ind w:right="20" w:firstLine="449"/>
        <w:spacing w:after="0" w:line="257" w:lineRule="auto"/>
        <w:rPr>
          <w:sz w:val="20"/>
          <w:szCs w:val="20"/>
          <w:color w:val="auto"/>
        </w:rPr>
      </w:pPr>
      <w:r>
        <w:rPr>
          <w:rFonts w:ascii="Arial" w:cs="Arial" w:eastAsia="Arial" w:hAnsi="Arial"/>
          <w:sz w:val="18"/>
          <w:szCs w:val="18"/>
          <w:i w:val="1"/>
          <w:iCs w:val="1"/>
          <w:color w:val="auto"/>
        </w:rPr>
        <w:t>Third-party ecosystem</w:t>
      </w:r>
      <w:r>
        <w:rPr>
          <w:rFonts w:ascii="Arial" w:cs="Arial" w:eastAsia="Arial" w:hAnsi="Arial"/>
          <w:sz w:val="18"/>
          <w:szCs w:val="18"/>
          <w:color w:val="auto"/>
        </w:rPr>
        <w:t>. Our open and thriving ecosystem fosters deeper relationships with our users and developers. Developers can build</w:t>
      </w:r>
      <w:r>
        <w:rPr>
          <w:rFonts w:ascii="Arial" w:cs="Arial" w:eastAsia="Arial" w:hAnsi="Arial"/>
          <w:sz w:val="18"/>
          <w:szCs w:val="18"/>
          <w:i w:val="1"/>
          <w:iCs w:val="1"/>
          <w:color w:val="auto"/>
        </w:rPr>
        <w:t xml:space="preserve"> </w:t>
      </w:r>
      <w:r>
        <w:rPr>
          <w:rFonts w:ascii="Arial" w:cs="Arial" w:eastAsia="Arial" w:hAnsi="Arial"/>
          <w:sz w:val="18"/>
          <w:szCs w:val="18"/>
          <w:color w:val="auto"/>
        </w:rPr>
        <w:t>applications that connect to Dropbox through our DBX Developer Platform. For example, email apps can plug into Dropbox to send attachments or shared links, and note-taking apps can allow users to save to Dropbox so they can open their notes on another device. As of September 30, 2017, Dropbox was receiving over 50 billion API calls per month and over 500,000 developers had registered and built applications on our platform. In addition, more than 75% of Dropbox Business teams have linked to one or more third-party applications.</w:t>
      </w:r>
    </w:p>
    <w:p>
      <w:pPr>
        <w:spacing w:after="0" w:line="296"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Share</w:t>
      </w:r>
    </w:p>
    <w:p>
      <w:pPr>
        <w:spacing w:after="0" w:line="117" w:lineRule="exact"/>
        <w:rPr>
          <w:sz w:val="20"/>
          <w:szCs w:val="20"/>
          <w:color w:val="auto"/>
        </w:rPr>
      </w:pPr>
    </w:p>
    <w:p>
      <w:pPr>
        <w:ind w:firstLine="449"/>
        <w:spacing w:after="0" w:line="263" w:lineRule="auto"/>
        <w:rPr>
          <w:sz w:val="20"/>
          <w:szCs w:val="20"/>
          <w:color w:val="auto"/>
        </w:rPr>
      </w:pPr>
      <w:r>
        <w:rPr>
          <w:rFonts w:ascii="Arial" w:cs="Arial" w:eastAsia="Arial" w:hAnsi="Arial"/>
          <w:sz w:val="18"/>
          <w:szCs w:val="18"/>
          <w:i w:val="1"/>
          <w:iCs w:val="1"/>
          <w:color w:val="auto"/>
        </w:rPr>
        <w:t>Folders</w:t>
      </w:r>
      <w:r>
        <w:rPr>
          <w:rFonts w:ascii="Arial" w:cs="Arial" w:eastAsia="Arial" w:hAnsi="Arial"/>
          <w:sz w:val="18"/>
          <w:szCs w:val="18"/>
          <w:color w:val="auto"/>
        </w:rPr>
        <w:t>. There are three types of folders in Dropbox: private, shared, and team folders. A private folder allows an individual to sync files between</w:t>
      </w:r>
      <w:r>
        <w:rPr>
          <w:rFonts w:ascii="Arial" w:cs="Arial" w:eastAsia="Arial" w:hAnsi="Arial"/>
          <w:sz w:val="18"/>
          <w:szCs w:val="18"/>
          <w:i w:val="1"/>
          <w:iCs w:val="1"/>
          <w:color w:val="auto"/>
        </w:rPr>
        <w:t xml:space="preserve"> </w:t>
      </w:r>
      <w:r>
        <w:rPr>
          <w:rFonts w:ascii="Arial" w:cs="Arial" w:eastAsia="Arial" w:hAnsi="Arial"/>
          <w:sz w:val="18"/>
          <w:szCs w:val="18"/>
          <w:color w:val="auto"/>
        </w:rPr>
        <w:t>devices. A shared folder allows users to quickly and easily start a project space for group collaboration. A team folder, which is only available for Dropbox Business teams, is a central, administrator-managed hub where they can store and collaborate on content.</w:t>
      </w:r>
    </w:p>
    <w:p>
      <w:pPr>
        <w:spacing w:after="0" w:line="11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92</w:t>
      </w:r>
    </w:p>
    <w:p>
      <w:pPr>
        <w:sectPr>
          <w:pgSz w:w="11900" w:h="16838" w:orient="portrait"/>
          <w:cols w:equalWidth="0" w:num="1">
            <w:col w:w="11180"/>
          </w:cols>
          <w:pgMar w:left="320" w:top="459" w:right="399" w:bottom="1440" w:gutter="0" w:footer="0" w:header="0"/>
        </w:sectPr>
      </w:pPr>
    </w:p>
    <w:bookmarkStart w:id="95" w:name="page96"/>
    <w:bookmarkEnd w:id="9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firstLine="449"/>
        <w:spacing w:after="0" w:line="259" w:lineRule="auto"/>
        <w:rPr>
          <w:sz w:val="20"/>
          <w:szCs w:val="20"/>
          <w:color w:val="auto"/>
        </w:rPr>
      </w:pPr>
      <w:r>
        <w:rPr>
          <w:rFonts w:ascii="Arial" w:cs="Arial" w:eastAsia="Arial" w:hAnsi="Arial"/>
          <w:sz w:val="18"/>
          <w:szCs w:val="18"/>
          <w:i w:val="1"/>
          <w:iCs w:val="1"/>
          <w:color w:val="auto"/>
        </w:rPr>
        <w:t>Shared links</w:t>
      </w:r>
      <w:r>
        <w:rPr>
          <w:rFonts w:ascii="Arial" w:cs="Arial" w:eastAsia="Arial" w:hAnsi="Arial"/>
          <w:sz w:val="18"/>
          <w:szCs w:val="18"/>
          <w:color w:val="auto"/>
        </w:rPr>
        <w:t>. Users can share files and folders with anyone, including non-Dropbox users, by creating a Dropbox link. Once created, the link can be</w:t>
      </w:r>
      <w:r>
        <w:rPr>
          <w:rFonts w:ascii="Arial" w:cs="Arial" w:eastAsia="Arial" w:hAnsi="Arial"/>
          <w:sz w:val="18"/>
          <w:szCs w:val="18"/>
          <w:i w:val="1"/>
          <w:iCs w:val="1"/>
          <w:color w:val="auto"/>
        </w:rPr>
        <w:t xml:space="preserve"> </w:t>
      </w:r>
      <w:r>
        <w:rPr>
          <w:rFonts w:ascii="Arial" w:cs="Arial" w:eastAsia="Arial" w:hAnsi="Arial"/>
          <w:sz w:val="18"/>
          <w:szCs w:val="18"/>
          <w:color w:val="auto"/>
        </w:rPr>
        <w:t>sent through email, text, Facebook, Twitter, instant message, or other channels. The recipient can view the file with a rich preview or see all the files in a shared folder. Dropbox Professional subscribers and Dropbox Business teams can set passwords and expiration dates and specify whether recipients can comment on or download the files.</w:t>
      </w:r>
    </w:p>
    <w:p>
      <w:pPr>
        <w:spacing w:after="0" w:line="187" w:lineRule="exact"/>
        <w:rPr>
          <w:sz w:val="20"/>
          <w:szCs w:val="20"/>
          <w:color w:val="auto"/>
        </w:rPr>
      </w:pPr>
    </w:p>
    <w:p>
      <w:pPr>
        <w:ind w:right="40" w:firstLine="449"/>
        <w:spacing w:after="0" w:line="259" w:lineRule="auto"/>
        <w:rPr>
          <w:sz w:val="20"/>
          <w:szCs w:val="20"/>
          <w:color w:val="auto"/>
        </w:rPr>
      </w:pPr>
      <w:r>
        <w:rPr>
          <w:rFonts w:ascii="Arial" w:cs="Arial" w:eastAsia="Arial" w:hAnsi="Arial"/>
          <w:sz w:val="18"/>
          <w:szCs w:val="18"/>
          <w:i w:val="1"/>
          <w:iCs w:val="1"/>
          <w:color w:val="auto"/>
        </w:rPr>
        <w:t>Showcase</w:t>
      </w:r>
      <w:r>
        <w:rPr>
          <w:rFonts w:ascii="Arial" w:cs="Arial" w:eastAsia="Arial" w:hAnsi="Arial"/>
          <w:sz w:val="18"/>
          <w:szCs w:val="18"/>
          <w:color w:val="auto"/>
        </w:rPr>
        <w:t>. Showcase gives users a way to present their work to clients and business partners through a customizable, professionally branded</w:t>
      </w:r>
      <w:r>
        <w:rPr>
          <w:rFonts w:ascii="Arial" w:cs="Arial" w:eastAsia="Arial" w:hAnsi="Arial"/>
          <w:sz w:val="18"/>
          <w:szCs w:val="18"/>
          <w:i w:val="1"/>
          <w:iCs w:val="1"/>
          <w:color w:val="auto"/>
        </w:rPr>
        <w:t xml:space="preserve"> </w:t>
      </w:r>
      <w:r>
        <w:rPr>
          <w:rFonts w:ascii="Arial" w:cs="Arial" w:eastAsia="Arial" w:hAnsi="Arial"/>
          <w:sz w:val="18"/>
          <w:szCs w:val="18"/>
          <w:color w:val="auto"/>
        </w:rPr>
        <w:t>webpage. Users can display visual previews of multiple files on the same page and add relevant context with captions and an introduction. Showcase also lets users track how recipients are engaging with their content—providing analytics on who has viewed, commented, or downloaded content on a per-person and per-file basis.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982345</wp:posOffset>
            </wp:positionH>
            <wp:positionV relativeFrom="paragraph">
              <wp:posOffset>144780</wp:posOffset>
            </wp:positionV>
            <wp:extent cx="5186045" cy="511746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5186045" cy="51174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93</w:t>
      </w:r>
    </w:p>
    <w:p>
      <w:pPr>
        <w:sectPr>
          <w:pgSz w:w="11900" w:h="16838" w:orient="portrait"/>
          <w:cols w:equalWidth="0" w:num="1">
            <w:col w:w="11100"/>
          </w:cols>
          <w:pgMar w:left="320" w:top="459" w:right="479" w:bottom="1440" w:gutter="0" w:footer="0" w:header="0"/>
        </w:sectPr>
      </w:pPr>
    </w:p>
    <w:bookmarkStart w:id="96" w:name="page97"/>
    <w:bookmarkEnd w:id="9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982345</wp:posOffset>
            </wp:positionH>
            <wp:positionV relativeFrom="paragraph">
              <wp:posOffset>205740</wp:posOffset>
            </wp:positionV>
            <wp:extent cx="5186045" cy="464629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5186045" cy="46462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ind w:firstLine="449"/>
        <w:spacing w:after="0" w:line="286" w:lineRule="auto"/>
        <w:rPr>
          <w:sz w:val="20"/>
          <w:szCs w:val="20"/>
          <w:color w:val="auto"/>
        </w:rPr>
      </w:pPr>
      <w:r>
        <w:rPr>
          <w:rFonts w:ascii="Arial" w:cs="Arial" w:eastAsia="Arial" w:hAnsi="Arial"/>
          <w:sz w:val="17"/>
          <w:szCs w:val="17"/>
          <w:i w:val="1"/>
          <w:iCs w:val="1"/>
          <w:color w:val="auto"/>
        </w:rPr>
        <w:t>File requests</w:t>
      </w:r>
      <w:r>
        <w:rPr>
          <w:rFonts w:ascii="Arial" w:cs="Arial" w:eastAsia="Arial" w:hAnsi="Arial"/>
          <w:sz w:val="17"/>
          <w:szCs w:val="17"/>
          <w:color w:val="auto"/>
        </w:rPr>
        <w:t>. With file requests, users can invite anyone to submit files into a specified Dropbox folder through a simple link—regardless of whether</w:t>
      </w:r>
      <w:r>
        <w:rPr>
          <w:rFonts w:ascii="Arial" w:cs="Arial" w:eastAsia="Arial" w:hAnsi="Arial"/>
          <w:sz w:val="17"/>
          <w:szCs w:val="17"/>
          <w:i w:val="1"/>
          <w:iCs w:val="1"/>
          <w:color w:val="auto"/>
        </w:rPr>
        <w:t xml:space="preserve"> </w:t>
      </w:r>
      <w:r>
        <w:rPr>
          <w:rFonts w:ascii="Arial" w:cs="Arial" w:eastAsia="Arial" w:hAnsi="Arial"/>
          <w:sz w:val="17"/>
          <w:szCs w:val="17"/>
          <w:color w:val="auto"/>
        </w:rPr>
        <w:t>the recipient has a Dropbox account. File requests are ideal for tasks such as collecting bids from contractors or requesting submissions from coworkers and clients. All submitted files are organized into a Dropbox folder that’s private to the requesting user.</w:t>
      </w:r>
    </w:p>
    <w:p>
      <w:pPr>
        <w:spacing w:after="0" w:line="9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94</w:t>
      </w:r>
    </w:p>
    <w:p>
      <w:pPr>
        <w:sectPr>
          <w:pgSz w:w="11900" w:h="16838" w:orient="portrait"/>
          <w:cols w:equalWidth="0" w:num="1">
            <w:col w:w="11200"/>
          </w:cols>
          <w:pgMar w:left="320" w:top="459" w:right="379" w:bottom="1440" w:gutter="0" w:footer="0" w:header="0"/>
        </w:sectPr>
      </w:pPr>
    </w:p>
    <w:bookmarkStart w:id="97" w:name="page98"/>
    <w:bookmarkEnd w:id="9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Collaborate</w:t>
      </w:r>
    </w:p>
    <w:p>
      <w:pPr>
        <w:spacing w:after="0" w:line="117" w:lineRule="exact"/>
        <w:rPr>
          <w:sz w:val="20"/>
          <w:szCs w:val="20"/>
          <w:color w:val="auto"/>
        </w:rPr>
      </w:pPr>
    </w:p>
    <w:p>
      <w:pPr>
        <w:ind w:right="160" w:firstLine="449"/>
        <w:spacing w:after="0" w:line="263" w:lineRule="auto"/>
        <w:rPr>
          <w:sz w:val="20"/>
          <w:szCs w:val="20"/>
          <w:color w:val="auto"/>
        </w:rPr>
      </w:pPr>
      <w:r>
        <w:rPr>
          <w:rFonts w:ascii="Arial" w:cs="Arial" w:eastAsia="Arial" w:hAnsi="Arial"/>
          <w:sz w:val="18"/>
          <w:szCs w:val="18"/>
          <w:i w:val="1"/>
          <w:iCs w:val="1"/>
          <w:color w:val="auto"/>
        </w:rPr>
        <w:t>Comments and annotations</w:t>
      </w:r>
      <w:r>
        <w:rPr>
          <w:rFonts w:ascii="Arial" w:cs="Arial" w:eastAsia="Arial" w:hAnsi="Arial"/>
          <w:sz w:val="18"/>
          <w:szCs w:val="18"/>
          <w:color w:val="auto"/>
        </w:rPr>
        <w:t>. Dropbox comments and annotations marry content with the conversations and relevant context around it. Instead of</w:t>
      </w:r>
      <w:r>
        <w:rPr>
          <w:rFonts w:ascii="Arial" w:cs="Arial" w:eastAsia="Arial" w:hAnsi="Arial"/>
          <w:sz w:val="18"/>
          <w:szCs w:val="18"/>
          <w:i w:val="1"/>
          <w:iCs w:val="1"/>
          <w:color w:val="auto"/>
        </w:rPr>
        <w:t xml:space="preserve"> </w:t>
      </w:r>
      <w:r>
        <w:rPr>
          <w:rFonts w:ascii="Arial" w:cs="Arial" w:eastAsia="Arial" w:hAnsi="Arial"/>
          <w:sz w:val="18"/>
          <w:szCs w:val="18"/>
          <w:color w:val="auto"/>
        </w:rPr>
        <w:t>being scattered across separate silos, such as email and chat, the editing and development of content are tied to a file. Users can give feedback on specific parts of files through a rich, innovative overlay on our web and mobile platforms.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982345</wp:posOffset>
            </wp:positionH>
            <wp:positionV relativeFrom="paragraph">
              <wp:posOffset>-10795</wp:posOffset>
            </wp:positionV>
            <wp:extent cx="5186045" cy="346329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5186045" cy="34632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right="40" w:firstLine="449"/>
        <w:spacing w:after="0" w:line="277" w:lineRule="auto"/>
        <w:rPr>
          <w:sz w:val="20"/>
          <w:szCs w:val="20"/>
          <w:color w:val="auto"/>
        </w:rPr>
      </w:pPr>
      <w:r>
        <w:rPr>
          <w:rFonts w:ascii="Arial" w:cs="Arial" w:eastAsia="Arial" w:hAnsi="Arial"/>
          <w:sz w:val="18"/>
          <w:szCs w:val="18"/>
          <w:i w:val="1"/>
          <w:iCs w:val="1"/>
          <w:color w:val="auto"/>
        </w:rPr>
        <w:t xml:space="preserve">File activity stream. </w:t>
      </w:r>
      <w:r>
        <w:rPr>
          <w:rFonts w:ascii="Arial" w:cs="Arial" w:eastAsia="Arial" w:hAnsi="Arial"/>
          <w:sz w:val="18"/>
          <w:szCs w:val="18"/>
          <w:color w:val="auto"/>
        </w:rPr>
        <w:t>An activity feed lives next to every file preview on our web interface, telling users what’s happening with a file. The feed shows</w:t>
      </w:r>
      <w:r>
        <w:rPr>
          <w:rFonts w:ascii="Arial" w:cs="Arial" w:eastAsia="Arial" w:hAnsi="Arial"/>
          <w:sz w:val="18"/>
          <w:szCs w:val="18"/>
          <w:i w:val="1"/>
          <w:iCs w:val="1"/>
          <w:color w:val="auto"/>
        </w:rPr>
        <w:t xml:space="preserve"> </w:t>
      </w:r>
      <w:r>
        <w:rPr>
          <w:rFonts w:ascii="Arial" w:cs="Arial" w:eastAsia="Arial" w:hAnsi="Arial"/>
          <w:sz w:val="18"/>
          <w:szCs w:val="18"/>
          <w:color w:val="auto"/>
        </w:rPr>
        <w:t>when someone opens a file, edits a file, or shares a file.</w:t>
      </w:r>
    </w:p>
    <w:p>
      <w:pPr>
        <w:spacing w:after="0" w:line="170" w:lineRule="exact"/>
        <w:rPr>
          <w:sz w:val="20"/>
          <w:szCs w:val="20"/>
          <w:color w:val="auto"/>
        </w:rPr>
      </w:pPr>
    </w:p>
    <w:p>
      <w:pPr>
        <w:ind w:right="60" w:firstLine="449"/>
        <w:spacing w:after="0" w:line="263" w:lineRule="auto"/>
        <w:rPr>
          <w:sz w:val="20"/>
          <w:szCs w:val="20"/>
          <w:color w:val="auto"/>
        </w:rPr>
      </w:pPr>
      <w:r>
        <w:rPr>
          <w:rFonts w:ascii="Arial" w:cs="Arial" w:eastAsia="Arial" w:hAnsi="Arial"/>
          <w:sz w:val="18"/>
          <w:szCs w:val="18"/>
          <w:i w:val="1"/>
          <w:iCs w:val="1"/>
          <w:color w:val="auto"/>
        </w:rPr>
        <w:t>Notifications</w:t>
      </w:r>
      <w:r>
        <w:rPr>
          <w:rFonts w:ascii="Arial" w:cs="Arial" w:eastAsia="Arial" w:hAnsi="Arial"/>
          <w:sz w:val="18"/>
          <w:szCs w:val="18"/>
          <w:color w:val="auto"/>
        </w:rPr>
        <w:t>. We use real-time notifications across all our channels—web, desktop, email, and mobile—to keep users up-to-date on what’s</w:t>
      </w:r>
      <w:r>
        <w:rPr>
          <w:rFonts w:ascii="Arial" w:cs="Arial" w:eastAsia="Arial" w:hAnsi="Arial"/>
          <w:sz w:val="18"/>
          <w:szCs w:val="18"/>
          <w:i w:val="1"/>
          <w:iCs w:val="1"/>
          <w:color w:val="auto"/>
        </w:rPr>
        <w:t xml:space="preserve"> </w:t>
      </w:r>
      <w:r>
        <w:rPr>
          <w:rFonts w:ascii="Arial" w:cs="Arial" w:eastAsia="Arial" w:hAnsi="Arial"/>
          <w:sz w:val="18"/>
          <w:szCs w:val="18"/>
          <w:color w:val="auto"/>
        </w:rPr>
        <w:t>happening with their work. Users can choose to be notified when someone opens, edits, shares, or comments on a file, or adds a file to their shared folders. These notifications keep collaborators in sync without having to open the file or doc.</w:t>
      </w:r>
    </w:p>
    <w:p>
      <w:pPr>
        <w:spacing w:after="0" w:line="184" w:lineRule="exact"/>
        <w:rPr>
          <w:sz w:val="20"/>
          <w:szCs w:val="20"/>
          <w:color w:val="auto"/>
        </w:rPr>
      </w:pPr>
    </w:p>
    <w:p>
      <w:pPr>
        <w:ind w:right="40" w:firstLine="449"/>
        <w:spacing w:after="0" w:line="259" w:lineRule="auto"/>
        <w:rPr>
          <w:sz w:val="20"/>
          <w:szCs w:val="20"/>
          <w:color w:val="auto"/>
        </w:rPr>
      </w:pPr>
      <w:r>
        <w:rPr>
          <w:rFonts w:ascii="Arial" w:cs="Arial" w:eastAsia="Arial" w:hAnsi="Arial"/>
          <w:sz w:val="18"/>
          <w:szCs w:val="18"/>
          <w:i w:val="1"/>
          <w:iCs w:val="1"/>
          <w:color w:val="auto"/>
        </w:rPr>
        <w:t>Viewer information and presence</w:t>
      </w:r>
      <w:r>
        <w:rPr>
          <w:rFonts w:ascii="Arial" w:cs="Arial" w:eastAsia="Arial" w:hAnsi="Arial"/>
          <w:sz w:val="18"/>
          <w:szCs w:val="18"/>
          <w:color w:val="auto"/>
        </w:rPr>
        <w:t>. On both file previews and Paper docs, Dropbox shows users in real-time who’s viewing a doc and when a doc was</w:t>
      </w:r>
      <w:r>
        <w:rPr>
          <w:rFonts w:ascii="Arial" w:cs="Arial" w:eastAsia="Arial" w:hAnsi="Arial"/>
          <w:sz w:val="18"/>
          <w:szCs w:val="18"/>
          <w:i w:val="1"/>
          <w:iCs w:val="1"/>
          <w:color w:val="auto"/>
        </w:rPr>
        <w:t xml:space="preserve"> </w:t>
      </w:r>
      <w:r>
        <w:rPr>
          <w:rFonts w:ascii="Arial" w:cs="Arial" w:eastAsia="Arial" w:hAnsi="Arial"/>
          <w:sz w:val="18"/>
          <w:szCs w:val="18"/>
          <w:color w:val="auto"/>
        </w:rPr>
        <w:t>last viewed by other users. On desktop, Dropbox Badge is a subtle overlay to Microsoft Word, Excel, and PowerPoint that lets users know if someone opens or edits the file they’re working in. The Badge gives users real-time insight into how others are interacting with their content, bringing modern collaboration features often found only in web-based documents to other files.</w:t>
      </w:r>
    </w:p>
    <w:p>
      <w:pPr>
        <w:spacing w:after="0" w:line="295"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Secure</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Administrator controls</w:t>
      </w:r>
      <w:r>
        <w:rPr>
          <w:rFonts w:ascii="Arial" w:cs="Arial" w:eastAsia="Arial" w:hAnsi="Arial"/>
          <w:sz w:val="18"/>
          <w:szCs w:val="18"/>
          <w:color w:val="auto"/>
        </w:rPr>
        <w:t>.</w:t>
      </w:r>
    </w:p>
    <w:p>
      <w:pPr>
        <w:spacing w:after="0" w:line="131" w:lineRule="exact"/>
        <w:rPr>
          <w:sz w:val="20"/>
          <w:szCs w:val="20"/>
          <w:color w:val="auto"/>
        </w:rPr>
      </w:pPr>
    </w:p>
    <w:p>
      <w:pPr>
        <w:ind w:left="880" w:hanging="319"/>
        <w:spacing w:after="0" w:line="277" w:lineRule="auto"/>
        <w:tabs>
          <w:tab w:leader="none" w:pos="880" w:val="left"/>
        </w:tabs>
        <w:numPr>
          <w:ilvl w:val="0"/>
          <w:numId w:val="52"/>
        </w:numPr>
        <w:rPr>
          <w:rFonts w:ascii="Arial" w:cs="Arial" w:eastAsia="Arial" w:hAnsi="Arial"/>
          <w:sz w:val="18"/>
          <w:szCs w:val="18"/>
          <w:color w:val="auto"/>
        </w:rPr>
      </w:pPr>
      <w:r>
        <w:rPr>
          <w:rFonts w:ascii="Arial" w:cs="Arial" w:eastAsia="Arial" w:hAnsi="Arial"/>
          <w:sz w:val="18"/>
          <w:szCs w:val="18"/>
          <w:i w:val="1"/>
          <w:iCs w:val="1"/>
          <w:color w:val="auto"/>
        </w:rPr>
        <w:t>Sharing permissions</w:t>
      </w:r>
      <w:r>
        <w:rPr>
          <w:rFonts w:ascii="Arial" w:cs="Arial" w:eastAsia="Arial" w:hAnsi="Arial"/>
          <w:sz w:val="18"/>
          <w:szCs w:val="18"/>
          <w:color w:val="auto"/>
        </w:rPr>
        <w:t>: Team administrators can set up and monitor how their members share team folders, and can set sharing permissions on all</w:t>
      </w:r>
      <w:r>
        <w:rPr>
          <w:rFonts w:ascii="Arial" w:cs="Arial" w:eastAsia="Arial" w:hAnsi="Arial"/>
          <w:sz w:val="18"/>
          <w:szCs w:val="18"/>
          <w:i w:val="1"/>
          <w:iCs w:val="1"/>
          <w:color w:val="auto"/>
        </w:rPr>
        <w:t xml:space="preserve"> </w:t>
      </w:r>
      <w:r>
        <w:rPr>
          <w:rFonts w:ascii="Arial" w:cs="Arial" w:eastAsia="Arial" w:hAnsi="Arial"/>
          <w:sz w:val="18"/>
          <w:szCs w:val="18"/>
          <w:color w:val="auto"/>
        </w:rPr>
        <w:t>folders, sub-folders, and links through the sharing tab.</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95</w:t>
      </w:r>
    </w:p>
    <w:p>
      <w:pPr>
        <w:sectPr>
          <w:pgSz w:w="11900" w:h="16838" w:orient="portrait"/>
          <w:cols w:equalWidth="0" w:num="1">
            <w:col w:w="11220"/>
          </w:cols>
          <w:pgMar w:left="320" w:top="459" w:right="359" w:bottom="1440" w:gutter="0" w:footer="0" w:header="0"/>
        </w:sectPr>
      </w:pPr>
    </w:p>
    <w:bookmarkStart w:id="98" w:name="page99"/>
    <w:bookmarkEnd w:id="9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880" w:hanging="319"/>
        <w:spacing w:after="0" w:line="277" w:lineRule="auto"/>
        <w:tabs>
          <w:tab w:leader="none" w:pos="880" w:val="left"/>
        </w:tabs>
        <w:numPr>
          <w:ilvl w:val="0"/>
          <w:numId w:val="53"/>
        </w:numPr>
        <w:rPr>
          <w:rFonts w:ascii="Arial" w:cs="Arial" w:eastAsia="Arial" w:hAnsi="Arial"/>
          <w:sz w:val="18"/>
          <w:szCs w:val="18"/>
          <w:color w:val="auto"/>
        </w:rPr>
      </w:pPr>
      <w:r>
        <w:rPr>
          <w:rFonts w:ascii="Arial" w:cs="Arial" w:eastAsia="Arial" w:hAnsi="Arial"/>
          <w:sz w:val="18"/>
          <w:szCs w:val="18"/>
          <w:i w:val="1"/>
          <w:iCs w:val="1"/>
          <w:color w:val="auto"/>
        </w:rPr>
        <w:t>Remote device wipe</w:t>
      </w:r>
      <w:r>
        <w:rPr>
          <w:rFonts w:ascii="Arial" w:cs="Arial" w:eastAsia="Arial" w:hAnsi="Arial"/>
          <w:sz w:val="18"/>
          <w:szCs w:val="18"/>
          <w:color w:val="auto"/>
        </w:rPr>
        <w:t>: Team administrators can delete their organization’s Dropbox content from a member’s linked devices, which is especially</w:t>
      </w:r>
      <w:r>
        <w:rPr>
          <w:rFonts w:ascii="Arial" w:cs="Arial" w:eastAsia="Arial" w:hAnsi="Arial"/>
          <w:sz w:val="18"/>
          <w:szCs w:val="18"/>
          <w:i w:val="1"/>
          <w:iCs w:val="1"/>
          <w:color w:val="auto"/>
        </w:rPr>
        <w:t xml:space="preserve"> </w:t>
      </w:r>
      <w:r>
        <w:rPr>
          <w:rFonts w:ascii="Arial" w:cs="Arial" w:eastAsia="Arial" w:hAnsi="Arial"/>
          <w:sz w:val="18"/>
          <w:szCs w:val="18"/>
          <w:color w:val="auto"/>
        </w:rPr>
        <w:t>useful should someone lose a device or leave the team.</w:t>
      </w:r>
    </w:p>
    <w:p>
      <w:pPr>
        <w:spacing w:after="0" w:line="75" w:lineRule="exact"/>
        <w:rPr>
          <w:rFonts w:ascii="Arial" w:cs="Arial" w:eastAsia="Arial" w:hAnsi="Arial"/>
          <w:sz w:val="18"/>
          <w:szCs w:val="18"/>
          <w:color w:val="auto"/>
        </w:rPr>
      </w:pPr>
    </w:p>
    <w:p>
      <w:pPr>
        <w:ind w:left="880" w:right="60" w:hanging="319"/>
        <w:spacing w:after="0" w:line="263" w:lineRule="auto"/>
        <w:tabs>
          <w:tab w:leader="none" w:pos="880" w:val="left"/>
        </w:tabs>
        <w:numPr>
          <w:ilvl w:val="0"/>
          <w:numId w:val="53"/>
        </w:numPr>
        <w:rPr>
          <w:rFonts w:ascii="Arial" w:cs="Arial" w:eastAsia="Arial" w:hAnsi="Arial"/>
          <w:sz w:val="18"/>
          <w:szCs w:val="18"/>
          <w:color w:val="auto"/>
        </w:rPr>
      </w:pPr>
      <w:r>
        <w:rPr>
          <w:rFonts w:ascii="Arial" w:cs="Arial" w:eastAsia="Arial" w:hAnsi="Arial"/>
          <w:sz w:val="18"/>
          <w:szCs w:val="18"/>
          <w:i w:val="1"/>
          <w:iCs w:val="1"/>
          <w:color w:val="auto"/>
        </w:rPr>
        <w:t>Audit log</w:t>
      </w:r>
      <w:r>
        <w:rPr>
          <w:rFonts w:ascii="Arial" w:cs="Arial" w:eastAsia="Arial" w:hAnsi="Arial"/>
          <w:sz w:val="18"/>
          <w:szCs w:val="18"/>
          <w:color w:val="auto"/>
        </w:rPr>
        <w:t>: Team administrators can monitor which members are sharing files and logging into Dropbox, among other events. They can review</w:t>
      </w:r>
      <w:r>
        <w:rPr>
          <w:rFonts w:ascii="Arial" w:cs="Arial" w:eastAsia="Arial" w:hAnsi="Arial"/>
          <w:sz w:val="18"/>
          <w:szCs w:val="18"/>
          <w:i w:val="1"/>
          <w:iCs w:val="1"/>
          <w:color w:val="auto"/>
        </w:rPr>
        <w:t xml:space="preserve"> </w:t>
      </w:r>
      <w:r>
        <w:rPr>
          <w:rFonts w:ascii="Arial" w:cs="Arial" w:eastAsia="Arial" w:hAnsi="Arial"/>
          <w:sz w:val="18"/>
          <w:szCs w:val="18"/>
          <w:color w:val="auto"/>
        </w:rPr>
        <w:t>activity logs, create full reports for specific time ranges, and pull activity reports on specific members. Advanced and Enterprise team administrators have access to audit logs with file-event tracking.</w:t>
      </w:r>
    </w:p>
    <w:p>
      <w:pPr>
        <w:spacing w:after="0" w:line="89" w:lineRule="exact"/>
        <w:rPr>
          <w:rFonts w:ascii="Arial" w:cs="Arial" w:eastAsia="Arial" w:hAnsi="Arial"/>
          <w:sz w:val="18"/>
          <w:szCs w:val="18"/>
          <w:color w:val="auto"/>
        </w:rPr>
      </w:pPr>
    </w:p>
    <w:p>
      <w:pPr>
        <w:ind w:left="880" w:hanging="319"/>
        <w:spacing w:after="0"/>
        <w:tabs>
          <w:tab w:leader="none" w:pos="880" w:val="left"/>
        </w:tabs>
        <w:numPr>
          <w:ilvl w:val="0"/>
          <w:numId w:val="53"/>
        </w:numPr>
        <w:rPr>
          <w:rFonts w:ascii="Arial" w:cs="Arial" w:eastAsia="Arial" w:hAnsi="Arial"/>
          <w:sz w:val="18"/>
          <w:szCs w:val="18"/>
          <w:color w:val="auto"/>
        </w:rPr>
      </w:pPr>
      <w:r>
        <w:rPr>
          <w:rFonts w:ascii="Arial" w:cs="Arial" w:eastAsia="Arial" w:hAnsi="Arial"/>
          <w:sz w:val="18"/>
          <w:szCs w:val="18"/>
          <w:i w:val="1"/>
          <w:iCs w:val="1"/>
          <w:color w:val="auto"/>
        </w:rPr>
        <w:t>Device approvals</w:t>
      </w:r>
      <w:r>
        <w:rPr>
          <w:rFonts w:ascii="Arial" w:cs="Arial" w:eastAsia="Arial" w:hAnsi="Arial"/>
          <w:sz w:val="18"/>
          <w:szCs w:val="18"/>
          <w:color w:val="auto"/>
        </w:rPr>
        <w:t>: Advanced and Enterprise team administrators can manage how members access Dropbox on their devices.</w:t>
      </w:r>
    </w:p>
    <w:p>
      <w:pPr>
        <w:spacing w:after="0" w:line="130" w:lineRule="exact"/>
        <w:rPr>
          <w:rFonts w:ascii="Arial" w:cs="Arial" w:eastAsia="Arial" w:hAnsi="Arial"/>
          <w:sz w:val="18"/>
          <w:szCs w:val="18"/>
          <w:color w:val="auto"/>
        </w:rPr>
      </w:pPr>
    </w:p>
    <w:p>
      <w:pPr>
        <w:ind w:left="880" w:hanging="319"/>
        <w:spacing w:after="0"/>
        <w:tabs>
          <w:tab w:leader="none" w:pos="880" w:val="left"/>
        </w:tabs>
        <w:numPr>
          <w:ilvl w:val="0"/>
          <w:numId w:val="53"/>
        </w:numPr>
        <w:rPr>
          <w:rFonts w:ascii="Arial" w:cs="Arial" w:eastAsia="Arial" w:hAnsi="Arial"/>
          <w:sz w:val="18"/>
          <w:szCs w:val="18"/>
          <w:color w:val="auto"/>
        </w:rPr>
      </w:pPr>
      <w:r>
        <w:rPr>
          <w:rFonts w:ascii="Arial" w:cs="Arial" w:eastAsia="Arial" w:hAnsi="Arial"/>
          <w:sz w:val="18"/>
          <w:szCs w:val="18"/>
          <w:i w:val="1"/>
          <w:iCs w:val="1"/>
          <w:color w:val="auto"/>
        </w:rPr>
        <w:t>Sign in as user</w:t>
      </w:r>
      <w:r>
        <w:rPr>
          <w:rFonts w:ascii="Arial" w:cs="Arial" w:eastAsia="Arial" w:hAnsi="Arial"/>
          <w:sz w:val="18"/>
          <w:szCs w:val="18"/>
          <w:color w:val="auto"/>
        </w:rPr>
        <w:t>: Advanced and Enterprise team administrators can sign into the Dropbox accounts of members of their teams.</w:t>
      </w:r>
    </w:p>
    <w:p>
      <w:pPr>
        <w:spacing w:after="0" w:line="130" w:lineRule="exact"/>
        <w:rPr>
          <w:rFonts w:ascii="Arial" w:cs="Arial" w:eastAsia="Arial" w:hAnsi="Arial"/>
          <w:sz w:val="18"/>
          <w:szCs w:val="18"/>
          <w:color w:val="auto"/>
        </w:rPr>
      </w:pPr>
    </w:p>
    <w:p>
      <w:pPr>
        <w:ind w:left="880" w:right="380" w:hanging="319"/>
        <w:spacing w:after="0" w:line="277" w:lineRule="auto"/>
        <w:tabs>
          <w:tab w:leader="none" w:pos="880" w:val="left"/>
        </w:tabs>
        <w:numPr>
          <w:ilvl w:val="0"/>
          <w:numId w:val="53"/>
        </w:numPr>
        <w:rPr>
          <w:rFonts w:ascii="Arial" w:cs="Arial" w:eastAsia="Arial" w:hAnsi="Arial"/>
          <w:sz w:val="18"/>
          <w:szCs w:val="18"/>
          <w:color w:val="auto"/>
        </w:rPr>
      </w:pPr>
      <w:r>
        <w:rPr>
          <w:rFonts w:ascii="Arial" w:cs="Arial" w:eastAsia="Arial" w:hAnsi="Arial"/>
          <w:sz w:val="18"/>
          <w:szCs w:val="18"/>
          <w:i w:val="1"/>
          <w:iCs w:val="1"/>
          <w:color w:val="auto"/>
        </w:rPr>
        <w:t>Tiered administrator roles</w:t>
      </w:r>
      <w:r>
        <w:rPr>
          <w:rFonts w:ascii="Arial" w:cs="Arial" w:eastAsia="Arial" w:hAnsi="Arial"/>
          <w:sz w:val="18"/>
          <w:szCs w:val="18"/>
          <w:color w:val="auto"/>
        </w:rPr>
        <w:t>: Advanced and Enterprise teams have the ability to set multiple administrator roles, each with a different set of</w:t>
      </w:r>
      <w:r>
        <w:rPr>
          <w:rFonts w:ascii="Arial" w:cs="Arial" w:eastAsia="Arial" w:hAnsi="Arial"/>
          <w:sz w:val="18"/>
          <w:szCs w:val="18"/>
          <w:i w:val="1"/>
          <w:iCs w:val="1"/>
          <w:color w:val="auto"/>
        </w:rPr>
        <w:t xml:space="preserve"> </w:t>
      </w:r>
      <w:r>
        <w:rPr>
          <w:rFonts w:ascii="Arial" w:cs="Arial" w:eastAsia="Arial" w:hAnsi="Arial"/>
          <w:sz w:val="18"/>
          <w:szCs w:val="18"/>
          <w:color w:val="auto"/>
        </w:rPr>
        <w:t>permissions.</w:t>
      </w:r>
    </w:p>
    <w:p>
      <w:pPr>
        <w:spacing w:after="0" w:line="75" w:lineRule="exact"/>
        <w:rPr>
          <w:rFonts w:ascii="Arial" w:cs="Arial" w:eastAsia="Arial" w:hAnsi="Arial"/>
          <w:sz w:val="18"/>
          <w:szCs w:val="18"/>
          <w:color w:val="auto"/>
        </w:rPr>
      </w:pPr>
    </w:p>
    <w:p>
      <w:pPr>
        <w:ind w:left="880" w:hanging="319"/>
        <w:spacing w:after="0"/>
        <w:tabs>
          <w:tab w:leader="none" w:pos="880" w:val="left"/>
        </w:tabs>
        <w:numPr>
          <w:ilvl w:val="0"/>
          <w:numId w:val="53"/>
        </w:numPr>
        <w:rPr>
          <w:rFonts w:ascii="Arial" w:cs="Arial" w:eastAsia="Arial" w:hAnsi="Arial"/>
          <w:sz w:val="18"/>
          <w:szCs w:val="18"/>
          <w:color w:val="auto"/>
        </w:rPr>
      </w:pPr>
      <w:r>
        <w:rPr>
          <w:rFonts w:ascii="Arial" w:cs="Arial" w:eastAsia="Arial" w:hAnsi="Arial"/>
          <w:sz w:val="18"/>
          <w:szCs w:val="18"/>
          <w:i w:val="1"/>
          <w:iCs w:val="1"/>
          <w:color w:val="auto"/>
        </w:rPr>
        <w:t>Network control</w:t>
      </w:r>
      <w:r>
        <w:rPr>
          <w:rFonts w:ascii="Arial" w:cs="Arial" w:eastAsia="Arial" w:hAnsi="Arial"/>
          <w:sz w:val="18"/>
          <w:szCs w:val="18"/>
          <w:color w:val="auto"/>
        </w:rPr>
        <w:t>: Enterprise team administrators can restrict personal Dropbox usage on their organization’s network.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982345</wp:posOffset>
            </wp:positionH>
            <wp:positionV relativeFrom="paragraph">
              <wp:posOffset>14605</wp:posOffset>
            </wp:positionV>
            <wp:extent cx="5186045" cy="276860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5186045" cy="27686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ind w:right="120" w:firstLine="449"/>
        <w:spacing w:after="0" w:line="342" w:lineRule="auto"/>
        <w:rPr>
          <w:sz w:val="20"/>
          <w:szCs w:val="20"/>
          <w:color w:val="auto"/>
        </w:rPr>
      </w:pPr>
      <w:r>
        <w:rPr>
          <w:rFonts w:ascii="Arial" w:cs="Arial" w:eastAsia="Arial" w:hAnsi="Arial"/>
          <w:sz w:val="16"/>
          <w:szCs w:val="16"/>
          <w:i w:val="1"/>
          <w:iCs w:val="1"/>
          <w:color w:val="auto"/>
        </w:rPr>
        <w:t>File recovery</w:t>
      </w:r>
      <w:r>
        <w:rPr>
          <w:rFonts w:ascii="Arial" w:cs="Arial" w:eastAsia="Arial" w:hAnsi="Arial"/>
          <w:sz w:val="16"/>
          <w:szCs w:val="16"/>
          <w:color w:val="auto"/>
        </w:rPr>
        <w:t>. Every deletion event in Dropbox is recorded, including when groups of files are deleted. Users can easily recover files through our</w:t>
      </w:r>
      <w:r>
        <w:rPr>
          <w:rFonts w:ascii="Arial" w:cs="Arial" w:eastAsia="Arial" w:hAnsi="Arial"/>
          <w:sz w:val="16"/>
          <w:szCs w:val="16"/>
          <w:i w:val="1"/>
          <w:iCs w:val="1"/>
          <w:color w:val="auto"/>
        </w:rPr>
        <w:t xml:space="preserve"> </w:t>
      </w:r>
      <w:r>
        <w:rPr>
          <w:rFonts w:ascii="Arial" w:cs="Arial" w:eastAsia="Arial" w:hAnsi="Arial"/>
          <w:sz w:val="16"/>
          <w:szCs w:val="16"/>
          <w:color w:val="auto"/>
        </w:rPr>
        <w:t>web interface. We keep version history for 30 days for Plus subscribers and 120 days for Dropbox Professional subscribers and Dropbox Business teams.</w:t>
      </w:r>
    </w:p>
    <w:p>
      <w:pPr>
        <w:spacing w:after="0" w:line="124" w:lineRule="exact"/>
        <w:rPr>
          <w:sz w:val="20"/>
          <w:szCs w:val="20"/>
          <w:color w:val="auto"/>
        </w:rPr>
      </w:pPr>
    </w:p>
    <w:p>
      <w:pPr>
        <w:ind w:right="40" w:firstLine="449"/>
        <w:spacing w:after="0" w:line="263" w:lineRule="auto"/>
        <w:rPr>
          <w:sz w:val="20"/>
          <w:szCs w:val="20"/>
          <w:color w:val="auto"/>
        </w:rPr>
      </w:pPr>
      <w:r>
        <w:rPr>
          <w:rFonts w:ascii="Arial" w:cs="Arial" w:eastAsia="Arial" w:hAnsi="Arial"/>
          <w:sz w:val="18"/>
          <w:szCs w:val="18"/>
          <w:i w:val="1"/>
          <w:iCs w:val="1"/>
          <w:color w:val="auto"/>
        </w:rPr>
        <w:t>Encryption</w:t>
      </w:r>
      <w:r>
        <w:rPr>
          <w:rFonts w:ascii="Arial" w:cs="Arial" w:eastAsia="Arial" w:hAnsi="Arial"/>
          <w:sz w:val="18"/>
          <w:szCs w:val="18"/>
          <w:color w:val="auto"/>
        </w:rPr>
        <w:t>. Dropbox file data at rest is encrypted using 256-bit Advanced Encryption Standard, or AES. To protect data in transit between Dropbox</w:t>
      </w:r>
      <w:r>
        <w:rPr>
          <w:rFonts w:ascii="Arial" w:cs="Arial" w:eastAsia="Arial" w:hAnsi="Arial"/>
          <w:sz w:val="18"/>
          <w:szCs w:val="18"/>
          <w:i w:val="1"/>
          <w:iCs w:val="1"/>
          <w:color w:val="auto"/>
        </w:rPr>
        <w:t xml:space="preserve"> </w:t>
      </w:r>
      <w:r>
        <w:rPr>
          <w:rFonts w:ascii="Arial" w:cs="Arial" w:eastAsia="Arial" w:hAnsi="Arial"/>
          <w:sz w:val="18"/>
          <w:szCs w:val="18"/>
          <w:color w:val="auto"/>
        </w:rPr>
        <w:t>apps such as desktop, mobile, API, or web and our servers, Dropbox uses Secure Sockets Layer, or SSL, and Transport Layer Security, or TLS, for data transfer, creating a secure tunnel protected by 128-bit or higher AES encryption.</w:t>
      </w:r>
    </w:p>
    <w:p>
      <w:pPr>
        <w:spacing w:after="0" w:line="184" w:lineRule="exact"/>
        <w:rPr>
          <w:sz w:val="20"/>
          <w:szCs w:val="20"/>
          <w:color w:val="auto"/>
        </w:rPr>
      </w:pPr>
    </w:p>
    <w:p>
      <w:pPr>
        <w:ind w:right="420" w:firstLine="449"/>
        <w:spacing w:after="0" w:line="277" w:lineRule="auto"/>
        <w:rPr>
          <w:sz w:val="20"/>
          <w:szCs w:val="20"/>
          <w:color w:val="auto"/>
        </w:rPr>
      </w:pPr>
      <w:r>
        <w:rPr>
          <w:rFonts w:ascii="Arial" w:cs="Arial" w:eastAsia="Arial" w:hAnsi="Arial"/>
          <w:sz w:val="18"/>
          <w:szCs w:val="18"/>
          <w:i w:val="1"/>
          <w:iCs w:val="1"/>
          <w:color w:val="auto"/>
        </w:rPr>
        <w:t>Third-party security integrations</w:t>
      </w:r>
      <w:r>
        <w:rPr>
          <w:rFonts w:ascii="Arial" w:cs="Arial" w:eastAsia="Arial" w:hAnsi="Arial"/>
          <w:sz w:val="18"/>
          <w:szCs w:val="18"/>
          <w:color w:val="auto"/>
        </w:rPr>
        <w:t>. We’ve partnered with industry-leading solution providers to support a wide range of IT processes and satisfy</w:t>
      </w:r>
      <w:r>
        <w:rPr>
          <w:rFonts w:ascii="Arial" w:cs="Arial" w:eastAsia="Arial" w:hAnsi="Arial"/>
          <w:sz w:val="18"/>
          <w:szCs w:val="18"/>
          <w:i w:val="1"/>
          <w:iCs w:val="1"/>
          <w:color w:val="auto"/>
        </w:rPr>
        <w:t xml:space="preserve"> </w:t>
      </w:r>
      <w:r>
        <w:rPr>
          <w:rFonts w:ascii="Arial" w:cs="Arial" w:eastAsia="Arial" w:hAnsi="Arial"/>
          <w:sz w:val="18"/>
          <w:szCs w:val="18"/>
          <w:color w:val="auto"/>
        </w:rPr>
        <w:t>industry compliance standards, including:</w:t>
      </w:r>
    </w:p>
    <w:p>
      <w:pPr>
        <w:spacing w:after="0" w:line="76" w:lineRule="exact"/>
        <w:rPr>
          <w:sz w:val="20"/>
          <w:szCs w:val="20"/>
          <w:color w:val="auto"/>
        </w:rPr>
      </w:pPr>
    </w:p>
    <w:p>
      <w:pPr>
        <w:ind w:left="880" w:right="160" w:hanging="319"/>
        <w:spacing w:after="0" w:line="277" w:lineRule="auto"/>
        <w:tabs>
          <w:tab w:leader="none" w:pos="880" w:val="left"/>
        </w:tabs>
        <w:numPr>
          <w:ilvl w:val="0"/>
          <w:numId w:val="54"/>
        </w:numPr>
        <w:rPr>
          <w:rFonts w:ascii="Arial" w:cs="Arial" w:eastAsia="Arial" w:hAnsi="Arial"/>
          <w:sz w:val="18"/>
          <w:szCs w:val="18"/>
          <w:color w:val="auto"/>
        </w:rPr>
      </w:pPr>
      <w:r>
        <w:rPr>
          <w:rFonts w:ascii="Arial" w:cs="Arial" w:eastAsia="Arial" w:hAnsi="Arial"/>
          <w:sz w:val="18"/>
          <w:szCs w:val="18"/>
          <w:i w:val="1"/>
          <w:iCs w:val="1"/>
          <w:color w:val="auto"/>
        </w:rPr>
        <w:t>Security information and event management</w:t>
      </w:r>
      <w:r>
        <w:rPr>
          <w:rFonts w:ascii="Arial" w:cs="Arial" w:eastAsia="Arial" w:hAnsi="Arial"/>
          <w:sz w:val="18"/>
          <w:szCs w:val="18"/>
          <w:color w:val="auto"/>
        </w:rPr>
        <w:t>: Allows Dropbox Business administrators to oversee and manage employee activity, and access</w:t>
      </w:r>
      <w:r>
        <w:rPr>
          <w:rFonts w:ascii="Arial" w:cs="Arial" w:eastAsia="Arial" w:hAnsi="Arial"/>
          <w:sz w:val="18"/>
          <w:szCs w:val="18"/>
          <w:i w:val="1"/>
          <w:iCs w:val="1"/>
          <w:color w:val="auto"/>
        </w:rPr>
        <w:t xml:space="preserve"> </w:t>
      </w:r>
      <w:r>
        <w:rPr>
          <w:rFonts w:ascii="Arial" w:cs="Arial" w:eastAsia="Arial" w:hAnsi="Arial"/>
          <w:sz w:val="18"/>
          <w:szCs w:val="18"/>
          <w:color w:val="auto"/>
        </w:rPr>
        <w:t>sensitive data through the administrator page.</w:t>
      </w:r>
    </w:p>
    <w:p>
      <w:pPr>
        <w:spacing w:after="0" w:line="103"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96</w:t>
      </w:r>
    </w:p>
    <w:p>
      <w:pPr>
        <w:sectPr>
          <w:pgSz w:w="11900" w:h="16838" w:orient="portrait"/>
          <w:cols w:equalWidth="0" w:num="1">
            <w:col w:w="11160"/>
          </w:cols>
          <w:pgMar w:left="320" w:top="459" w:right="419" w:bottom="1440" w:gutter="0" w:footer="0" w:header="0"/>
        </w:sectPr>
      </w:pPr>
    </w:p>
    <w:bookmarkStart w:id="99" w:name="page100"/>
    <w:bookmarkEnd w:id="9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880" w:right="560" w:hanging="319"/>
        <w:spacing w:after="0" w:line="277" w:lineRule="auto"/>
        <w:tabs>
          <w:tab w:leader="none" w:pos="880" w:val="left"/>
        </w:tabs>
        <w:numPr>
          <w:ilvl w:val="0"/>
          <w:numId w:val="55"/>
        </w:numPr>
        <w:rPr>
          <w:rFonts w:ascii="Arial" w:cs="Arial" w:eastAsia="Arial" w:hAnsi="Arial"/>
          <w:sz w:val="18"/>
          <w:szCs w:val="18"/>
          <w:color w:val="auto"/>
        </w:rPr>
      </w:pPr>
      <w:r>
        <w:rPr>
          <w:rFonts w:ascii="Arial" w:cs="Arial" w:eastAsia="Arial" w:hAnsi="Arial"/>
          <w:sz w:val="18"/>
          <w:szCs w:val="18"/>
          <w:i w:val="1"/>
          <w:iCs w:val="1"/>
          <w:color w:val="auto"/>
        </w:rPr>
        <w:t>Data loss prevention</w:t>
      </w:r>
      <w:r>
        <w:rPr>
          <w:rFonts w:ascii="Arial" w:cs="Arial" w:eastAsia="Arial" w:hAnsi="Arial"/>
          <w:sz w:val="18"/>
          <w:szCs w:val="18"/>
          <w:color w:val="auto"/>
        </w:rPr>
        <w:t>: Protects sensitive data like personally identifiable information and payment card industry data stored in Dropbox</w:t>
      </w:r>
      <w:r>
        <w:rPr>
          <w:rFonts w:ascii="Arial" w:cs="Arial" w:eastAsia="Arial" w:hAnsi="Arial"/>
          <w:sz w:val="18"/>
          <w:szCs w:val="18"/>
          <w:i w:val="1"/>
          <w:iCs w:val="1"/>
          <w:color w:val="auto"/>
        </w:rPr>
        <w:t xml:space="preserve"> </w:t>
      </w:r>
      <w:r>
        <w:rPr>
          <w:rFonts w:ascii="Arial" w:cs="Arial" w:eastAsia="Arial" w:hAnsi="Arial"/>
          <w:sz w:val="18"/>
          <w:szCs w:val="18"/>
          <w:color w:val="auto"/>
        </w:rPr>
        <w:t>Business accounts.</w:t>
      </w:r>
    </w:p>
    <w:p>
      <w:pPr>
        <w:spacing w:after="0" w:line="75" w:lineRule="exact"/>
        <w:rPr>
          <w:rFonts w:ascii="Arial" w:cs="Arial" w:eastAsia="Arial" w:hAnsi="Arial"/>
          <w:sz w:val="18"/>
          <w:szCs w:val="18"/>
          <w:color w:val="auto"/>
        </w:rPr>
      </w:pPr>
    </w:p>
    <w:p>
      <w:pPr>
        <w:ind w:left="880" w:hanging="319"/>
        <w:spacing w:after="0" w:line="277" w:lineRule="auto"/>
        <w:tabs>
          <w:tab w:leader="none" w:pos="880" w:val="left"/>
        </w:tabs>
        <w:numPr>
          <w:ilvl w:val="0"/>
          <w:numId w:val="55"/>
        </w:numPr>
        <w:rPr>
          <w:rFonts w:ascii="Arial" w:cs="Arial" w:eastAsia="Arial" w:hAnsi="Arial"/>
          <w:sz w:val="18"/>
          <w:szCs w:val="18"/>
          <w:color w:val="auto"/>
        </w:rPr>
      </w:pPr>
      <w:r>
        <w:rPr>
          <w:rFonts w:ascii="Arial" w:cs="Arial" w:eastAsia="Arial" w:hAnsi="Arial"/>
          <w:sz w:val="18"/>
          <w:szCs w:val="18"/>
          <w:i w:val="1"/>
          <w:iCs w:val="1"/>
          <w:color w:val="auto"/>
        </w:rPr>
        <w:t>eDiscovery and legal hold</w:t>
      </w:r>
      <w:r>
        <w:rPr>
          <w:rFonts w:ascii="Arial" w:cs="Arial" w:eastAsia="Arial" w:hAnsi="Arial"/>
          <w:sz w:val="18"/>
          <w:szCs w:val="18"/>
          <w:color w:val="auto"/>
        </w:rPr>
        <w:t>: Enables secure search and the ability to collect and preserve electronically stored information in Dropbox Business</w:t>
      </w:r>
      <w:r>
        <w:rPr>
          <w:rFonts w:ascii="Arial" w:cs="Arial" w:eastAsia="Arial" w:hAnsi="Arial"/>
          <w:sz w:val="18"/>
          <w:szCs w:val="18"/>
          <w:i w:val="1"/>
          <w:iCs w:val="1"/>
          <w:color w:val="auto"/>
        </w:rPr>
        <w:t xml:space="preserve"> </w:t>
      </w:r>
      <w:r>
        <w:rPr>
          <w:rFonts w:ascii="Arial" w:cs="Arial" w:eastAsia="Arial" w:hAnsi="Arial"/>
          <w:sz w:val="18"/>
          <w:szCs w:val="18"/>
          <w:color w:val="auto"/>
        </w:rPr>
        <w:t>accounts.</w:t>
      </w:r>
    </w:p>
    <w:p>
      <w:pPr>
        <w:spacing w:after="0" w:line="75" w:lineRule="exact"/>
        <w:rPr>
          <w:rFonts w:ascii="Arial" w:cs="Arial" w:eastAsia="Arial" w:hAnsi="Arial"/>
          <w:sz w:val="18"/>
          <w:szCs w:val="18"/>
          <w:color w:val="auto"/>
        </w:rPr>
      </w:pPr>
    </w:p>
    <w:p>
      <w:pPr>
        <w:ind w:left="880" w:hanging="319"/>
        <w:spacing w:after="0"/>
        <w:tabs>
          <w:tab w:leader="none" w:pos="880" w:val="left"/>
        </w:tabs>
        <w:numPr>
          <w:ilvl w:val="0"/>
          <w:numId w:val="55"/>
        </w:numPr>
        <w:rPr>
          <w:rFonts w:ascii="Arial" w:cs="Arial" w:eastAsia="Arial" w:hAnsi="Arial"/>
          <w:sz w:val="18"/>
          <w:szCs w:val="18"/>
          <w:color w:val="auto"/>
        </w:rPr>
      </w:pPr>
      <w:r>
        <w:rPr>
          <w:rFonts w:ascii="Arial" w:cs="Arial" w:eastAsia="Arial" w:hAnsi="Arial"/>
          <w:sz w:val="18"/>
          <w:szCs w:val="18"/>
          <w:i w:val="1"/>
          <w:iCs w:val="1"/>
          <w:color w:val="auto"/>
        </w:rPr>
        <w:t>Digital rights management</w:t>
      </w:r>
      <w:r>
        <w:rPr>
          <w:rFonts w:ascii="Arial" w:cs="Arial" w:eastAsia="Arial" w:hAnsi="Arial"/>
          <w:sz w:val="18"/>
          <w:szCs w:val="18"/>
          <w:color w:val="auto"/>
        </w:rPr>
        <w:t>: Provides third-party encryption for company data stored in Dropbox Business accounts.</w:t>
      </w:r>
    </w:p>
    <w:p>
      <w:pPr>
        <w:spacing w:after="0" w:line="130" w:lineRule="exact"/>
        <w:rPr>
          <w:rFonts w:ascii="Arial" w:cs="Arial" w:eastAsia="Arial" w:hAnsi="Arial"/>
          <w:sz w:val="18"/>
          <w:szCs w:val="18"/>
          <w:color w:val="auto"/>
        </w:rPr>
      </w:pPr>
    </w:p>
    <w:p>
      <w:pPr>
        <w:ind w:left="880" w:right="220" w:hanging="319"/>
        <w:spacing w:after="0" w:line="277" w:lineRule="auto"/>
        <w:tabs>
          <w:tab w:leader="none" w:pos="880" w:val="left"/>
        </w:tabs>
        <w:numPr>
          <w:ilvl w:val="0"/>
          <w:numId w:val="55"/>
        </w:numPr>
        <w:rPr>
          <w:rFonts w:ascii="Arial" w:cs="Arial" w:eastAsia="Arial" w:hAnsi="Arial"/>
          <w:sz w:val="18"/>
          <w:szCs w:val="18"/>
          <w:color w:val="auto"/>
        </w:rPr>
      </w:pPr>
      <w:r>
        <w:rPr>
          <w:rFonts w:ascii="Arial" w:cs="Arial" w:eastAsia="Arial" w:hAnsi="Arial"/>
          <w:sz w:val="18"/>
          <w:szCs w:val="18"/>
          <w:i w:val="1"/>
          <w:iCs w:val="1"/>
          <w:color w:val="auto"/>
        </w:rPr>
        <w:t>Data migration and on-premises backup</w:t>
      </w:r>
      <w:r>
        <w:rPr>
          <w:rFonts w:ascii="Arial" w:cs="Arial" w:eastAsia="Arial" w:hAnsi="Arial"/>
          <w:sz w:val="18"/>
          <w:szCs w:val="18"/>
          <w:color w:val="auto"/>
        </w:rPr>
        <w:t>: Assists in transferring large amounts of data between locations and securing sensitive information</w:t>
      </w:r>
      <w:r>
        <w:rPr>
          <w:rFonts w:ascii="Arial" w:cs="Arial" w:eastAsia="Arial" w:hAnsi="Arial"/>
          <w:sz w:val="18"/>
          <w:szCs w:val="18"/>
          <w:i w:val="1"/>
          <w:iCs w:val="1"/>
          <w:color w:val="auto"/>
        </w:rPr>
        <w:t xml:space="preserve"> </w:t>
      </w:r>
      <w:r>
        <w:rPr>
          <w:rFonts w:ascii="Arial" w:cs="Arial" w:eastAsia="Arial" w:hAnsi="Arial"/>
          <w:sz w:val="18"/>
          <w:szCs w:val="18"/>
          <w:color w:val="auto"/>
        </w:rPr>
        <w:t>with on-site data backup.</w:t>
      </w:r>
    </w:p>
    <w:p>
      <w:pPr>
        <w:spacing w:after="0" w:line="75" w:lineRule="exact"/>
        <w:rPr>
          <w:rFonts w:ascii="Arial" w:cs="Arial" w:eastAsia="Arial" w:hAnsi="Arial"/>
          <w:sz w:val="18"/>
          <w:szCs w:val="18"/>
          <w:color w:val="auto"/>
        </w:rPr>
      </w:pPr>
    </w:p>
    <w:p>
      <w:pPr>
        <w:ind w:left="880" w:right="320" w:hanging="319"/>
        <w:spacing w:after="0" w:line="277" w:lineRule="auto"/>
        <w:tabs>
          <w:tab w:leader="none" w:pos="880" w:val="left"/>
        </w:tabs>
        <w:numPr>
          <w:ilvl w:val="0"/>
          <w:numId w:val="55"/>
        </w:numPr>
        <w:rPr>
          <w:rFonts w:ascii="Arial" w:cs="Arial" w:eastAsia="Arial" w:hAnsi="Arial"/>
          <w:sz w:val="18"/>
          <w:szCs w:val="18"/>
          <w:color w:val="auto"/>
        </w:rPr>
      </w:pPr>
      <w:r>
        <w:rPr>
          <w:rFonts w:ascii="Arial" w:cs="Arial" w:eastAsia="Arial" w:hAnsi="Arial"/>
          <w:sz w:val="18"/>
          <w:szCs w:val="18"/>
          <w:i w:val="1"/>
          <w:iCs w:val="1"/>
          <w:color w:val="auto"/>
        </w:rPr>
        <w:t>Identity management</w:t>
      </w:r>
      <w:r>
        <w:rPr>
          <w:rFonts w:ascii="Arial" w:cs="Arial" w:eastAsia="Arial" w:hAnsi="Arial"/>
          <w:sz w:val="18"/>
          <w:szCs w:val="18"/>
          <w:color w:val="auto"/>
        </w:rPr>
        <w:t>: Allows companies to keep their Dropbox Business team authenticated with an external identity provider like Active</w:t>
      </w:r>
      <w:r>
        <w:rPr>
          <w:rFonts w:ascii="Arial" w:cs="Arial" w:eastAsia="Arial" w:hAnsi="Arial"/>
          <w:sz w:val="18"/>
          <w:szCs w:val="18"/>
          <w:i w:val="1"/>
          <w:iCs w:val="1"/>
          <w:color w:val="auto"/>
        </w:rPr>
        <w:t xml:space="preserve"> </w:t>
      </w:r>
      <w:r>
        <w:rPr>
          <w:rFonts w:ascii="Arial" w:cs="Arial" w:eastAsia="Arial" w:hAnsi="Arial"/>
          <w:sz w:val="18"/>
          <w:szCs w:val="18"/>
          <w:color w:val="auto"/>
        </w:rPr>
        <w:t>Directory.</w:t>
      </w:r>
    </w:p>
    <w:p>
      <w:pPr>
        <w:spacing w:after="0" w:line="103"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97</w:t>
      </w:r>
    </w:p>
    <w:p>
      <w:pPr>
        <w:sectPr>
          <w:pgSz w:w="11900" w:h="16838" w:orient="portrait"/>
          <w:cols w:equalWidth="0" w:num="1">
            <w:col w:w="11160"/>
          </w:cols>
          <w:pgMar w:left="320" w:top="459" w:right="419" w:bottom="1440" w:gutter="0" w:footer="0" w:header="0"/>
        </w:sectPr>
      </w:pPr>
    </w:p>
    <w:bookmarkStart w:id="100" w:name="page101"/>
    <w:bookmarkEnd w:id="10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Subscription Plans</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6"/>
          <w:szCs w:val="16"/>
          <w:color w:val="auto"/>
        </w:rPr>
        <w:t>We offer subscription plans to serve the varying needs of our diverse customer base, which includes individuals, teams, and organizations of all sizes.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982345</wp:posOffset>
            </wp:positionH>
            <wp:positionV relativeFrom="paragraph">
              <wp:posOffset>183515</wp:posOffset>
            </wp:positionV>
            <wp:extent cx="5186045" cy="602615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5186045" cy="60261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98</w:t>
      </w:r>
    </w:p>
    <w:p>
      <w:pPr>
        <w:sectPr>
          <w:pgSz w:w="11900" w:h="16838" w:orient="portrait"/>
          <w:cols w:equalWidth="0" w:num="1">
            <w:col w:w="11220"/>
          </w:cols>
          <w:pgMar w:left="320" w:top="459" w:right="359" w:bottom="1440" w:gutter="0" w:footer="0" w:header="0"/>
        </w:sectPr>
      </w:pPr>
    </w:p>
    <w:bookmarkStart w:id="101" w:name="page102"/>
    <w:bookmarkEnd w:id="10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Customers</w:t>
      </w:r>
    </w:p>
    <w:p>
      <w:pPr>
        <w:spacing w:after="0" w:line="121" w:lineRule="exact"/>
        <w:rPr>
          <w:sz w:val="20"/>
          <w:szCs w:val="20"/>
          <w:color w:val="auto"/>
        </w:rPr>
      </w:pPr>
    </w:p>
    <w:p>
      <w:pPr>
        <w:ind w:firstLine="449"/>
        <w:spacing w:after="0" w:line="291" w:lineRule="auto"/>
        <w:rPr>
          <w:sz w:val="20"/>
          <w:szCs w:val="20"/>
          <w:color w:val="auto"/>
        </w:rPr>
      </w:pPr>
      <w:r>
        <w:rPr>
          <w:rFonts w:ascii="Arial" w:cs="Arial" w:eastAsia="Arial" w:hAnsi="Arial"/>
          <w:sz w:val="16"/>
          <w:szCs w:val="16"/>
          <w:color w:val="auto"/>
        </w:rPr>
        <w:t>We’ve built a thriving global business with more than 10 million paying users. Of these subscribers, approximately 30% use Dropbox for work on a Dropbox Business team plan, and we estimate that an additional 50% use Dropbox for work on an individual plan, collectively totaling approximately 80% of paying subscribers. As of September 30, 2017, we had more than 290,000 paying Dropbox Business teams. Our customer base is highly diversified, and in 2015, 2016, and the first nine months of 2017, no customer accounted for more than 1% of our revenue. Our customers include individuals, teams, and organizations of all sizes, from freelancers and small businesses to Fortune 100 companies. They work across a wide range of industries, including professional services, technology, media, education, industrials, consumer and retail, and financial services. Within companies, our platform is used by all types of teams and functions, including sales, marketing, product, design, engineering, finance, legal, and human resources.</w:t>
      </w:r>
    </w:p>
    <w:p>
      <w:pPr>
        <w:spacing w:after="0" w:line="274"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How we support our customers</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All of our users can access support through the following resources:</w:t>
      </w:r>
    </w:p>
    <w:p>
      <w:pPr>
        <w:spacing w:after="0" w:line="131" w:lineRule="exact"/>
        <w:rPr>
          <w:sz w:val="20"/>
          <w:szCs w:val="20"/>
          <w:color w:val="auto"/>
        </w:rPr>
      </w:pPr>
    </w:p>
    <w:p>
      <w:pPr>
        <w:ind w:left="880" w:right="600" w:hanging="319"/>
        <w:spacing w:after="0" w:line="277" w:lineRule="auto"/>
        <w:tabs>
          <w:tab w:leader="none" w:pos="880" w:val="left"/>
        </w:tabs>
        <w:numPr>
          <w:ilvl w:val="0"/>
          <w:numId w:val="56"/>
        </w:numPr>
        <w:rPr>
          <w:rFonts w:ascii="Arial" w:cs="Arial" w:eastAsia="Arial" w:hAnsi="Arial"/>
          <w:sz w:val="18"/>
          <w:szCs w:val="18"/>
          <w:color w:val="auto"/>
        </w:rPr>
      </w:pPr>
      <w:r>
        <w:rPr>
          <w:rFonts w:ascii="Arial" w:cs="Arial" w:eastAsia="Arial" w:hAnsi="Arial"/>
          <w:sz w:val="18"/>
          <w:szCs w:val="18"/>
          <w:i w:val="1"/>
          <w:iCs w:val="1"/>
          <w:color w:val="auto"/>
        </w:rPr>
        <w:t>Help center</w:t>
      </w:r>
      <w:r>
        <w:rPr>
          <w:rFonts w:ascii="Arial" w:cs="Arial" w:eastAsia="Arial" w:hAnsi="Arial"/>
          <w:sz w:val="18"/>
          <w:szCs w:val="18"/>
          <w:color w:val="auto"/>
        </w:rPr>
        <w:t>: Provides an online repository of helpful information about our platform, responses to frequently asked questions, and best</w:t>
      </w:r>
      <w:r>
        <w:rPr>
          <w:rFonts w:ascii="Arial" w:cs="Arial" w:eastAsia="Arial" w:hAnsi="Arial"/>
          <w:sz w:val="18"/>
          <w:szCs w:val="18"/>
          <w:i w:val="1"/>
          <w:iCs w:val="1"/>
          <w:color w:val="auto"/>
        </w:rPr>
        <w:t xml:space="preserve"> </w:t>
      </w:r>
      <w:r>
        <w:rPr>
          <w:rFonts w:ascii="Arial" w:cs="Arial" w:eastAsia="Arial" w:hAnsi="Arial"/>
          <w:sz w:val="18"/>
          <w:szCs w:val="18"/>
          <w:color w:val="auto"/>
        </w:rPr>
        <w:t>practices for use.</w:t>
      </w:r>
    </w:p>
    <w:p>
      <w:pPr>
        <w:spacing w:after="0" w:line="75" w:lineRule="exact"/>
        <w:rPr>
          <w:rFonts w:ascii="Arial" w:cs="Arial" w:eastAsia="Arial" w:hAnsi="Arial"/>
          <w:sz w:val="18"/>
          <w:szCs w:val="18"/>
          <w:color w:val="auto"/>
        </w:rPr>
      </w:pPr>
    </w:p>
    <w:p>
      <w:pPr>
        <w:ind w:left="880" w:hanging="319"/>
        <w:spacing w:after="0"/>
        <w:tabs>
          <w:tab w:leader="none" w:pos="880" w:val="left"/>
        </w:tabs>
        <w:numPr>
          <w:ilvl w:val="0"/>
          <w:numId w:val="56"/>
        </w:numPr>
        <w:rPr>
          <w:rFonts w:ascii="Arial" w:cs="Arial" w:eastAsia="Arial" w:hAnsi="Arial"/>
          <w:sz w:val="17"/>
          <w:szCs w:val="17"/>
          <w:color w:val="auto"/>
        </w:rPr>
      </w:pPr>
      <w:r>
        <w:rPr>
          <w:rFonts w:ascii="Arial" w:cs="Arial" w:eastAsia="Arial" w:hAnsi="Arial"/>
          <w:sz w:val="17"/>
          <w:szCs w:val="17"/>
          <w:i w:val="1"/>
          <w:iCs w:val="1"/>
          <w:color w:val="auto"/>
        </w:rPr>
        <w:t>Community support</w:t>
      </w:r>
      <w:r>
        <w:rPr>
          <w:rFonts w:ascii="Arial" w:cs="Arial" w:eastAsia="Arial" w:hAnsi="Arial"/>
          <w:sz w:val="17"/>
          <w:szCs w:val="17"/>
          <w:color w:val="auto"/>
        </w:rPr>
        <w:t>: Facilitates collaboration between users on answers, solutions, and ideas about our platform in an online community.</w:t>
      </w:r>
    </w:p>
    <w:p>
      <w:pPr>
        <w:spacing w:after="0" w:line="142" w:lineRule="exact"/>
        <w:rPr>
          <w:rFonts w:ascii="Arial" w:cs="Arial" w:eastAsia="Arial" w:hAnsi="Arial"/>
          <w:sz w:val="17"/>
          <w:szCs w:val="17"/>
          <w:color w:val="auto"/>
        </w:rPr>
      </w:pPr>
    </w:p>
    <w:p>
      <w:pPr>
        <w:ind w:left="880" w:hanging="319"/>
        <w:spacing w:after="0"/>
        <w:tabs>
          <w:tab w:leader="none" w:pos="880" w:val="left"/>
        </w:tabs>
        <w:numPr>
          <w:ilvl w:val="0"/>
          <w:numId w:val="56"/>
        </w:numPr>
        <w:rPr>
          <w:rFonts w:ascii="Arial" w:cs="Arial" w:eastAsia="Arial" w:hAnsi="Arial"/>
          <w:sz w:val="18"/>
          <w:szCs w:val="18"/>
          <w:color w:val="auto"/>
        </w:rPr>
      </w:pPr>
      <w:r>
        <w:rPr>
          <w:rFonts w:ascii="Arial" w:cs="Arial" w:eastAsia="Arial" w:hAnsi="Arial"/>
          <w:sz w:val="18"/>
          <w:szCs w:val="18"/>
          <w:i w:val="1"/>
          <w:iCs w:val="1"/>
          <w:color w:val="auto"/>
        </w:rPr>
        <w:t>Twitter support</w:t>
      </w:r>
      <w:r>
        <w:rPr>
          <w:rFonts w:ascii="Arial" w:cs="Arial" w:eastAsia="Arial" w:hAnsi="Arial"/>
          <w:sz w:val="18"/>
          <w:szCs w:val="18"/>
          <w:color w:val="auto"/>
        </w:rPr>
        <w:t>: Provides users real-time product and service updates, and offers tips and troubleshooting information.</w:t>
      </w:r>
    </w:p>
    <w:p>
      <w:pPr>
        <w:spacing w:after="0" w:line="130" w:lineRule="exact"/>
        <w:rPr>
          <w:rFonts w:ascii="Arial" w:cs="Arial" w:eastAsia="Arial" w:hAnsi="Arial"/>
          <w:sz w:val="18"/>
          <w:szCs w:val="18"/>
          <w:color w:val="auto"/>
        </w:rPr>
      </w:pPr>
    </w:p>
    <w:p>
      <w:pPr>
        <w:ind w:left="880" w:right="580" w:hanging="319"/>
        <w:spacing w:after="0" w:line="277" w:lineRule="auto"/>
        <w:tabs>
          <w:tab w:leader="none" w:pos="880" w:val="left"/>
        </w:tabs>
        <w:numPr>
          <w:ilvl w:val="0"/>
          <w:numId w:val="56"/>
        </w:numPr>
        <w:rPr>
          <w:rFonts w:ascii="Arial" w:cs="Arial" w:eastAsia="Arial" w:hAnsi="Arial"/>
          <w:sz w:val="18"/>
          <w:szCs w:val="18"/>
          <w:color w:val="auto"/>
        </w:rPr>
      </w:pPr>
      <w:r>
        <w:rPr>
          <w:rFonts w:ascii="Arial" w:cs="Arial" w:eastAsia="Arial" w:hAnsi="Arial"/>
          <w:sz w:val="18"/>
          <w:szCs w:val="18"/>
          <w:i w:val="1"/>
          <w:iCs w:val="1"/>
          <w:color w:val="auto"/>
        </w:rPr>
        <w:t>Guided troubleshooting</w:t>
      </w:r>
      <w:r>
        <w:rPr>
          <w:rFonts w:ascii="Arial" w:cs="Arial" w:eastAsia="Arial" w:hAnsi="Arial"/>
          <w:sz w:val="18"/>
          <w:szCs w:val="18"/>
          <w:color w:val="auto"/>
        </w:rPr>
        <w:t>: Offers step-by-step instructions to resolve common questions and provides a portal to submit help requests for</w:t>
      </w:r>
      <w:r>
        <w:rPr>
          <w:rFonts w:ascii="Arial" w:cs="Arial" w:eastAsia="Arial" w:hAnsi="Arial"/>
          <w:sz w:val="18"/>
          <w:szCs w:val="18"/>
          <w:i w:val="1"/>
          <w:iCs w:val="1"/>
          <w:color w:val="auto"/>
        </w:rPr>
        <w:t xml:space="preserve"> </w:t>
      </w:r>
      <w:r>
        <w:rPr>
          <w:rFonts w:ascii="Arial" w:cs="Arial" w:eastAsia="Arial" w:hAnsi="Arial"/>
          <w:sz w:val="18"/>
          <w:szCs w:val="18"/>
          <w:color w:val="auto"/>
        </w:rPr>
        <w:t>questions that aren’t otherwise available.</w:t>
      </w:r>
    </w:p>
    <w:p>
      <w:pPr>
        <w:spacing w:after="0" w:line="17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also offer additional support for our paying users as described above in “Our Subscription Plans.”</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Sales and Marketing Approach</w:t>
      </w:r>
    </w:p>
    <w:p>
      <w:pPr>
        <w:spacing w:after="0" w:line="121" w:lineRule="exact"/>
        <w:rPr>
          <w:sz w:val="20"/>
          <w:szCs w:val="20"/>
          <w:color w:val="auto"/>
        </w:rPr>
      </w:pPr>
    </w:p>
    <w:p>
      <w:pPr>
        <w:ind w:right="180" w:firstLine="449"/>
        <w:spacing w:after="0" w:line="277" w:lineRule="auto"/>
        <w:rPr>
          <w:sz w:val="20"/>
          <w:szCs w:val="20"/>
          <w:color w:val="auto"/>
        </w:rPr>
      </w:pPr>
      <w:r>
        <w:rPr>
          <w:rFonts w:ascii="Arial" w:cs="Arial" w:eastAsia="Arial" w:hAnsi="Arial"/>
          <w:sz w:val="18"/>
          <w:szCs w:val="18"/>
          <w:color w:val="auto"/>
        </w:rPr>
        <w:t>As users share content and collaborate on our platform, they introduce and invite new users, driving viral growth. We generate 90% of our revenue from self-serve channels, which reduces customer acquisition costs.</w:t>
      </w:r>
    </w:p>
    <w:p>
      <w:pPr>
        <w:spacing w:after="0" w:line="170" w:lineRule="exact"/>
        <w:rPr>
          <w:sz w:val="20"/>
          <w:szCs w:val="20"/>
          <w:color w:val="auto"/>
        </w:rPr>
      </w:pPr>
    </w:p>
    <w:p>
      <w:pPr>
        <w:ind w:right="20" w:firstLine="449"/>
        <w:spacing w:after="0" w:line="257" w:lineRule="auto"/>
        <w:rPr>
          <w:sz w:val="20"/>
          <w:szCs w:val="20"/>
          <w:color w:val="auto"/>
        </w:rPr>
      </w:pPr>
      <w:r>
        <w:rPr>
          <w:rFonts w:ascii="Arial" w:cs="Arial" w:eastAsia="Arial" w:hAnsi="Arial"/>
          <w:sz w:val="18"/>
          <w:szCs w:val="18"/>
          <w:color w:val="auto"/>
        </w:rPr>
        <w:t>We’ve developed an efficient marketing function that’s focused on building brand awareness and reinforcing our self-serve model. Our goal is to rapidly demonstrate the value of our platform to our users in order to convert them to paying users and upgrade them to our premium offerings. We reach them through in-product prompts and notifications, time-limited trials of paid subscription plans, email, and lifecycle marketing. In the third quarter of 2017, over 400 million devices—including computers, phones, and tablets—were actively connected to the Dropbox platform, representing a large number of touchpoints to communicate with our users.</w:t>
      </w:r>
    </w:p>
    <w:p>
      <w:pPr>
        <w:spacing w:after="0" w:line="188" w:lineRule="exact"/>
        <w:rPr>
          <w:sz w:val="20"/>
          <w:szCs w:val="20"/>
          <w:color w:val="auto"/>
        </w:rPr>
      </w:pPr>
    </w:p>
    <w:p>
      <w:pPr>
        <w:ind w:right="20" w:firstLine="449"/>
        <w:spacing w:after="0" w:line="286" w:lineRule="auto"/>
        <w:rPr>
          <w:sz w:val="20"/>
          <w:szCs w:val="20"/>
          <w:color w:val="auto"/>
        </w:rPr>
      </w:pPr>
      <w:r>
        <w:rPr>
          <w:rFonts w:ascii="Arial" w:cs="Arial" w:eastAsia="Arial" w:hAnsi="Arial"/>
          <w:sz w:val="17"/>
          <w:szCs w:val="17"/>
          <w:color w:val="auto"/>
        </w:rPr>
        <w:t>We complement our self-serve strategy with a focused outbound sales effort targeted at organizations with existing organic adoption of Dropbox. Once prospects are identified, our sales team works to broaden adoption of our platform into wider-scale deployments. We also acquire some users through paid marketing and distribution partnerships in which hardware manufacturers pre-install our software on their devices.</w:t>
      </w: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Technology Infrastructure and Operations</w:t>
      </w:r>
    </w:p>
    <w:p>
      <w:pPr>
        <w:spacing w:after="0" w:line="121" w:lineRule="exact"/>
        <w:rPr>
          <w:sz w:val="20"/>
          <w:szCs w:val="20"/>
          <w:color w:val="auto"/>
        </w:rPr>
      </w:pPr>
    </w:p>
    <w:p>
      <w:pPr>
        <w:jc w:val="both"/>
        <w:ind w:right="100" w:firstLine="449"/>
        <w:spacing w:after="0" w:line="286" w:lineRule="auto"/>
        <w:rPr>
          <w:sz w:val="20"/>
          <w:szCs w:val="20"/>
          <w:color w:val="auto"/>
        </w:rPr>
      </w:pPr>
      <w:r>
        <w:rPr>
          <w:rFonts w:ascii="Arial" w:cs="Arial" w:eastAsia="Arial" w:hAnsi="Arial"/>
          <w:sz w:val="17"/>
          <w:szCs w:val="17"/>
          <w:color w:val="auto"/>
        </w:rPr>
        <w:t>Our users trust us with their most important content, and we focus on providing them with a secure and easy-to-use platform. More than 90% of our users’ data is stored on our own custom-built infrastructure, which has been designed from the ground up to be reliable and secure, and to provide annual data durability of at least 99.999999999%. We have datacenter co-location facilities in California, Texas, and Virginia.</w:t>
      </w:r>
    </w:p>
    <w:p>
      <w:pPr>
        <w:spacing w:after="0" w:line="9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99</w:t>
      </w:r>
    </w:p>
    <w:p>
      <w:pPr>
        <w:sectPr>
          <w:pgSz w:w="11900" w:h="16838" w:orient="portrait"/>
          <w:cols w:equalWidth="0" w:num="1">
            <w:col w:w="11200"/>
          </w:cols>
          <w:pgMar w:left="320" w:top="459" w:right="379" w:bottom="1440" w:gutter="0" w:footer="0" w:header="0"/>
        </w:sectPr>
      </w:pPr>
    </w:p>
    <w:bookmarkStart w:id="102" w:name="page103"/>
    <w:bookmarkEnd w:id="10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right="100" w:firstLine="449"/>
        <w:spacing w:after="0" w:line="263" w:lineRule="auto"/>
        <w:rPr>
          <w:sz w:val="20"/>
          <w:szCs w:val="20"/>
          <w:color w:val="auto"/>
        </w:rPr>
      </w:pPr>
      <w:r>
        <w:rPr>
          <w:rFonts w:ascii="Arial" w:cs="Arial" w:eastAsia="Arial" w:hAnsi="Arial"/>
          <w:sz w:val="18"/>
          <w:szCs w:val="18"/>
          <w:color w:val="auto"/>
        </w:rPr>
        <w:t>We also utilize Amazon Web Services, or AWS, for the remainder of our users’ storage needs and to help deliver our services. These AWS datacenters are located in the United States and Europe, which allows us to localize where content is stored. Our technology infrastructure, combined with select use of AWS resources, provides us with a distributed and scalable architecture on a global scale.</w:t>
      </w:r>
    </w:p>
    <w:p>
      <w:pPr>
        <w:spacing w:after="0" w:line="184" w:lineRule="exact"/>
        <w:rPr>
          <w:sz w:val="20"/>
          <w:szCs w:val="20"/>
          <w:color w:val="auto"/>
        </w:rPr>
      </w:pPr>
    </w:p>
    <w:p>
      <w:pPr>
        <w:ind w:right="80" w:firstLine="449"/>
        <w:spacing w:after="0" w:line="259" w:lineRule="auto"/>
        <w:rPr>
          <w:sz w:val="20"/>
          <w:szCs w:val="20"/>
          <w:color w:val="auto"/>
        </w:rPr>
      </w:pPr>
      <w:r>
        <w:rPr>
          <w:rFonts w:ascii="Arial" w:cs="Arial" w:eastAsia="Arial" w:hAnsi="Arial"/>
          <w:sz w:val="18"/>
          <w:szCs w:val="18"/>
          <w:color w:val="auto"/>
        </w:rPr>
        <w:t>We designed our platform with multiple layers of redundancy to guard against data loss and deliver high availability. Incremental backups are performed hourly and full backups are performed daily. In addition, as a default, redundant copies of content are stored independently in at least two separate geographic regions and replicated reliably within each region. In the nine months ended September 30, 2017, our average monthly service uptime was approximately 99.9%.</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Research and Development Approach</w:t>
      </w:r>
    </w:p>
    <w:p>
      <w:pPr>
        <w:spacing w:after="0" w:line="121" w:lineRule="exact"/>
        <w:rPr>
          <w:sz w:val="20"/>
          <w:szCs w:val="20"/>
          <w:color w:val="auto"/>
        </w:rPr>
      </w:pPr>
    </w:p>
    <w:p>
      <w:pPr>
        <w:ind w:right="760" w:firstLine="449"/>
        <w:spacing w:after="0" w:line="277" w:lineRule="auto"/>
        <w:rPr>
          <w:sz w:val="20"/>
          <w:szCs w:val="20"/>
          <w:color w:val="auto"/>
        </w:rPr>
      </w:pPr>
      <w:r>
        <w:rPr>
          <w:rFonts w:ascii="Arial" w:cs="Arial" w:eastAsia="Arial" w:hAnsi="Arial"/>
          <w:sz w:val="18"/>
          <w:szCs w:val="18"/>
          <w:color w:val="auto"/>
        </w:rPr>
        <w:t>We invest substantial resources in research and development to enhance our platform, develop new products and features, and improve our infrastructure.</w:t>
      </w:r>
    </w:p>
    <w:p>
      <w:pPr>
        <w:spacing w:after="0" w:line="170" w:lineRule="exact"/>
        <w:rPr>
          <w:sz w:val="20"/>
          <w:szCs w:val="20"/>
          <w:color w:val="auto"/>
        </w:rPr>
      </w:pPr>
    </w:p>
    <w:p>
      <w:pPr>
        <w:ind w:right="80" w:firstLine="449"/>
        <w:spacing w:after="0" w:line="263" w:lineRule="auto"/>
        <w:rPr>
          <w:sz w:val="20"/>
          <w:szCs w:val="20"/>
          <w:color w:val="auto"/>
        </w:rPr>
      </w:pPr>
      <w:r>
        <w:rPr>
          <w:rFonts w:ascii="Arial" w:cs="Arial" w:eastAsia="Arial" w:hAnsi="Arial"/>
          <w:sz w:val="18"/>
          <w:szCs w:val="18"/>
          <w:color w:val="auto"/>
        </w:rPr>
        <w:t>Our research and development organization consists of world-class engineering, product, and design teams. As of September 30, 2017, we had more than 840 professionals across these teams, representing approximately 45% of our full-time employees. They have a diverse set of skills and industry experience, including expertise in massively distributed systems and user-centric application engineering.</w:t>
      </w:r>
    </w:p>
    <w:p>
      <w:pPr>
        <w:spacing w:after="0" w:line="184" w:lineRule="exact"/>
        <w:rPr>
          <w:sz w:val="20"/>
          <w:szCs w:val="20"/>
          <w:color w:val="auto"/>
        </w:rPr>
      </w:pPr>
    </w:p>
    <w:p>
      <w:pPr>
        <w:ind w:right="280" w:firstLine="449"/>
        <w:spacing w:after="0" w:line="263" w:lineRule="auto"/>
        <w:rPr>
          <w:sz w:val="20"/>
          <w:szCs w:val="20"/>
          <w:color w:val="auto"/>
        </w:rPr>
      </w:pPr>
      <w:r>
        <w:rPr>
          <w:rFonts w:ascii="Arial" w:cs="Arial" w:eastAsia="Arial" w:hAnsi="Arial"/>
          <w:sz w:val="18"/>
          <w:szCs w:val="18"/>
          <w:color w:val="auto"/>
        </w:rPr>
        <w:t>Our engineering, product, and design teams work together to bring our products to life, from conception and validation to implementation. We continually improve our existing products, update them to work with the latest platforms and technologies, and launch new and innovative products and features.</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Values</w:t>
      </w:r>
    </w:p>
    <w:p>
      <w:pPr>
        <w:spacing w:after="0" w:line="121" w:lineRule="exact"/>
        <w:rPr>
          <w:sz w:val="20"/>
          <w:szCs w:val="20"/>
          <w:color w:val="auto"/>
        </w:rPr>
      </w:pPr>
    </w:p>
    <w:p>
      <w:pPr>
        <w:jc w:val="both"/>
        <w:ind w:right="120" w:firstLine="449"/>
        <w:spacing w:after="0" w:line="342" w:lineRule="auto"/>
        <w:rPr>
          <w:sz w:val="20"/>
          <w:szCs w:val="20"/>
          <w:color w:val="auto"/>
        </w:rPr>
      </w:pPr>
      <w:r>
        <w:rPr>
          <w:rFonts w:ascii="Arial" w:cs="Arial" w:eastAsia="Arial" w:hAnsi="Arial"/>
          <w:sz w:val="16"/>
          <w:szCs w:val="16"/>
          <w:color w:val="auto"/>
        </w:rPr>
        <w:t>Since our founding, we’ve focused on building a culture of innovation and teamwork. As our company grew, we developed five core values that are critical to our success. Our values act as a compass and are a part of everyday life for Dropboxers. Each one guides how we treat each other and our users.</w:t>
      </w:r>
    </w:p>
    <w:p>
      <w:pPr>
        <w:spacing w:after="0" w:line="29" w:lineRule="exact"/>
        <w:rPr>
          <w:sz w:val="20"/>
          <w:szCs w:val="20"/>
          <w:color w:val="auto"/>
        </w:rPr>
      </w:pPr>
    </w:p>
    <w:p>
      <w:pPr>
        <w:ind w:left="880" w:hanging="319"/>
        <w:spacing w:after="0"/>
        <w:tabs>
          <w:tab w:leader="none" w:pos="880" w:val="left"/>
        </w:tabs>
        <w:numPr>
          <w:ilvl w:val="0"/>
          <w:numId w:val="57"/>
        </w:numPr>
        <w:rPr>
          <w:rFonts w:ascii="Arial" w:cs="Arial" w:eastAsia="Arial" w:hAnsi="Arial"/>
          <w:sz w:val="18"/>
          <w:szCs w:val="18"/>
          <w:color w:val="auto"/>
        </w:rPr>
      </w:pPr>
      <w:r>
        <w:rPr>
          <w:rFonts w:ascii="Arial" w:cs="Arial" w:eastAsia="Arial" w:hAnsi="Arial"/>
          <w:sz w:val="18"/>
          <w:szCs w:val="18"/>
          <w:b w:val="1"/>
          <w:bCs w:val="1"/>
          <w:i w:val="1"/>
          <w:iCs w:val="1"/>
          <w:color w:val="auto"/>
        </w:rPr>
        <w:t>Be worthy of trust</w:t>
      </w:r>
    </w:p>
    <w:p>
      <w:pPr>
        <w:spacing w:after="0" w:line="117" w:lineRule="exact"/>
        <w:rPr>
          <w:sz w:val="20"/>
          <w:szCs w:val="20"/>
          <w:color w:val="auto"/>
        </w:rPr>
      </w:pPr>
    </w:p>
    <w:p>
      <w:pPr>
        <w:ind w:left="900" w:right="80"/>
        <w:spacing w:after="0" w:line="277" w:lineRule="auto"/>
        <w:rPr>
          <w:sz w:val="20"/>
          <w:szCs w:val="20"/>
          <w:color w:val="auto"/>
        </w:rPr>
      </w:pPr>
      <w:r>
        <w:rPr>
          <w:rFonts w:ascii="Arial" w:cs="Arial" w:eastAsia="Arial" w:hAnsi="Arial"/>
          <w:sz w:val="18"/>
          <w:szCs w:val="18"/>
          <w:i w:val="1"/>
          <w:iCs w:val="1"/>
          <w:color w:val="auto"/>
        </w:rPr>
        <w:t xml:space="preserve">Take care of each other and our users, and keep their best interests at heart. </w:t>
      </w:r>
      <w:r>
        <w:rPr>
          <w:rFonts w:ascii="Arial" w:cs="Arial" w:eastAsia="Arial" w:hAnsi="Arial"/>
          <w:sz w:val="18"/>
          <w:szCs w:val="18"/>
          <w:color w:val="auto"/>
        </w:rPr>
        <w:t>Millions of people and businesses trust us to safeguard their most</w:t>
      </w:r>
      <w:r>
        <w:rPr>
          <w:rFonts w:ascii="Arial" w:cs="Arial" w:eastAsia="Arial" w:hAnsi="Arial"/>
          <w:sz w:val="18"/>
          <w:szCs w:val="18"/>
          <w:i w:val="1"/>
          <w:iCs w:val="1"/>
          <w:color w:val="auto"/>
        </w:rPr>
        <w:t xml:space="preserve"> </w:t>
      </w:r>
      <w:r>
        <w:rPr>
          <w:rFonts w:ascii="Arial" w:cs="Arial" w:eastAsia="Arial" w:hAnsi="Arial"/>
          <w:sz w:val="18"/>
          <w:szCs w:val="18"/>
          <w:color w:val="auto"/>
        </w:rPr>
        <w:t>important information. We strive to be as transparent as possible with them and each other.</w:t>
      </w:r>
    </w:p>
    <w:p>
      <w:pPr>
        <w:spacing w:after="0" w:line="76" w:lineRule="exact"/>
        <w:rPr>
          <w:sz w:val="20"/>
          <w:szCs w:val="20"/>
          <w:color w:val="auto"/>
        </w:rPr>
      </w:pPr>
    </w:p>
    <w:p>
      <w:pPr>
        <w:ind w:left="880" w:hanging="319"/>
        <w:spacing w:after="0"/>
        <w:tabs>
          <w:tab w:leader="none" w:pos="880" w:val="left"/>
        </w:tabs>
        <w:numPr>
          <w:ilvl w:val="0"/>
          <w:numId w:val="58"/>
        </w:numPr>
        <w:rPr>
          <w:rFonts w:ascii="Arial" w:cs="Arial" w:eastAsia="Arial" w:hAnsi="Arial"/>
          <w:sz w:val="18"/>
          <w:szCs w:val="18"/>
          <w:color w:val="auto"/>
        </w:rPr>
      </w:pPr>
      <w:r>
        <w:rPr>
          <w:rFonts w:ascii="Arial" w:cs="Arial" w:eastAsia="Arial" w:hAnsi="Arial"/>
          <w:sz w:val="18"/>
          <w:szCs w:val="18"/>
          <w:b w:val="1"/>
          <w:bCs w:val="1"/>
          <w:i w:val="1"/>
          <w:iCs w:val="1"/>
          <w:color w:val="auto"/>
        </w:rPr>
        <w:t>Sweat the details</w:t>
      </w:r>
    </w:p>
    <w:p>
      <w:pPr>
        <w:spacing w:after="0" w:line="117" w:lineRule="exact"/>
        <w:rPr>
          <w:sz w:val="20"/>
          <w:szCs w:val="20"/>
          <w:color w:val="auto"/>
        </w:rPr>
      </w:pPr>
    </w:p>
    <w:p>
      <w:pPr>
        <w:ind w:left="900" w:right="80"/>
        <w:spacing w:after="0" w:line="263" w:lineRule="auto"/>
        <w:rPr>
          <w:sz w:val="20"/>
          <w:szCs w:val="20"/>
          <w:color w:val="auto"/>
        </w:rPr>
      </w:pPr>
      <w:r>
        <w:rPr>
          <w:rFonts w:ascii="Arial" w:cs="Arial" w:eastAsia="Arial" w:hAnsi="Arial"/>
          <w:sz w:val="18"/>
          <w:szCs w:val="18"/>
          <w:i w:val="1"/>
          <w:iCs w:val="1"/>
          <w:color w:val="auto"/>
        </w:rPr>
        <w:t xml:space="preserve">Deeply understand and get to the heart of problems. Obsess over quality and strive to master your craft. </w:t>
      </w:r>
      <w:r>
        <w:rPr>
          <w:rFonts w:ascii="Arial" w:cs="Arial" w:eastAsia="Arial" w:hAnsi="Arial"/>
          <w:sz w:val="18"/>
          <w:szCs w:val="18"/>
          <w:color w:val="auto"/>
        </w:rPr>
        <w:t>We believe that truly insightful</w:t>
      </w:r>
      <w:r>
        <w:rPr>
          <w:rFonts w:ascii="Arial" w:cs="Arial" w:eastAsia="Arial" w:hAnsi="Arial"/>
          <w:sz w:val="18"/>
          <w:szCs w:val="18"/>
          <w:i w:val="1"/>
          <w:iCs w:val="1"/>
          <w:color w:val="auto"/>
        </w:rPr>
        <w:t xml:space="preserve"> </w:t>
      </w:r>
      <w:r>
        <w:rPr>
          <w:rFonts w:ascii="Arial" w:cs="Arial" w:eastAsia="Arial" w:hAnsi="Arial"/>
          <w:sz w:val="18"/>
          <w:szCs w:val="18"/>
          <w:color w:val="auto"/>
        </w:rPr>
        <w:t>solutions emerge from a deep understanding of problems and a dedication to iteration. We push ourselves (and each other) to get to the root of problems, and we don’t accept sloppy solutions or band-aids.</w:t>
      </w:r>
    </w:p>
    <w:p>
      <w:pPr>
        <w:spacing w:after="0" w:line="89" w:lineRule="exact"/>
        <w:rPr>
          <w:sz w:val="20"/>
          <w:szCs w:val="20"/>
          <w:color w:val="auto"/>
        </w:rPr>
      </w:pPr>
    </w:p>
    <w:p>
      <w:pPr>
        <w:ind w:left="880" w:hanging="319"/>
        <w:spacing w:after="0"/>
        <w:tabs>
          <w:tab w:leader="none" w:pos="880" w:val="left"/>
        </w:tabs>
        <w:numPr>
          <w:ilvl w:val="0"/>
          <w:numId w:val="59"/>
        </w:numPr>
        <w:rPr>
          <w:rFonts w:ascii="Arial" w:cs="Arial" w:eastAsia="Arial" w:hAnsi="Arial"/>
          <w:sz w:val="18"/>
          <w:szCs w:val="18"/>
          <w:color w:val="auto"/>
        </w:rPr>
      </w:pPr>
      <w:r>
        <w:rPr>
          <w:rFonts w:ascii="Arial" w:cs="Arial" w:eastAsia="Arial" w:hAnsi="Arial"/>
          <w:sz w:val="18"/>
          <w:szCs w:val="18"/>
          <w:b w:val="1"/>
          <w:bCs w:val="1"/>
          <w:i w:val="1"/>
          <w:iCs w:val="1"/>
          <w:color w:val="auto"/>
        </w:rPr>
        <w:t>Aim higher</w:t>
      </w:r>
    </w:p>
    <w:p>
      <w:pPr>
        <w:spacing w:after="0" w:line="117" w:lineRule="exact"/>
        <w:rPr>
          <w:sz w:val="20"/>
          <w:szCs w:val="20"/>
          <w:color w:val="auto"/>
        </w:rPr>
      </w:pPr>
    </w:p>
    <w:p>
      <w:pPr>
        <w:ind w:left="900" w:right="20"/>
        <w:spacing w:after="0" w:line="263" w:lineRule="auto"/>
        <w:rPr>
          <w:sz w:val="20"/>
          <w:szCs w:val="20"/>
          <w:color w:val="auto"/>
        </w:rPr>
      </w:pPr>
      <w:r>
        <w:rPr>
          <w:rFonts w:ascii="Arial" w:cs="Arial" w:eastAsia="Arial" w:hAnsi="Arial"/>
          <w:sz w:val="18"/>
          <w:szCs w:val="18"/>
          <w:i w:val="1"/>
          <w:iCs w:val="1"/>
          <w:color w:val="auto"/>
        </w:rPr>
        <w:t xml:space="preserve">Set audacious goals. Think big and be willing to disrupt yourself. </w:t>
      </w:r>
      <w:r>
        <w:rPr>
          <w:rFonts w:ascii="Arial" w:cs="Arial" w:eastAsia="Arial" w:hAnsi="Arial"/>
          <w:sz w:val="18"/>
          <w:szCs w:val="18"/>
          <w:color w:val="auto"/>
        </w:rPr>
        <w:t>We believe in taking risks and being willing to disrupt ourselves, so we don’t</w:t>
      </w:r>
      <w:r>
        <w:rPr>
          <w:rFonts w:ascii="Arial" w:cs="Arial" w:eastAsia="Arial" w:hAnsi="Arial"/>
          <w:sz w:val="18"/>
          <w:szCs w:val="18"/>
          <w:i w:val="1"/>
          <w:iCs w:val="1"/>
          <w:color w:val="auto"/>
        </w:rPr>
        <w:t xml:space="preserve"> </w:t>
      </w:r>
      <w:r>
        <w:rPr>
          <w:rFonts w:ascii="Arial" w:cs="Arial" w:eastAsia="Arial" w:hAnsi="Arial"/>
          <w:sz w:val="18"/>
          <w:szCs w:val="18"/>
          <w:color w:val="auto"/>
        </w:rPr>
        <w:t>squander an opportunity to build something much bigger. With the density of incredible talent at Dropbox and the size of the opportunity in front of us, we owe it to each other to push limits.</w:t>
      </w:r>
    </w:p>
    <w:p>
      <w:pPr>
        <w:spacing w:after="0" w:line="89" w:lineRule="exact"/>
        <w:rPr>
          <w:sz w:val="20"/>
          <w:szCs w:val="20"/>
          <w:color w:val="auto"/>
        </w:rPr>
      </w:pPr>
    </w:p>
    <w:p>
      <w:pPr>
        <w:ind w:left="880" w:hanging="319"/>
        <w:spacing w:after="0"/>
        <w:tabs>
          <w:tab w:leader="none" w:pos="880" w:val="left"/>
        </w:tabs>
        <w:numPr>
          <w:ilvl w:val="0"/>
          <w:numId w:val="60"/>
        </w:numPr>
        <w:rPr>
          <w:rFonts w:ascii="Arial" w:cs="Arial" w:eastAsia="Arial" w:hAnsi="Arial"/>
          <w:sz w:val="18"/>
          <w:szCs w:val="18"/>
          <w:color w:val="auto"/>
        </w:rPr>
      </w:pPr>
      <w:r>
        <w:rPr>
          <w:rFonts w:ascii="Arial" w:cs="Arial" w:eastAsia="Arial" w:hAnsi="Arial"/>
          <w:sz w:val="18"/>
          <w:szCs w:val="18"/>
          <w:b w:val="1"/>
          <w:bCs w:val="1"/>
          <w:i w:val="1"/>
          <w:iCs w:val="1"/>
          <w:color w:val="auto"/>
        </w:rPr>
        <w:t>We, not I</w:t>
      </w:r>
    </w:p>
    <w:p>
      <w:pPr>
        <w:spacing w:after="0" w:line="117" w:lineRule="exact"/>
        <w:rPr>
          <w:sz w:val="20"/>
          <w:szCs w:val="20"/>
          <w:color w:val="auto"/>
        </w:rPr>
      </w:pPr>
    </w:p>
    <w:p>
      <w:pPr>
        <w:ind w:left="900"/>
        <w:spacing w:after="0" w:line="263" w:lineRule="auto"/>
        <w:rPr>
          <w:sz w:val="20"/>
          <w:szCs w:val="20"/>
          <w:color w:val="auto"/>
        </w:rPr>
      </w:pPr>
      <w:r>
        <w:rPr>
          <w:rFonts w:ascii="Arial" w:cs="Arial" w:eastAsia="Arial" w:hAnsi="Arial"/>
          <w:sz w:val="18"/>
          <w:szCs w:val="18"/>
          <w:i w:val="1"/>
          <w:iCs w:val="1"/>
          <w:color w:val="auto"/>
        </w:rPr>
        <w:t xml:space="preserve">We’re a village, and as members, we each need to do our part for the village to thrive. </w:t>
      </w:r>
      <w:r>
        <w:rPr>
          <w:rFonts w:ascii="Arial" w:cs="Arial" w:eastAsia="Arial" w:hAnsi="Arial"/>
          <w:sz w:val="18"/>
          <w:szCs w:val="18"/>
          <w:color w:val="auto"/>
        </w:rPr>
        <w:t>We tackle a never-ending stream of people, product, and</w:t>
      </w:r>
      <w:r>
        <w:rPr>
          <w:rFonts w:ascii="Arial" w:cs="Arial" w:eastAsia="Arial" w:hAnsi="Arial"/>
          <w:sz w:val="18"/>
          <w:szCs w:val="18"/>
          <w:i w:val="1"/>
          <w:iCs w:val="1"/>
          <w:color w:val="auto"/>
        </w:rPr>
        <w:t xml:space="preserve"> </w:t>
      </w:r>
      <w:r>
        <w:rPr>
          <w:rFonts w:ascii="Arial" w:cs="Arial" w:eastAsia="Arial" w:hAnsi="Arial"/>
          <w:sz w:val="18"/>
          <w:szCs w:val="18"/>
          <w:color w:val="auto"/>
        </w:rPr>
        <w:t>business challenges, many of which are far too hard to be solved by a single person or team. We believe in people really knowing each other and in putting the welfare of the company and our users first.</w:t>
      </w:r>
    </w:p>
    <w:p>
      <w:pPr>
        <w:spacing w:after="0" w:line="11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100</w:t>
      </w:r>
    </w:p>
    <w:p>
      <w:pPr>
        <w:sectPr>
          <w:pgSz w:w="11900" w:h="16838" w:orient="portrait"/>
          <w:cols w:equalWidth="0" w:num="1">
            <w:col w:w="11220"/>
          </w:cols>
          <w:pgMar w:left="320" w:top="459" w:right="359" w:bottom="1440" w:gutter="0" w:footer="0" w:header="0"/>
        </w:sectPr>
      </w:pPr>
    </w:p>
    <w:bookmarkStart w:id="103" w:name="page104"/>
    <w:bookmarkEnd w:id="10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588010</wp:posOffset>
            </wp:positionH>
            <wp:positionV relativeFrom="paragraph">
              <wp:posOffset>205740</wp:posOffset>
            </wp:positionV>
            <wp:extent cx="368300" cy="44577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368300" cy="445770"/>
                    </a:xfrm>
                    <a:prstGeom prst="rect">
                      <a:avLst/>
                    </a:prstGeom>
                    <a:noFill/>
                  </pic:spPr>
                </pic:pic>
              </a:graphicData>
            </a:graphic>
          </wp:anchor>
        </w:drawing>
      </w:r>
    </w:p>
    <w:p>
      <w:pPr>
        <w:spacing w:after="0" w:line="200" w:lineRule="exact"/>
        <w:rPr>
          <w:sz w:val="20"/>
          <w:szCs w:val="20"/>
          <w:color w:val="auto"/>
        </w:rPr>
      </w:pPr>
    </w:p>
    <w:p>
      <w:pPr>
        <w:spacing w:after="0" w:line="332" w:lineRule="exact"/>
        <w:rPr>
          <w:sz w:val="20"/>
          <w:szCs w:val="20"/>
          <w:color w:val="auto"/>
        </w:rPr>
      </w:pPr>
    </w:p>
    <w:p>
      <w:pPr>
        <w:ind w:left="580"/>
        <w:spacing w:after="0"/>
        <w:rPr>
          <w:sz w:val="20"/>
          <w:szCs w:val="20"/>
          <w:color w:val="auto"/>
        </w:rPr>
      </w:pPr>
      <w:r>
        <w:rPr>
          <w:rFonts w:ascii="Arial" w:cs="Arial" w:eastAsia="Arial" w:hAnsi="Arial"/>
          <w:sz w:val="18"/>
          <w:szCs w:val="18"/>
          <w:color w:val="auto"/>
        </w:rPr>
        <w:t>•</w:t>
      </w:r>
    </w:p>
    <w:p>
      <w:pPr>
        <w:spacing w:after="0" w:line="360" w:lineRule="exact"/>
        <w:rPr>
          <w:sz w:val="20"/>
          <w:szCs w:val="20"/>
          <w:color w:val="auto"/>
        </w:rPr>
      </w:pPr>
    </w:p>
    <w:p>
      <w:pPr>
        <w:ind w:left="900" w:right="20"/>
        <w:spacing w:after="0" w:line="259" w:lineRule="auto"/>
        <w:rPr>
          <w:sz w:val="20"/>
          <w:szCs w:val="20"/>
          <w:color w:val="auto"/>
        </w:rPr>
      </w:pPr>
      <w:r>
        <w:rPr>
          <w:rFonts w:ascii="Arial" w:cs="Arial" w:eastAsia="Arial" w:hAnsi="Arial"/>
          <w:sz w:val="18"/>
          <w:szCs w:val="18"/>
          <w:i w:val="1"/>
          <w:iCs w:val="1"/>
          <w:color w:val="auto"/>
        </w:rPr>
        <w:t xml:space="preserve">Surprise and delight each other and our users. Magic within Dropbox’s walls translates into magic outside of them. </w:t>
      </w:r>
      <w:r>
        <w:rPr>
          <w:rFonts w:ascii="Arial" w:cs="Arial" w:eastAsia="Arial" w:hAnsi="Arial"/>
          <w:sz w:val="18"/>
          <w:szCs w:val="18"/>
          <w:color w:val="auto"/>
        </w:rPr>
        <w:t>Cupcake is about adding</w:t>
      </w:r>
      <w:r>
        <w:rPr>
          <w:rFonts w:ascii="Arial" w:cs="Arial" w:eastAsia="Arial" w:hAnsi="Arial"/>
          <w:sz w:val="18"/>
          <w:szCs w:val="18"/>
          <w:i w:val="1"/>
          <w:iCs w:val="1"/>
          <w:color w:val="auto"/>
        </w:rPr>
        <w:t xml:space="preserve"> </w:t>
      </w:r>
      <w:r>
        <w:rPr>
          <w:rFonts w:ascii="Arial" w:cs="Arial" w:eastAsia="Arial" w:hAnsi="Arial"/>
          <w:sz w:val="18"/>
          <w:szCs w:val="18"/>
          <w:color w:val="auto"/>
        </w:rPr>
        <w:t>an authentic, human touch to everything we do. But more than that, it’s about finding creative ways to make our users (and each other) smile— whether it’s our quirky illustrations, or bringing a roving ice cream cart to the office to celebrate a product launch. We believe that the magic we create together as Dropboxers translates into magic for our users.</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Employees</w:t>
      </w:r>
    </w:p>
    <w:p>
      <w:pPr>
        <w:spacing w:after="0" w:line="121" w:lineRule="exact"/>
        <w:rPr>
          <w:sz w:val="20"/>
          <w:szCs w:val="20"/>
          <w:color w:val="auto"/>
        </w:rPr>
      </w:pPr>
    </w:p>
    <w:p>
      <w:pPr>
        <w:ind w:firstLine="449"/>
        <w:spacing w:after="0" w:line="277" w:lineRule="auto"/>
        <w:rPr>
          <w:sz w:val="20"/>
          <w:szCs w:val="20"/>
          <w:color w:val="auto"/>
        </w:rPr>
      </w:pPr>
      <w:r>
        <w:rPr>
          <w:rFonts w:ascii="Arial" w:cs="Arial" w:eastAsia="Arial" w:hAnsi="Arial"/>
          <w:sz w:val="18"/>
          <w:szCs w:val="18"/>
          <w:color w:val="auto"/>
        </w:rPr>
        <w:t>As of September 30, 2017, we had 1,864 full-time employees. We also engage contractors and consultants. None of our employees are represented by a labor union. We have not experienced any work stoppages, and we believe that our employee relations are strong.</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Commitment to Security and Privacy</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7"/>
          <w:szCs w:val="17"/>
          <w:color w:val="auto"/>
        </w:rPr>
        <w:t>Trust is the foundation of our relationship with our users, and we take significant measures every day to protect their privacy and security.</w:t>
      </w:r>
    </w:p>
    <w:p>
      <w:pPr>
        <w:spacing w:after="0" w:line="345"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Security</w:t>
      </w:r>
    </w:p>
    <w:p>
      <w:pPr>
        <w:spacing w:after="0" w:line="117" w:lineRule="exact"/>
        <w:rPr>
          <w:sz w:val="20"/>
          <w:szCs w:val="20"/>
          <w:color w:val="auto"/>
        </w:rPr>
      </w:pPr>
    </w:p>
    <w:p>
      <w:pPr>
        <w:ind w:right="200" w:firstLine="449"/>
        <w:spacing w:after="0" w:line="257" w:lineRule="auto"/>
        <w:rPr>
          <w:sz w:val="20"/>
          <w:szCs w:val="20"/>
          <w:color w:val="auto"/>
        </w:rPr>
      </w:pPr>
      <w:r>
        <w:rPr>
          <w:rFonts w:ascii="Arial" w:cs="Arial" w:eastAsia="Arial" w:hAnsi="Arial"/>
          <w:sz w:val="18"/>
          <w:szCs w:val="18"/>
          <w:color w:val="auto"/>
        </w:rPr>
        <w:t>Our sophisticated infrastructure is designed to protect our users’ content while it is transferred, stored, and processed. We offer multiple layers of protection, including secure file data transfer, encryption, network configuration, and application-level controls. For Dropbox Business teams, our tools also empower administrators with control and visibility features that allow them to customize our platform to their organizations’ needs. Our information security policies and management framework are designed to build a culture of security, and we continually assess risks and improve the security, confidentiality, integrity, and availability of our systems.</w:t>
      </w:r>
    </w:p>
    <w:p>
      <w:pPr>
        <w:spacing w:after="0" w:line="188" w:lineRule="exact"/>
        <w:rPr>
          <w:sz w:val="20"/>
          <w:szCs w:val="20"/>
          <w:color w:val="auto"/>
        </w:rPr>
      </w:pPr>
    </w:p>
    <w:p>
      <w:pPr>
        <w:ind w:right="120" w:firstLine="449"/>
        <w:spacing w:after="0" w:line="255" w:lineRule="auto"/>
        <w:rPr>
          <w:sz w:val="20"/>
          <w:szCs w:val="20"/>
          <w:color w:val="auto"/>
        </w:rPr>
      </w:pPr>
      <w:r>
        <w:rPr>
          <w:rFonts w:ascii="Arial" w:cs="Arial" w:eastAsia="Arial" w:hAnsi="Arial"/>
          <w:sz w:val="18"/>
          <w:szCs w:val="18"/>
          <w:color w:val="auto"/>
        </w:rPr>
        <w:t>We voluntarily engage third-party security auditors to test our systems and controls at least annually against the most widely recognized security standards and regulations. Our Dropbox Trust Program consists of key infrastructure processes such as change management, access control, security management, and human resource management. Our program also serves as an Information Security Management System, or ISMS, as prescribed by the International Organization for Standardization, or ISO, and the International Electrotechnical Commission 27001:2013 international information security standard. It also qualifies as a Business Continuity Management System, or BCMS, as prescribed by the ISO 22301:2012 international business continuity standard.</w:t>
      </w:r>
    </w:p>
    <w:p>
      <w:pPr>
        <w:spacing w:after="0" w:line="19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ISO has developed a series of standards for information security and related areas. We’ve received the following ISO certifications:</w:t>
      </w:r>
    </w:p>
    <w:p>
      <w:pPr>
        <w:spacing w:after="0" w:line="131" w:lineRule="exact"/>
        <w:rPr>
          <w:sz w:val="20"/>
          <w:szCs w:val="20"/>
          <w:color w:val="auto"/>
        </w:rPr>
      </w:pPr>
    </w:p>
    <w:p>
      <w:pPr>
        <w:ind w:left="880" w:hanging="319"/>
        <w:spacing w:after="0"/>
        <w:tabs>
          <w:tab w:leader="none" w:pos="880" w:val="left"/>
        </w:tabs>
        <w:numPr>
          <w:ilvl w:val="0"/>
          <w:numId w:val="61"/>
        </w:numPr>
        <w:rPr>
          <w:rFonts w:ascii="Arial" w:cs="Arial" w:eastAsia="Arial" w:hAnsi="Arial"/>
          <w:sz w:val="18"/>
          <w:szCs w:val="18"/>
          <w:color w:val="auto"/>
        </w:rPr>
      </w:pPr>
      <w:r>
        <w:rPr>
          <w:rFonts w:ascii="Arial" w:cs="Arial" w:eastAsia="Arial" w:hAnsi="Arial"/>
          <w:sz w:val="18"/>
          <w:szCs w:val="18"/>
          <w:color w:val="auto"/>
        </w:rPr>
        <w:t>ISO 27001 (Information Security Management)</w:t>
      </w:r>
    </w:p>
    <w:p>
      <w:pPr>
        <w:spacing w:after="0" w:line="130" w:lineRule="exact"/>
        <w:rPr>
          <w:rFonts w:ascii="Arial" w:cs="Arial" w:eastAsia="Arial" w:hAnsi="Arial"/>
          <w:sz w:val="18"/>
          <w:szCs w:val="18"/>
          <w:color w:val="auto"/>
        </w:rPr>
      </w:pPr>
    </w:p>
    <w:p>
      <w:pPr>
        <w:ind w:left="880" w:hanging="319"/>
        <w:spacing w:after="0"/>
        <w:tabs>
          <w:tab w:leader="none" w:pos="880" w:val="left"/>
        </w:tabs>
        <w:numPr>
          <w:ilvl w:val="0"/>
          <w:numId w:val="61"/>
        </w:numPr>
        <w:rPr>
          <w:rFonts w:ascii="Arial" w:cs="Arial" w:eastAsia="Arial" w:hAnsi="Arial"/>
          <w:sz w:val="18"/>
          <w:szCs w:val="18"/>
          <w:color w:val="auto"/>
        </w:rPr>
      </w:pPr>
      <w:r>
        <w:rPr>
          <w:rFonts w:ascii="Arial" w:cs="Arial" w:eastAsia="Arial" w:hAnsi="Arial"/>
          <w:sz w:val="18"/>
          <w:szCs w:val="18"/>
          <w:color w:val="auto"/>
        </w:rPr>
        <w:t>ISO 27017 (Cloud Security)</w:t>
      </w:r>
    </w:p>
    <w:p>
      <w:pPr>
        <w:spacing w:after="0" w:line="130" w:lineRule="exact"/>
        <w:rPr>
          <w:rFonts w:ascii="Arial" w:cs="Arial" w:eastAsia="Arial" w:hAnsi="Arial"/>
          <w:sz w:val="18"/>
          <w:szCs w:val="18"/>
          <w:color w:val="auto"/>
        </w:rPr>
      </w:pPr>
    </w:p>
    <w:p>
      <w:pPr>
        <w:ind w:left="880" w:hanging="319"/>
        <w:spacing w:after="0"/>
        <w:tabs>
          <w:tab w:leader="none" w:pos="880" w:val="left"/>
        </w:tabs>
        <w:numPr>
          <w:ilvl w:val="0"/>
          <w:numId w:val="61"/>
        </w:numPr>
        <w:rPr>
          <w:rFonts w:ascii="Arial" w:cs="Arial" w:eastAsia="Arial" w:hAnsi="Arial"/>
          <w:sz w:val="18"/>
          <w:szCs w:val="18"/>
          <w:color w:val="auto"/>
        </w:rPr>
      </w:pPr>
      <w:r>
        <w:rPr>
          <w:rFonts w:ascii="Arial" w:cs="Arial" w:eastAsia="Arial" w:hAnsi="Arial"/>
          <w:sz w:val="18"/>
          <w:szCs w:val="18"/>
          <w:color w:val="auto"/>
        </w:rPr>
        <w:t>ISO 27018 (Cloud Privacy and Data Protection)</w:t>
      </w:r>
    </w:p>
    <w:p>
      <w:pPr>
        <w:spacing w:after="0" w:line="130" w:lineRule="exact"/>
        <w:rPr>
          <w:rFonts w:ascii="Arial" w:cs="Arial" w:eastAsia="Arial" w:hAnsi="Arial"/>
          <w:sz w:val="18"/>
          <w:szCs w:val="18"/>
          <w:color w:val="auto"/>
        </w:rPr>
      </w:pPr>
    </w:p>
    <w:p>
      <w:pPr>
        <w:ind w:left="880" w:hanging="319"/>
        <w:spacing w:after="0"/>
        <w:tabs>
          <w:tab w:leader="none" w:pos="880" w:val="left"/>
        </w:tabs>
        <w:numPr>
          <w:ilvl w:val="0"/>
          <w:numId w:val="61"/>
        </w:numPr>
        <w:rPr>
          <w:rFonts w:ascii="Arial" w:cs="Arial" w:eastAsia="Arial" w:hAnsi="Arial"/>
          <w:sz w:val="18"/>
          <w:szCs w:val="18"/>
          <w:color w:val="auto"/>
        </w:rPr>
      </w:pPr>
      <w:r>
        <w:rPr>
          <w:rFonts w:ascii="Arial" w:cs="Arial" w:eastAsia="Arial" w:hAnsi="Arial"/>
          <w:sz w:val="18"/>
          <w:szCs w:val="18"/>
          <w:color w:val="auto"/>
        </w:rPr>
        <w:t>ISO 22301 (Business Continuity Management)</w:t>
      </w:r>
    </w:p>
    <w:p>
      <w:pPr>
        <w:spacing w:after="0" w:line="225" w:lineRule="exact"/>
        <w:rPr>
          <w:sz w:val="20"/>
          <w:szCs w:val="20"/>
          <w:color w:val="auto"/>
        </w:rPr>
      </w:pPr>
    </w:p>
    <w:p>
      <w:pPr>
        <w:jc w:val="both"/>
        <w:ind w:right="120" w:firstLine="449"/>
        <w:spacing w:after="0" w:line="286" w:lineRule="auto"/>
        <w:rPr>
          <w:sz w:val="20"/>
          <w:szCs w:val="20"/>
          <w:color w:val="auto"/>
        </w:rPr>
      </w:pPr>
      <w:r>
        <w:rPr>
          <w:rFonts w:ascii="Arial" w:cs="Arial" w:eastAsia="Arial" w:hAnsi="Arial"/>
          <w:sz w:val="17"/>
          <w:szCs w:val="17"/>
          <w:color w:val="auto"/>
        </w:rPr>
        <w:t>We’ve also completed a SOC 1, SOC 2, and SOC 3 examination. Service Organization Controls, or SOC, are standards established by the American Institute of Certified Public Accountants for reporting on internal control environments implemented within an organization. Our datacenter facilities and services providers also regularly undergo ISO 27001, SOC 1, and/or SOC 2 audits to verify their security practices. The ISO 27001</w:t>
      </w:r>
    </w:p>
    <w:p>
      <w:pPr>
        <w:spacing w:after="0" w:line="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101</w:t>
      </w:r>
    </w:p>
    <w:p>
      <w:pPr>
        <w:sectPr>
          <w:pgSz w:w="11900" w:h="16838" w:orient="portrait"/>
          <w:cols w:equalWidth="0" w:num="1">
            <w:col w:w="11240"/>
          </w:cols>
          <w:pgMar w:left="320" w:top="459" w:right="339" w:bottom="1440" w:gutter="0" w:footer="0" w:header="0"/>
        </w:sectPr>
      </w:pPr>
    </w:p>
    <w:bookmarkStart w:id="104" w:name="page105"/>
    <w:bookmarkEnd w:id="10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both"/>
        <w:ind w:right="220"/>
        <w:spacing w:after="0" w:line="263" w:lineRule="auto"/>
        <w:rPr>
          <w:sz w:val="20"/>
          <w:szCs w:val="20"/>
          <w:color w:val="auto"/>
        </w:rPr>
      </w:pPr>
      <w:r>
        <w:rPr>
          <w:rFonts w:ascii="Arial" w:cs="Arial" w:eastAsia="Arial" w:hAnsi="Arial"/>
          <w:sz w:val="18"/>
          <w:szCs w:val="18"/>
          <w:color w:val="auto"/>
        </w:rPr>
        <w:t>security standard specifies the requirements for establishing, implementing, operating, monitoring, reviewing, maintaining, and improving a documented Information Security Management System within the context of the organization’s overall business risks. This standard addresses confidentiality, access control, vulnerability, and risk assessment.</w:t>
      </w:r>
    </w:p>
    <w:p>
      <w:pPr>
        <w:spacing w:after="0" w:line="184" w:lineRule="exact"/>
        <w:rPr>
          <w:sz w:val="20"/>
          <w:szCs w:val="20"/>
          <w:color w:val="auto"/>
        </w:rPr>
      </w:pPr>
    </w:p>
    <w:p>
      <w:pPr>
        <w:ind w:firstLine="449"/>
        <w:spacing w:after="0" w:line="254" w:lineRule="auto"/>
        <w:rPr>
          <w:sz w:val="20"/>
          <w:szCs w:val="20"/>
          <w:color w:val="auto"/>
        </w:rPr>
      </w:pPr>
      <w:r>
        <w:rPr>
          <w:rFonts w:ascii="Arial" w:cs="Arial" w:eastAsia="Arial" w:hAnsi="Arial"/>
          <w:sz w:val="18"/>
          <w:szCs w:val="18"/>
          <w:color w:val="auto"/>
        </w:rPr>
        <w:t>In addition, we have CSA STAR Level 1 and Level 2 certifications from the Cloud Security Alliance, or CSA, a security assurance program for cloud services. CSA Security, Trust &amp; Assurance Registry, or STAR, is a free, publicly-accessible registry that offers a security assurance program for cloud services, helping users assess the security posture of cloud providers they currently use or are considering contracting with. CSA STAR Level 2 Certification requires a third-party independent assessment of our security controls based on the requirements of ISO 27001 and the CSA Cloud Controls Matrix, or CCM, v.3.0.1, a set of criteria that measures the capability levels of cloud services. The CSA STAR Level 1 Self-Assessment is a rigorous survey based on CSA’s Consensus Assessments Initiative Questionnaire, which aligns with the CCM, and provides answers to almost 300 questions a cloud customer or a cloud security auditor may ask. We’re also listed in the UK Digital Marketplace for government cloud services procurement under the current framework, known as G-Cloud 9.</w:t>
      </w:r>
    </w:p>
    <w:p>
      <w:pPr>
        <w:spacing w:after="0" w:line="192" w:lineRule="exact"/>
        <w:rPr>
          <w:sz w:val="20"/>
          <w:szCs w:val="20"/>
          <w:color w:val="auto"/>
        </w:rPr>
      </w:pPr>
    </w:p>
    <w:p>
      <w:pPr>
        <w:jc w:val="both"/>
        <w:ind w:right="20" w:firstLine="449"/>
        <w:spacing w:after="0" w:line="263" w:lineRule="auto"/>
        <w:rPr>
          <w:sz w:val="20"/>
          <w:szCs w:val="20"/>
          <w:color w:val="auto"/>
        </w:rPr>
      </w:pPr>
      <w:r>
        <w:rPr>
          <w:rFonts w:ascii="Arial" w:cs="Arial" w:eastAsia="Arial" w:hAnsi="Arial"/>
          <w:sz w:val="18"/>
          <w:szCs w:val="18"/>
          <w:color w:val="auto"/>
        </w:rPr>
        <w:t>Dropbox supports HIPAA and HITECH compliance. We sign business associate agreements with our customers who require them in order to comply with the Health Insurance Portability and Accountability Act, or HIPAA, and the Health Information Technology for Economic and Clinical Health Act, or HITECH. We also offer a HIPAA assessment report performed by an independent third party.</w:t>
      </w:r>
    </w:p>
    <w:p>
      <w:pPr>
        <w:spacing w:after="0" w:line="292"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Privacy</w:t>
      </w:r>
    </w:p>
    <w:p>
      <w:pPr>
        <w:spacing w:after="0" w:line="117" w:lineRule="exact"/>
        <w:rPr>
          <w:sz w:val="20"/>
          <w:szCs w:val="20"/>
          <w:color w:val="auto"/>
        </w:rPr>
      </w:pPr>
    </w:p>
    <w:p>
      <w:pPr>
        <w:ind w:right="60" w:firstLine="449"/>
        <w:spacing w:after="0" w:line="259" w:lineRule="auto"/>
        <w:rPr>
          <w:sz w:val="20"/>
          <w:szCs w:val="20"/>
          <w:color w:val="auto"/>
        </w:rPr>
      </w:pPr>
      <w:r>
        <w:rPr>
          <w:rFonts w:ascii="Arial" w:cs="Arial" w:eastAsia="Arial" w:hAnsi="Arial"/>
          <w:sz w:val="18"/>
          <w:szCs w:val="18"/>
          <w:color w:val="auto"/>
        </w:rPr>
        <w:t>We’re committed to keeping user data private. Our privacy policy details how users’ information is protected and the steps we take to protect it. Dropbox also has terms and guidelines for third-party developers to create applications that connect to Dropbox while respecting user privacy. Dropbox is certified under the EU-U.S. and Swiss-U.S. Privacy Shield and is working towards compliance with the EU General Data Protection Regulation, or GDPR, framework.</w:t>
      </w:r>
    </w:p>
    <w:p>
      <w:pPr>
        <w:spacing w:after="0" w:line="187" w:lineRule="exact"/>
        <w:rPr>
          <w:sz w:val="20"/>
          <w:szCs w:val="20"/>
          <w:color w:val="auto"/>
        </w:rPr>
      </w:pPr>
    </w:p>
    <w:p>
      <w:pPr>
        <w:ind w:right="700" w:firstLine="449"/>
        <w:spacing w:after="0" w:line="277" w:lineRule="auto"/>
        <w:rPr>
          <w:sz w:val="20"/>
          <w:szCs w:val="20"/>
          <w:color w:val="auto"/>
        </w:rPr>
      </w:pPr>
      <w:r>
        <w:rPr>
          <w:rFonts w:ascii="Arial" w:cs="Arial" w:eastAsia="Arial" w:hAnsi="Arial"/>
          <w:sz w:val="18"/>
          <w:szCs w:val="18"/>
          <w:color w:val="auto"/>
        </w:rPr>
        <w:t>We believe in transparency with our users and have adopted guiding principles regarding how we handle requests from government and law enforcement agencies seeking information about our users and their content. These guiding principles are:</w:t>
      </w:r>
    </w:p>
    <w:p>
      <w:pPr>
        <w:spacing w:after="0" w:line="76" w:lineRule="exact"/>
        <w:rPr>
          <w:sz w:val="20"/>
          <w:szCs w:val="20"/>
          <w:color w:val="auto"/>
        </w:rPr>
      </w:pPr>
    </w:p>
    <w:p>
      <w:pPr>
        <w:ind w:left="880" w:hanging="319"/>
        <w:spacing w:after="0"/>
        <w:tabs>
          <w:tab w:leader="none" w:pos="880" w:val="left"/>
        </w:tabs>
        <w:numPr>
          <w:ilvl w:val="0"/>
          <w:numId w:val="62"/>
        </w:numPr>
        <w:rPr>
          <w:rFonts w:ascii="Arial" w:cs="Arial" w:eastAsia="Arial" w:hAnsi="Arial"/>
          <w:sz w:val="18"/>
          <w:szCs w:val="18"/>
          <w:color w:val="auto"/>
        </w:rPr>
      </w:pPr>
      <w:r>
        <w:rPr>
          <w:rFonts w:ascii="Arial" w:cs="Arial" w:eastAsia="Arial" w:hAnsi="Arial"/>
          <w:sz w:val="18"/>
          <w:szCs w:val="18"/>
          <w:i w:val="1"/>
          <w:iCs w:val="1"/>
          <w:color w:val="auto"/>
        </w:rPr>
        <w:t>Be transparent</w:t>
      </w:r>
    </w:p>
    <w:p>
      <w:pPr>
        <w:spacing w:after="0" w:line="130" w:lineRule="exact"/>
        <w:rPr>
          <w:rFonts w:ascii="Arial" w:cs="Arial" w:eastAsia="Arial" w:hAnsi="Arial"/>
          <w:sz w:val="18"/>
          <w:szCs w:val="18"/>
          <w:color w:val="auto"/>
        </w:rPr>
      </w:pPr>
    </w:p>
    <w:p>
      <w:pPr>
        <w:jc w:val="both"/>
        <w:ind w:left="1440" w:right="200" w:hanging="433"/>
        <w:spacing w:after="0" w:line="263" w:lineRule="auto"/>
        <w:tabs>
          <w:tab w:leader="none" w:pos="1440" w:val="left"/>
        </w:tabs>
        <w:numPr>
          <w:ilvl w:val="1"/>
          <w:numId w:val="62"/>
        </w:numPr>
        <w:rPr>
          <w:rFonts w:ascii="Arial" w:cs="Arial" w:eastAsia="Arial" w:hAnsi="Arial"/>
          <w:sz w:val="18"/>
          <w:szCs w:val="18"/>
          <w:color w:val="auto"/>
        </w:rPr>
      </w:pPr>
      <w:r>
        <w:rPr>
          <w:rFonts w:ascii="Arial" w:cs="Arial" w:eastAsia="Arial" w:hAnsi="Arial"/>
          <w:sz w:val="18"/>
          <w:szCs w:val="18"/>
          <w:color w:val="auto"/>
        </w:rPr>
        <w:t>We believe that online services should be allowed to publish the number and types of government requests they receive, and to notify individuals when information about them has been requested. We’ll continue to publish detailed information about these requests and advocate for the right to provide more information.</w:t>
      </w:r>
    </w:p>
    <w:p>
      <w:pPr>
        <w:spacing w:after="0" w:line="89" w:lineRule="exact"/>
        <w:rPr>
          <w:rFonts w:ascii="Arial" w:cs="Arial" w:eastAsia="Arial" w:hAnsi="Arial"/>
          <w:sz w:val="18"/>
          <w:szCs w:val="18"/>
          <w:color w:val="auto"/>
        </w:rPr>
      </w:pPr>
    </w:p>
    <w:p>
      <w:pPr>
        <w:ind w:left="880" w:hanging="319"/>
        <w:spacing w:after="0"/>
        <w:tabs>
          <w:tab w:leader="none" w:pos="880" w:val="left"/>
        </w:tabs>
        <w:numPr>
          <w:ilvl w:val="0"/>
          <w:numId w:val="62"/>
        </w:numPr>
        <w:rPr>
          <w:rFonts w:ascii="Arial" w:cs="Arial" w:eastAsia="Arial" w:hAnsi="Arial"/>
          <w:sz w:val="18"/>
          <w:szCs w:val="18"/>
          <w:color w:val="auto"/>
        </w:rPr>
      </w:pPr>
      <w:r>
        <w:rPr>
          <w:rFonts w:ascii="Arial" w:cs="Arial" w:eastAsia="Arial" w:hAnsi="Arial"/>
          <w:sz w:val="18"/>
          <w:szCs w:val="18"/>
          <w:i w:val="1"/>
          <w:iCs w:val="1"/>
          <w:color w:val="auto"/>
        </w:rPr>
        <w:t>Fight overly broad requests</w:t>
      </w:r>
    </w:p>
    <w:p>
      <w:pPr>
        <w:spacing w:after="0" w:line="130" w:lineRule="exact"/>
        <w:rPr>
          <w:rFonts w:ascii="Arial" w:cs="Arial" w:eastAsia="Arial" w:hAnsi="Arial"/>
          <w:sz w:val="18"/>
          <w:szCs w:val="18"/>
          <w:color w:val="auto"/>
        </w:rPr>
      </w:pPr>
    </w:p>
    <w:p>
      <w:pPr>
        <w:ind w:left="1440" w:right="240" w:hanging="433"/>
        <w:spacing w:after="0" w:line="277" w:lineRule="auto"/>
        <w:tabs>
          <w:tab w:leader="none" w:pos="1440" w:val="left"/>
        </w:tabs>
        <w:numPr>
          <w:ilvl w:val="1"/>
          <w:numId w:val="62"/>
        </w:numPr>
        <w:rPr>
          <w:rFonts w:ascii="Arial" w:cs="Arial" w:eastAsia="Arial" w:hAnsi="Arial"/>
          <w:sz w:val="18"/>
          <w:szCs w:val="18"/>
          <w:color w:val="auto"/>
        </w:rPr>
      </w:pPr>
      <w:r>
        <w:rPr>
          <w:rFonts w:ascii="Arial" w:cs="Arial" w:eastAsia="Arial" w:hAnsi="Arial"/>
          <w:sz w:val="18"/>
          <w:szCs w:val="18"/>
          <w:color w:val="auto"/>
        </w:rPr>
        <w:t>We believe that government data requests should be limited in the information they seek and narrowly tailored to specific people and legitimate investigations. We’ll resist blanket and overly broad requests.</w:t>
      </w:r>
    </w:p>
    <w:p>
      <w:pPr>
        <w:spacing w:after="0" w:line="75" w:lineRule="exact"/>
        <w:rPr>
          <w:rFonts w:ascii="Arial" w:cs="Arial" w:eastAsia="Arial" w:hAnsi="Arial"/>
          <w:sz w:val="18"/>
          <w:szCs w:val="18"/>
          <w:color w:val="auto"/>
        </w:rPr>
      </w:pPr>
    </w:p>
    <w:p>
      <w:pPr>
        <w:ind w:left="880" w:hanging="319"/>
        <w:spacing w:after="0"/>
        <w:tabs>
          <w:tab w:leader="none" w:pos="880" w:val="left"/>
        </w:tabs>
        <w:numPr>
          <w:ilvl w:val="0"/>
          <w:numId w:val="62"/>
        </w:numPr>
        <w:rPr>
          <w:rFonts w:ascii="Arial" w:cs="Arial" w:eastAsia="Arial" w:hAnsi="Arial"/>
          <w:sz w:val="18"/>
          <w:szCs w:val="18"/>
          <w:color w:val="auto"/>
        </w:rPr>
      </w:pPr>
      <w:r>
        <w:rPr>
          <w:rFonts w:ascii="Arial" w:cs="Arial" w:eastAsia="Arial" w:hAnsi="Arial"/>
          <w:sz w:val="18"/>
          <w:szCs w:val="18"/>
          <w:i w:val="1"/>
          <w:iCs w:val="1"/>
          <w:color w:val="auto"/>
        </w:rPr>
        <w:t>Provide trusted services</w:t>
      </w:r>
    </w:p>
    <w:p>
      <w:pPr>
        <w:spacing w:after="0" w:line="130" w:lineRule="exact"/>
        <w:rPr>
          <w:rFonts w:ascii="Arial" w:cs="Arial" w:eastAsia="Arial" w:hAnsi="Arial"/>
          <w:sz w:val="18"/>
          <w:szCs w:val="18"/>
          <w:color w:val="auto"/>
        </w:rPr>
      </w:pPr>
    </w:p>
    <w:p>
      <w:pPr>
        <w:ind w:left="1440" w:right="40" w:hanging="433"/>
        <w:spacing w:after="0" w:line="308" w:lineRule="auto"/>
        <w:tabs>
          <w:tab w:leader="none" w:pos="1440" w:val="left"/>
        </w:tabs>
        <w:numPr>
          <w:ilvl w:val="1"/>
          <w:numId w:val="62"/>
        </w:numPr>
        <w:rPr>
          <w:rFonts w:ascii="Arial" w:cs="Arial" w:eastAsia="Arial" w:hAnsi="Arial"/>
          <w:sz w:val="17"/>
          <w:szCs w:val="17"/>
          <w:color w:val="auto"/>
        </w:rPr>
      </w:pPr>
      <w:r>
        <w:rPr>
          <w:rFonts w:ascii="Arial" w:cs="Arial" w:eastAsia="Arial" w:hAnsi="Arial"/>
          <w:sz w:val="17"/>
          <w:szCs w:val="17"/>
          <w:color w:val="auto"/>
        </w:rPr>
        <w:t>We believe that governments should never install backdoors into online services or compromise infrastructure to obtain user data. We’ll continue to work to protect our systems and to change laws to make it clear that this type of activity is illegal.</w:t>
      </w:r>
    </w:p>
    <w:p>
      <w:pPr>
        <w:spacing w:after="0" w:line="51" w:lineRule="exact"/>
        <w:rPr>
          <w:rFonts w:ascii="Arial" w:cs="Arial" w:eastAsia="Arial" w:hAnsi="Arial"/>
          <w:sz w:val="17"/>
          <w:szCs w:val="17"/>
          <w:color w:val="auto"/>
        </w:rPr>
      </w:pPr>
    </w:p>
    <w:p>
      <w:pPr>
        <w:ind w:left="880" w:hanging="319"/>
        <w:spacing w:after="0"/>
        <w:tabs>
          <w:tab w:leader="none" w:pos="880" w:val="left"/>
        </w:tabs>
        <w:numPr>
          <w:ilvl w:val="0"/>
          <w:numId w:val="62"/>
        </w:numPr>
        <w:rPr>
          <w:rFonts w:ascii="Arial" w:cs="Arial" w:eastAsia="Arial" w:hAnsi="Arial"/>
          <w:sz w:val="18"/>
          <w:szCs w:val="18"/>
          <w:color w:val="auto"/>
        </w:rPr>
      </w:pPr>
      <w:r>
        <w:rPr>
          <w:rFonts w:ascii="Arial" w:cs="Arial" w:eastAsia="Arial" w:hAnsi="Arial"/>
          <w:sz w:val="18"/>
          <w:szCs w:val="18"/>
          <w:i w:val="1"/>
          <w:iCs w:val="1"/>
          <w:color w:val="auto"/>
        </w:rPr>
        <w:t>Protect all users</w:t>
      </w:r>
    </w:p>
    <w:p>
      <w:pPr>
        <w:spacing w:after="0" w:line="130" w:lineRule="exact"/>
        <w:rPr>
          <w:rFonts w:ascii="Arial" w:cs="Arial" w:eastAsia="Arial" w:hAnsi="Arial"/>
          <w:sz w:val="18"/>
          <w:szCs w:val="18"/>
          <w:color w:val="auto"/>
        </w:rPr>
      </w:pPr>
    </w:p>
    <w:p>
      <w:pPr>
        <w:ind w:left="1440" w:right="100" w:hanging="433"/>
        <w:spacing w:after="0" w:line="286" w:lineRule="auto"/>
        <w:tabs>
          <w:tab w:leader="none" w:pos="1440" w:val="left"/>
        </w:tabs>
        <w:numPr>
          <w:ilvl w:val="1"/>
          <w:numId w:val="62"/>
        </w:numPr>
        <w:rPr>
          <w:rFonts w:ascii="Arial" w:cs="Arial" w:eastAsia="Arial" w:hAnsi="Arial"/>
          <w:sz w:val="17"/>
          <w:szCs w:val="17"/>
          <w:color w:val="auto"/>
        </w:rPr>
      </w:pPr>
      <w:r>
        <w:rPr>
          <w:rFonts w:ascii="Arial" w:cs="Arial" w:eastAsia="Arial" w:hAnsi="Arial"/>
          <w:sz w:val="17"/>
          <w:szCs w:val="17"/>
          <w:color w:val="auto"/>
        </w:rPr>
        <w:t>We believe that laws that give people different protections based on where they live or their citizenship are antiquated and don’t reflect the global nature of online services. We’re committed to providing the same level of protection to all of our users. That means that we use our guiding principles to scrutinize all the requests we receive, regardless of the origin of the request or user.</w:t>
      </w:r>
    </w:p>
    <w:p>
      <w:pPr>
        <w:spacing w:after="0" w:line="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102</w:t>
      </w:r>
    </w:p>
    <w:p>
      <w:pPr>
        <w:sectPr>
          <w:pgSz w:w="11900" w:h="16838" w:orient="portrait"/>
          <w:cols w:equalWidth="0" w:num="1">
            <w:col w:w="11240"/>
          </w:cols>
          <w:pgMar w:left="320" w:top="459" w:right="339" w:bottom="1440" w:gutter="0" w:footer="0" w:header="0"/>
        </w:sectPr>
      </w:pPr>
    </w:p>
    <w:bookmarkStart w:id="105" w:name="page106"/>
    <w:bookmarkEnd w:id="10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Competition</w:t>
      </w:r>
    </w:p>
    <w:p>
      <w:pPr>
        <w:spacing w:after="0" w:line="121" w:lineRule="exact"/>
        <w:rPr>
          <w:sz w:val="20"/>
          <w:szCs w:val="20"/>
          <w:color w:val="auto"/>
        </w:rPr>
      </w:pPr>
    </w:p>
    <w:p>
      <w:pPr>
        <w:ind w:right="160" w:firstLine="449"/>
        <w:spacing w:after="0" w:line="279" w:lineRule="auto"/>
        <w:rPr>
          <w:sz w:val="20"/>
          <w:szCs w:val="20"/>
          <w:color w:val="auto"/>
        </w:rPr>
      </w:pPr>
      <w:r>
        <w:rPr>
          <w:rFonts w:ascii="Arial" w:cs="Arial" w:eastAsia="Arial" w:hAnsi="Arial"/>
          <w:sz w:val="17"/>
          <w:szCs w:val="17"/>
          <w:color w:val="auto"/>
        </w:rPr>
        <w:t>The market for content collaboration platforms is competitive and rapidly changing. Certain features of our platform compete in the cloud storage market with products offered by Amazon, Apple, Google, and Microsoft, and in the content collaboration market with products offered by Atlassian, Google, and Microsoft. We compete with Box on a more limited basis in the cloud storage market for deployments by large enterprises. We also compete with smaller private companies that offer point solutions in the cloud storage market or the content collaboration market.</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believe that the principal competitive factors in our markets include the following:</w:t>
      </w:r>
    </w:p>
    <w:p>
      <w:pPr>
        <w:spacing w:after="0" w:line="131" w:lineRule="exact"/>
        <w:rPr>
          <w:sz w:val="20"/>
          <w:szCs w:val="20"/>
          <w:color w:val="auto"/>
        </w:rPr>
      </w:pPr>
    </w:p>
    <w:p>
      <w:pPr>
        <w:ind w:left="880" w:hanging="319"/>
        <w:spacing w:after="0"/>
        <w:tabs>
          <w:tab w:leader="none" w:pos="880" w:val="left"/>
        </w:tabs>
        <w:numPr>
          <w:ilvl w:val="0"/>
          <w:numId w:val="63"/>
        </w:numPr>
        <w:rPr>
          <w:rFonts w:ascii="Arial" w:cs="Arial" w:eastAsia="Arial" w:hAnsi="Arial"/>
          <w:sz w:val="18"/>
          <w:szCs w:val="18"/>
          <w:color w:val="auto"/>
        </w:rPr>
      </w:pPr>
      <w:r>
        <w:rPr>
          <w:rFonts w:ascii="Arial" w:cs="Arial" w:eastAsia="Arial" w:hAnsi="Arial"/>
          <w:sz w:val="18"/>
          <w:szCs w:val="18"/>
          <w:color w:val="auto"/>
        </w:rPr>
        <w:t>user-centric design;</w:t>
      </w:r>
    </w:p>
    <w:p>
      <w:pPr>
        <w:spacing w:after="0" w:line="130" w:lineRule="exact"/>
        <w:rPr>
          <w:rFonts w:ascii="Arial" w:cs="Arial" w:eastAsia="Arial" w:hAnsi="Arial"/>
          <w:sz w:val="18"/>
          <w:szCs w:val="18"/>
          <w:color w:val="auto"/>
        </w:rPr>
      </w:pPr>
    </w:p>
    <w:p>
      <w:pPr>
        <w:ind w:left="880" w:hanging="319"/>
        <w:spacing w:after="0"/>
        <w:tabs>
          <w:tab w:leader="none" w:pos="880" w:val="left"/>
        </w:tabs>
        <w:numPr>
          <w:ilvl w:val="0"/>
          <w:numId w:val="63"/>
        </w:numPr>
        <w:rPr>
          <w:rFonts w:ascii="Arial" w:cs="Arial" w:eastAsia="Arial" w:hAnsi="Arial"/>
          <w:sz w:val="18"/>
          <w:szCs w:val="18"/>
          <w:color w:val="auto"/>
        </w:rPr>
      </w:pPr>
      <w:r>
        <w:rPr>
          <w:rFonts w:ascii="Arial" w:cs="Arial" w:eastAsia="Arial" w:hAnsi="Arial"/>
          <w:sz w:val="18"/>
          <w:szCs w:val="18"/>
          <w:color w:val="auto"/>
        </w:rPr>
        <w:t>ease of adoption and use;</w:t>
      </w:r>
    </w:p>
    <w:p>
      <w:pPr>
        <w:spacing w:after="0" w:line="130" w:lineRule="exact"/>
        <w:rPr>
          <w:rFonts w:ascii="Arial" w:cs="Arial" w:eastAsia="Arial" w:hAnsi="Arial"/>
          <w:sz w:val="18"/>
          <w:szCs w:val="18"/>
          <w:color w:val="auto"/>
        </w:rPr>
      </w:pPr>
    </w:p>
    <w:p>
      <w:pPr>
        <w:ind w:left="880" w:hanging="319"/>
        <w:spacing w:after="0"/>
        <w:tabs>
          <w:tab w:leader="none" w:pos="880" w:val="left"/>
        </w:tabs>
        <w:numPr>
          <w:ilvl w:val="0"/>
          <w:numId w:val="63"/>
        </w:numPr>
        <w:rPr>
          <w:rFonts w:ascii="Arial" w:cs="Arial" w:eastAsia="Arial" w:hAnsi="Arial"/>
          <w:sz w:val="18"/>
          <w:szCs w:val="18"/>
          <w:color w:val="auto"/>
        </w:rPr>
      </w:pPr>
      <w:r>
        <w:rPr>
          <w:rFonts w:ascii="Arial" w:cs="Arial" w:eastAsia="Arial" w:hAnsi="Arial"/>
          <w:sz w:val="18"/>
          <w:szCs w:val="18"/>
          <w:color w:val="auto"/>
        </w:rPr>
        <w:t>scale of user network;</w:t>
      </w:r>
    </w:p>
    <w:p>
      <w:pPr>
        <w:spacing w:after="0" w:line="130" w:lineRule="exact"/>
        <w:rPr>
          <w:rFonts w:ascii="Arial" w:cs="Arial" w:eastAsia="Arial" w:hAnsi="Arial"/>
          <w:sz w:val="18"/>
          <w:szCs w:val="18"/>
          <w:color w:val="auto"/>
        </w:rPr>
      </w:pPr>
    </w:p>
    <w:p>
      <w:pPr>
        <w:ind w:left="880" w:hanging="319"/>
        <w:spacing w:after="0"/>
        <w:tabs>
          <w:tab w:leader="none" w:pos="880" w:val="left"/>
        </w:tabs>
        <w:numPr>
          <w:ilvl w:val="0"/>
          <w:numId w:val="63"/>
        </w:numPr>
        <w:rPr>
          <w:rFonts w:ascii="Arial" w:cs="Arial" w:eastAsia="Arial" w:hAnsi="Arial"/>
          <w:sz w:val="18"/>
          <w:szCs w:val="18"/>
          <w:color w:val="auto"/>
        </w:rPr>
      </w:pPr>
      <w:r>
        <w:rPr>
          <w:rFonts w:ascii="Arial" w:cs="Arial" w:eastAsia="Arial" w:hAnsi="Arial"/>
          <w:sz w:val="18"/>
          <w:szCs w:val="18"/>
          <w:color w:val="auto"/>
        </w:rPr>
        <w:t>features and platform experience;</w:t>
      </w:r>
    </w:p>
    <w:p>
      <w:pPr>
        <w:spacing w:after="0" w:line="130" w:lineRule="exact"/>
        <w:rPr>
          <w:rFonts w:ascii="Arial" w:cs="Arial" w:eastAsia="Arial" w:hAnsi="Arial"/>
          <w:sz w:val="18"/>
          <w:szCs w:val="18"/>
          <w:color w:val="auto"/>
        </w:rPr>
      </w:pPr>
    </w:p>
    <w:p>
      <w:pPr>
        <w:ind w:left="880" w:hanging="319"/>
        <w:spacing w:after="0"/>
        <w:tabs>
          <w:tab w:leader="none" w:pos="880" w:val="left"/>
        </w:tabs>
        <w:numPr>
          <w:ilvl w:val="0"/>
          <w:numId w:val="63"/>
        </w:numPr>
        <w:rPr>
          <w:rFonts w:ascii="Arial" w:cs="Arial" w:eastAsia="Arial" w:hAnsi="Arial"/>
          <w:sz w:val="18"/>
          <w:szCs w:val="18"/>
          <w:color w:val="auto"/>
        </w:rPr>
      </w:pPr>
      <w:r>
        <w:rPr>
          <w:rFonts w:ascii="Arial" w:cs="Arial" w:eastAsia="Arial" w:hAnsi="Arial"/>
          <w:sz w:val="18"/>
          <w:szCs w:val="18"/>
          <w:color w:val="auto"/>
        </w:rPr>
        <w:t>performance;</w:t>
      </w:r>
    </w:p>
    <w:p>
      <w:pPr>
        <w:spacing w:after="0" w:line="130" w:lineRule="exact"/>
        <w:rPr>
          <w:rFonts w:ascii="Arial" w:cs="Arial" w:eastAsia="Arial" w:hAnsi="Arial"/>
          <w:sz w:val="18"/>
          <w:szCs w:val="18"/>
          <w:color w:val="auto"/>
        </w:rPr>
      </w:pPr>
    </w:p>
    <w:p>
      <w:pPr>
        <w:ind w:left="880" w:hanging="319"/>
        <w:spacing w:after="0"/>
        <w:tabs>
          <w:tab w:leader="none" w:pos="880" w:val="left"/>
        </w:tabs>
        <w:numPr>
          <w:ilvl w:val="0"/>
          <w:numId w:val="63"/>
        </w:numPr>
        <w:rPr>
          <w:rFonts w:ascii="Arial" w:cs="Arial" w:eastAsia="Arial" w:hAnsi="Arial"/>
          <w:sz w:val="18"/>
          <w:szCs w:val="18"/>
          <w:color w:val="auto"/>
        </w:rPr>
      </w:pPr>
      <w:r>
        <w:rPr>
          <w:rFonts w:ascii="Arial" w:cs="Arial" w:eastAsia="Arial" w:hAnsi="Arial"/>
          <w:sz w:val="18"/>
          <w:szCs w:val="18"/>
          <w:color w:val="auto"/>
        </w:rPr>
        <w:t>brand;</w:t>
      </w:r>
    </w:p>
    <w:p>
      <w:pPr>
        <w:spacing w:after="0" w:line="130" w:lineRule="exact"/>
        <w:rPr>
          <w:rFonts w:ascii="Arial" w:cs="Arial" w:eastAsia="Arial" w:hAnsi="Arial"/>
          <w:sz w:val="18"/>
          <w:szCs w:val="18"/>
          <w:color w:val="auto"/>
        </w:rPr>
      </w:pPr>
    </w:p>
    <w:p>
      <w:pPr>
        <w:ind w:left="880" w:hanging="319"/>
        <w:spacing w:after="0"/>
        <w:tabs>
          <w:tab w:leader="none" w:pos="880" w:val="left"/>
        </w:tabs>
        <w:numPr>
          <w:ilvl w:val="0"/>
          <w:numId w:val="63"/>
        </w:numPr>
        <w:rPr>
          <w:rFonts w:ascii="Arial" w:cs="Arial" w:eastAsia="Arial" w:hAnsi="Arial"/>
          <w:sz w:val="18"/>
          <w:szCs w:val="18"/>
          <w:color w:val="auto"/>
        </w:rPr>
      </w:pPr>
      <w:r>
        <w:rPr>
          <w:rFonts w:ascii="Arial" w:cs="Arial" w:eastAsia="Arial" w:hAnsi="Arial"/>
          <w:sz w:val="18"/>
          <w:szCs w:val="18"/>
          <w:color w:val="auto"/>
        </w:rPr>
        <w:t>security and privacy;</w:t>
      </w:r>
    </w:p>
    <w:p>
      <w:pPr>
        <w:spacing w:after="0" w:line="130" w:lineRule="exact"/>
        <w:rPr>
          <w:rFonts w:ascii="Arial" w:cs="Arial" w:eastAsia="Arial" w:hAnsi="Arial"/>
          <w:sz w:val="18"/>
          <w:szCs w:val="18"/>
          <w:color w:val="auto"/>
        </w:rPr>
      </w:pPr>
    </w:p>
    <w:p>
      <w:pPr>
        <w:ind w:left="880" w:hanging="319"/>
        <w:spacing w:after="0"/>
        <w:tabs>
          <w:tab w:leader="none" w:pos="880" w:val="left"/>
        </w:tabs>
        <w:numPr>
          <w:ilvl w:val="0"/>
          <w:numId w:val="63"/>
        </w:numPr>
        <w:rPr>
          <w:rFonts w:ascii="Arial" w:cs="Arial" w:eastAsia="Arial" w:hAnsi="Arial"/>
          <w:sz w:val="18"/>
          <w:szCs w:val="18"/>
          <w:color w:val="auto"/>
        </w:rPr>
      </w:pPr>
      <w:r>
        <w:rPr>
          <w:rFonts w:ascii="Arial" w:cs="Arial" w:eastAsia="Arial" w:hAnsi="Arial"/>
          <w:sz w:val="18"/>
          <w:szCs w:val="18"/>
          <w:color w:val="auto"/>
        </w:rPr>
        <w:t>accessibility across several devices, operating systems, and applications;</w:t>
      </w:r>
    </w:p>
    <w:p>
      <w:pPr>
        <w:spacing w:after="0" w:line="130" w:lineRule="exact"/>
        <w:rPr>
          <w:rFonts w:ascii="Arial" w:cs="Arial" w:eastAsia="Arial" w:hAnsi="Arial"/>
          <w:sz w:val="18"/>
          <w:szCs w:val="18"/>
          <w:color w:val="auto"/>
        </w:rPr>
      </w:pPr>
    </w:p>
    <w:p>
      <w:pPr>
        <w:ind w:left="880" w:hanging="319"/>
        <w:spacing w:after="0"/>
        <w:tabs>
          <w:tab w:leader="none" w:pos="880" w:val="left"/>
        </w:tabs>
        <w:numPr>
          <w:ilvl w:val="0"/>
          <w:numId w:val="63"/>
        </w:numPr>
        <w:rPr>
          <w:rFonts w:ascii="Arial" w:cs="Arial" w:eastAsia="Arial" w:hAnsi="Arial"/>
          <w:sz w:val="18"/>
          <w:szCs w:val="18"/>
          <w:color w:val="auto"/>
        </w:rPr>
      </w:pPr>
      <w:r>
        <w:rPr>
          <w:rFonts w:ascii="Arial" w:cs="Arial" w:eastAsia="Arial" w:hAnsi="Arial"/>
          <w:sz w:val="18"/>
          <w:szCs w:val="18"/>
          <w:color w:val="auto"/>
        </w:rPr>
        <w:t>third-party integration;</w:t>
      </w:r>
    </w:p>
    <w:p>
      <w:pPr>
        <w:spacing w:after="0" w:line="130" w:lineRule="exact"/>
        <w:rPr>
          <w:rFonts w:ascii="Arial" w:cs="Arial" w:eastAsia="Arial" w:hAnsi="Arial"/>
          <w:sz w:val="18"/>
          <w:szCs w:val="18"/>
          <w:color w:val="auto"/>
        </w:rPr>
      </w:pPr>
    </w:p>
    <w:p>
      <w:pPr>
        <w:ind w:left="880" w:hanging="319"/>
        <w:spacing w:after="0"/>
        <w:tabs>
          <w:tab w:leader="none" w:pos="880" w:val="left"/>
        </w:tabs>
        <w:numPr>
          <w:ilvl w:val="0"/>
          <w:numId w:val="63"/>
        </w:numPr>
        <w:rPr>
          <w:rFonts w:ascii="Arial" w:cs="Arial" w:eastAsia="Arial" w:hAnsi="Arial"/>
          <w:sz w:val="18"/>
          <w:szCs w:val="18"/>
          <w:color w:val="auto"/>
        </w:rPr>
      </w:pPr>
      <w:r>
        <w:rPr>
          <w:rFonts w:ascii="Arial" w:cs="Arial" w:eastAsia="Arial" w:hAnsi="Arial"/>
          <w:sz w:val="18"/>
          <w:szCs w:val="18"/>
          <w:color w:val="auto"/>
        </w:rPr>
        <w:t>customer support;</w:t>
      </w:r>
    </w:p>
    <w:p>
      <w:pPr>
        <w:spacing w:after="0" w:line="130" w:lineRule="exact"/>
        <w:rPr>
          <w:rFonts w:ascii="Arial" w:cs="Arial" w:eastAsia="Arial" w:hAnsi="Arial"/>
          <w:sz w:val="18"/>
          <w:szCs w:val="18"/>
          <w:color w:val="auto"/>
        </w:rPr>
      </w:pPr>
    </w:p>
    <w:p>
      <w:pPr>
        <w:ind w:left="880" w:hanging="319"/>
        <w:spacing w:after="0"/>
        <w:tabs>
          <w:tab w:leader="none" w:pos="880" w:val="left"/>
        </w:tabs>
        <w:numPr>
          <w:ilvl w:val="0"/>
          <w:numId w:val="63"/>
        </w:numPr>
        <w:rPr>
          <w:rFonts w:ascii="Arial" w:cs="Arial" w:eastAsia="Arial" w:hAnsi="Arial"/>
          <w:sz w:val="18"/>
          <w:szCs w:val="18"/>
          <w:color w:val="auto"/>
        </w:rPr>
      </w:pPr>
      <w:r>
        <w:rPr>
          <w:rFonts w:ascii="Arial" w:cs="Arial" w:eastAsia="Arial" w:hAnsi="Arial"/>
          <w:sz w:val="18"/>
          <w:szCs w:val="18"/>
          <w:color w:val="auto"/>
        </w:rPr>
        <w:t>continued innovation; and</w:t>
      </w:r>
    </w:p>
    <w:p>
      <w:pPr>
        <w:spacing w:after="0" w:line="130" w:lineRule="exact"/>
        <w:rPr>
          <w:rFonts w:ascii="Arial" w:cs="Arial" w:eastAsia="Arial" w:hAnsi="Arial"/>
          <w:sz w:val="18"/>
          <w:szCs w:val="18"/>
          <w:color w:val="auto"/>
        </w:rPr>
      </w:pPr>
    </w:p>
    <w:p>
      <w:pPr>
        <w:ind w:left="880" w:hanging="319"/>
        <w:spacing w:after="0"/>
        <w:tabs>
          <w:tab w:leader="none" w:pos="880" w:val="left"/>
        </w:tabs>
        <w:numPr>
          <w:ilvl w:val="0"/>
          <w:numId w:val="63"/>
        </w:numPr>
        <w:rPr>
          <w:rFonts w:ascii="Arial" w:cs="Arial" w:eastAsia="Arial" w:hAnsi="Arial"/>
          <w:sz w:val="18"/>
          <w:szCs w:val="18"/>
          <w:color w:val="auto"/>
        </w:rPr>
      </w:pPr>
      <w:r>
        <w:rPr>
          <w:rFonts w:ascii="Arial" w:cs="Arial" w:eastAsia="Arial" w:hAnsi="Arial"/>
          <w:sz w:val="18"/>
          <w:szCs w:val="18"/>
          <w:color w:val="auto"/>
        </w:rPr>
        <w:t>pricing.</w:t>
      </w:r>
    </w:p>
    <w:p>
      <w:pPr>
        <w:spacing w:after="0" w:line="225" w:lineRule="exact"/>
        <w:rPr>
          <w:sz w:val="20"/>
          <w:szCs w:val="20"/>
          <w:color w:val="auto"/>
        </w:rPr>
      </w:pPr>
    </w:p>
    <w:p>
      <w:pPr>
        <w:ind w:firstLine="449"/>
        <w:spacing w:after="0" w:line="259" w:lineRule="auto"/>
        <w:rPr>
          <w:sz w:val="20"/>
          <w:szCs w:val="20"/>
          <w:color w:val="auto"/>
        </w:rPr>
      </w:pPr>
      <w:r>
        <w:rPr>
          <w:rFonts w:ascii="Arial" w:cs="Arial" w:eastAsia="Arial" w:hAnsi="Arial"/>
          <w:sz w:val="18"/>
          <w:szCs w:val="18"/>
          <w:color w:val="auto"/>
        </w:rPr>
        <w:t>We believe we compete favorably across these factors and are largely uninhibited by legacy constraints. However, some of our competitors may have greater name recognition, longer operating histories, more varied services, the ability to bundle a broader range of products and services, larger marketing budgets, established marketing relationships, access to larger user bases, major distribution agreements with hardware manufacturers and resellers, and greater financial, technical, and other resources.</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Intellectual Property</w:t>
      </w:r>
    </w:p>
    <w:p>
      <w:pPr>
        <w:spacing w:after="0" w:line="121" w:lineRule="exact"/>
        <w:rPr>
          <w:sz w:val="20"/>
          <w:szCs w:val="20"/>
          <w:color w:val="auto"/>
        </w:rPr>
      </w:pPr>
    </w:p>
    <w:p>
      <w:pPr>
        <w:ind w:right="80" w:firstLine="449"/>
        <w:spacing w:after="0" w:line="259" w:lineRule="auto"/>
        <w:rPr>
          <w:sz w:val="20"/>
          <w:szCs w:val="20"/>
          <w:color w:val="auto"/>
        </w:rPr>
      </w:pPr>
      <w:r>
        <w:rPr>
          <w:rFonts w:ascii="Arial" w:cs="Arial" w:eastAsia="Arial" w:hAnsi="Arial"/>
          <w:sz w:val="18"/>
          <w:szCs w:val="18"/>
          <w:color w:val="auto"/>
        </w:rPr>
        <w:t>We believe that our intellectual property rights are valuable and important to our business. We rely on patents, patent applications, trademarks, copyrights, trade secrets, know-how license agreements, confidentiality procedures, non-disclosure agreements, employee disclosure and invention assignment agreements, and other contractual rights to establish and protect our proprietary rights. In addition, from time to time we’ve purchased patents, inbound licenses, trademarks, domain names, and patent applications from third parties.</w:t>
      </w:r>
    </w:p>
    <w:p>
      <w:pPr>
        <w:spacing w:after="0" w:line="187" w:lineRule="exact"/>
        <w:rPr>
          <w:sz w:val="20"/>
          <w:szCs w:val="20"/>
          <w:color w:val="auto"/>
        </w:rPr>
      </w:pPr>
    </w:p>
    <w:p>
      <w:pPr>
        <w:ind w:right="200" w:firstLine="449"/>
        <w:spacing w:after="0" w:line="263" w:lineRule="auto"/>
        <w:rPr>
          <w:sz w:val="20"/>
          <w:szCs w:val="20"/>
          <w:color w:val="auto"/>
        </w:rPr>
      </w:pPr>
      <w:r>
        <w:rPr>
          <w:rFonts w:ascii="Arial" w:cs="Arial" w:eastAsia="Arial" w:hAnsi="Arial"/>
          <w:sz w:val="18"/>
          <w:szCs w:val="18"/>
          <w:color w:val="auto"/>
        </w:rPr>
        <w:t>We have over 550 issued patents and more than 550 pending patent applications in the United States and abroad. These patents and patent applications seek to protect our proprietary inventions relevant to our business. In addition, we have a large number of inbound licenses to key patents in the file collaboration, storage, syncing, and sharing markets.</w:t>
      </w:r>
    </w:p>
    <w:p>
      <w:pPr>
        <w:spacing w:after="0" w:line="184" w:lineRule="exact"/>
        <w:rPr>
          <w:sz w:val="20"/>
          <w:szCs w:val="20"/>
          <w:color w:val="auto"/>
        </w:rPr>
      </w:pPr>
    </w:p>
    <w:p>
      <w:pPr>
        <w:ind w:firstLine="449"/>
        <w:spacing w:after="0" w:line="263" w:lineRule="auto"/>
        <w:rPr>
          <w:sz w:val="20"/>
          <w:szCs w:val="20"/>
          <w:color w:val="auto"/>
        </w:rPr>
      </w:pPr>
      <w:r>
        <w:rPr>
          <w:rFonts w:ascii="Arial" w:cs="Arial" w:eastAsia="Arial" w:hAnsi="Arial"/>
          <w:sz w:val="18"/>
          <w:szCs w:val="18"/>
          <w:color w:val="auto"/>
        </w:rPr>
        <w:t>We have trademark rights in our name, our logo, and other brand indicia, and have trademark registrations for select marks in the United States and many other jurisdictions around the world. We also have registered domain names for websites that we use in our business, such as www.dropbox.com, and similar variations.</w:t>
      </w:r>
    </w:p>
    <w:p>
      <w:pPr>
        <w:spacing w:after="0" w:line="11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103</w:t>
      </w:r>
    </w:p>
    <w:p>
      <w:pPr>
        <w:sectPr>
          <w:pgSz w:w="11900" w:h="16838" w:orient="portrait"/>
          <w:cols w:equalWidth="0" w:num="1">
            <w:col w:w="11200"/>
          </w:cols>
          <w:pgMar w:left="320" w:top="459" w:right="379" w:bottom="1440" w:gutter="0" w:footer="0" w:header="0"/>
        </w:sectPr>
      </w:pPr>
    </w:p>
    <w:bookmarkStart w:id="106" w:name="page107"/>
    <w:bookmarkEnd w:id="10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both"/>
        <w:ind w:right="20" w:firstLine="449"/>
        <w:spacing w:after="0" w:line="311" w:lineRule="auto"/>
        <w:rPr>
          <w:sz w:val="20"/>
          <w:szCs w:val="20"/>
          <w:color w:val="auto"/>
        </w:rPr>
      </w:pPr>
      <w:r>
        <w:rPr>
          <w:rFonts w:ascii="Arial" w:cs="Arial" w:eastAsia="Arial" w:hAnsi="Arial"/>
          <w:sz w:val="16"/>
          <w:szCs w:val="16"/>
          <w:color w:val="auto"/>
        </w:rPr>
        <w:t>We intend to pursue additional intellectual property protection to the extent we believe it would be beneficial and cost effective. Despite our efforts to protect our intellectual property rights, they may not be respected in the future or may be invalidated, circumvented, or challenged. In addition, the laws of various foreign countries where our products are distributed may not protect our intellectual property rights to the same extent as laws in the United States.</w:t>
      </w:r>
    </w:p>
    <w:p>
      <w:pPr>
        <w:spacing w:after="0" w:line="2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Legal Proceedings</w:t>
      </w:r>
    </w:p>
    <w:p>
      <w:pPr>
        <w:spacing w:after="0" w:line="121" w:lineRule="exact"/>
        <w:rPr>
          <w:sz w:val="20"/>
          <w:szCs w:val="20"/>
          <w:color w:val="auto"/>
        </w:rPr>
      </w:pPr>
    </w:p>
    <w:p>
      <w:pPr>
        <w:ind w:firstLine="449"/>
        <w:spacing w:after="0" w:line="290" w:lineRule="auto"/>
        <w:rPr>
          <w:sz w:val="20"/>
          <w:szCs w:val="20"/>
          <w:color w:val="auto"/>
        </w:rPr>
      </w:pPr>
      <w:r>
        <w:rPr>
          <w:rFonts w:ascii="Arial" w:cs="Arial" w:eastAsia="Arial" w:hAnsi="Arial"/>
          <w:sz w:val="16"/>
          <w:szCs w:val="16"/>
          <w:color w:val="auto"/>
        </w:rPr>
        <w:t>We are currently involved in, and may in the future be involved in, legal proceedings, claims, and government investigations in the ordinary course of business, including legal proceedings with third parties asserting infringement of their intellectual property rights. For example, in April 2015, Synchronoss Technologies, Inc., a public company that provides cloud-based products, filed a patent infringement lawsuit against us in the United States District Court for the District of New Jersey, claiming three counts of patent infringement and seeking injunctive relief. The case was subsequently transferred to the United States District Court for the Northern District of California. We do not currently believe that this matter is likely to have a material adverse impact on our consolidated results of operations, cash flows, or our financial position, and we intend to vigorously defend this lawsuit, and believe we have valid defenses to the claims. However, any litigation is inherently uncertain, and any judgment or injunctive relief entered against us or any adverse settlement could materially and adversely impact our business, results of operations, financial condition, and prospects.</w:t>
      </w:r>
    </w:p>
    <w:p>
      <w:pPr>
        <w:spacing w:after="0" w:line="165" w:lineRule="exact"/>
        <w:rPr>
          <w:sz w:val="20"/>
          <w:szCs w:val="20"/>
          <w:color w:val="auto"/>
        </w:rPr>
      </w:pPr>
    </w:p>
    <w:p>
      <w:pPr>
        <w:ind w:right="300" w:firstLine="449"/>
        <w:spacing w:after="0" w:line="259" w:lineRule="auto"/>
        <w:rPr>
          <w:sz w:val="20"/>
          <w:szCs w:val="20"/>
          <w:color w:val="auto"/>
        </w:rPr>
      </w:pPr>
      <w:r>
        <w:rPr>
          <w:rFonts w:ascii="Arial" w:cs="Arial" w:eastAsia="Arial" w:hAnsi="Arial"/>
          <w:sz w:val="18"/>
          <w:szCs w:val="18"/>
          <w:color w:val="auto"/>
        </w:rPr>
        <w:t>Future litigation may be necessary, among other things, to defend ourselves or our users by determining the scope, enforceability, and validity of third-party proprietary rights or to establish our proprietary rights. The results of any current or future litigation cannot be predicted with certainty, and regardless of the outcome, litigation can have an adverse impact on us because of defense and settlement costs, diversion of management resources, and other factors.</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Facilities</w:t>
      </w:r>
    </w:p>
    <w:p>
      <w:pPr>
        <w:spacing w:after="0" w:line="121" w:lineRule="exact"/>
        <w:rPr>
          <w:sz w:val="20"/>
          <w:szCs w:val="20"/>
          <w:color w:val="auto"/>
        </w:rPr>
      </w:pPr>
    </w:p>
    <w:p>
      <w:pPr>
        <w:ind w:firstLine="449"/>
        <w:spacing w:after="0" w:line="259" w:lineRule="auto"/>
        <w:rPr>
          <w:sz w:val="20"/>
          <w:szCs w:val="20"/>
          <w:color w:val="auto"/>
        </w:rPr>
      </w:pPr>
      <w:r>
        <w:rPr>
          <w:rFonts w:ascii="Arial" w:cs="Arial" w:eastAsia="Arial" w:hAnsi="Arial"/>
          <w:sz w:val="18"/>
          <w:szCs w:val="18"/>
          <w:color w:val="auto"/>
        </w:rPr>
        <w:t>Our corporate headquarters is located in San Francisco, California, pursuant to operating leases that expire in 2027. We lease additional offices in San Francisco and around the world, including in Austin, Texas; Dublin, Ireland; London, United Kingdom; New York, New York; Seattle, Washington; Sydney, Australia; and Tokyo, Japan. We have datacenter co-location facilities in California, Texas, and Virginia. We believe that these facilities are generally suitable to meet our needs.</w:t>
      </w:r>
    </w:p>
    <w:p>
      <w:pPr>
        <w:spacing w:after="0" w:line="1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104</w:t>
      </w:r>
    </w:p>
    <w:p>
      <w:pPr>
        <w:sectPr>
          <w:pgSz w:w="11900" w:h="16838" w:orient="portrait"/>
          <w:cols w:equalWidth="0" w:num="1">
            <w:col w:w="11240"/>
          </w:cols>
          <w:pgMar w:left="320" w:top="459" w:right="339" w:bottom="1440" w:gutter="0" w:footer="0" w:header="0"/>
        </w:sectPr>
      </w:pPr>
    </w:p>
    <w:bookmarkStart w:id="107" w:name="page108"/>
    <w:bookmarkEnd w:id="10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MANAGEMENT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Executive Officers and Directors</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provides information regarding our executive officers and directors as of September 30, 2017:</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38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4"/>
              </w:rPr>
              <w:t>Name</w:t>
            </w:r>
          </w:p>
        </w:tc>
        <w:tc>
          <w:tcPr>
            <w:tcW w:w="3440" w:type="dxa"/>
            <w:vAlign w:val="bottom"/>
          </w:tcPr>
          <w:p>
            <w:pPr>
              <w:spacing w:after="0"/>
              <w:rPr>
                <w:sz w:val="16"/>
                <w:szCs w:val="16"/>
                <w:color w:val="auto"/>
              </w:rPr>
            </w:pPr>
          </w:p>
        </w:tc>
        <w:tc>
          <w:tcPr>
            <w:tcW w:w="2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0"/>
              </w:rPr>
              <w:t>Age</w:t>
            </w:r>
          </w:p>
        </w:tc>
        <w:tc>
          <w:tcPr>
            <w:tcW w:w="200" w:type="dxa"/>
            <w:vAlign w:val="bottom"/>
          </w:tcPr>
          <w:p>
            <w:pPr>
              <w:spacing w:after="0"/>
              <w:rPr>
                <w:sz w:val="16"/>
                <w:szCs w:val="16"/>
                <w:color w:val="auto"/>
              </w:rPr>
            </w:pPr>
          </w:p>
        </w:tc>
        <w:tc>
          <w:tcPr>
            <w:tcW w:w="6960" w:type="dxa"/>
            <w:vAlign w:val="bottom"/>
            <w:tcBorders>
              <w:bottom w:val="single" w:sz="8" w:color="auto"/>
            </w:tcBorders>
          </w:tcPr>
          <w:p>
            <w:pPr>
              <w:ind w:left="3240"/>
              <w:spacing w:after="0"/>
              <w:rPr>
                <w:sz w:val="20"/>
                <w:szCs w:val="20"/>
                <w:color w:val="auto"/>
              </w:rPr>
            </w:pPr>
            <w:r>
              <w:rPr>
                <w:rFonts w:ascii="Arial" w:cs="Arial" w:eastAsia="Arial" w:hAnsi="Arial"/>
                <w:sz w:val="14"/>
                <w:szCs w:val="14"/>
                <w:b w:val="1"/>
                <w:bCs w:val="1"/>
                <w:color w:val="auto"/>
              </w:rPr>
              <w:t>Position</w:t>
            </w:r>
          </w:p>
        </w:tc>
      </w:tr>
      <w:tr>
        <w:trPr>
          <w:trHeight w:val="182"/>
        </w:trPr>
        <w:tc>
          <w:tcPr>
            <w:tcW w:w="3820" w:type="dxa"/>
            <w:vAlign w:val="bottom"/>
            <w:gridSpan w:val="2"/>
          </w:tcPr>
          <w:p>
            <w:pPr>
              <w:spacing w:after="0" w:line="182" w:lineRule="exact"/>
              <w:rPr>
                <w:sz w:val="20"/>
                <w:szCs w:val="20"/>
                <w:color w:val="auto"/>
              </w:rPr>
            </w:pPr>
            <w:r>
              <w:rPr>
                <w:rFonts w:ascii="Arial" w:cs="Arial" w:eastAsia="Arial" w:hAnsi="Arial"/>
                <w:sz w:val="18"/>
                <w:szCs w:val="18"/>
                <w:i w:val="1"/>
                <w:iCs w:val="1"/>
                <w:color w:val="auto"/>
              </w:rPr>
              <w:t>Executive officers:</w:t>
            </w:r>
          </w:p>
        </w:tc>
        <w:tc>
          <w:tcPr>
            <w:tcW w:w="2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960" w:type="dxa"/>
            <w:vAlign w:val="bottom"/>
          </w:tcPr>
          <w:p>
            <w:pPr>
              <w:spacing w:after="0"/>
              <w:rPr>
                <w:sz w:val="15"/>
                <w:szCs w:val="15"/>
                <w:color w:val="auto"/>
              </w:rPr>
            </w:pPr>
          </w:p>
        </w:tc>
      </w:tr>
      <w:tr>
        <w:trPr>
          <w:trHeight w:val="216"/>
        </w:trPr>
        <w:tc>
          <w:tcPr>
            <w:tcW w:w="3820" w:type="dxa"/>
            <w:vAlign w:val="bottom"/>
            <w:gridSpan w:val="2"/>
          </w:tcPr>
          <w:p>
            <w:pPr>
              <w:spacing w:after="0"/>
              <w:rPr>
                <w:sz w:val="20"/>
                <w:szCs w:val="20"/>
                <w:color w:val="auto"/>
              </w:rPr>
            </w:pPr>
            <w:r>
              <w:rPr>
                <w:rFonts w:ascii="Arial" w:cs="Arial" w:eastAsia="Arial" w:hAnsi="Arial"/>
                <w:sz w:val="18"/>
                <w:szCs w:val="18"/>
                <w:color w:val="auto"/>
              </w:rPr>
              <w:t>Andrew W. Houston</w:t>
            </w:r>
          </w:p>
        </w:tc>
        <w:tc>
          <w:tcPr>
            <w:tcW w:w="260" w:type="dxa"/>
            <w:vAlign w:val="bottom"/>
          </w:tcPr>
          <w:p>
            <w:pPr>
              <w:jc w:val="center"/>
              <w:spacing w:after="0"/>
              <w:rPr>
                <w:sz w:val="20"/>
                <w:szCs w:val="20"/>
                <w:color w:val="auto"/>
              </w:rPr>
            </w:pPr>
            <w:r>
              <w:rPr>
                <w:rFonts w:ascii="Arial" w:cs="Arial" w:eastAsia="Arial" w:hAnsi="Arial"/>
                <w:sz w:val="18"/>
                <w:szCs w:val="18"/>
                <w:color w:val="auto"/>
                <w:w w:val="89"/>
              </w:rPr>
              <w:t>34</w:t>
            </w:r>
          </w:p>
        </w:tc>
        <w:tc>
          <w:tcPr>
            <w:tcW w:w="7160" w:type="dxa"/>
            <w:vAlign w:val="bottom"/>
            <w:gridSpan w:val="2"/>
          </w:tcPr>
          <w:p>
            <w:pPr>
              <w:ind w:left="200"/>
              <w:spacing w:after="0"/>
              <w:rPr>
                <w:sz w:val="20"/>
                <w:szCs w:val="20"/>
                <w:color w:val="auto"/>
              </w:rPr>
            </w:pPr>
            <w:r>
              <w:rPr>
                <w:rFonts w:ascii="Arial" w:cs="Arial" w:eastAsia="Arial" w:hAnsi="Arial"/>
                <w:sz w:val="18"/>
                <w:szCs w:val="18"/>
                <w:color w:val="auto"/>
              </w:rPr>
              <w:t>Chief Executive Officer, Co-Founder, and Chairman</w:t>
            </w:r>
          </w:p>
        </w:tc>
      </w:tr>
      <w:tr>
        <w:trPr>
          <w:trHeight w:val="216"/>
        </w:trPr>
        <w:tc>
          <w:tcPr>
            <w:tcW w:w="3820" w:type="dxa"/>
            <w:vAlign w:val="bottom"/>
            <w:gridSpan w:val="2"/>
          </w:tcPr>
          <w:p>
            <w:pPr>
              <w:spacing w:after="0"/>
              <w:rPr>
                <w:sz w:val="20"/>
                <w:szCs w:val="20"/>
                <w:color w:val="auto"/>
              </w:rPr>
            </w:pPr>
            <w:r>
              <w:rPr>
                <w:rFonts w:ascii="Arial" w:cs="Arial" w:eastAsia="Arial" w:hAnsi="Arial"/>
                <w:sz w:val="18"/>
                <w:szCs w:val="18"/>
                <w:color w:val="auto"/>
              </w:rPr>
              <w:t>Arash Ferdowsi</w:t>
            </w:r>
          </w:p>
        </w:tc>
        <w:tc>
          <w:tcPr>
            <w:tcW w:w="260" w:type="dxa"/>
            <w:vAlign w:val="bottom"/>
          </w:tcPr>
          <w:p>
            <w:pPr>
              <w:jc w:val="center"/>
              <w:spacing w:after="0"/>
              <w:rPr>
                <w:sz w:val="20"/>
                <w:szCs w:val="20"/>
                <w:color w:val="auto"/>
              </w:rPr>
            </w:pPr>
            <w:r>
              <w:rPr>
                <w:rFonts w:ascii="Arial" w:cs="Arial" w:eastAsia="Arial" w:hAnsi="Arial"/>
                <w:sz w:val="18"/>
                <w:szCs w:val="18"/>
                <w:color w:val="auto"/>
                <w:w w:val="89"/>
              </w:rPr>
              <w:t>31</w:t>
            </w:r>
          </w:p>
        </w:tc>
        <w:tc>
          <w:tcPr>
            <w:tcW w:w="7160" w:type="dxa"/>
            <w:vAlign w:val="bottom"/>
            <w:gridSpan w:val="2"/>
          </w:tcPr>
          <w:p>
            <w:pPr>
              <w:ind w:left="200"/>
              <w:spacing w:after="0"/>
              <w:rPr>
                <w:sz w:val="20"/>
                <w:szCs w:val="20"/>
                <w:color w:val="auto"/>
              </w:rPr>
            </w:pPr>
            <w:r>
              <w:rPr>
                <w:rFonts w:ascii="Arial" w:cs="Arial" w:eastAsia="Arial" w:hAnsi="Arial"/>
                <w:sz w:val="18"/>
                <w:szCs w:val="18"/>
                <w:color w:val="auto"/>
              </w:rPr>
              <w:t>Co-Founder and Director</w:t>
            </w:r>
          </w:p>
        </w:tc>
      </w:tr>
      <w:tr>
        <w:trPr>
          <w:trHeight w:val="216"/>
        </w:trPr>
        <w:tc>
          <w:tcPr>
            <w:tcW w:w="3820" w:type="dxa"/>
            <w:vAlign w:val="bottom"/>
            <w:gridSpan w:val="2"/>
          </w:tcPr>
          <w:p>
            <w:pPr>
              <w:spacing w:after="0"/>
              <w:rPr>
                <w:sz w:val="20"/>
                <w:szCs w:val="20"/>
                <w:color w:val="auto"/>
              </w:rPr>
            </w:pPr>
            <w:r>
              <w:rPr>
                <w:rFonts w:ascii="Arial" w:cs="Arial" w:eastAsia="Arial" w:hAnsi="Arial"/>
                <w:sz w:val="18"/>
                <w:szCs w:val="18"/>
                <w:color w:val="auto"/>
              </w:rPr>
              <w:t>Quentin J. Clark</w:t>
            </w:r>
          </w:p>
        </w:tc>
        <w:tc>
          <w:tcPr>
            <w:tcW w:w="260" w:type="dxa"/>
            <w:vAlign w:val="bottom"/>
          </w:tcPr>
          <w:p>
            <w:pPr>
              <w:jc w:val="center"/>
              <w:spacing w:after="0"/>
              <w:rPr>
                <w:sz w:val="20"/>
                <w:szCs w:val="20"/>
                <w:color w:val="auto"/>
              </w:rPr>
            </w:pPr>
            <w:r>
              <w:rPr>
                <w:rFonts w:ascii="Arial" w:cs="Arial" w:eastAsia="Arial" w:hAnsi="Arial"/>
                <w:sz w:val="18"/>
                <w:szCs w:val="18"/>
                <w:color w:val="auto"/>
                <w:w w:val="89"/>
              </w:rPr>
              <w:t>46</w:t>
            </w:r>
          </w:p>
        </w:tc>
        <w:tc>
          <w:tcPr>
            <w:tcW w:w="7160" w:type="dxa"/>
            <w:vAlign w:val="bottom"/>
            <w:gridSpan w:val="2"/>
          </w:tcPr>
          <w:p>
            <w:pPr>
              <w:ind w:left="200"/>
              <w:spacing w:after="0"/>
              <w:rPr>
                <w:sz w:val="20"/>
                <w:szCs w:val="20"/>
                <w:color w:val="auto"/>
              </w:rPr>
            </w:pPr>
            <w:r>
              <w:rPr>
                <w:rFonts w:ascii="Arial" w:cs="Arial" w:eastAsia="Arial" w:hAnsi="Arial"/>
                <w:sz w:val="18"/>
                <w:szCs w:val="18"/>
                <w:color w:val="auto"/>
              </w:rPr>
              <w:t>Senior Vice President of Engineering, Product, and Design</w:t>
            </w:r>
          </w:p>
        </w:tc>
      </w:tr>
      <w:tr>
        <w:trPr>
          <w:trHeight w:val="216"/>
        </w:trPr>
        <w:tc>
          <w:tcPr>
            <w:tcW w:w="3820" w:type="dxa"/>
            <w:vAlign w:val="bottom"/>
            <w:gridSpan w:val="2"/>
          </w:tcPr>
          <w:p>
            <w:pPr>
              <w:spacing w:after="0"/>
              <w:rPr>
                <w:sz w:val="20"/>
                <w:szCs w:val="20"/>
                <w:color w:val="auto"/>
              </w:rPr>
            </w:pPr>
            <w:r>
              <w:rPr>
                <w:rFonts w:ascii="Arial" w:cs="Arial" w:eastAsia="Arial" w:hAnsi="Arial"/>
                <w:sz w:val="18"/>
                <w:szCs w:val="18"/>
                <w:color w:val="auto"/>
              </w:rPr>
              <w:t>Ajay V. Vashee</w:t>
            </w:r>
          </w:p>
        </w:tc>
        <w:tc>
          <w:tcPr>
            <w:tcW w:w="260" w:type="dxa"/>
            <w:vAlign w:val="bottom"/>
          </w:tcPr>
          <w:p>
            <w:pPr>
              <w:jc w:val="center"/>
              <w:spacing w:after="0"/>
              <w:rPr>
                <w:sz w:val="20"/>
                <w:szCs w:val="20"/>
                <w:color w:val="auto"/>
              </w:rPr>
            </w:pPr>
            <w:r>
              <w:rPr>
                <w:rFonts w:ascii="Arial" w:cs="Arial" w:eastAsia="Arial" w:hAnsi="Arial"/>
                <w:sz w:val="18"/>
                <w:szCs w:val="18"/>
                <w:color w:val="auto"/>
                <w:w w:val="89"/>
              </w:rPr>
              <w:t>34</w:t>
            </w:r>
          </w:p>
        </w:tc>
        <w:tc>
          <w:tcPr>
            <w:tcW w:w="7160" w:type="dxa"/>
            <w:vAlign w:val="bottom"/>
            <w:gridSpan w:val="2"/>
          </w:tcPr>
          <w:p>
            <w:pPr>
              <w:ind w:left="200"/>
              <w:spacing w:after="0"/>
              <w:rPr>
                <w:sz w:val="20"/>
                <w:szCs w:val="20"/>
                <w:color w:val="auto"/>
              </w:rPr>
            </w:pPr>
            <w:r>
              <w:rPr>
                <w:rFonts w:ascii="Arial" w:cs="Arial" w:eastAsia="Arial" w:hAnsi="Arial"/>
                <w:sz w:val="18"/>
                <w:szCs w:val="18"/>
                <w:color w:val="auto"/>
              </w:rPr>
              <w:t>Chief Financial Officer</w:t>
            </w:r>
          </w:p>
        </w:tc>
      </w:tr>
      <w:tr>
        <w:trPr>
          <w:trHeight w:val="216"/>
        </w:trPr>
        <w:tc>
          <w:tcPr>
            <w:tcW w:w="3820" w:type="dxa"/>
            <w:vAlign w:val="bottom"/>
            <w:gridSpan w:val="2"/>
          </w:tcPr>
          <w:p>
            <w:pPr>
              <w:spacing w:after="0"/>
              <w:rPr>
                <w:sz w:val="20"/>
                <w:szCs w:val="20"/>
                <w:color w:val="auto"/>
              </w:rPr>
            </w:pPr>
            <w:r>
              <w:rPr>
                <w:rFonts w:ascii="Arial" w:cs="Arial" w:eastAsia="Arial" w:hAnsi="Arial"/>
                <w:sz w:val="18"/>
                <w:szCs w:val="18"/>
                <w:color w:val="auto"/>
              </w:rPr>
              <w:t>Bart E. Volkmer</w:t>
            </w:r>
          </w:p>
        </w:tc>
        <w:tc>
          <w:tcPr>
            <w:tcW w:w="260" w:type="dxa"/>
            <w:vAlign w:val="bottom"/>
          </w:tcPr>
          <w:p>
            <w:pPr>
              <w:jc w:val="center"/>
              <w:spacing w:after="0"/>
              <w:rPr>
                <w:sz w:val="20"/>
                <w:szCs w:val="20"/>
                <w:color w:val="auto"/>
              </w:rPr>
            </w:pPr>
            <w:r>
              <w:rPr>
                <w:rFonts w:ascii="Arial" w:cs="Arial" w:eastAsia="Arial" w:hAnsi="Arial"/>
                <w:sz w:val="18"/>
                <w:szCs w:val="18"/>
                <w:color w:val="auto"/>
                <w:w w:val="89"/>
              </w:rPr>
              <w:t>43</w:t>
            </w:r>
          </w:p>
        </w:tc>
        <w:tc>
          <w:tcPr>
            <w:tcW w:w="7160" w:type="dxa"/>
            <w:vAlign w:val="bottom"/>
            <w:gridSpan w:val="2"/>
          </w:tcPr>
          <w:p>
            <w:pPr>
              <w:ind w:left="200"/>
              <w:spacing w:after="0"/>
              <w:rPr>
                <w:sz w:val="20"/>
                <w:szCs w:val="20"/>
                <w:color w:val="auto"/>
              </w:rPr>
            </w:pPr>
            <w:r>
              <w:rPr>
                <w:rFonts w:ascii="Arial" w:cs="Arial" w:eastAsia="Arial" w:hAnsi="Arial"/>
                <w:sz w:val="18"/>
                <w:szCs w:val="18"/>
                <w:color w:val="auto"/>
              </w:rPr>
              <w:t>General Counsel</w:t>
            </w:r>
          </w:p>
        </w:tc>
      </w:tr>
      <w:tr>
        <w:trPr>
          <w:trHeight w:val="230"/>
        </w:trPr>
        <w:tc>
          <w:tcPr>
            <w:tcW w:w="3820" w:type="dxa"/>
            <w:vAlign w:val="bottom"/>
            <w:gridSpan w:val="2"/>
          </w:tcPr>
          <w:p>
            <w:pPr>
              <w:spacing w:after="0"/>
              <w:rPr>
                <w:sz w:val="20"/>
                <w:szCs w:val="20"/>
                <w:color w:val="auto"/>
              </w:rPr>
            </w:pPr>
            <w:r>
              <w:rPr>
                <w:rFonts w:ascii="Arial" w:cs="Arial" w:eastAsia="Arial" w:hAnsi="Arial"/>
                <w:sz w:val="18"/>
                <w:szCs w:val="18"/>
                <w:color w:val="auto"/>
              </w:rPr>
              <w:t>Dennis M. Woodside</w:t>
            </w:r>
          </w:p>
        </w:tc>
        <w:tc>
          <w:tcPr>
            <w:tcW w:w="260" w:type="dxa"/>
            <w:vAlign w:val="bottom"/>
          </w:tcPr>
          <w:p>
            <w:pPr>
              <w:jc w:val="center"/>
              <w:spacing w:after="0"/>
              <w:rPr>
                <w:sz w:val="20"/>
                <w:szCs w:val="20"/>
                <w:color w:val="auto"/>
              </w:rPr>
            </w:pPr>
            <w:r>
              <w:rPr>
                <w:rFonts w:ascii="Arial" w:cs="Arial" w:eastAsia="Arial" w:hAnsi="Arial"/>
                <w:sz w:val="18"/>
                <w:szCs w:val="18"/>
                <w:color w:val="auto"/>
                <w:w w:val="89"/>
              </w:rPr>
              <w:t>48</w:t>
            </w:r>
          </w:p>
        </w:tc>
        <w:tc>
          <w:tcPr>
            <w:tcW w:w="7160" w:type="dxa"/>
            <w:vAlign w:val="bottom"/>
            <w:gridSpan w:val="2"/>
          </w:tcPr>
          <w:p>
            <w:pPr>
              <w:ind w:left="200"/>
              <w:spacing w:after="0"/>
              <w:rPr>
                <w:sz w:val="20"/>
                <w:szCs w:val="20"/>
                <w:color w:val="auto"/>
              </w:rPr>
            </w:pPr>
            <w:r>
              <w:rPr>
                <w:rFonts w:ascii="Arial" w:cs="Arial" w:eastAsia="Arial" w:hAnsi="Arial"/>
                <w:sz w:val="18"/>
                <w:szCs w:val="18"/>
                <w:color w:val="auto"/>
              </w:rPr>
              <w:t>Chief Operating Officer</w:t>
            </w:r>
          </w:p>
        </w:tc>
      </w:tr>
      <w:tr>
        <w:trPr>
          <w:trHeight w:val="269"/>
        </w:trPr>
        <w:tc>
          <w:tcPr>
            <w:tcW w:w="3820" w:type="dxa"/>
            <w:vAlign w:val="bottom"/>
            <w:gridSpan w:val="2"/>
          </w:tcPr>
          <w:p>
            <w:pPr>
              <w:spacing w:after="0"/>
              <w:rPr>
                <w:sz w:val="20"/>
                <w:szCs w:val="20"/>
                <w:color w:val="auto"/>
              </w:rPr>
            </w:pPr>
            <w:r>
              <w:rPr>
                <w:rFonts w:ascii="Arial" w:cs="Arial" w:eastAsia="Arial" w:hAnsi="Arial"/>
                <w:sz w:val="18"/>
                <w:szCs w:val="18"/>
                <w:i w:val="1"/>
                <w:iCs w:val="1"/>
                <w:color w:val="auto"/>
              </w:rPr>
              <w:t>Non-executive directors</w:t>
            </w:r>
            <w:r>
              <w:rPr>
                <w:rFonts w:ascii="Arial" w:cs="Arial" w:eastAsia="Arial" w:hAnsi="Arial"/>
                <w:sz w:val="18"/>
                <w:szCs w:val="18"/>
                <w:color w:val="auto"/>
              </w:rPr>
              <w:t>:</w:t>
            </w:r>
          </w:p>
        </w:tc>
        <w:tc>
          <w:tcPr>
            <w:tcW w:w="26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6960" w:type="dxa"/>
            <w:vAlign w:val="bottom"/>
          </w:tcPr>
          <w:p>
            <w:pPr>
              <w:spacing w:after="0"/>
              <w:rPr>
                <w:sz w:val="23"/>
                <w:szCs w:val="23"/>
                <w:color w:val="auto"/>
              </w:rPr>
            </w:pPr>
          </w:p>
        </w:tc>
      </w:tr>
      <w:tr>
        <w:trPr>
          <w:trHeight w:val="216"/>
        </w:trPr>
        <w:tc>
          <w:tcPr>
            <w:tcW w:w="3820" w:type="dxa"/>
            <w:vAlign w:val="bottom"/>
            <w:gridSpan w:val="2"/>
          </w:tcPr>
          <w:p>
            <w:pPr>
              <w:spacing w:after="0"/>
              <w:rPr>
                <w:sz w:val="20"/>
                <w:szCs w:val="20"/>
                <w:color w:val="auto"/>
              </w:rPr>
            </w:pPr>
            <w:r>
              <w:rPr>
                <w:rFonts w:ascii="Arial" w:cs="Arial" w:eastAsia="Arial" w:hAnsi="Arial"/>
                <w:sz w:val="18"/>
                <w:szCs w:val="18"/>
                <w:color w:val="auto"/>
              </w:rPr>
              <w:t>Paul E. Jacobs</w:t>
            </w:r>
          </w:p>
        </w:tc>
        <w:tc>
          <w:tcPr>
            <w:tcW w:w="260" w:type="dxa"/>
            <w:vAlign w:val="bottom"/>
          </w:tcPr>
          <w:p>
            <w:pPr>
              <w:jc w:val="center"/>
              <w:spacing w:after="0"/>
              <w:rPr>
                <w:sz w:val="20"/>
                <w:szCs w:val="20"/>
                <w:color w:val="auto"/>
              </w:rPr>
            </w:pPr>
            <w:r>
              <w:rPr>
                <w:rFonts w:ascii="Arial" w:cs="Arial" w:eastAsia="Arial" w:hAnsi="Arial"/>
                <w:sz w:val="18"/>
                <w:szCs w:val="18"/>
                <w:color w:val="auto"/>
                <w:w w:val="89"/>
              </w:rPr>
              <w:t>54</w:t>
            </w:r>
          </w:p>
        </w:tc>
        <w:tc>
          <w:tcPr>
            <w:tcW w:w="7160" w:type="dxa"/>
            <w:vAlign w:val="bottom"/>
            <w:gridSpan w:val="2"/>
          </w:tcPr>
          <w:p>
            <w:pPr>
              <w:ind w:left="200"/>
              <w:spacing w:after="0"/>
              <w:rPr>
                <w:sz w:val="20"/>
                <w:szCs w:val="20"/>
                <w:color w:val="auto"/>
              </w:rPr>
            </w:pPr>
            <w:r>
              <w:rPr>
                <w:rFonts w:ascii="Arial" w:cs="Arial" w:eastAsia="Arial" w:hAnsi="Arial"/>
                <w:sz w:val="18"/>
                <w:szCs w:val="18"/>
                <w:color w:val="auto"/>
              </w:rPr>
              <w:t>Director</w:t>
            </w:r>
          </w:p>
        </w:tc>
      </w:tr>
      <w:tr>
        <w:trPr>
          <w:trHeight w:val="216"/>
        </w:trPr>
        <w:tc>
          <w:tcPr>
            <w:tcW w:w="3820" w:type="dxa"/>
            <w:vAlign w:val="bottom"/>
            <w:gridSpan w:val="2"/>
          </w:tcPr>
          <w:p>
            <w:pPr>
              <w:spacing w:after="0"/>
              <w:rPr>
                <w:sz w:val="20"/>
                <w:szCs w:val="20"/>
                <w:color w:val="auto"/>
              </w:rPr>
            </w:pPr>
            <w:r>
              <w:rPr>
                <w:rFonts w:ascii="Arial" w:cs="Arial" w:eastAsia="Arial" w:hAnsi="Arial"/>
                <w:sz w:val="18"/>
                <w:szCs w:val="18"/>
                <w:color w:val="auto"/>
              </w:rPr>
              <w:t>Robert J. Mylod, Jr.</w:t>
            </w:r>
          </w:p>
        </w:tc>
        <w:tc>
          <w:tcPr>
            <w:tcW w:w="260" w:type="dxa"/>
            <w:vAlign w:val="bottom"/>
          </w:tcPr>
          <w:p>
            <w:pPr>
              <w:jc w:val="center"/>
              <w:spacing w:after="0"/>
              <w:rPr>
                <w:sz w:val="20"/>
                <w:szCs w:val="20"/>
                <w:color w:val="auto"/>
              </w:rPr>
            </w:pPr>
            <w:r>
              <w:rPr>
                <w:rFonts w:ascii="Arial" w:cs="Arial" w:eastAsia="Arial" w:hAnsi="Arial"/>
                <w:sz w:val="18"/>
                <w:szCs w:val="18"/>
                <w:color w:val="auto"/>
                <w:w w:val="89"/>
              </w:rPr>
              <w:t>50</w:t>
            </w:r>
          </w:p>
        </w:tc>
        <w:tc>
          <w:tcPr>
            <w:tcW w:w="7160" w:type="dxa"/>
            <w:vAlign w:val="bottom"/>
            <w:gridSpan w:val="2"/>
          </w:tcPr>
          <w:p>
            <w:pPr>
              <w:ind w:left="200"/>
              <w:spacing w:after="0"/>
              <w:rPr>
                <w:sz w:val="20"/>
                <w:szCs w:val="20"/>
                <w:color w:val="auto"/>
              </w:rPr>
            </w:pPr>
            <w:r>
              <w:rPr>
                <w:rFonts w:ascii="Arial" w:cs="Arial" w:eastAsia="Arial" w:hAnsi="Arial"/>
                <w:sz w:val="18"/>
                <w:szCs w:val="18"/>
                <w:color w:val="auto"/>
              </w:rPr>
              <w:t>Director</w:t>
            </w:r>
          </w:p>
        </w:tc>
      </w:tr>
      <w:tr>
        <w:trPr>
          <w:trHeight w:val="216"/>
        </w:trPr>
        <w:tc>
          <w:tcPr>
            <w:tcW w:w="3820" w:type="dxa"/>
            <w:vAlign w:val="bottom"/>
            <w:gridSpan w:val="2"/>
          </w:tcPr>
          <w:p>
            <w:pPr>
              <w:spacing w:after="0"/>
              <w:rPr>
                <w:sz w:val="20"/>
                <w:szCs w:val="20"/>
                <w:color w:val="auto"/>
              </w:rPr>
            </w:pPr>
            <w:r>
              <w:rPr>
                <w:rFonts w:ascii="Arial" w:cs="Arial" w:eastAsia="Arial" w:hAnsi="Arial"/>
                <w:sz w:val="18"/>
                <w:szCs w:val="18"/>
                <w:color w:val="auto"/>
              </w:rPr>
              <w:t>Condoleezza Rice</w:t>
            </w:r>
          </w:p>
        </w:tc>
        <w:tc>
          <w:tcPr>
            <w:tcW w:w="260" w:type="dxa"/>
            <w:vAlign w:val="bottom"/>
          </w:tcPr>
          <w:p>
            <w:pPr>
              <w:jc w:val="center"/>
              <w:spacing w:after="0"/>
              <w:rPr>
                <w:sz w:val="20"/>
                <w:szCs w:val="20"/>
                <w:color w:val="auto"/>
              </w:rPr>
            </w:pPr>
            <w:r>
              <w:rPr>
                <w:rFonts w:ascii="Arial" w:cs="Arial" w:eastAsia="Arial" w:hAnsi="Arial"/>
                <w:sz w:val="18"/>
                <w:szCs w:val="18"/>
                <w:color w:val="auto"/>
                <w:w w:val="89"/>
              </w:rPr>
              <w:t>62</w:t>
            </w:r>
          </w:p>
        </w:tc>
        <w:tc>
          <w:tcPr>
            <w:tcW w:w="7160" w:type="dxa"/>
            <w:vAlign w:val="bottom"/>
            <w:gridSpan w:val="2"/>
          </w:tcPr>
          <w:p>
            <w:pPr>
              <w:ind w:left="200"/>
              <w:spacing w:after="0"/>
              <w:rPr>
                <w:sz w:val="20"/>
                <w:szCs w:val="20"/>
                <w:color w:val="auto"/>
              </w:rPr>
            </w:pPr>
            <w:r>
              <w:rPr>
                <w:rFonts w:ascii="Arial" w:cs="Arial" w:eastAsia="Arial" w:hAnsi="Arial"/>
                <w:sz w:val="18"/>
                <w:szCs w:val="18"/>
                <w:color w:val="auto"/>
              </w:rPr>
              <w:t>Director</w:t>
            </w:r>
          </w:p>
        </w:tc>
      </w:tr>
      <w:tr>
        <w:trPr>
          <w:trHeight w:val="216"/>
        </w:trPr>
        <w:tc>
          <w:tcPr>
            <w:tcW w:w="3820" w:type="dxa"/>
            <w:vAlign w:val="bottom"/>
            <w:gridSpan w:val="2"/>
          </w:tcPr>
          <w:p>
            <w:pPr>
              <w:spacing w:after="0"/>
              <w:rPr>
                <w:sz w:val="20"/>
                <w:szCs w:val="20"/>
                <w:color w:val="auto"/>
              </w:rPr>
            </w:pPr>
            <w:r>
              <w:rPr>
                <w:rFonts w:ascii="Arial" w:cs="Arial" w:eastAsia="Arial" w:hAnsi="Arial"/>
                <w:sz w:val="18"/>
                <w:szCs w:val="18"/>
                <w:color w:val="auto"/>
              </w:rPr>
              <w:t>R. Bryan Schreier</w:t>
            </w:r>
          </w:p>
        </w:tc>
        <w:tc>
          <w:tcPr>
            <w:tcW w:w="260" w:type="dxa"/>
            <w:vAlign w:val="bottom"/>
          </w:tcPr>
          <w:p>
            <w:pPr>
              <w:jc w:val="center"/>
              <w:spacing w:after="0"/>
              <w:rPr>
                <w:sz w:val="20"/>
                <w:szCs w:val="20"/>
                <w:color w:val="auto"/>
              </w:rPr>
            </w:pPr>
            <w:r>
              <w:rPr>
                <w:rFonts w:ascii="Arial" w:cs="Arial" w:eastAsia="Arial" w:hAnsi="Arial"/>
                <w:sz w:val="18"/>
                <w:szCs w:val="18"/>
                <w:color w:val="auto"/>
                <w:w w:val="89"/>
              </w:rPr>
              <w:t>39</w:t>
            </w:r>
          </w:p>
        </w:tc>
        <w:tc>
          <w:tcPr>
            <w:tcW w:w="7160" w:type="dxa"/>
            <w:vAlign w:val="bottom"/>
            <w:gridSpan w:val="2"/>
          </w:tcPr>
          <w:p>
            <w:pPr>
              <w:ind w:left="200"/>
              <w:spacing w:after="0"/>
              <w:rPr>
                <w:sz w:val="20"/>
                <w:szCs w:val="20"/>
                <w:color w:val="auto"/>
              </w:rPr>
            </w:pPr>
            <w:r>
              <w:rPr>
                <w:rFonts w:ascii="Arial" w:cs="Arial" w:eastAsia="Arial" w:hAnsi="Arial"/>
                <w:sz w:val="18"/>
                <w:szCs w:val="18"/>
                <w:color w:val="auto"/>
              </w:rPr>
              <w:t>Director</w:t>
            </w:r>
          </w:p>
        </w:tc>
      </w:tr>
      <w:tr>
        <w:trPr>
          <w:trHeight w:val="230"/>
        </w:trPr>
        <w:tc>
          <w:tcPr>
            <w:tcW w:w="3820" w:type="dxa"/>
            <w:vAlign w:val="bottom"/>
            <w:gridSpan w:val="2"/>
          </w:tcPr>
          <w:p>
            <w:pPr>
              <w:spacing w:after="0"/>
              <w:rPr>
                <w:sz w:val="20"/>
                <w:szCs w:val="20"/>
                <w:color w:val="auto"/>
              </w:rPr>
            </w:pPr>
            <w:r>
              <w:rPr>
                <w:rFonts w:ascii="Arial" w:cs="Arial" w:eastAsia="Arial" w:hAnsi="Arial"/>
                <w:sz w:val="18"/>
                <w:szCs w:val="18"/>
                <w:color w:val="auto"/>
              </w:rPr>
              <w:t>Margaret C. Whitman</w:t>
            </w:r>
          </w:p>
        </w:tc>
        <w:tc>
          <w:tcPr>
            <w:tcW w:w="260" w:type="dxa"/>
            <w:vAlign w:val="bottom"/>
          </w:tcPr>
          <w:p>
            <w:pPr>
              <w:jc w:val="center"/>
              <w:spacing w:after="0"/>
              <w:rPr>
                <w:sz w:val="20"/>
                <w:szCs w:val="20"/>
                <w:color w:val="auto"/>
              </w:rPr>
            </w:pPr>
            <w:r>
              <w:rPr>
                <w:rFonts w:ascii="Arial" w:cs="Arial" w:eastAsia="Arial" w:hAnsi="Arial"/>
                <w:sz w:val="18"/>
                <w:szCs w:val="18"/>
                <w:color w:val="auto"/>
                <w:w w:val="89"/>
              </w:rPr>
              <w:t>61</w:t>
            </w:r>
          </w:p>
        </w:tc>
        <w:tc>
          <w:tcPr>
            <w:tcW w:w="7160" w:type="dxa"/>
            <w:vAlign w:val="bottom"/>
            <w:gridSpan w:val="2"/>
          </w:tcPr>
          <w:p>
            <w:pPr>
              <w:ind w:left="200"/>
              <w:spacing w:after="0"/>
              <w:rPr>
                <w:sz w:val="20"/>
                <w:szCs w:val="20"/>
                <w:color w:val="auto"/>
              </w:rPr>
            </w:pPr>
            <w:r>
              <w:rPr>
                <w:rFonts w:ascii="Arial" w:cs="Arial" w:eastAsia="Arial" w:hAnsi="Arial"/>
                <w:sz w:val="18"/>
                <w:szCs w:val="18"/>
                <w:color w:val="auto"/>
              </w:rPr>
              <w:t>Director</w:t>
            </w:r>
          </w:p>
        </w:tc>
      </w:tr>
    </w:tbl>
    <w:p>
      <w:pPr>
        <w:spacing w:after="0" w:line="310"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Executive officers</w:t>
      </w:r>
    </w:p>
    <w:p>
      <w:pPr>
        <w:spacing w:after="0" w:line="117" w:lineRule="exact"/>
        <w:rPr>
          <w:sz w:val="20"/>
          <w:szCs w:val="20"/>
          <w:color w:val="auto"/>
        </w:rPr>
      </w:pPr>
    </w:p>
    <w:p>
      <w:pPr>
        <w:ind w:right="200" w:firstLine="449"/>
        <w:spacing w:after="0" w:line="277" w:lineRule="auto"/>
        <w:rPr>
          <w:sz w:val="20"/>
          <w:szCs w:val="20"/>
          <w:color w:val="auto"/>
        </w:rPr>
      </w:pPr>
      <w:r>
        <w:rPr>
          <w:rFonts w:ascii="Arial" w:cs="Arial" w:eastAsia="Arial" w:hAnsi="Arial"/>
          <w:sz w:val="18"/>
          <w:szCs w:val="18"/>
          <w:i w:val="1"/>
          <w:iCs w:val="1"/>
          <w:color w:val="auto"/>
        </w:rPr>
        <w:t>Andrew W. Houston</w:t>
      </w:r>
      <w:r>
        <w:rPr>
          <w:rFonts w:ascii="Arial" w:cs="Arial" w:eastAsia="Arial" w:hAnsi="Arial"/>
          <w:sz w:val="18"/>
          <w:szCs w:val="18"/>
          <w:color w:val="auto"/>
        </w:rPr>
        <w:t>. Mr. Houston is one of our co-founders and has served as a member of our Board of Directors and our Chief Executive Officer</w:t>
      </w:r>
      <w:r>
        <w:rPr>
          <w:rFonts w:ascii="Arial" w:cs="Arial" w:eastAsia="Arial" w:hAnsi="Arial"/>
          <w:sz w:val="18"/>
          <w:szCs w:val="18"/>
          <w:i w:val="1"/>
          <w:iCs w:val="1"/>
          <w:color w:val="auto"/>
        </w:rPr>
        <w:t xml:space="preserve"> </w:t>
      </w:r>
      <w:r>
        <w:rPr>
          <w:rFonts w:ascii="Arial" w:cs="Arial" w:eastAsia="Arial" w:hAnsi="Arial"/>
          <w:sz w:val="18"/>
          <w:szCs w:val="18"/>
          <w:color w:val="auto"/>
        </w:rPr>
        <w:t>since June 2007. Mr. Houston holds a B.S. in Computer Science from the Massachusetts Institute of Technology.</w:t>
      </w:r>
    </w:p>
    <w:p>
      <w:pPr>
        <w:spacing w:after="0" w:line="170" w:lineRule="exact"/>
        <w:rPr>
          <w:sz w:val="20"/>
          <w:szCs w:val="20"/>
          <w:color w:val="auto"/>
        </w:rPr>
      </w:pPr>
    </w:p>
    <w:p>
      <w:pPr>
        <w:ind w:right="80" w:firstLine="449"/>
        <w:spacing w:after="0" w:line="277" w:lineRule="auto"/>
        <w:rPr>
          <w:sz w:val="20"/>
          <w:szCs w:val="20"/>
          <w:color w:val="auto"/>
        </w:rPr>
      </w:pPr>
      <w:r>
        <w:rPr>
          <w:rFonts w:ascii="Arial" w:cs="Arial" w:eastAsia="Arial" w:hAnsi="Arial"/>
          <w:sz w:val="18"/>
          <w:szCs w:val="18"/>
          <w:color w:val="auto"/>
        </w:rPr>
        <w:t>Mr. Houston was selected to serve on our Board of Directors because of the perspective and experience he brings as our Chief Executive Officer and as one of our co-founders.</w:t>
      </w:r>
    </w:p>
    <w:p>
      <w:pPr>
        <w:spacing w:after="0" w:line="170" w:lineRule="exact"/>
        <w:rPr>
          <w:sz w:val="20"/>
          <w:szCs w:val="20"/>
          <w:color w:val="auto"/>
        </w:rPr>
      </w:pPr>
    </w:p>
    <w:p>
      <w:pPr>
        <w:ind w:right="160" w:firstLine="449"/>
        <w:spacing w:after="0" w:line="308" w:lineRule="auto"/>
        <w:rPr>
          <w:sz w:val="20"/>
          <w:szCs w:val="20"/>
          <w:color w:val="auto"/>
        </w:rPr>
      </w:pPr>
      <w:r>
        <w:rPr>
          <w:rFonts w:ascii="Arial" w:cs="Arial" w:eastAsia="Arial" w:hAnsi="Arial"/>
          <w:sz w:val="17"/>
          <w:szCs w:val="17"/>
          <w:i w:val="1"/>
          <w:iCs w:val="1"/>
          <w:color w:val="auto"/>
        </w:rPr>
        <w:t>Arash Ferdowsi</w:t>
      </w:r>
      <w:r>
        <w:rPr>
          <w:rFonts w:ascii="Arial" w:cs="Arial" w:eastAsia="Arial" w:hAnsi="Arial"/>
          <w:sz w:val="17"/>
          <w:szCs w:val="17"/>
          <w:color w:val="auto"/>
        </w:rPr>
        <w:t>. Mr. Ferdowsi is one of our co-founders and has served as a member of our Board of Directors since June 2007. From June 2007 to</w:t>
      </w:r>
      <w:r>
        <w:rPr>
          <w:rFonts w:ascii="Arial" w:cs="Arial" w:eastAsia="Arial" w:hAnsi="Arial"/>
          <w:sz w:val="17"/>
          <w:szCs w:val="17"/>
          <w:i w:val="1"/>
          <w:iCs w:val="1"/>
          <w:color w:val="auto"/>
        </w:rPr>
        <w:t xml:space="preserve"> </w:t>
      </w:r>
      <w:r>
        <w:rPr>
          <w:rFonts w:ascii="Arial" w:cs="Arial" w:eastAsia="Arial" w:hAnsi="Arial"/>
          <w:sz w:val="17"/>
          <w:szCs w:val="17"/>
          <w:color w:val="auto"/>
        </w:rPr>
        <w:t>October 2016, Mr. Ferdowsi served as our Chief Technology Officer. Mr. Ferdowsi attended the Massachusetts Institute of Technology.</w:t>
      </w:r>
    </w:p>
    <w:p>
      <w:pPr>
        <w:spacing w:after="0" w:line="146" w:lineRule="exact"/>
        <w:rPr>
          <w:sz w:val="20"/>
          <w:szCs w:val="20"/>
          <w:color w:val="auto"/>
        </w:rPr>
      </w:pPr>
    </w:p>
    <w:p>
      <w:pPr>
        <w:ind w:left="460"/>
        <w:spacing w:after="0"/>
        <w:rPr>
          <w:sz w:val="20"/>
          <w:szCs w:val="20"/>
          <w:color w:val="auto"/>
        </w:rPr>
      </w:pPr>
      <w:r>
        <w:rPr>
          <w:rFonts w:ascii="Arial" w:cs="Arial" w:eastAsia="Arial" w:hAnsi="Arial"/>
          <w:sz w:val="17"/>
          <w:szCs w:val="17"/>
          <w:color w:val="auto"/>
        </w:rPr>
        <w:t>Mr. Ferdowsi was selected to serve on our Board of Directors because of the perspective and experience he brings as one of our co-founders.</w:t>
      </w:r>
    </w:p>
    <w:p>
      <w:pPr>
        <w:spacing w:after="0" w:line="237" w:lineRule="exact"/>
        <w:rPr>
          <w:sz w:val="20"/>
          <w:szCs w:val="20"/>
          <w:color w:val="auto"/>
        </w:rPr>
      </w:pPr>
    </w:p>
    <w:p>
      <w:pPr>
        <w:ind w:right="140" w:firstLine="449"/>
        <w:spacing w:after="0" w:line="255" w:lineRule="auto"/>
        <w:rPr>
          <w:sz w:val="20"/>
          <w:szCs w:val="20"/>
          <w:color w:val="auto"/>
        </w:rPr>
      </w:pPr>
      <w:r>
        <w:rPr>
          <w:rFonts w:ascii="Arial" w:cs="Arial" w:eastAsia="Arial" w:hAnsi="Arial"/>
          <w:sz w:val="18"/>
          <w:szCs w:val="18"/>
          <w:i w:val="1"/>
          <w:iCs w:val="1"/>
          <w:color w:val="auto"/>
        </w:rPr>
        <w:t>Quentin J. Clark</w:t>
      </w:r>
      <w:r>
        <w:rPr>
          <w:rFonts w:ascii="Arial" w:cs="Arial" w:eastAsia="Arial" w:hAnsi="Arial"/>
          <w:sz w:val="18"/>
          <w:szCs w:val="18"/>
          <w:color w:val="auto"/>
        </w:rPr>
        <w:t>. Mr. Clark has served as our Senior Vice President of Engineering, Product, and Design since September 2017. From November</w:t>
      </w:r>
      <w:r>
        <w:rPr>
          <w:rFonts w:ascii="Arial" w:cs="Arial" w:eastAsia="Arial" w:hAnsi="Arial"/>
          <w:sz w:val="18"/>
          <w:szCs w:val="18"/>
          <w:i w:val="1"/>
          <w:iCs w:val="1"/>
          <w:color w:val="auto"/>
        </w:rPr>
        <w:t xml:space="preserve"> </w:t>
      </w:r>
      <w:r>
        <w:rPr>
          <w:rFonts w:ascii="Arial" w:cs="Arial" w:eastAsia="Arial" w:hAnsi="Arial"/>
          <w:sz w:val="18"/>
          <w:szCs w:val="18"/>
          <w:color w:val="auto"/>
        </w:rPr>
        <w:t>2014 to September 2016, Mr. Clark served as Executive Vice President for SAP America, Inc., a developer of business software solutions, as its Chief Business Officer from October 2015 to September 2016, and as its Chief Technology Officer from November 2014 to October 2015. Prior to joining SAP, Mr. Clark served at Microsoft Corporation, a global technology company, and as a Corporate Vice President of enterprise business units since 2011, and held various engineering and product leadership roles at Microsoft since 1994. Mr. Clark holds a B.S. in Physics from the University of Massachusetts Amherst.</w:t>
      </w:r>
    </w:p>
    <w:p>
      <w:pPr>
        <w:spacing w:after="0" w:line="192" w:lineRule="exact"/>
        <w:rPr>
          <w:sz w:val="20"/>
          <w:szCs w:val="20"/>
          <w:color w:val="auto"/>
        </w:rPr>
      </w:pPr>
    </w:p>
    <w:p>
      <w:pPr>
        <w:ind w:right="140" w:firstLine="449"/>
        <w:spacing w:after="0" w:line="263" w:lineRule="auto"/>
        <w:rPr>
          <w:sz w:val="20"/>
          <w:szCs w:val="20"/>
          <w:color w:val="auto"/>
        </w:rPr>
      </w:pPr>
      <w:r>
        <w:rPr>
          <w:rFonts w:ascii="Arial" w:cs="Arial" w:eastAsia="Arial" w:hAnsi="Arial"/>
          <w:sz w:val="18"/>
          <w:szCs w:val="18"/>
          <w:i w:val="1"/>
          <w:iCs w:val="1"/>
          <w:color w:val="auto"/>
        </w:rPr>
        <w:t>Ajay V. Vashee</w:t>
      </w:r>
      <w:r>
        <w:rPr>
          <w:rFonts w:ascii="Arial" w:cs="Arial" w:eastAsia="Arial" w:hAnsi="Arial"/>
          <w:sz w:val="18"/>
          <w:szCs w:val="18"/>
          <w:color w:val="auto"/>
        </w:rPr>
        <w:t>. Mr. Vashee has served as our Chief Financial Officer since September 2016. From February 2015 to September 2016, Mr. Vashee</w:t>
      </w:r>
      <w:r>
        <w:rPr>
          <w:rFonts w:ascii="Arial" w:cs="Arial" w:eastAsia="Arial" w:hAnsi="Arial"/>
          <w:sz w:val="18"/>
          <w:szCs w:val="18"/>
          <w:i w:val="1"/>
          <w:iCs w:val="1"/>
          <w:color w:val="auto"/>
        </w:rPr>
        <w:t xml:space="preserve"> </w:t>
      </w:r>
      <w:r>
        <w:rPr>
          <w:rFonts w:ascii="Arial" w:cs="Arial" w:eastAsia="Arial" w:hAnsi="Arial"/>
          <w:sz w:val="18"/>
          <w:szCs w:val="18"/>
          <w:color w:val="auto"/>
        </w:rPr>
        <w:t>served as our Head of Corporate Development. From April 2012 to February 2015, Mr. Vashee served as our Head of Finance. Mr. Vashee holds a B.A. in Economics-Political Science from Columbia University.</w:t>
      </w:r>
    </w:p>
    <w:p>
      <w:pPr>
        <w:spacing w:after="0" w:line="184" w:lineRule="exact"/>
        <w:rPr>
          <w:sz w:val="20"/>
          <w:szCs w:val="20"/>
          <w:color w:val="auto"/>
        </w:rPr>
      </w:pPr>
    </w:p>
    <w:p>
      <w:pPr>
        <w:ind w:right="80" w:firstLine="449"/>
        <w:spacing w:after="0" w:line="342" w:lineRule="auto"/>
        <w:rPr>
          <w:sz w:val="20"/>
          <w:szCs w:val="20"/>
          <w:color w:val="auto"/>
        </w:rPr>
      </w:pPr>
      <w:r>
        <w:rPr>
          <w:rFonts w:ascii="Arial" w:cs="Arial" w:eastAsia="Arial" w:hAnsi="Arial"/>
          <w:sz w:val="16"/>
          <w:szCs w:val="16"/>
          <w:i w:val="1"/>
          <w:iCs w:val="1"/>
          <w:color w:val="auto"/>
        </w:rPr>
        <w:t>Bart E. Volkmer</w:t>
      </w:r>
      <w:r>
        <w:rPr>
          <w:rFonts w:ascii="Arial" w:cs="Arial" w:eastAsia="Arial" w:hAnsi="Arial"/>
          <w:sz w:val="16"/>
          <w:szCs w:val="16"/>
          <w:color w:val="auto"/>
        </w:rPr>
        <w:t>. Mr. Volkmer has served as our General Counsel since June 2016. From August 2011 to June 2016, Mr. Volkmer served as our Head</w:t>
      </w:r>
      <w:r>
        <w:rPr>
          <w:rFonts w:ascii="Arial" w:cs="Arial" w:eastAsia="Arial" w:hAnsi="Arial"/>
          <w:sz w:val="16"/>
          <w:szCs w:val="16"/>
          <w:i w:val="1"/>
          <w:iCs w:val="1"/>
          <w:color w:val="auto"/>
        </w:rPr>
        <w:t xml:space="preserve"> </w:t>
      </w:r>
      <w:r>
        <w:rPr>
          <w:rFonts w:ascii="Arial" w:cs="Arial" w:eastAsia="Arial" w:hAnsi="Arial"/>
          <w:sz w:val="16"/>
          <w:szCs w:val="16"/>
          <w:color w:val="auto"/>
        </w:rPr>
        <w:t>of Litigation &amp; Regulatory. Mr. Volkmer holds a J.D. from Santa Clara University School of Law and a B.A. in English from Creighton University.</w:t>
      </w:r>
    </w:p>
    <w:p>
      <w:pPr>
        <w:spacing w:after="0" w:line="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105</w:t>
      </w:r>
    </w:p>
    <w:p>
      <w:pPr>
        <w:sectPr>
          <w:pgSz w:w="11900" w:h="16838" w:orient="portrait"/>
          <w:cols w:equalWidth="0" w:num="1">
            <w:col w:w="11240"/>
          </w:cols>
          <w:pgMar w:left="320" w:top="459" w:right="339" w:bottom="1440" w:gutter="0" w:footer="0" w:header="0"/>
        </w:sectPr>
      </w:pPr>
    </w:p>
    <w:bookmarkStart w:id="108" w:name="page109"/>
    <w:bookmarkEnd w:id="10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both"/>
        <w:ind w:firstLine="449"/>
        <w:spacing w:after="0" w:line="279" w:lineRule="auto"/>
        <w:rPr>
          <w:sz w:val="20"/>
          <w:szCs w:val="20"/>
          <w:color w:val="auto"/>
        </w:rPr>
      </w:pPr>
      <w:r>
        <w:rPr>
          <w:rFonts w:ascii="Arial" w:cs="Arial" w:eastAsia="Arial" w:hAnsi="Arial"/>
          <w:sz w:val="17"/>
          <w:szCs w:val="17"/>
          <w:i w:val="1"/>
          <w:iCs w:val="1"/>
          <w:color w:val="auto"/>
        </w:rPr>
        <w:t>Dennis M. Woodside</w:t>
      </w:r>
      <w:r>
        <w:rPr>
          <w:rFonts w:ascii="Arial" w:cs="Arial" w:eastAsia="Arial" w:hAnsi="Arial"/>
          <w:sz w:val="17"/>
          <w:szCs w:val="17"/>
          <w:color w:val="auto"/>
        </w:rPr>
        <w:t>. Mr. Woodside has served as our Chief Operating Officer since April 2014. From May 2012 to April 2014, Mr. Woodside served</w:t>
      </w:r>
      <w:r>
        <w:rPr>
          <w:rFonts w:ascii="Arial" w:cs="Arial" w:eastAsia="Arial" w:hAnsi="Arial"/>
          <w:sz w:val="17"/>
          <w:szCs w:val="17"/>
          <w:i w:val="1"/>
          <w:iCs w:val="1"/>
          <w:color w:val="auto"/>
        </w:rPr>
        <w:t xml:space="preserve"> </w:t>
      </w:r>
      <w:r>
        <w:rPr>
          <w:rFonts w:ascii="Arial" w:cs="Arial" w:eastAsia="Arial" w:hAnsi="Arial"/>
          <w:sz w:val="17"/>
          <w:szCs w:val="17"/>
          <w:color w:val="auto"/>
        </w:rPr>
        <w:t>as Chief Executive Officer for Motorola Mobility LLC, a consumer electronics and telecommunications company now owned by Lenovo Group Ltd. From March 2009 to September 2011, Mr. Woodside served as President, Americas &amp; Senior Vice President for Google Inc., a global technology company. Mr. Woodside holds a J.D. from Stanford Law School and a B.S. in Industrial Relations from Cornell University.</w:t>
      </w:r>
    </w:p>
    <w:p>
      <w:pPr>
        <w:spacing w:after="0" w:line="279"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Non-executive directors</w:t>
      </w:r>
    </w:p>
    <w:p>
      <w:pPr>
        <w:spacing w:after="0" w:line="117" w:lineRule="exact"/>
        <w:rPr>
          <w:sz w:val="20"/>
          <w:szCs w:val="20"/>
          <w:color w:val="auto"/>
        </w:rPr>
      </w:pPr>
    </w:p>
    <w:p>
      <w:pPr>
        <w:ind w:right="80" w:firstLine="449"/>
        <w:spacing w:after="0" w:line="296" w:lineRule="auto"/>
        <w:rPr>
          <w:sz w:val="20"/>
          <w:szCs w:val="20"/>
          <w:color w:val="auto"/>
        </w:rPr>
      </w:pPr>
      <w:r>
        <w:rPr>
          <w:rFonts w:ascii="Arial" w:cs="Arial" w:eastAsia="Arial" w:hAnsi="Arial"/>
          <w:sz w:val="16"/>
          <w:szCs w:val="16"/>
          <w:i w:val="1"/>
          <w:iCs w:val="1"/>
          <w:color w:val="auto"/>
        </w:rPr>
        <w:t>Paul E. Jacobs, Ph.D</w:t>
      </w:r>
      <w:r>
        <w:rPr>
          <w:rFonts w:ascii="Arial" w:cs="Arial" w:eastAsia="Arial" w:hAnsi="Arial"/>
          <w:sz w:val="16"/>
          <w:szCs w:val="16"/>
          <w:color w:val="auto"/>
        </w:rPr>
        <w:t>. Dr. Jacobs has served as a member of our Board of Directors since April 2016. Dr. Jacobs has served as the Executive</w:t>
      </w:r>
      <w:r>
        <w:rPr>
          <w:rFonts w:ascii="Arial" w:cs="Arial" w:eastAsia="Arial" w:hAnsi="Arial"/>
          <w:sz w:val="16"/>
          <w:szCs w:val="16"/>
          <w:i w:val="1"/>
          <w:iCs w:val="1"/>
          <w:color w:val="auto"/>
        </w:rPr>
        <w:t xml:space="preserve"> </w:t>
      </w:r>
      <w:r>
        <w:rPr>
          <w:rFonts w:ascii="Arial" w:cs="Arial" w:eastAsia="Arial" w:hAnsi="Arial"/>
          <w:sz w:val="16"/>
          <w:szCs w:val="16"/>
          <w:color w:val="auto"/>
        </w:rPr>
        <w:t>Chairman for Qualcomm Inc., a semiconductor and telecommunications equipment company, since March 2014 and as the Chairman of its board of directors since March 2009. From July 2005 to March 2017, Dr. Jacobs served as Chief Executive Officer for Qualcomm Inc. Dr. Jacobs also currently serves as a member of the board of directors for a number of private companies. Dr. Jacobs holds a Ph.D. in Electrical Engineering and Computer Science, a M.S. in Electrical Engineering, and a B.S. in Electrical Engineering and Computer Science from the University of California, Berkeley.</w:t>
      </w:r>
    </w:p>
    <w:p>
      <w:pPr>
        <w:spacing w:after="0" w:line="161" w:lineRule="exact"/>
        <w:rPr>
          <w:sz w:val="20"/>
          <w:szCs w:val="20"/>
          <w:color w:val="auto"/>
        </w:rPr>
      </w:pPr>
    </w:p>
    <w:p>
      <w:pPr>
        <w:ind w:left="460"/>
        <w:spacing w:after="0"/>
        <w:rPr>
          <w:sz w:val="20"/>
          <w:szCs w:val="20"/>
          <w:color w:val="auto"/>
        </w:rPr>
      </w:pPr>
      <w:r>
        <w:rPr>
          <w:rFonts w:ascii="Arial" w:cs="Arial" w:eastAsia="Arial" w:hAnsi="Arial"/>
          <w:sz w:val="17"/>
          <w:szCs w:val="17"/>
          <w:color w:val="auto"/>
        </w:rPr>
        <w:t>Dr. Jacobs was selected to serve on our Board of Directors because of his extensive business, operations, and management experience.</w:t>
      </w:r>
    </w:p>
    <w:p>
      <w:pPr>
        <w:spacing w:after="0" w:line="237" w:lineRule="exact"/>
        <w:rPr>
          <w:sz w:val="20"/>
          <w:szCs w:val="20"/>
          <w:color w:val="auto"/>
        </w:rPr>
      </w:pPr>
    </w:p>
    <w:p>
      <w:pPr>
        <w:ind w:right="60" w:firstLine="449"/>
        <w:spacing w:after="0" w:line="254" w:lineRule="auto"/>
        <w:rPr>
          <w:sz w:val="20"/>
          <w:szCs w:val="20"/>
          <w:color w:val="auto"/>
        </w:rPr>
      </w:pPr>
      <w:r>
        <w:rPr>
          <w:rFonts w:ascii="Arial" w:cs="Arial" w:eastAsia="Arial" w:hAnsi="Arial"/>
          <w:sz w:val="18"/>
          <w:szCs w:val="18"/>
          <w:i w:val="1"/>
          <w:iCs w:val="1"/>
          <w:color w:val="auto"/>
        </w:rPr>
        <w:t>Robert J. Mylod Jr</w:t>
      </w:r>
      <w:r>
        <w:rPr>
          <w:rFonts w:ascii="Arial" w:cs="Arial" w:eastAsia="Arial" w:hAnsi="Arial"/>
          <w:sz w:val="18"/>
          <w:szCs w:val="18"/>
          <w:color w:val="auto"/>
        </w:rPr>
        <w:t>. Mr. Mylod has served as a member of our Board of Directors since September 2014. Mr. Mylod has served as Managing Partner</w:t>
      </w:r>
      <w:r>
        <w:rPr>
          <w:rFonts w:ascii="Arial" w:cs="Arial" w:eastAsia="Arial" w:hAnsi="Arial"/>
          <w:sz w:val="18"/>
          <w:szCs w:val="18"/>
          <w:i w:val="1"/>
          <w:iCs w:val="1"/>
          <w:color w:val="auto"/>
        </w:rPr>
        <w:t xml:space="preserve"> </w:t>
      </w:r>
      <w:r>
        <w:rPr>
          <w:rFonts w:ascii="Arial" w:cs="Arial" w:eastAsia="Arial" w:hAnsi="Arial"/>
          <w:sz w:val="18"/>
          <w:szCs w:val="18"/>
          <w:color w:val="auto"/>
        </w:rPr>
        <w:t>for Annox Capital Management, a venture capital firm that he founded, since January 2013. Mr. Mylod served as Head of Worldwide Strategy &amp; Planning and Vice Chairman for The Priceline Group Inc., an online travel services provider, from January 2009 to March 2011 and as its Chief Financial Officer and Vice Chairman from November 2000 to January 2009. Mr. Mylod currently serves as the Chairman of the board of directors for Redfin Corporation, a real estate company that provides web-based real estate database and brokerage services, and as a member of the board of directors for The Priceline Group, Inc. and a number of private companies. Mr. Mylod holds an M.B.A. from the University of Chicago Booth School of Business and an A.B. in English from the University of Michigan.</w:t>
      </w:r>
    </w:p>
    <w:p>
      <w:pPr>
        <w:spacing w:after="0" w:line="195" w:lineRule="exact"/>
        <w:rPr>
          <w:sz w:val="20"/>
          <w:szCs w:val="20"/>
          <w:color w:val="auto"/>
        </w:rPr>
      </w:pPr>
    </w:p>
    <w:p>
      <w:pPr>
        <w:ind w:right="240" w:firstLine="449"/>
        <w:spacing w:after="0" w:line="277" w:lineRule="auto"/>
        <w:rPr>
          <w:sz w:val="20"/>
          <w:szCs w:val="20"/>
          <w:color w:val="auto"/>
        </w:rPr>
      </w:pPr>
      <w:r>
        <w:rPr>
          <w:rFonts w:ascii="Arial" w:cs="Arial" w:eastAsia="Arial" w:hAnsi="Arial"/>
          <w:sz w:val="18"/>
          <w:szCs w:val="18"/>
          <w:color w:val="auto"/>
        </w:rPr>
        <w:t>Mr. Mylod was selected to serve on our Board of Directors because of his financial expertise and extensive business, operations, and management experience.</w:t>
      </w:r>
    </w:p>
    <w:p>
      <w:pPr>
        <w:spacing w:after="0" w:line="170" w:lineRule="exact"/>
        <w:rPr>
          <w:sz w:val="20"/>
          <w:szCs w:val="20"/>
          <w:color w:val="auto"/>
        </w:rPr>
      </w:pPr>
    </w:p>
    <w:p>
      <w:pPr>
        <w:ind w:firstLine="449"/>
        <w:spacing w:after="0" w:line="269" w:lineRule="auto"/>
        <w:rPr>
          <w:sz w:val="20"/>
          <w:szCs w:val="20"/>
          <w:color w:val="auto"/>
        </w:rPr>
      </w:pPr>
      <w:r>
        <w:rPr>
          <w:rFonts w:ascii="Arial" w:cs="Arial" w:eastAsia="Arial" w:hAnsi="Arial"/>
          <w:sz w:val="17"/>
          <w:szCs w:val="17"/>
          <w:i w:val="1"/>
          <w:iCs w:val="1"/>
          <w:color w:val="auto"/>
        </w:rPr>
        <w:t xml:space="preserve">Condoleezza Rice, Ph.D. </w:t>
      </w:r>
      <w:r>
        <w:rPr>
          <w:rFonts w:ascii="Arial" w:cs="Arial" w:eastAsia="Arial" w:hAnsi="Arial"/>
          <w:sz w:val="17"/>
          <w:szCs w:val="17"/>
          <w:color w:val="auto"/>
        </w:rPr>
        <w:t>Dr. Rice has served as a member of our Board of Directors since April 2014. Since September 2010, Dr. Rice has served as</w:t>
      </w:r>
      <w:r>
        <w:rPr>
          <w:rFonts w:ascii="Arial" w:cs="Arial" w:eastAsia="Arial" w:hAnsi="Arial"/>
          <w:sz w:val="17"/>
          <w:szCs w:val="17"/>
          <w:i w:val="1"/>
          <w:iCs w:val="1"/>
          <w:color w:val="auto"/>
        </w:rPr>
        <w:t xml:space="preserve"> </w:t>
      </w:r>
      <w:r>
        <w:rPr>
          <w:rFonts w:ascii="Arial" w:cs="Arial" w:eastAsia="Arial" w:hAnsi="Arial"/>
          <w:sz w:val="17"/>
          <w:szCs w:val="17"/>
          <w:color w:val="auto"/>
        </w:rPr>
        <w:t>the Denning Professor of Global Business and the Economy for the Stanford Graduate School of Business. Since March 2009, Dr. Rice has served as a Senior Fellow of Public Policy for the Hoover Institution, Stanford University, as a Senior Fellow for the Freeman Spogli Institute for International Studies, Stanford University, and as a Professor of Political Science for Stanford University. Dr. Rice has served as a partner at RiceHadleyGates LLC, an international strategic consulting firm that Dr. Rice founded, since November 2009. From January 2005 to January 2009, Dr. Rice served as the Secretary of State of the United States of America. From January 2001 to January 2005, Dr. Rice served as Chief National Security Advisor to President George W. Bush. Beginning in 1981, she served in various roles at Stanford University, including serving as Provost from 1993-1999. Dr. Rice previously served as a member of the board of directors of Charles Schwab Corporation, a bank and brokerage firm, Chevron Corporation, a multinational energy corporation, Transamerica Corporation, a life insurance and investment company, and KiOR, Inc., a renewable fuels company. Dr. Rice currently serves as an advisor for a number of other public companies, and as a member of the board directors for a number of private companies, including C3IoT and Makena Capital Management, LLC. Dr. Rice holds a Ph.D. in Political Science from the University of Denver, an M.A. in Political Science from the University of Notre Dame and a B.A in Political Science from the University of Denver.</w:t>
      </w:r>
    </w:p>
    <w:p>
      <w:pPr>
        <w:spacing w:after="0" w:line="179" w:lineRule="exact"/>
        <w:rPr>
          <w:sz w:val="20"/>
          <w:szCs w:val="20"/>
          <w:color w:val="auto"/>
        </w:rPr>
      </w:pPr>
    </w:p>
    <w:p>
      <w:pPr>
        <w:ind w:right="480" w:firstLine="449"/>
        <w:spacing w:after="0" w:line="277" w:lineRule="auto"/>
        <w:rPr>
          <w:sz w:val="20"/>
          <w:szCs w:val="20"/>
          <w:color w:val="auto"/>
        </w:rPr>
      </w:pPr>
      <w:r>
        <w:rPr>
          <w:rFonts w:ascii="Arial" w:cs="Arial" w:eastAsia="Arial" w:hAnsi="Arial"/>
          <w:sz w:val="18"/>
          <w:szCs w:val="18"/>
          <w:color w:val="auto"/>
        </w:rPr>
        <w:t>Dr. Rice was selected to serve on our Board of Directors because of her deep global expertise and business experience from her prior roles as a director of multiple public companies and her background in policymaking, education, and innovation.</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106</w:t>
      </w:r>
    </w:p>
    <w:p>
      <w:pPr>
        <w:sectPr>
          <w:pgSz w:w="11900" w:h="16838" w:orient="portrait"/>
          <w:cols w:equalWidth="0" w:num="1">
            <w:col w:w="11220"/>
          </w:cols>
          <w:pgMar w:left="320" w:top="459" w:right="359" w:bottom="1440" w:gutter="0" w:footer="0" w:header="0"/>
        </w:sectPr>
      </w:pPr>
    </w:p>
    <w:bookmarkStart w:id="109" w:name="page110"/>
    <w:bookmarkEnd w:id="10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both"/>
        <w:ind w:right="160" w:firstLine="449"/>
        <w:spacing w:after="0" w:line="263" w:lineRule="auto"/>
        <w:rPr>
          <w:sz w:val="20"/>
          <w:szCs w:val="20"/>
          <w:color w:val="auto"/>
        </w:rPr>
      </w:pPr>
      <w:r>
        <w:rPr>
          <w:rFonts w:ascii="Arial" w:cs="Arial" w:eastAsia="Arial" w:hAnsi="Arial"/>
          <w:sz w:val="18"/>
          <w:szCs w:val="18"/>
          <w:i w:val="1"/>
          <w:iCs w:val="1"/>
          <w:color w:val="auto"/>
        </w:rPr>
        <w:t>R. Bryan Schreier</w:t>
      </w:r>
      <w:r>
        <w:rPr>
          <w:rFonts w:ascii="Arial" w:cs="Arial" w:eastAsia="Arial" w:hAnsi="Arial"/>
          <w:sz w:val="18"/>
          <w:szCs w:val="18"/>
          <w:color w:val="auto"/>
        </w:rPr>
        <w:t>. Mr. Schreier has served as a member of our Board of Directors since July 2009. Since March 2008, Mr. Schreier has served as a</w:t>
      </w:r>
      <w:r>
        <w:rPr>
          <w:rFonts w:ascii="Arial" w:cs="Arial" w:eastAsia="Arial" w:hAnsi="Arial"/>
          <w:sz w:val="18"/>
          <w:szCs w:val="18"/>
          <w:i w:val="1"/>
          <w:iCs w:val="1"/>
          <w:color w:val="auto"/>
        </w:rPr>
        <w:t xml:space="preserve"> </w:t>
      </w:r>
      <w:r>
        <w:rPr>
          <w:rFonts w:ascii="Arial" w:cs="Arial" w:eastAsia="Arial" w:hAnsi="Arial"/>
          <w:sz w:val="18"/>
          <w:szCs w:val="18"/>
          <w:color w:val="auto"/>
        </w:rPr>
        <w:t>partner at Sequoia Capital, a venture capital firm. Mr. Schreier currently serves as a member of the board of directors for a number of private companies. Mr. Schreier holds a B.A. in Computer Science from Princeton University.</w:t>
      </w:r>
    </w:p>
    <w:p>
      <w:pPr>
        <w:spacing w:after="0" w:line="184" w:lineRule="exact"/>
        <w:rPr>
          <w:sz w:val="20"/>
          <w:szCs w:val="20"/>
          <w:color w:val="auto"/>
        </w:rPr>
      </w:pPr>
    </w:p>
    <w:p>
      <w:pPr>
        <w:ind w:right="480" w:firstLine="449"/>
        <w:spacing w:after="0" w:line="277" w:lineRule="auto"/>
        <w:rPr>
          <w:sz w:val="20"/>
          <w:szCs w:val="20"/>
          <w:color w:val="auto"/>
        </w:rPr>
      </w:pPr>
      <w:r>
        <w:rPr>
          <w:rFonts w:ascii="Arial" w:cs="Arial" w:eastAsia="Arial" w:hAnsi="Arial"/>
          <w:sz w:val="18"/>
          <w:szCs w:val="18"/>
          <w:color w:val="auto"/>
        </w:rPr>
        <w:t>Mr. Schreier was selected to serve on our Board of Directors because of his financial and managerial experience and because he represents our largest stockholder.</w:t>
      </w:r>
    </w:p>
    <w:p>
      <w:pPr>
        <w:spacing w:after="0" w:line="170" w:lineRule="exact"/>
        <w:rPr>
          <w:sz w:val="20"/>
          <w:szCs w:val="20"/>
          <w:color w:val="auto"/>
        </w:rPr>
      </w:pPr>
    </w:p>
    <w:p>
      <w:pPr>
        <w:ind w:firstLine="449"/>
        <w:spacing w:after="0" w:line="287" w:lineRule="auto"/>
        <w:rPr>
          <w:sz w:val="20"/>
          <w:szCs w:val="20"/>
          <w:color w:val="auto"/>
        </w:rPr>
      </w:pPr>
      <w:r>
        <w:rPr>
          <w:rFonts w:ascii="Arial" w:cs="Arial" w:eastAsia="Arial" w:hAnsi="Arial"/>
          <w:sz w:val="16"/>
          <w:szCs w:val="16"/>
          <w:i w:val="1"/>
          <w:iCs w:val="1"/>
          <w:color w:val="auto"/>
        </w:rPr>
        <w:t xml:space="preserve">Margaret C. Whitman. </w:t>
      </w:r>
      <w:r>
        <w:rPr>
          <w:rFonts w:ascii="Arial" w:cs="Arial" w:eastAsia="Arial" w:hAnsi="Arial"/>
          <w:sz w:val="16"/>
          <w:szCs w:val="16"/>
          <w:color w:val="auto"/>
        </w:rPr>
        <w:t>Ms. Whitman has served as a member of our Board of Directors since September 2017. Since June 2017, Ms. Whitman has</w:t>
      </w:r>
      <w:r>
        <w:rPr>
          <w:rFonts w:ascii="Arial" w:cs="Arial" w:eastAsia="Arial" w:hAnsi="Arial"/>
          <w:sz w:val="16"/>
          <w:szCs w:val="16"/>
          <w:i w:val="1"/>
          <w:iCs w:val="1"/>
          <w:color w:val="auto"/>
        </w:rPr>
        <w:t xml:space="preserve"> </w:t>
      </w:r>
      <w:r>
        <w:rPr>
          <w:rFonts w:ascii="Arial" w:cs="Arial" w:eastAsia="Arial" w:hAnsi="Arial"/>
          <w:sz w:val="16"/>
          <w:szCs w:val="16"/>
          <w:color w:val="auto"/>
        </w:rPr>
        <w:t>served as Chief Executive Officer for Hewlett Packard Enterprise Company, or HPE, a multinational enterprise information technology company, and as its President and Chief Executive Officer from November 2015 to June 2017. From July 2014 to November 2015, Ms. Whitman served as President, Chief Executive Officer, and Chairman for Hewlett-Packard Company (now known as HP Inc.), the former parent of Hewlett Packard Enterprise Company, and as its President and Chief Executive Officer from September 2011 to November 2015. Prior to joining HP Inc., Ms. Whitman was the Republican Party’s nominee for the 2010 gubernatorial race in California. From March 2011 to September 2011, Ms. Whitman served as a part-time strategic advisor to Kleiner Perkins Caufield &amp; Byers, a private equity firm. From 1998 to 2008, Ms. Whitman served as President and Chief Executive Officer of eBay Inc., an online marketplace and payments company. Ms. Whitman also currently serves as a member of the board of directors for The Procter &amp; Gamble Company, a consumer goods company, Hewlett Packard Enterprise Company, and DXC Technology Company, an information technology and consulting services company. Ms. Whitman previously served as a member of the board of directors for HP Inc. and for a number of private companies. Ms. Whitman holds an M.B.A from Harvard Business School and an A.B. in Economics from Princeton University.</w:t>
      </w:r>
    </w:p>
    <w:p>
      <w:pPr>
        <w:spacing w:after="0" w:line="172" w:lineRule="exact"/>
        <w:rPr>
          <w:sz w:val="20"/>
          <w:szCs w:val="20"/>
          <w:color w:val="auto"/>
        </w:rPr>
      </w:pPr>
    </w:p>
    <w:p>
      <w:pPr>
        <w:ind w:firstLine="449"/>
        <w:spacing w:after="0" w:line="277" w:lineRule="auto"/>
        <w:rPr>
          <w:sz w:val="20"/>
          <w:szCs w:val="20"/>
          <w:color w:val="auto"/>
        </w:rPr>
      </w:pPr>
      <w:r>
        <w:rPr>
          <w:rFonts w:ascii="Arial" w:cs="Arial" w:eastAsia="Arial" w:hAnsi="Arial"/>
          <w:sz w:val="18"/>
          <w:szCs w:val="18"/>
          <w:color w:val="auto"/>
        </w:rPr>
        <w:t>Ms. Whitman was selected to serve on our Board of Directors because of her extensive leadership, strategy, risk management, and consumer industry experience.</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Code of Business Conduct and Ethics</w:t>
      </w:r>
    </w:p>
    <w:p>
      <w:pPr>
        <w:spacing w:after="0" w:line="121" w:lineRule="exact"/>
        <w:rPr>
          <w:sz w:val="20"/>
          <w:szCs w:val="20"/>
          <w:color w:val="auto"/>
        </w:rPr>
      </w:pPr>
    </w:p>
    <w:p>
      <w:pPr>
        <w:jc w:val="both"/>
        <w:ind w:right="80" w:firstLine="449"/>
        <w:spacing w:after="0" w:line="259" w:lineRule="auto"/>
        <w:rPr>
          <w:sz w:val="20"/>
          <w:szCs w:val="20"/>
          <w:color w:val="auto"/>
        </w:rPr>
      </w:pPr>
      <w:r>
        <w:rPr>
          <w:rFonts w:ascii="Arial" w:cs="Arial" w:eastAsia="Arial" w:hAnsi="Arial"/>
          <w:sz w:val="18"/>
          <w:szCs w:val="18"/>
          <w:color w:val="auto"/>
        </w:rPr>
        <w:t>Our Board of Directors has adopted a code of business conduct and ethics that applies to all of our employees, officers, and directors, including our Chief Executive Officer, Chief Financial Officer, and other executive and senior financial officers. The full text of our code of business conduct and ethics will be posted on the investor relations page on our website. We intend to disclose any amendments to our code of business conduct and ethics, or waivers of its requirements, on our website or in filings under the Exchange Act.</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Board of Directors</w:t>
      </w:r>
    </w:p>
    <w:p>
      <w:pPr>
        <w:spacing w:after="0" w:line="121" w:lineRule="exact"/>
        <w:rPr>
          <w:sz w:val="20"/>
          <w:szCs w:val="20"/>
          <w:color w:val="auto"/>
        </w:rPr>
      </w:pPr>
    </w:p>
    <w:p>
      <w:pPr>
        <w:ind w:right="300" w:firstLine="449"/>
        <w:spacing w:after="0" w:line="263" w:lineRule="auto"/>
        <w:rPr>
          <w:sz w:val="20"/>
          <w:szCs w:val="20"/>
          <w:color w:val="auto"/>
        </w:rPr>
      </w:pPr>
      <w:r>
        <w:rPr>
          <w:rFonts w:ascii="Arial" w:cs="Arial" w:eastAsia="Arial" w:hAnsi="Arial"/>
          <w:sz w:val="18"/>
          <w:szCs w:val="18"/>
          <w:color w:val="auto"/>
        </w:rPr>
        <w:t>Our business and affairs are managed under the direction of our Board of Directors. Our Board of Directors consists of seven directors, of whom qualify as “independent” under the listing standards of the . Pursuant to our current certificate of incorporation and amended and restated voting agreement, our current directors were elected as follows:</w:t>
      </w:r>
    </w:p>
    <w:p>
      <w:pPr>
        <w:spacing w:after="0" w:line="89" w:lineRule="exact"/>
        <w:rPr>
          <w:sz w:val="20"/>
          <w:szCs w:val="20"/>
          <w:color w:val="auto"/>
        </w:rPr>
      </w:pPr>
    </w:p>
    <w:p>
      <w:pPr>
        <w:ind w:left="880" w:right="500" w:hanging="319"/>
        <w:spacing w:after="0" w:line="277" w:lineRule="auto"/>
        <w:tabs>
          <w:tab w:leader="none" w:pos="880" w:val="left"/>
        </w:tabs>
        <w:numPr>
          <w:ilvl w:val="0"/>
          <w:numId w:val="64"/>
        </w:numPr>
        <w:rPr>
          <w:rFonts w:ascii="Arial" w:cs="Arial" w:eastAsia="Arial" w:hAnsi="Arial"/>
          <w:sz w:val="18"/>
          <w:szCs w:val="18"/>
          <w:color w:val="auto"/>
        </w:rPr>
      </w:pPr>
      <w:r>
        <w:rPr>
          <w:rFonts w:ascii="Arial" w:cs="Arial" w:eastAsia="Arial" w:hAnsi="Arial"/>
          <w:sz w:val="18"/>
          <w:szCs w:val="18"/>
          <w:color w:val="auto"/>
        </w:rPr>
        <w:t>Messrs. Ferdowsi, Houston, Jacobs, and Mylod and Mses. Rice and Whitman were elected as the designees nominated by holders of our common stock, excluding the common stock issued upon conversion of our convertible preferred stock; and</w:t>
      </w:r>
    </w:p>
    <w:p>
      <w:pPr>
        <w:spacing w:after="0" w:line="75" w:lineRule="exact"/>
        <w:rPr>
          <w:rFonts w:ascii="Arial" w:cs="Arial" w:eastAsia="Arial" w:hAnsi="Arial"/>
          <w:sz w:val="18"/>
          <w:szCs w:val="18"/>
          <w:color w:val="auto"/>
        </w:rPr>
      </w:pPr>
    </w:p>
    <w:p>
      <w:pPr>
        <w:ind w:left="880" w:hanging="319"/>
        <w:spacing w:after="0"/>
        <w:tabs>
          <w:tab w:leader="none" w:pos="880" w:val="left"/>
        </w:tabs>
        <w:numPr>
          <w:ilvl w:val="0"/>
          <w:numId w:val="64"/>
        </w:numPr>
        <w:rPr>
          <w:rFonts w:ascii="Arial" w:cs="Arial" w:eastAsia="Arial" w:hAnsi="Arial"/>
          <w:sz w:val="18"/>
          <w:szCs w:val="18"/>
          <w:color w:val="auto"/>
        </w:rPr>
      </w:pPr>
      <w:r>
        <w:rPr>
          <w:rFonts w:ascii="Arial" w:cs="Arial" w:eastAsia="Arial" w:hAnsi="Arial"/>
          <w:sz w:val="18"/>
          <w:szCs w:val="18"/>
          <w:color w:val="auto"/>
        </w:rPr>
        <w:t>Mr. Schreier was elected as the preferred stock designee nominated by entities affiliated with Sequoia Capital.</w:t>
      </w:r>
    </w:p>
    <w:p>
      <w:pPr>
        <w:spacing w:after="0" w:line="225" w:lineRule="exact"/>
        <w:rPr>
          <w:sz w:val="20"/>
          <w:szCs w:val="20"/>
          <w:color w:val="auto"/>
        </w:rPr>
      </w:pPr>
    </w:p>
    <w:p>
      <w:pPr>
        <w:jc w:val="both"/>
        <w:ind w:right="80" w:firstLine="449"/>
        <w:spacing w:after="0" w:line="286" w:lineRule="auto"/>
        <w:rPr>
          <w:sz w:val="20"/>
          <w:szCs w:val="20"/>
          <w:color w:val="auto"/>
        </w:rPr>
      </w:pPr>
      <w:r>
        <w:rPr>
          <w:rFonts w:ascii="Arial" w:cs="Arial" w:eastAsia="Arial" w:hAnsi="Arial"/>
          <w:sz w:val="17"/>
          <w:szCs w:val="17"/>
          <w:color w:val="auto"/>
        </w:rPr>
        <w:t>Our amended and restated voting agreement will terminate and the provisions of our current certificate of incorporation by which our directors were elected will be amended and restated in connection with this offering. After this offering, the number of directors will be fixed by our Board of Directors, subject to the terms of our amended and restated certificate of incorporation and amended and restated bylaws that will become effective</w:t>
      </w:r>
    </w:p>
    <w:p>
      <w:pPr>
        <w:spacing w:after="0" w:line="9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107</w:t>
      </w:r>
    </w:p>
    <w:p>
      <w:pPr>
        <w:sectPr>
          <w:pgSz w:w="11900" w:h="16838" w:orient="portrait"/>
          <w:cols w:equalWidth="0" w:num="1">
            <w:col w:w="11200"/>
          </w:cols>
          <w:pgMar w:left="320" w:top="459" w:right="379" w:bottom="1440" w:gutter="0" w:footer="0" w:header="0"/>
        </w:sectPr>
      </w:pPr>
    </w:p>
    <w:bookmarkStart w:id="110" w:name="page111"/>
    <w:bookmarkEnd w:id="1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immediately prior to the completion of this offering. Each of our current directors will continue to serve as a director until the election and qualification of his or her successor, or until his or her earlier death, resignation or removal.</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Classified Board of Directors</w:t>
      </w:r>
    </w:p>
    <w:p>
      <w:pPr>
        <w:spacing w:after="0" w:line="121" w:lineRule="exact"/>
        <w:rPr>
          <w:sz w:val="20"/>
          <w:szCs w:val="20"/>
          <w:color w:val="auto"/>
        </w:rPr>
      </w:pPr>
    </w:p>
    <w:p>
      <w:pPr>
        <w:ind w:right="60" w:firstLine="449"/>
        <w:spacing w:after="0" w:line="301" w:lineRule="auto"/>
        <w:rPr>
          <w:sz w:val="20"/>
          <w:szCs w:val="20"/>
          <w:color w:val="auto"/>
        </w:rPr>
      </w:pPr>
      <w:r>
        <w:rPr>
          <w:rFonts w:ascii="Arial" w:cs="Arial" w:eastAsia="Arial" w:hAnsi="Arial"/>
          <w:sz w:val="16"/>
          <w:szCs w:val="16"/>
          <w:color w:val="auto"/>
        </w:rPr>
        <w:t>We intend to adopt an amended and restated certificate of incorporation that will become effective immediately prior to the completion of this offering. Our amended and restated certificate of incorporation will provide that, immediately after the completion of this offering, our Board of Directors will be divided into three classes with staggered three-year terms. Only one class of directors will be elected at each annual meeting of stockholders, with the other classes continuing for the remainder of their respective three-year terms. Our current directors will be divided among the three classes as follows:</w:t>
      </w:r>
    </w:p>
    <w:p>
      <w:pPr>
        <w:spacing w:after="0" w:line="63" w:lineRule="exact"/>
        <w:rPr>
          <w:sz w:val="20"/>
          <w:szCs w:val="20"/>
          <w:color w:val="auto"/>
        </w:rPr>
      </w:pPr>
    </w:p>
    <w:tbl>
      <w:tblPr>
        <w:tblLayout w:type="fixed"/>
        <w:tblInd w:w="560" w:type="dxa"/>
        <w:tblCellMar>
          <w:top w:w="0" w:type="dxa"/>
          <w:left w:w="0" w:type="dxa"/>
          <w:bottom w:w="0" w:type="dxa"/>
          <w:right w:w="0" w:type="dxa"/>
        </w:tblCellMar>
      </w:tblPr>
      <w:tr>
        <w:trPr>
          <w:trHeight w:val="230"/>
        </w:trPr>
        <w:tc>
          <w:tcPr>
            <w:tcW w:w="200" w:type="dxa"/>
            <w:vAlign w:val="bottom"/>
          </w:tcPr>
          <w:p>
            <w:pPr>
              <w:spacing w:after="0"/>
              <w:rPr>
                <w:sz w:val="20"/>
                <w:szCs w:val="20"/>
                <w:color w:val="auto"/>
              </w:rPr>
            </w:pPr>
            <w:r>
              <w:rPr>
                <w:rFonts w:ascii="Arial" w:cs="Arial" w:eastAsia="Arial" w:hAnsi="Arial"/>
                <w:sz w:val="18"/>
                <w:szCs w:val="18"/>
                <w:color w:val="auto"/>
              </w:rPr>
              <w:t>•</w:t>
            </w:r>
          </w:p>
        </w:tc>
        <w:tc>
          <w:tcPr>
            <w:tcW w:w="2460" w:type="dxa"/>
            <w:vAlign w:val="bottom"/>
          </w:tcPr>
          <w:p>
            <w:pPr>
              <w:ind w:left="120"/>
              <w:spacing w:after="0"/>
              <w:rPr>
                <w:sz w:val="20"/>
                <w:szCs w:val="20"/>
                <w:color w:val="auto"/>
              </w:rPr>
            </w:pPr>
            <w:r>
              <w:rPr>
                <w:rFonts w:ascii="Arial" w:cs="Arial" w:eastAsia="Arial" w:hAnsi="Arial"/>
                <w:sz w:val="18"/>
                <w:szCs w:val="18"/>
                <w:color w:val="auto"/>
              </w:rPr>
              <w:t>the Class I directors will be</w:t>
            </w:r>
          </w:p>
        </w:tc>
        <w:tc>
          <w:tcPr>
            <w:tcW w:w="6700" w:type="dxa"/>
            <w:vAlign w:val="bottom"/>
          </w:tcPr>
          <w:p>
            <w:pPr>
              <w:ind w:left="220"/>
              <w:spacing w:after="0"/>
              <w:rPr>
                <w:sz w:val="20"/>
                <w:szCs w:val="20"/>
                <w:color w:val="auto"/>
              </w:rPr>
            </w:pPr>
            <w:r>
              <w:rPr>
                <w:rFonts w:ascii="Arial" w:cs="Arial" w:eastAsia="Arial" w:hAnsi="Arial"/>
                <w:sz w:val="18"/>
                <w:szCs w:val="18"/>
                <w:color w:val="auto"/>
                <w:w w:val="96"/>
              </w:rPr>
              <w:t>, and their terms will expire at the annual meeting of stockholders to be held in 2019;</w:t>
            </w:r>
          </w:p>
        </w:tc>
      </w:tr>
      <w:tr>
        <w:trPr>
          <w:trHeight w:val="338"/>
        </w:trPr>
        <w:tc>
          <w:tcPr>
            <w:tcW w:w="200" w:type="dxa"/>
            <w:vAlign w:val="bottom"/>
          </w:tcPr>
          <w:p>
            <w:pPr>
              <w:spacing w:after="0"/>
              <w:rPr>
                <w:sz w:val="20"/>
                <w:szCs w:val="20"/>
                <w:color w:val="auto"/>
              </w:rPr>
            </w:pPr>
            <w:r>
              <w:rPr>
                <w:rFonts w:ascii="Arial" w:cs="Arial" w:eastAsia="Arial" w:hAnsi="Arial"/>
                <w:sz w:val="18"/>
                <w:szCs w:val="18"/>
                <w:color w:val="auto"/>
              </w:rPr>
              <w:t>•</w:t>
            </w:r>
          </w:p>
        </w:tc>
        <w:tc>
          <w:tcPr>
            <w:tcW w:w="2460" w:type="dxa"/>
            <w:vAlign w:val="bottom"/>
          </w:tcPr>
          <w:p>
            <w:pPr>
              <w:ind w:left="120"/>
              <w:spacing w:after="0"/>
              <w:rPr>
                <w:sz w:val="20"/>
                <w:szCs w:val="20"/>
                <w:color w:val="auto"/>
              </w:rPr>
            </w:pPr>
            <w:r>
              <w:rPr>
                <w:rFonts w:ascii="Arial" w:cs="Arial" w:eastAsia="Arial" w:hAnsi="Arial"/>
                <w:sz w:val="18"/>
                <w:szCs w:val="18"/>
                <w:color w:val="auto"/>
              </w:rPr>
              <w:t>the Class II directors will be</w:t>
            </w:r>
          </w:p>
        </w:tc>
        <w:tc>
          <w:tcPr>
            <w:tcW w:w="6700" w:type="dxa"/>
            <w:vAlign w:val="bottom"/>
          </w:tcPr>
          <w:p>
            <w:pPr>
              <w:ind w:left="280"/>
              <w:spacing w:after="0"/>
              <w:rPr>
                <w:sz w:val="20"/>
                <w:szCs w:val="20"/>
                <w:color w:val="auto"/>
              </w:rPr>
            </w:pPr>
            <w:r>
              <w:rPr>
                <w:rFonts w:ascii="Arial" w:cs="Arial" w:eastAsia="Arial" w:hAnsi="Arial"/>
                <w:sz w:val="18"/>
                <w:szCs w:val="18"/>
                <w:color w:val="auto"/>
                <w:w w:val="90"/>
              </w:rPr>
              <w:t>, and their terms will expire at the annual meeting of stockholders to be held in 2020; and</w:t>
            </w:r>
          </w:p>
        </w:tc>
      </w:tr>
      <w:tr>
        <w:trPr>
          <w:trHeight w:val="338"/>
        </w:trPr>
        <w:tc>
          <w:tcPr>
            <w:tcW w:w="200" w:type="dxa"/>
            <w:vAlign w:val="bottom"/>
          </w:tcPr>
          <w:p>
            <w:pPr>
              <w:spacing w:after="0"/>
              <w:rPr>
                <w:sz w:val="20"/>
                <w:szCs w:val="20"/>
                <w:color w:val="auto"/>
              </w:rPr>
            </w:pPr>
            <w:r>
              <w:rPr>
                <w:rFonts w:ascii="Arial" w:cs="Arial" w:eastAsia="Arial" w:hAnsi="Arial"/>
                <w:sz w:val="18"/>
                <w:szCs w:val="18"/>
                <w:color w:val="auto"/>
              </w:rPr>
              <w:t>•</w:t>
            </w:r>
          </w:p>
        </w:tc>
        <w:tc>
          <w:tcPr>
            <w:tcW w:w="2460" w:type="dxa"/>
            <w:vAlign w:val="bottom"/>
          </w:tcPr>
          <w:p>
            <w:pPr>
              <w:ind w:left="120"/>
              <w:spacing w:after="0"/>
              <w:rPr>
                <w:sz w:val="20"/>
                <w:szCs w:val="20"/>
                <w:color w:val="auto"/>
              </w:rPr>
            </w:pPr>
            <w:r>
              <w:rPr>
                <w:rFonts w:ascii="Arial" w:cs="Arial" w:eastAsia="Arial" w:hAnsi="Arial"/>
                <w:sz w:val="18"/>
                <w:szCs w:val="18"/>
                <w:color w:val="auto"/>
              </w:rPr>
              <w:t>the Class III directors will be</w:t>
            </w:r>
          </w:p>
        </w:tc>
        <w:tc>
          <w:tcPr>
            <w:tcW w:w="6700" w:type="dxa"/>
            <w:vAlign w:val="bottom"/>
          </w:tcPr>
          <w:p>
            <w:pPr>
              <w:ind w:left="340"/>
              <w:spacing w:after="0"/>
              <w:rPr>
                <w:sz w:val="20"/>
                <w:szCs w:val="20"/>
                <w:color w:val="auto"/>
              </w:rPr>
            </w:pPr>
            <w:r>
              <w:rPr>
                <w:rFonts w:ascii="Arial" w:cs="Arial" w:eastAsia="Arial" w:hAnsi="Arial"/>
                <w:sz w:val="18"/>
                <w:szCs w:val="18"/>
                <w:color w:val="auto"/>
                <w:w w:val="94"/>
              </w:rPr>
              <w:t>, and their terms will expire at the annual meeting of stockholders to be held in 2021.</w:t>
            </w:r>
          </w:p>
        </w:tc>
      </w:tr>
    </w:tbl>
    <w:p>
      <w:pPr>
        <w:spacing w:after="0" w:line="202" w:lineRule="exact"/>
        <w:rPr>
          <w:sz w:val="20"/>
          <w:szCs w:val="20"/>
          <w:color w:val="auto"/>
        </w:rPr>
      </w:pPr>
    </w:p>
    <w:p>
      <w:pPr>
        <w:jc w:val="both"/>
        <w:ind w:right="80" w:firstLine="449"/>
        <w:spacing w:after="0" w:line="263" w:lineRule="auto"/>
        <w:rPr>
          <w:sz w:val="20"/>
          <w:szCs w:val="20"/>
          <w:color w:val="auto"/>
        </w:rPr>
      </w:pPr>
      <w:r>
        <w:rPr>
          <w:rFonts w:ascii="Arial" w:cs="Arial" w:eastAsia="Arial" w:hAnsi="Arial"/>
          <w:sz w:val="18"/>
          <w:szCs w:val="18"/>
          <w:color w:val="auto"/>
        </w:rPr>
        <w:t>Each director’s term will continue until the election and qualification of his or her successor, or his or her earlier death, resignation, or removal. Any increase or decrease in the number of directors will be distributed among the three classes so that, as nearly as possible, each class will consist of one-third of our directors.</w:t>
      </w:r>
    </w:p>
    <w:p>
      <w:pPr>
        <w:spacing w:after="0" w:line="18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This classification of our Board of Directors may have the effect of delaying or preventing changes in control of our company.</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Director Independence</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6"/>
          <w:szCs w:val="16"/>
          <w:color w:val="auto"/>
        </w:rPr>
        <w:t>Our Board of Directors has undertaken a review of the independence of each director. Based on information provided by each director concerning his</w:t>
      </w:r>
    </w:p>
    <w:p>
      <w:pPr>
        <w:spacing w:after="0" w:line="46" w:lineRule="exact"/>
        <w:rPr>
          <w:sz w:val="20"/>
          <w:szCs w:val="20"/>
          <w:color w:val="auto"/>
        </w:rPr>
      </w:pPr>
    </w:p>
    <w:p>
      <w:pPr>
        <w:ind w:right="20"/>
        <w:spacing w:after="0" w:line="281" w:lineRule="auto"/>
        <w:rPr>
          <w:sz w:val="20"/>
          <w:szCs w:val="20"/>
          <w:color w:val="auto"/>
        </w:rPr>
      </w:pPr>
      <w:r>
        <w:rPr>
          <w:rFonts w:ascii="Arial" w:cs="Arial" w:eastAsia="Arial" w:hAnsi="Arial"/>
          <w:sz w:val="16"/>
          <w:szCs w:val="16"/>
          <w:color w:val="auto"/>
        </w:rPr>
        <w:t>or her background, employment and affiliations, our Board of Directors has determined that do not have a relationship that would interfere with the exercise of independent judgment in carrying out the responsibilities of a director and that each of these directors is “independent” as that term is defined</w:t>
      </w:r>
    </w:p>
    <w:p>
      <w:pPr>
        <w:spacing w:after="0" w:line="1" w:lineRule="exact"/>
        <w:rPr>
          <w:sz w:val="20"/>
          <w:szCs w:val="20"/>
          <w:color w:val="auto"/>
        </w:rPr>
      </w:pPr>
    </w:p>
    <w:p>
      <w:pPr>
        <w:ind w:right="100"/>
        <w:spacing w:after="0" w:line="253" w:lineRule="auto"/>
        <w:rPr>
          <w:sz w:val="20"/>
          <w:szCs w:val="20"/>
          <w:color w:val="auto"/>
        </w:rPr>
      </w:pPr>
      <w:r>
        <w:rPr>
          <w:rFonts w:ascii="Arial" w:cs="Arial" w:eastAsia="Arial" w:hAnsi="Arial"/>
          <w:sz w:val="18"/>
          <w:szCs w:val="18"/>
          <w:color w:val="auto"/>
        </w:rPr>
        <w:t>under the listing standards of the . In making these determinations, our Board of Directors considered the current and prior relationships that each non-employee director has with our company and all other facts and circumstances our Board of Directors deemed relevant in determining their independence, including the beneficial ownership of our capital stock by each non-employee director, and the transactions involving them described in the section titled “Certain Relationships and Related Party Transactions.”</w:t>
      </w:r>
    </w:p>
    <w:p>
      <w:pPr>
        <w:spacing w:after="0" w:line="29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Lead Independent Director</w:t>
      </w:r>
    </w:p>
    <w:p>
      <w:pPr>
        <w:spacing w:after="0" w:line="121" w:lineRule="exact"/>
        <w:rPr>
          <w:sz w:val="20"/>
          <w:szCs w:val="20"/>
          <w:color w:val="auto"/>
        </w:rPr>
      </w:pPr>
    </w:p>
    <w:p>
      <w:pPr>
        <w:ind w:right="100" w:firstLine="449"/>
        <w:spacing w:after="0" w:line="269" w:lineRule="auto"/>
        <w:rPr>
          <w:sz w:val="20"/>
          <w:szCs w:val="20"/>
          <w:color w:val="auto"/>
        </w:rPr>
      </w:pPr>
      <w:r>
        <w:rPr>
          <w:rFonts w:ascii="Arial" w:cs="Arial" w:eastAsia="Arial" w:hAnsi="Arial"/>
          <w:sz w:val="17"/>
          <w:szCs w:val="17"/>
          <w:color w:val="auto"/>
        </w:rPr>
        <w:t>Our Board of Directors intends to adopt corporate governance guidelines that will provide that one of our independent directors should serve as our Lead Independent Director at any time when our Chief Executive Officer serves as the Chairman of our Board of Directors or if the Chairman is not otherwise independent. Because Andrew W. Houston is our Chairman and is not an “independent” director as defined in the listing standards of , our Board of Directors has appointed to serve as our Lead Independent Director. As Lead Independent Director, will preside over periodic</w:t>
      </w:r>
    </w:p>
    <w:p>
      <w:pPr>
        <w:spacing w:after="0" w:line="2" w:lineRule="exact"/>
        <w:rPr>
          <w:sz w:val="20"/>
          <w:szCs w:val="20"/>
          <w:color w:val="auto"/>
        </w:rPr>
      </w:pPr>
    </w:p>
    <w:p>
      <w:pPr>
        <w:ind w:right="220"/>
        <w:spacing w:after="0" w:line="260" w:lineRule="auto"/>
        <w:rPr>
          <w:sz w:val="20"/>
          <w:szCs w:val="20"/>
          <w:color w:val="auto"/>
        </w:rPr>
      </w:pPr>
      <w:r>
        <w:rPr>
          <w:rFonts w:ascii="Arial" w:cs="Arial" w:eastAsia="Arial" w:hAnsi="Arial"/>
          <w:sz w:val="18"/>
          <w:szCs w:val="18"/>
          <w:color w:val="auto"/>
        </w:rPr>
        <w:t>meetings of our independent directors, serve as a liaison between our Chairman and our independent directors, and perform such additional duties as our Board of Directors may otherwise determine and delegate.</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Committees of the Board of Directors</w:t>
      </w:r>
    </w:p>
    <w:p>
      <w:pPr>
        <w:spacing w:after="0" w:line="121" w:lineRule="exact"/>
        <w:rPr>
          <w:sz w:val="20"/>
          <w:szCs w:val="20"/>
          <w:color w:val="auto"/>
        </w:rPr>
      </w:pPr>
    </w:p>
    <w:p>
      <w:pPr>
        <w:ind w:right="100" w:firstLine="449"/>
        <w:spacing w:after="0" w:line="277" w:lineRule="auto"/>
        <w:rPr>
          <w:sz w:val="20"/>
          <w:szCs w:val="20"/>
          <w:color w:val="auto"/>
        </w:rPr>
      </w:pPr>
      <w:r>
        <w:rPr>
          <w:rFonts w:ascii="Arial" w:cs="Arial" w:eastAsia="Arial" w:hAnsi="Arial"/>
          <w:sz w:val="18"/>
          <w:szCs w:val="18"/>
          <w:color w:val="auto"/>
        </w:rPr>
        <w:t>Our Board of Directors has established an audit committee, a compensation committee, and a nominating and corporate governance committee. The composition and responsibilities of each of the committees of our</w:t>
      </w:r>
    </w:p>
    <w:p>
      <w:pPr>
        <w:spacing w:after="0" w:line="10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108</w:t>
      </w:r>
    </w:p>
    <w:p>
      <w:pPr>
        <w:sectPr>
          <w:pgSz w:w="11900" w:h="16838" w:orient="portrait"/>
          <w:cols w:equalWidth="0" w:num="1">
            <w:col w:w="11220"/>
          </w:cols>
          <w:pgMar w:left="320" w:top="459" w:right="359" w:bottom="1440" w:gutter="0" w:footer="0" w:header="0"/>
        </w:sectPr>
      </w:pPr>
    </w:p>
    <w:bookmarkStart w:id="111" w:name="page112"/>
    <w:bookmarkEnd w:id="1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color w:val="auto"/>
        </w:rPr>
        <w:t>Board of Directors is described below. Members will serve on these committees until their resignation or until as otherwise determined by our Board of Directors.</w:t>
      </w:r>
    </w:p>
    <w:p>
      <w:pPr>
        <w:spacing w:after="0" w:line="278"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Audit committee</w:t>
      </w:r>
    </w:p>
    <w:p>
      <w:pPr>
        <w:spacing w:after="0" w:line="117" w:lineRule="exact"/>
        <w:rPr>
          <w:sz w:val="20"/>
          <w:szCs w:val="20"/>
          <w:color w:val="auto"/>
        </w:rPr>
      </w:pPr>
    </w:p>
    <w:p>
      <w:pPr>
        <w:ind w:firstLine="449"/>
        <w:spacing w:after="0" w:line="257" w:lineRule="auto"/>
        <w:rPr>
          <w:sz w:val="20"/>
          <w:szCs w:val="20"/>
          <w:color w:val="auto"/>
        </w:rPr>
      </w:pPr>
      <w:r>
        <w:rPr>
          <w:rFonts w:ascii="Arial" w:cs="Arial" w:eastAsia="Arial" w:hAnsi="Arial"/>
          <w:sz w:val="18"/>
          <w:szCs w:val="18"/>
          <w:color w:val="auto"/>
        </w:rPr>
        <w:t>Following the completion of this offering, our audit committee will consist of , , and , with serving as Chairperson, each of whom will meet the requirements for independence under the listing standards of the and SEC rules and regulations. Each member of our audit committee also meets the financial literacy and sophistication requirements of the listing standards of the . In addition, our Board of Directors has determined that is an audit committee financial expert within the meaning of Item 407(d) of Regulation S-K under the Securities Act. Following the completion of this offering, our audit committee will be responsible for, among other things:</w:t>
      </w:r>
    </w:p>
    <w:p>
      <w:pPr>
        <w:spacing w:after="0" w:line="93" w:lineRule="exact"/>
        <w:rPr>
          <w:sz w:val="20"/>
          <w:szCs w:val="20"/>
          <w:color w:val="auto"/>
        </w:rPr>
      </w:pPr>
    </w:p>
    <w:p>
      <w:pPr>
        <w:ind w:left="880" w:hanging="319"/>
        <w:spacing w:after="0"/>
        <w:tabs>
          <w:tab w:leader="none" w:pos="880" w:val="left"/>
        </w:tabs>
        <w:numPr>
          <w:ilvl w:val="0"/>
          <w:numId w:val="65"/>
        </w:numPr>
        <w:rPr>
          <w:rFonts w:ascii="Arial" w:cs="Arial" w:eastAsia="Arial" w:hAnsi="Arial"/>
          <w:sz w:val="18"/>
          <w:szCs w:val="18"/>
          <w:color w:val="auto"/>
        </w:rPr>
      </w:pPr>
      <w:r>
        <w:rPr>
          <w:rFonts w:ascii="Arial" w:cs="Arial" w:eastAsia="Arial" w:hAnsi="Arial"/>
          <w:sz w:val="18"/>
          <w:szCs w:val="18"/>
          <w:color w:val="auto"/>
        </w:rPr>
        <w:t>selecting a qualified firm to serve as the independent registered public accounting firm to audit our financial statements;</w:t>
      </w:r>
    </w:p>
    <w:p>
      <w:pPr>
        <w:spacing w:after="0" w:line="130" w:lineRule="exact"/>
        <w:rPr>
          <w:rFonts w:ascii="Arial" w:cs="Arial" w:eastAsia="Arial" w:hAnsi="Arial"/>
          <w:sz w:val="18"/>
          <w:szCs w:val="18"/>
          <w:color w:val="auto"/>
        </w:rPr>
      </w:pPr>
    </w:p>
    <w:p>
      <w:pPr>
        <w:ind w:left="880" w:hanging="319"/>
        <w:spacing w:after="0"/>
        <w:tabs>
          <w:tab w:leader="none" w:pos="880" w:val="left"/>
        </w:tabs>
        <w:numPr>
          <w:ilvl w:val="0"/>
          <w:numId w:val="65"/>
        </w:numPr>
        <w:rPr>
          <w:rFonts w:ascii="Arial" w:cs="Arial" w:eastAsia="Arial" w:hAnsi="Arial"/>
          <w:sz w:val="18"/>
          <w:szCs w:val="18"/>
          <w:color w:val="auto"/>
        </w:rPr>
      </w:pPr>
      <w:r>
        <w:rPr>
          <w:rFonts w:ascii="Arial" w:cs="Arial" w:eastAsia="Arial" w:hAnsi="Arial"/>
          <w:sz w:val="18"/>
          <w:szCs w:val="18"/>
          <w:color w:val="auto"/>
        </w:rPr>
        <w:t>helping to ensure the independence and performance of the independent registered public accounting firm;</w:t>
      </w:r>
    </w:p>
    <w:p>
      <w:pPr>
        <w:spacing w:after="0" w:line="130" w:lineRule="exact"/>
        <w:rPr>
          <w:rFonts w:ascii="Arial" w:cs="Arial" w:eastAsia="Arial" w:hAnsi="Arial"/>
          <w:sz w:val="18"/>
          <w:szCs w:val="18"/>
          <w:color w:val="auto"/>
        </w:rPr>
      </w:pPr>
    </w:p>
    <w:p>
      <w:pPr>
        <w:ind w:left="880" w:right="80" w:hanging="319"/>
        <w:spacing w:after="0" w:line="277" w:lineRule="auto"/>
        <w:tabs>
          <w:tab w:leader="none" w:pos="880" w:val="left"/>
        </w:tabs>
        <w:numPr>
          <w:ilvl w:val="0"/>
          <w:numId w:val="65"/>
        </w:numPr>
        <w:rPr>
          <w:rFonts w:ascii="Arial" w:cs="Arial" w:eastAsia="Arial" w:hAnsi="Arial"/>
          <w:sz w:val="18"/>
          <w:szCs w:val="18"/>
          <w:color w:val="auto"/>
        </w:rPr>
      </w:pPr>
      <w:r>
        <w:rPr>
          <w:rFonts w:ascii="Arial" w:cs="Arial" w:eastAsia="Arial" w:hAnsi="Arial"/>
          <w:sz w:val="18"/>
          <w:szCs w:val="18"/>
          <w:color w:val="auto"/>
        </w:rPr>
        <w:t>discussing the scope and results of the audit with the independent registered public accounting firm, and reviewing, with management and the independent registered public accounting firm, our interim and year-end operating results;</w:t>
      </w:r>
    </w:p>
    <w:p>
      <w:pPr>
        <w:spacing w:after="0" w:line="75" w:lineRule="exact"/>
        <w:rPr>
          <w:rFonts w:ascii="Arial" w:cs="Arial" w:eastAsia="Arial" w:hAnsi="Arial"/>
          <w:sz w:val="18"/>
          <w:szCs w:val="18"/>
          <w:color w:val="auto"/>
        </w:rPr>
      </w:pPr>
    </w:p>
    <w:p>
      <w:pPr>
        <w:ind w:left="880" w:hanging="319"/>
        <w:spacing w:after="0"/>
        <w:tabs>
          <w:tab w:leader="none" w:pos="880" w:val="left"/>
        </w:tabs>
        <w:numPr>
          <w:ilvl w:val="0"/>
          <w:numId w:val="65"/>
        </w:numPr>
        <w:rPr>
          <w:rFonts w:ascii="Arial" w:cs="Arial" w:eastAsia="Arial" w:hAnsi="Arial"/>
          <w:sz w:val="18"/>
          <w:szCs w:val="18"/>
          <w:color w:val="auto"/>
        </w:rPr>
      </w:pPr>
      <w:r>
        <w:rPr>
          <w:rFonts w:ascii="Arial" w:cs="Arial" w:eastAsia="Arial" w:hAnsi="Arial"/>
          <w:sz w:val="18"/>
          <w:szCs w:val="18"/>
          <w:color w:val="auto"/>
        </w:rPr>
        <w:t>reviewing our financial statements and our critical accounting policies and estimates;</w:t>
      </w:r>
    </w:p>
    <w:p>
      <w:pPr>
        <w:spacing w:after="0" w:line="130" w:lineRule="exact"/>
        <w:rPr>
          <w:rFonts w:ascii="Arial" w:cs="Arial" w:eastAsia="Arial" w:hAnsi="Arial"/>
          <w:sz w:val="18"/>
          <w:szCs w:val="18"/>
          <w:color w:val="auto"/>
        </w:rPr>
      </w:pPr>
    </w:p>
    <w:p>
      <w:pPr>
        <w:ind w:left="880" w:hanging="319"/>
        <w:spacing w:after="0"/>
        <w:tabs>
          <w:tab w:leader="none" w:pos="880" w:val="left"/>
        </w:tabs>
        <w:numPr>
          <w:ilvl w:val="0"/>
          <w:numId w:val="65"/>
        </w:numPr>
        <w:rPr>
          <w:rFonts w:ascii="Arial" w:cs="Arial" w:eastAsia="Arial" w:hAnsi="Arial"/>
          <w:sz w:val="18"/>
          <w:szCs w:val="18"/>
          <w:color w:val="auto"/>
        </w:rPr>
      </w:pPr>
      <w:r>
        <w:rPr>
          <w:rFonts w:ascii="Arial" w:cs="Arial" w:eastAsia="Arial" w:hAnsi="Arial"/>
          <w:sz w:val="18"/>
          <w:szCs w:val="18"/>
          <w:color w:val="auto"/>
        </w:rPr>
        <w:t>reviewing the adequacy and effectiveness of our internal controls;</w:t>
      </w:r>
    </w:p>
    <w:p>
      <w:pPr>
        <w:spacing w:after="0" w:line="130" w:lineRule="exact"/>
        <w:rPr>
          <w:rFonts w:ascii="Arial" w:cs="Arial" w:eastAsia="Arial" w:hAnsi="Arial"/>
          <w:sz w:val="18"/>
          <w:szCs w:val="18"/>
          <w:color w:val="auto"/>
        </w:rPr>
      </w:pPr>
    </w:p>
    <w:p>
      <w:pPr>
        <w:ind w:left="880" w:right="180" w:hanging="319"/>
        <w:spacing w:after="0" w:line="277" w:lineRule="auto"/>
        <w:tabs>
          <w:tab w:leader="none" w:pos="880" w:val="left"/>
        </w:tabs>
        <w:numPr>
          <w:ilvl w:val="0"/>
          <w:numId w:val="65"/>
        </w:numPr>
        <w:rPr>
          <w:rFonts w:ascii="Arial" w:cs="Arial" w:eastAsia="Arial" w:hAnsi="Arial"/>
          <w:sz w:val="18"/>
          <w:szCs w:val="18"/>
          <w:color w:val="auto"/>
        </w:rPr>
      </w:pPr>
      <w:r>
        <w:rPr>
          <w:rFonts w:ascii="Arial" w:cs="Arial" w:eastAsia="Arial" w:hAnsi="Arial"/>
          <w:sz w:val="18"/>
          <w:szCs w:val="18"/>
          <w:color w:val="auto"/>
        </w:rPr>
        <w:t>developing procedures for employees to submit concerns anonymously about questionable accounting, internal accounting controls, or audit matters;</w:t>
      </w:r>
    </w:p>
    <w:p>
      <w:pPr>
        <w:spacing w:after="0" w:line="75" w:lineRule="exact"/>
        <w:rPr>
          <w:rFonts w:ascii="Arial" w:cs="Arial" w:eastAsia="Arial" w:hAnsi="Arial"/>
          <w:sz w:val="18"/>
          <w:szCs w:val="18"/>
          <w:color w:val="auto"/>
        </w:rPr>
      </w:pPr>
    </w:p>
    <w:p>
      <w:pPr>
        <w:ind w:left="880" w:hanging="319"/>
        <w:spacing w:after="0"/>
        <w:tabs>
          <w:tab w:leader="none" w:pos="880" w:val="left"/>
        </w:tabs>
        <w:numPr>
          <w:ilvl w:val="0"/>
          <w:numId w:val="65"/>
        </w:numPr>
        <w:rPr>
          <w:rFonts w:ascii="Arial" w:cs="Arial" w:eastAsia="Arial" w:hAnsi="Arial"/>
          <w:sz w:val="18"/>
          <w:szCs w:val="18"/>
          <w:color w:val="auto"/>
        </w:rPr>
      </w:pPr>
      <w:r>
        <w:rPr>
          <w:rFonts w:ascii="Arial" w:cs="Arial" w:eastAsia="Arial" w:hAnsi="Arial"/>
          <w:sz w:val="18"/>
          <w:szCs w:val="18"/>
          <w:color w:val="auto"/>
        </w:rPr>
        <w:t>reviewing our policies on risk assessment and risk management;</w:t>
      </w:r>
    </w:p>
    <w:p>
      <w:pPr>
        <w:spacing w:after="0" w:line="130" w:lineRule="exact"/>
        <w:rPr>
          <w:rFonts w:ascii="Arial" w:cs="Arial" w:eastAsia="Arial" w:hAnsi="Arial"/>
          <w:sz w:val="18"/>
          <w:szCs w:val="18"/>
          <w:color w:val="auto"/>
        </w:rPr>
      </w:pPr>
    </w:p>
    <w:p>
      <w:pPr>
        <w:ind w:left="880" w:hanging="319"/>
        <w:spacing w:after="0"/>
        <w:tabs>
          <w:tab w:leader="none" w:pos="880" w:val="left"/>
        </w:tabs>
        <w:numPr>
          <w:ilvl w:val="0"/>
          <w:numId w:val="65"/>
        </w:numPr>
        <w:rPr>
          <w:rFonts w:ascii="Arial" w:cs="Arial" w:eastAsia="Arial" w:hAnsi="Arial"/>
          <w:sz w:val="18"/>
          <w:szCs w:val="18"/>
          <w:color w:val="auto"/>
        </w:rPr>
      </w:pPr>
      <w:r>
        <w:rPr>
          <w:rFonts w:ascii="Arial" w:cs="Arial" w:eastAsia="Arial" w:hAnsi="Arial"/>
          <w:sz w:val="18"/>
          <w:szCs w:val="18"/>
          <w:color w:val="auto"/>
        </w:rPr>
        <w:t>reviewing related party transactions; and</w:t>
      </w:r>
    </w:p>
    <w:p>
      <w:pPr>
        <w:spacing w:after="0" w:line="130" w:lineRule="exact"/>
        <w:rPr>
          <w:rFonts w:ascii="Arial" w:cs="Arial" w:eastAsia="Arial" w:hAnsi="Arial"/>
          <w:sz w:val="18"/>
          <w:szCs w:val="18"/>
          <w:color w:val="auto"/>
        </w:rPr>
      </w:pPr>
    </w:p>
    <w:p>
      <w:pPr>
        <w:ind w:left="880" w:right="180" w:hanging="319"/>
        <w:spacing w:after="0" w:line="277" w:lineRule="auto"/>
        <w:tabs>
          <w:tab w:leader="none" w:pos="880" w:val="left"/>
        </w:tabs>
        <w:numPr>
          <w:ilvl w:val="0"/>
          <w:numId w:val="65"/>
        </w:numPr>
        <w:rPr>
          <w:rFonts w:ascii="Arial" w:cs="Arial" w:eastAsia="Arial" w:hAnsi="Arial"/>
          <w:sz w:val="18"/>
          <w:szCs w:val="18"/>
          <w:color w:val="auto"/>
        </w:rPr>
      </w:pPr>
      <w:r>
        <w:rPr>
          <w:rFonts w:ascii="Arial" w:cs="Arial" w:eastAsia="Arial" w:hAnsi="Arial"/>
          <w:sz w:val="18"/>
          <w:szCs w:val="18"/>
          <w:color w:val="auto"/>
        </w:rPr>
        <w:t>pre-approving all audit and all permissible non-audit services, other than de minimis non-audit services, to be performed by the independent registered public accounting firm.</w:t>
      </w:r>
    </w:p>
    <w:p>
      <w:pPr>
        <w:spacing w:after="0" w:line="170" w:lineRule="exact"/>
        <w:rPr>
          <w:sz w:val="20"/>
          <w:szCs w:val="20"/>
          <w:color w:val="auto"/>
        </w:rPr>
      </w:pPr>
    </w:p>
    <w:p>
      <w:pPr>
        <w:spacing w:after="0"/>
        <w:rPr>
          <w:sz w:val="20"/>
          <w:szCs w:val="20"/>
          <w:color w:val="auto"/>
        </w:rPr>
      </w:pPr>
      <w:r>
        <w:rPr>
          <w:rFonts w:ascii="Arial" w:cs="Arial" w:eastAsia="Arial" w:hAnsi="Arial"/>
          <w:sz w:val="17"/>
          <w:szCs w:val="17"/>
          <w:color w:val="auto"/>
        </w:rPr>
        <w:t>Our audit committee will operate under a written charter, to be effective prior to the completion of this offering, that satisfies the applicable rules and</w:t>
      </w:r>
    </w:p>
    <w:p>
      <w:pPr>
        <w:spacing w:after="0" w:line="35" w:lineRule="exact"/>
        <w:rPr>
          <w:sz w:val="20"/>
          <w:szCs w:val="20"/>
          <w:color w:val="auto"/>
        </w:rPr>
      </w:pPr>
    </w:p>
    <w:p>
      <w:pPr>
        <w:spacing w:after="0"/>
        <w:tabs>
          <w:tab w:leader="none" w:pos="4460" w:val="left"/>
        </w:tabs>
        <w:rPr>
          <w:sz w:val="20"/>
          <w:szCs w:val="20"/>
          <w:color w:val="auto"/>
        </w:rPr>
      </w:pPr>
      <w:r>
        <w:rPr>
          <w:rFonts w:ascii="Arial" w:cs="Arial" w:eastAsia="Arial" w:hAnsi="Arial"/>
          <w:sz w:val="18"/>
          <w:szCs w:val="18"/>
          <w:color w:val="auto"/>
        </w:rPr>
        <w:t>regulations of the SEC and the listing standards of the</w:t>
      </w:r>
      <w:r>
        <w:rPr>
          <w:sz w:val="20"/>
          <w:szCs w:val="20"/>
          <w:color w:val="auto"/>
        </w:rPr>
        <w:tab/>
      </w:r>
      <w:r>
        <w:rPr>
          <w:rFonts w:ascii="Arial" w:cs="Arial" w:eastAsia="Arial" w:hAnsi="Arial"/>
          <w:sz w:val="13"/>
          <w:szCs w:val="13"/>
          <w:color w:val="auto"/>
        </w:rPr>
        <w:t>.</w:t>
      </w:r>
    </w:p>
    <w:p>
      <w:pPr>
        <w:spacing w:after="0" w:line="319"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Compensation committee</w:t>
      </w:r>
    </w:p>
    <w:p>
      <w:pPr>
        <w:spacing w:after="0" w:line="117" w:lineRule="exact"/>
        <w:rPr>
          <w:sz w:val="20"/>
          <w:szCs w:val="20"/>
          <w:color w:val="auto"/>
        </w:rPr>
      </w:pPr>
    </w:p>
    <w:p>
      <w:pPr>
        <w:ind w:right="240" w:firstLine="449"/>
        <w:spacing w:after="0" w:line="258" w:lineRule="auto"/>
        <w:rPr>
          <w:sz w:val="20"/>
          <w:szCs w:val="20"/>
          <w:color w:val="auto"/>
        </w:rPr>
      </w:pPr>
      <w:r>
        <w:rPr>
          <w:rFonts w:ascii="Arial" w:cs="Arial" w:eastAsia="Arial" w:hAnsi="Arial"/>
          <w:sz w:val="18"/>
          <w:szCs w:val="18"/>
          <w:color w:val="auto"/>
        </w:rPr>
        <w:t>Following the completion of this offering, our compensation committee will consist of , , and , with serving as Chairperson, each of whom will meet the requirements for independence under the listing standards of the and SEC rules and regulations. Each</w:t>
      </w:r>
    </w:p>
    <w:p>
      <w:pPr>
        <w:spacing w:after="0" w:line="1" w:lineRule="exact"/>
        <w:rPr>
          <w:sz w:val="20"/>
          <w:szCs w:val="20"/>
          <w:color w:val="auto"/>
        </w:rPr>
      </w:pPr>
    </w:p>
    <w:p>
      <w:pPr>
        <w:spacing w:after="0"/>
        <w:rPr>
          <w:sz w:val="20"/>
          <w:szCs w:val="20"/>
          <w:color w:val="auto"/>
        </w:rPr>
      </w:pPr>
      <w:r>
        <w:rPr>
          <w:rFonts w:ascii="Arial" w:cs="Arial" w:eastAsia="Arial" w:hAnsi="Arial"/>
          <w:sz w:val="16"/>
          <w:szCs w:val="16"/>
          <w:color w:val="auto"/>
        </w:rPr>
        <w:t>member of our compensation committee will also be a non-employee director, as defined pursuant to Rule 16b-3 promulgated under the Exchange Act, or</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Rule 16b-3. Following the completion of this offering, our compensation committee will be responsible for, among other things:</w:t>
      </w:r>
    </w:p>
    <w:p>
      <w:pPr>
        <w:spacing w:after="0" w:line="116" w:lineRule="exact"/>
        <w:rPr>
          <w:sz w:val="20"/>
          <w:szCs w:val="20"/>
          <w:color w:val="auto"/>
        </w:rPr>
      </w:pPr>
    </w:p>
    <w:p>
      <w:pPr>
        <w:ind w:left="880" w:right="160" w:hanging="319"/>
        <w:spacing w:after="0" w:line="277" w:lineRule="auto"/>
        <w:tabs>
          <w:tab w:leader="none" w:pos="880" w:val="left"/>
        </w:tabs>
        <w:numPr>
          <w:ilvl w:val="0"/>
          <w:numId w:val="66"/>
        </w:numPr>
        <w:rPr>
          <w:rFonts w:ascii="Arial" w:cs="Arial" w:eastAsia="Arial" w:hAnsi="Arial"/>
          <w:sz w:val="18"/>
          <w:szCs w:val="18"/>
          <w:color w:val="auto"/>
        </w:rPr>
      </w:pPr>
      <w:r>
        <w:rPr>
          <w:rFonts w:ascii="Arial" w:cs="Arial" w:eastAsia="Arial" w:hAnsi="Arial"/>
          <w:sz w:val="18"/>
          <w:szCs w:val="18"/>
          <w:color w:val="auto"/>
        </w:rPr>
        <w:t>reviewing, approving, and determining, or making recommendations to our Board of Directors regarding, the compensation of our executive officers;</w:t>
      </w:r>
    </w:p>
    <w:p>
      <w:pPr>
        <w:spacing w:after="0" w:line="75" w:lineRule="exact"/>
        <w:rPr>
          <w:rFonts w:ascii="Arial" w:cs="Arial" w:eastAsia="Arial" w:hAnsi="Arial"/>
          <w:sz w:val="18"/>
          <w:szCs w:val="18"/>
          <w:color w:val="auto"/>
        </w:rPr>
      </w:pPr>
    </w:p>
    <w:p>
      <w:pPr>
        <w:ind w:left="880" w:hanging="319"/>
        <w:spacing w:after="0"/>
        <w:tabs>
          <w:tab w:leader="none" w:pos="880" w:val="left"/>
        </w:tabs>
        <w:numPr>
          <w:ilvl w:val="0"/>
          <w:numId w:val="66"/>
        </w:numPr>
        <w:rPr>
          <w:rFonts w:ascii="Arial" w:cs="Arial" w:eastAsia="Arial" w:hAnsi="Arial"/>
          <w:sz w:val="18"/>
          <w:szCs w:val="18"/>
          <w:color w:val="auto"/>
        </w:rPr>
      </w:pPr>
      <w:r>
        <w:rPr>
          <w:rFonts w:ascii="Arial" w:cs="Arial" w:eastAsia="Arial" w:hAnsi="Arial"/>
          <w:sz w:val="18"/>
          <w:szCs w:val="18"/>
          <w:color w:val="auto"/>
        </w:rPr>
        <w:t>administering our equity compensation plans;</w:t>
      </w:r>
    </w:p>
    <w:p>
      <w:pPr>
        <w:spacing w:after="0" w:line="130" w:lineRule="exact"/>
        <w:rPr>
          <w:rFonts w:ascii="Arial" w:cs="Arial" w:eastAsia="Arial" w:hAnsi="Arial"/>
          <w:sz w:val="18"/>
          <w:szCs w:val="18"/>
          <w:color w:val="auto"/>
        </w:rPr>
      </w:pPr>
    </w:p>
    <w:p>
      <w:pPr>
        <w:ind w:left="880" w:right="280" w:hanging="319"/>
        <w:spacing w:after="0" w:line="277" w:lineRule="auto"/>
        <w:tabs>
          <w:tab w:leader="none" w:pos="880" w:val="left"/>
        </w:tabs>
        <w:numPr>
          <w:ilvl w:val="0"/>
          <w:numId w:val="66"/>
        </w:numPr>
        <w:rPr>
          <w:rFonts w:ascii="Arial" w:cs="Arial" w:eastAsia="Arial" w:hAnsi="Arial"/>
          <w:sz w:val="18"/>
          <w:szCs w:val="18"/>
          <w:color w:val="auto"/>
        </w:rPr>
      </w:pPr>
      <w:r>
        <w:rPr>
          <w:rFonts w:ascii="Arial" w:cs="Arial" w:eastAsia="Arial" w:hAnsi="Arial"/>
          <w:sz w:val="18"/>
          <w:szCs w:val="18"/>
          <w:color w:val="auto"/>
        </w:rPr>
        <w:t>reviewing, approving, and making recommendations to our Board of Directors regarding incentive compensation and equity compensation plans;</w:t>
      </w:r>
    </w:p>
    <w:p>
      <w:pPr>
        <w:spacing w:after="0" w:line="75" w:lineRule="exact"/>
        <w:rPr>
          <w:rFonts w:ascii="Arial" w:cs="Arial" w:eastAsia="Arial" w:hAnsi="Arial"/>
          <w:sz w:val="18"/>
          <w:szCs w:val="18"/>
          <w:color w:val="auto"/>
        </w:rPr>
      </w:pPr>
    </w:p>
    <w:p>
      <w:pPr>
        <w:ind w:left="880" w:hanging="319"/>
        <w:spacing w:after="0"/>
        <w:tabs>
          <w:tab w:leader="none" w:pos="880" w:val="left"/>
        </w:tabs>
        <w:numPr>
          <w:ilvl w:val="0"/>
          <w:numId w:val="66"/>
        </w:numPr>
        <w:rPr>
          <w:rFonts w:ascii="Arial" w:cs="Arial" w:eastAsia="Arial" w:hAnsi="Arial"/>
          <w:sz w:val="18"/>
          <w:szCs w:val="18"/>
          <w:color w:val="auto"/>
        </w:rPr>
      </w:pPr>
      <w:r>
        <w:rPr>
          <w:rFonts w:ascii="Arial" w:cs="Arial" w:eastAsia="Arial" w:hAnsi="Arial"/>
          <w:sz w:val="18"/>
          <w:szCs w:val="18"/>
          <w:color w:val="auto"/>
        </w:rPr>
        <w:t>establishing and reviewing general policies relating to compensation and benefits of our employees; and</w:t>
      </w:r>
    </w:p>
    <w:p>
      <w:pPr>
        <w:spacing w:after="0" w:line="15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109</w:t>
      </w:r>
    </w:p>
    <w:p>
      <w:pPr>
        <w:sectPr>
          <w:pgSz w:w="11900" w:h="16838" w:orient="portrait"/>
          <w:cols w:equalWidth="0" w:num="1">
            <w:col w:w="11160"/>
          </w:cols>
          <w:pgMar w:left="320" w:top="459" w:right="419" w:bottom="1440" w:gutter="0" w:footer="0" w:header="0"/>
        </w:sectPr>
      </w:pPr>
    </w:p>
    <w:bookmarkStart w:id="112" w:name="page113"/>
    <w:bookmarkEnd w:id="1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880" w:hanging="319"/>
        <w:spacing w:after="0"/>
        <w:tabs>
          <w:tab w:leader="none" w:pos="880" w:val="left"/>
        </w:tabs>
        <w:numPr>
          <w:ilvl w:val="0"/>
          <w:numId w:val="67"/>
        </w:numPr>
        <w:rPr>
          <w:rFonts w:ascii="Arial" w:cs="Arial" w:eastAsia="Arial" w:hAnsi="Arial"/>
          <w:sz w:val="18"/>
          <w:szCs w:val="18"/>
          <w:color w:val="auto"/>
        </w:rPr>
      </w:pPr>
      <w:r>
        <w:rPr>
          <w:rFonts w:ascii="Arial" w:cs="Arial" w:eastAsia="Arial" w:hAnsi="Arial"/>
          <w:sz w:val="18"/>
          <w:szCs w:val="18"/>
          <w:color w:val="auto"/>
        </w:rPr>
        <w:t>making recommendations regarding non-employee director compensation to our full Board of Directors.</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6"/>
          <w:szCs w:val="16"/>
          <w:color w:val="auto"/>
        </w:rPr>
        <w:t>Our compensation committee will operate under a written charter, to be effective prior to the completion of this offering, that satisfies the applicable</w:t>
      </w:r>
    </w:p>
    <w:p>
      <w:pPr>
        <w:spacing w:after="0" w:line="46" w:lineRule="exact"/>
        <w:rPr>
          <w:sz w:val="20"/>
          <w:szCs w:val="20"/>
          <w:color w:val="auto"/>
        </w:rPr>
      </w:pPr>
    </w:p>
    <w:p>
      <w:pPr>
        <w:spacing w:after="0"/>
        <w:tabs>
          <w:tab w:leader="none" w:pos="5160" w:val="left"/>
        </w:tabs>
        <w:rPr>
          <w:sz w:val="20"/>
          <w:szCs w:val="20"/>
          <w:color w:val="auto"/>
        </w:rPr>
      </w:pPr>
      <w:r>
        <w:rPr>
          <w:rFonts w:ascii="Arial" w:cs="Arial" w:eastAsia="Arial" w:hAnsi="Arial"/>
          <w:sz w:val="18"/>
          <w:szCs w:val="18"/>
          <w:color w:val="auto"/>
        </w:rPr>
        <w:t>rules and regulations of the SEC and the listing standards of the</w:t>
      </w:r>
      <w:r>
        <w:rPr>
          <w:sz w:val="20"/>
          <w:szCs w:val="20"/>
          <w:color w:val="auto"/>
        </w:rPr>
        <w:tab/>
      </w:r>
      <w:r>
        <w:rPr>
          <w:rFonts w:ascii="Arial" w:cs="Arial" w:eastAsia="Arial" w:hAnsi="Arial"/>
          <w:sz w:val="13"/>
          <w:szCs w:val="13"/>
          <w:color w:val="auto"/>
        </w:rPr>
        <w:t>.</w:t>
      </w:r>
    </w:p>
    <w:p>
      <w:pPr>
        <w:spacing w:after="0" w:line="319"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Nominating and corporate governance committee</w:t>
      </w:r>
    </w:p>
    <w:p>
      <w:pPr>
        <w:spacing w:after="0" w:line="117" w:lineRule="exact"/>
        <w:rPr>
          <w:sz w:val="20"/>
          <w:szCs w:val="20"/>
          <w:color w:val="auto"/>
        </w:rPr>
      </w:pPr>
    </w:p>
    <w:p>
      <w:pPr>
        <w:jc w:val="right"/>
        <w:ind w:left="460" w:right="220"/>
        <w:spacing w:after="0" w:line="274" w:lineRule="auto"/>
        <w:rPr>
          <w:sz w:val="20"/>
          <w:szCs w:val="20"/>
          <w:color w:val="auto"/>
        </w:rPr>
      </w:pPr>
      <w:r>
        <w:rPr>
          <w:rFonts w:ascii="Arial" w:cs="Arial" w:eastAsia="Arial" w:hAnsi="Arial"/>
          <w:sz w:val="17"/>
          <w:szCs w:val="17"/>
          <w:color w:val="auto"/>
        </w:rPr>
        <w:t>Following the completion of this offering, our nominating and corporate governance committee will consist of      ,      , and      , with serving as Chairperson, each of whom will meet the requirements for independence under the listing standards of the       and SEC rules and</w:t>
      </w:r>
    </w:p>
    <w:p>
      <w:pPr>
        <w:spacing w:after="0"/>
        <w:rPr>
          <w:sz w:val="20"/>
          <w:szCs w:val="20"/>
          <w:color w:val="auto"/>
        </w:rPr>
      </w:pPr>
      <w:r>
        <w:rPr>
          <w:rFonts w:ascii="Arial" w:cs="Arial" w:eastAsia="Arial" w:hAnsi="Arial"/>
          <w:sz w:val="16"/>
          <w:szCs w:val="16"/>
          <w:color w:val="auto"/>
        </w:rPr>
        <w:t>regulations. Following the completion of this offering, our nominating and corporate governance committee will be responsible for, among other things:</w:t>
      </w:r>
    </w:p>
    <w:p>
      <w:pPr>
        <w:spacing w:after="0" w:line="139" w:lineRule="exact"/>
        <w:rPr>
          <w:sz w:val="20"/>
          <w:szCs w:val="20"/>
          <w:color w:val="auto"/>
        </w:rPr>
      </w:pPr>
    </w:p>
    <w:p>
      <w:pPr>
        <w:ind w:left="880" w:right="100" w:hanging="319"/>
        <w:spacing w:after="0" w:line="277" w:lineRule="auto"/>
        <w:tabs>
          <w:tab w:leader="none" w:pos="880" w:val="left"/>
        </w:tabs>
        <w:numPr>
          <w:ilvl w:val="0"/>
          <w:numId w:val="68"/>
        </w:numPr>
        <w:rPr>
          <w:rFonts w:ascii="Arial" w:cs="Arial" w:eastAsia="Arial" w:hAnsi="Arial"/>
          <w:sz w:val="18"/>
          <w:szCs w:val="18"/>
          <w:color w:val="auto"/>
        </w:rPr>
      </w:pPr>
      <w:r>
        <w:rPr>
          <w:rFonts w:ascii="Arial" w:cs="Arial" w:eastAsia="Arial" w:hAnsi="Arial"/>
          <w:sz w:val="18"/>
          <w:szCs w:val="18"/>
          <w:color w:val="auto"/>
        </w:rPr>
        <w:t>identifying, evaluating, and selecting, or making recommendations to our Board of Directors regarding, nominees for election to our Board of Directors and its committees;</w:t>
      </w:r>
    </w:p>
    <w:p>
      <w:pPr>
        <w:spacing w:after="0" w:line="75" w:lineRule="exact"/>
        <w:rPr>
          <w:rFonts w:ascii="Arial" w:cs="Arial" w:eastAsia="Arial" w:hAnsi="Arial"/>
          <w:sz w:val="18"/>
          <w:szCs w:val="18"/>
          <w:color w:val="auto"/>
        </w:rPr>
      </w:pPr>
    </w:p>
    <w:p>
      <w:pPr>
        <w:ind w:left="880" w:hanging="319"/>
        <w:spacing w:after="0"/>
        <w:tabs>
          <w:tab w:leader="none" w:pos="880" w:val="left"/>
        </w:tabs>
        <w:numPr>
          <w:ilvl w:val="0"/>
          <w:numId w:val="68"/>
        </w:numPr>
        <w:rPr>
          <w:rFonts w:ascii="Arial" w:cs="Arial" w:eastAsia="Arial" w:hAnsi="Arial"/>
          <w:sz w:val="18"/>
          <w:szCs w:val="18"/>
          <w:color w:val="auto"/>
        </w:rPr>
      </w:pPr>
      <w:r>
        <w:rPr>
          <w:rFonts w:ascii="Arial" w:cs="Arial" w:eastAsia="Arial" w:hAnsi="Arial"/>
          <w:sz w:val="18"/>
          <w:szCs w:val="18"/>
          <w:color w:val="auto"/>
        </w:rPr>
        <w:t>evaluating the performance of our Board of Directors and of individual directors;</w:t>
      </w:r>
    </w:p>
    <w:p>
      <w:pPr>
        <w:spacing w:after="0" w:line="130" w:lineRule="exact"/>
        <w:rPr>
          <w:rFonts w:ascii="Arial" w:cs="Arial" w:eastAsia="Arial" w:hAnsi="Arial"/>
          <w:sz w:val="18"/>
          <w:szCs w:val="18"/>
          <w:color w:val="auto"/>
        </w:rPr>
      </w:pPr>
    </w:p>
    <w:p>
      <w:pPr>
        <w:ind w:left="880" w:hanging="319"/>
        <w:spacing w:after="0"/>
        <w:tabs>
          <w:tab w:leader="none" w:pos="880" w:val="left"/>
        </w:tabs>
        <w:numPr>
          <w:ilvl w:val="0"/>
          <w:numId w:val="68"/>
        </w:numPr>
        <w:rPr>
          <w:rFonts w:ascii="Arial" w:cs="Arial" w:eastAsia="Arial" w:hAnsi="Arial"/>
          <w:sz w:val="16"/>
          <w:szCs w:val="16"/>
          <w:color w:val="auto"/>
        </w:rPr>
      </w:pPr>
      <w:r>
        <w:rPr>
          <w:rFonts w:ascii="Arial" w:cs="Arial" w:eastAsia="Arial" w:hAnsi="Arial"/>
          <w:sz w:val="16"/>
          <w:szCs w:val="16"/>
          <w:color w:val="auto"/>
        </w:rPr>
        <w:t>considering and making recommendations to our Board of Directors regarding the composition of our Board of Directors and its committees;</w:t>
      </w:r>
    </w:p>
    <w:p>
      <w:pPr>
        <w:spacing w:after="0" w:line="153" w:lineRule="exact"/>
        <w:rPr>
          <w:rFonts w:ascii="Arial" w:cs="Arial" w:eastAsia="Arial" w:hAnsi="Arial"/>
          <w:sz w:val="16"/>
          <w:szCs w:val="16"/>
          <w:color w:val="auto"/>
        </w:rPr>
      </w:pPr>
    </w:p>
    <w:p>
      <w:pPr>
        <w:ind w:left="880" w:hanging="319"/>
        <w:spacing w:after="0"/>
        <w:tabs>
          <w:tab w:leader="none" w:pos="880" w:val="left"/>
        </w:tabs>
        <w:numPr>
          <w:ilvl w:val="0"/>
          <w:numId w:val="68"/>
        </w:numPr>
        <w:rPr>
          <w:rFonts w:ascii="Arial" w:cs="Arial" w:eastAsia="Arial" w:hAnsi="Arial"/>
          <w:sz w:val="18"/>
          <w:szCs w:val="18"/>
          <w:color w:val="auto"/>
        </w:rPr>
      </w:pPr>
      <w:r>
        <w:rPr>
          <w:rFonts w:ascii="Arial" w:cs="Arial" w:eastAsia="Arial" w:hAnsi="Arial"/>
          <w:sz w:val="18"/>
          <w:szCs w:val="18"/>
          <w:color w:val="auto"/>
        </w:rPr>
        <w:t>reviewing developments in corporate governance practices;</w:t>
      </w:r>
    </w:p>
    <w:p>
      <w:pPr>
        <w:spacing w:after="0" w:line="130" w:lineRule="exact"/>
        <w:rPr>
          <w:rFonts w:ascii="Arial" w:cs="Arial" w:eastAsia="Arial" w:hAnsi="Arial"/>
          <w:sz w:val="18"/>
          <w:szCs w:val="18"/>
          <w:color w:val="auto"/>
        </w:rPr>
      </w:pPr>
    </w:p>
    <w:p>
      <w:pPr>
        <w:ind w:left="880" w:hanging="319"/>
        <w:spacing w:after="0"/>
        <w:tabs>
          <w:tab w:leader="none" w:pos="880" w:val="left"/>
        </w:tabs>
        <w:numPr>
          <w:ilvl w:val="0"/>
          <w:numId w:val="68"/>
        </w:numPr>
        <w:rPr>
          <w:rFonts w:ascii="Arial" w:cs="Arial" w:eastAsia="Arial" w:hAnsi="Arial"/>
          <w:sz w:val="18"/>
          <w:szCs w:val="18"/>
          <w:color w:val="auto"/>
        </w:rPr>
      </w:pPr>
      <w:r>
        <w:rPr>
          <w:rFonts w:ascii="Arial" w:cs="Arial" w:eastAsia="Arial" w:hAnsi="Arial"/>
          <w:sz w:val="18"/>
          <w:szCs w:val="18"/>
          <w:color w:val="auto"/>
        </w:rPr>
        <w:t>evaluating the adequacy of our corporate governance practices and reporting;</w:t>
      </w:r>
    </w:p>
    <w:p>
      <w:pPr>
        <w:spacing w:after="0" w:line="130" w:lineRule="exact"/>
        <w:rPr>
          <w:rFonts w:ascii="Arial" w:cs="Arial" w:eastAsia="Arial" w:hAnsi="Arial"/>
          <w:sz w:val="18"/>
          <w:szCs w:val="18"/>
          <w:color w:val="auto"/>
        </w:rPr>
      </w:pPr>
    </w:p>
    <w:p>
      <w:pPr>
        <w:ind w:left="880" w:hanging="319"/>
        <w:spacing w:after="0"/>
        <w:tabs>
          <w:tab w:leader="none" w:pos="880" w:val="left"/>
        </w:tabs>
        <w:numPr>
          <w:ilvl w:val="0"/>
          <w:numId w:val="68"/>
        </w:numPr>
        <w:rPr>
          <w:rFonts w:ascii="Arial" w:cs="Arial" w:eastAsia="Arial" w:hAnsi="Arial"/>
          <w:sz w:val="18"/>
          <w:szCs w:val="18"/>
          <w:color w:val="auto"/>
        </w:rPr>
      </w:pPr>
      <w:r>
        <w:rPr>
          <w:rFonts w:ascii="Arial" w:cs="Arial" w:eastAsia="Arial" w:hAnsi="Arial"/>
          <w:sz w:val="18"/>
          <w:szCs w:val="18"/>
          <w:color w:val="auto"/>
        </w:rPr>
        <w:t>approving our committee charters;</w:t>
      </w:r>
    </w:p>
    <w:p>
      <w:pPr>
        <w:spacing w:after="0" w:line="130" w:lineRule="exact"/>
        <w:rPr>
          <w:rFonts w:ascii="Arial" w:cs="Arial" w:eastAsia="Arial" w:hAnsi="Arial"/>
          <w:sz w:val="18"/>
          <w:szCs w:val="18"/>
          <w:color w:val="auto"/>
        </w:rPr>
      </w:pPr>
    </w:p>
    <w:p>
      <w:pPr>
        <w:ind w:left="880" w:hanging="319"/>
        <w:spacing w:after="0"/>
        <w:tabs>
          <w:tab w:leader="none" w:pos="880" w:val="left"/>
        </w:tabs>
        <w:numPr>
          <w:ilvl w:val="0"/>
          <w:numId w:val="68"/>
        </w:numPr>
        <w:rPr>
          <w:rFonts w:ascii="Arial" w:cs="Arial" w:eastAsia="Arial" w:hAnsi="Arial"/>
          <w:sz w:val="18"/>
          <w:szCs w:val="18"/>
          <w:color w:val="auto"/>
        </w:rPr>
      </w:pPr>
      <w:r>
        <w:rPr>
          <w:rFonts w:ascii="Arial" w:cs="Arial" w:eastAsia="Arial" w:hAnsi="Arial"/>
          <w:sz w:val="18"/>
          <w:szCs w:val="18"/>
          <w:color w:val="auto"/>
        </w:rPr>
        <w:t>overseeing compliance with our code of business conduct and ethics;</w:t>
      </w:r>
    </w:p>
    <w:p>
      <w:pPr>
        <w:spacing w:after="0" w:line="130" w:lineRule="exact"/>
        <w:rPr>
          <w:rFonts w:ascii="Arial" w:cs="Arial" w:eastAsia="Arial" w:hAnsi="Arial"/>
          <w:sz w:val="18"/>
          <w:szCs w:val="18"/>
          <w:color w:val="auto"/>
        </w:rPr>
      </w:pPr>
    </w:p>
    <w:p>
      <w:pPr>
        <w:ind w:left="880" w:hanging="319"/>
        <w:spacing w:after="0"/>
        <w:tabs>
          <w:tab w:leader="none" w:pos="880" w:val="left"/>
        </w:tabs>
        <w:numPr>
          <w:ilvl w:val="0"/>
          <w:numId w:val="68"/>
        </w:numPr>
        <w:rPr>
          <w:rFonts w:ascii="Arial" w:cs="Arial" w:eastAsia="Arial" w:hAnsi="Arial"/>
          <w:sz w:val="18"/>
          <w:szCs w:val="18"/>
          <w:color w:val="auto"/>
        </w:rPr>
      </w:pPr>
      <w:r>
        <w:rPr>
          <w:rFonts w:ascii="Arial" w:cs="Arial" w:eastAsia="Arial" w:hAnsi="Arial"/>
          <w:sz w:val="18"/>
          <w:szCs w:val="18"/>
          <w:color w:val="auto"/>
        </w:rPr>
        <w:t>contributing to succession planning;</w:t>
      </w:r>
    </w:p>
    <w:p>
      <w:pPr>
        <w:spacing w:after="0" w:line="130" w:lineRule="exact"/>
        <w:rPr>
          <w:rFonts w:ascii="Arial" w:cs="Arial" w:eastAsia="Arial" w:hAnsi="Arial"/>
          <w:sz w:val="18"/>
          <w:szCs w:val="18"/>
          <w:color w:val="auto"/>
        </w:rPr>
      </w:pPr>
    </w:p>
    <w:p>
      <w:pPr>
        <w:ind w:left="880" w:right="420" w:hanging="319"/>
        <w:spacing w:after="0" w:line="277" w:lineRule="auto"/>
        <w:tabs>
          <w:tab w:leader="none" w:pos="880" w:val="left"/>
        </w:tabs>
        <w:numPr>
          <w:ilvl w:val="0"/>
          <w:numId w:val="68"/>
        </w:numPr>
        <w:rPr>
          <w:rFonts w:ascii="Arial" w:cs="Arial" w:eastAsia="Arial" w:hAnsi="Arial"/>
          <w:sz w:val="18"/>
          <w:szCs w:val="18"/>
          <w:color w:val="auto"/>
        </w:rPr>
      </w:pPr>
      <w:r>
        <w:rPr>
          <w:rFonts w:ascii="Arial" w:cs="Arial" w:eastAsia="Arial" w:hAnsi="Arial"/>
          <w:sz w:val="18"/>
          <w:szCs w:val="18"/>
          <w:color w:val="auto"/>
        </w:rPr>
        <w:t>reviewing actual and potential conflicts of interest of our directors and officers other than related party transactions reviewed by our audit committee; and</w:t>
      </w:r>
    </w:p>
    <w:p>
      <w:pPr>
        <w:spacing w:after="0" w:line="75" w:lineRule="exact"/>
        <w:rPr>
          <w:rFonts w:ascii="Arial" w:cs="Arial" w:eastAsia="Arial" w:hAnsi="Arial"/>
          <w:sz w:val="18"/>
          <w:szCs w:val="18"/>
          <w:color w:val="auto"/>
        </w:rPr>
      </w:pPr>
    </w:p>
    <w:p>
      <w:pPr>
        <w:ind w:left="880" w:hanging="319"/>
        <w:spacing w:after="0"/>
        <w:tabs>
          <w:tab w:leader="none" w:pos="880" w:val="left"/>
        </w:tabs>
        <w:numPr>
          <w:ilvl w:val="0"/>
          <w:numId w:val="68"/>
        </w:numPr>
        <w:rPr>
          <w:rFonts w:ascii="Arial" w:cs="Arial" w:eastAsia="Arial" w:hAnsi="Arial"/>
          <w:sz w:val="18"/>
          <w:szCs w:val="18"/>
          <w:color w:val="auto"/>
        </w:rPr>
      </w:pPr>
      <w:r>
        <w:rPr>
          <w:rFonts w:ascii="Arial" w:cs="Arial" w:eastAsia="Arial" w:hAnsi="Arial"/>
          <w:sz w:val="18"/>
          <w:szCs w:val="18"/>
          <w:color w:val="auto"/>
        </w:rPr>
        <w:t>developing and making recommendations to our Board of Directors regarding corporate governance guidelines and matters.</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6"/>
          <w:szCs w:val="16"/>
          <w:color w:val="auto"/>
        </w:rPr>
        <w:t>Our nominating and corporate governance committee will operate under a written charter, to be effective prior to the completion of this offering, that</w:t>
      </w:r>
    </w:p>
    <w:p>
      <w:pPr>
        <w:spacing w:after="0" w:line="46" w:lineRule="exact"/>
        <w:rPr>
          <w:sz w:val="20"/>
          <w:szCs w:val="20"/>
          <w:color w:val="auto"/>
        </w:rPr>
      </w:pPr>
    </w:p>
    <w:p>
      <w:pPr>
        <w:spacing w:after="0"/>
        <w:tabs>
          <w:tab w:leader="none" w:pos="3880" w:val="left"/>
        </w:tabs>
        <w:rPr>
          <w:sz w:val="20"/>
          <w:szCs w:val="20"/>
          <w:color w:val="auto"/>
        </w:rPr>
      </w:pPr>
      <w:r>
        <w:rPr>
          <w:rFonts w:ascii="Arial" w:cs="Arial" w:eastAsia="Arial" w:hAnsi="Arial"/>
          <w:sz w:val="18"/>
          <w:szCs w:val="18"/>
          <w:color w:val="auto"/>
        </w:rPr>
        <w:t>satisfies the applicable listing standards of the</w:t>
      </w:r>
      <w:r>
        <w:rPr>
          <w:sz w:val="20"/>
          <w:szCs w:val="20"/>
          <w:color w:val="auto"/>
        </w:rPr>
        <w:tab/>
      </w:r>
      <w:r>
        <w:rPr>
          <w:rFonts w:ascii="Arial" w:cs="Arial" w:eastAsia="Arial" w:hAnsi="Arial"/>
          <w:sz w:val="13"/>
          <w:szCs w:val="13"/>
          <w:color w:val="auto"/>
        </w:rPr>
        <w:t>.</w:t>
      </w:r>
    </w:p>
    <w:p>
      <w:pPr>
        <w:spacing w:after="0" w:line="3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Compensation Committee Interlocks and Insider Participation</w:t>
      </w:r>
    </w:p>
    <w:p>
      <w:pPr>
        <w:spacing w:after="0" w:line="121" w:lineRule="exact"/>
        <w:rPr>
          <w:sz w:val="20"/>
          <w:szCs w:val="20"/>
          <w:color w:val="auto"/>
        </w:rPr>
      </w:pPr>
    </w:p>
    <w:p>
      <w:pPr>
        <w:jc w:val="both"/>
        <w:ind w:firstLine="449"/>
        <w:spacing w:after="0" w:line="311" w:lineRule="auto"/>
        <w:rPr>
          <w:sz w:val="20"/>
          <w:szCs w:val="20"/>
          <w:color w:val="auto"/>
        </w:rPr>
      </w:pPr>
      <w:r>
        <w:rPr>
          <w:rFonts w:ascii="Arial" w:cs="Arial" w:eastAsia="Arial" w:hAnsi="Arial"/>
          <w:sz w:val="16"/>
          <w:szCs w:val="16"/>
          <w:color w:val="auto"/>
        </w:rPr>
        <w:t>None of the members of our compensation committee is or has been an officer or employee of our company. None of our executive officers currently serves, or in the past year has served, as a member of the Board of Directors or compensation committee (or other board committee performing equivalent functions) of any entity that has one or more of its executive officers serving on our Board of Directors or compensation committee.</w:t>
      </w:r>
    </w:p>
    <w:p>
      <w:pPr>
        <w:spacing w:after="0" w:line="2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Non-Employee Director Compensation</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Our employee directors, Messrs. Houston and Ferdowsi, have not received any compensation as directors.</w:t>
      </w:r>
    </w:p>
    <w:p>
      <w:pPr>
        <w:spacing w:after="0" w:line="225" w:lineRule="exact"/>
        <w:rPr>
          <w:sz w:val="20"/>
          <w:szCs w:val="20"/>
          <w:color w:val="auto"/>
        </w:rPr>
      </w:pPr>
    </w:p>
    <w:p>
      <w:pPr>
        <w:ind w:right="360" w:firstLine="449"/>
        <w:spacing w:after="0" w:line="263" w:lineRule="auto"/>
        <w:rPr>
          <w:sz w:val="20"/>
          <w:szCs w:val="20"/>
          <w:color w:val="auto"/>
        </w:rPr>
      </w:pPr>
      <w:r>
        <w:rPr>
          <w:rFonts w:ascii="Arial" w:cs="Arial" w:eastAsia="Arial" w:hAnsi="Arial"/>
          <w:sz w:val="18"/>
          <w:szCs w:val="18"/>
          <w:color w:val="auto"/>
        </w:rPr>
        <w:t>The following table provides information regarding compensation of our non-employee directors for service as directors, for the year ended December 31, 2017. Fiscal 2017 is not complete, and the amounts below represent the estimated compensation expected to be paid to our directors for 2017. In 2017, we do not expect to</w:t>
      </w:r>
    </w:p>
    <w:p>
      <w:pPr>
        <w:spacing w:after="0" w:line="11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110</w:t>
      </w:r>
    </w:p>
    <w:p>
      <w:pPr>
        <w:sectPr>
          <w:pgSz w:w="11900" w:h="16838" w:orient="portrait"/>
          <w:cols w:equalWidth="0" w:num="1">
            <w:col w:w="11200"/>
          </w:cols>
          <w:pgMar w:left="320" w:top="459" w:right="379" w:bottom="1440" w:gutter="0" w:footer="0" w:header="0"/>
        </w:sectPr>
      </w:pPr>
    </w:p>
    <w:bookmarkStart w:id="113" w:name="page114"/>
    <w:bookmarkEnd w:id="1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right="780"/>
        <w:spacing w:after="0" w:line="277" w:lineRule="auto"/>
        <w:rPr>
          <w:sz w:val="20"/>
          <w:szCs w:val="20"/>
          <w:color w:val="auto"/>
        </w:rPr>
      </w:pPr>
      <w:r>
        <w:rPr>
          <w:rFonts w:ascii="Arial" w:cs="Arial" w:eastAsia="Arial" w:hAnsi="Arial"/>
          <w:sz w:val="18"/>
          <w:szCs w:val="18"/>
          <w:color w:val="auto"/>
        </w:rPr>
        <w:t>pay any compensation to any person who served as a non-employee member of our Board of Directors who is affiliated with our greater than 5% stockholders.</w:t>
      </w:r>
    </w:p>
    <w:p>
      <w:pPr>
        <w:spacing w:after="0" w:line="176" w:lineRule="exact"/>
        <w:rPr>
          <w:sz w:val="20"/>
          <w:szCs w:val="20"/>
          <w:color w:val="auto"/>
        </w:rPr>
      </w:pPr>
    </w:p>
    <w:tbl>
      <w:tblPr>
        <w:tblLayout w:type="fixed"/>
        <w:tblInd w:w="1360" w:type="dxa"/>
        <w:tblCellMar>
          <w:top w:w="0" w:type="dxa"/>
          <w:left w:w="0" w:type="dxa"/>
          <w:bottom w:w="0" w:type="dxa"/>
          <w:right w:w="0" w:type="dxa"/>
        </w:tblCellMar>
      </w:tblPr>
      <w:tr>
        <w:trPr>
          <w:trHeight w:val="161"/>
        </w:trPr>
        <w:tc>
          <w:tcPr>
            <w:tcW w:w="656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Name</w:t>
            </w:r>
          </w:p>
        </w:tc>
        <w:tc>
          <w:tcPr>
            <w:tcW w:w="1240" w:type="dxa"/>
            <w:vAlign w:val="bottom"/>
            <w:gridSpan w:val="2"/>
          </w:tcPr>
          <w:p>
            <w:pPr>
              <w:ind w:left="220"/>
              <w:spacing w:after="0"/>
              <w:rPr>
                <w:sz w:val="20"/>
                <w:szCs w:val="20"/>
                <w:color w:val="auto"/>
              </w:rPr>
            </w:pPr>
            <w:r>
              <w:rPr>
                <w:rFonts w:ascii="Arial" w:cs="Arial" w:eastAsia="Arial" w:hAnsi="Arial"/>
                <w:sz w:val="14"/>
                <w:szCs w:val="14"/>
                <w:b w:val="1"/>
                <w:bCs w:val="1"/>
                <w:color w:val="auto"/>
              </w:rPr>
              <w:t>Stock</w:t>
            </w:r>
          </w:p>
        </w:tc>
        <w:tc>
          <w:tcPr>
            <w:tcW w:w="720" w:type="dxa"/>
            <w:vAlign w:val="bottom"/>
            <w:gridSpan w:val="2"/>
            <w:vMerge w:val="restart"/>
          </w:tcPr>
          <w:p>
            <w:pPr>
              <w:jc w:val="right"/>
              <w:ind w:right="14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1"/>
        </w:trPr>
        <w:tc>
          <w:tcPr>
            <w:tcW w:w="6560" w:type="dxa"/>
            <w:vAlign w:val="bottom"/>
            <w:gridSpan w:val="2"/>
            <w:vMerge w:val="continue"/>
          </w:tcPr>
          <w:p>
            <w:pPr>
              <w:spacing w:after="0"/>
              <w:rPr>
                <w:sz w:val="14"/>
                <w:szCs w:val="14"/>
                <w:color w:val="auto"/>
              </w:rPr>
            </w:pPr>
          </w:p>
        </w:tc>
        <w:tc>
          <w:tcPr>
            <w:tcW w:w="1240" w:type="dxa"/>
            <w:vAlign w:val="bottom"/>
            <w:gridSpan w:val="2"/>
          </w:tcPr>
          <w:p>
            <w:pPr>
              <w:jc w:val="right"/>
              <w:ind w:right="480"/>
              <w:spacing w:after="0"/>
              <w:rPr>
                <w:sz w:val="20"/>
                <w:szCs w:val="20"/>
                <w:color w:val="auto"/>
              </w:rPr>
            </w:pPr>
            <w:r>
              <w:rPr>
                <w:rFonts w:ascii="Arial" w:cs="Arial" w:eastAsia="Arial" w:hAnsi="Arial"/>
                <w:sz w:val="14"/>
                <w:szCs w:val="14"/>
                <w:b w:val="1"/>
                <w:bCs w:val="1"/>
                <w:u w:val="single" w:color="auto"/>
                <w:color w:val="auto"/>
                <w:w w:val="92"/>
              </w:rPr>
              <w:t>awards($</w:t>
            </w:r>
            <w:r>
              <w:rPr>
                <w:rFonts w:ascii="Arial" w:cs="Arial" w:eastAsia="Arial" w:hAnsi="Arial"/>
                <w:sz w:val="14"/>
                <w:szCs w:val="14"/>
                <w:b w:val="1"/>
                <w:bCs w:val="1"/>
                <w:color w:val="auto"/>
                <w:w w:val="92"/>
              </w:rPr>
              <w:t>)</w:t>
            </w:r>
            <w:r>
              <w:rPr>
                <w:rFonts w:ascii="Arial" w:cs="Arial" w:eastAsia="Arial" w:hAnsi="Arial"/>
                <w:sz w:val="12"/>
                <w:szCs w:val="12"/>
                <w:b w:val="1"/>
                <w:bCs w:val="1"/>
                <w:color w:val="auto"/>
                <w:w w:val="92"/>
              </w:rPr>
              <w:t>(1)</w:t>
            </w:r>
          </w:p>
        </w:tc>
        <w:tc>
          <w:tcPr>
            <w:tcW w:w="72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3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94"/>
              </w:rPr>
              <w:t>Paul</w:t>
            </w:r>
          </w:p>
        </w:tc>
        <w:tc>
          <w:tcPr>
            <w:tcW w:w="62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E. Jacobs</w:t>
            </w:r>
          </w:p>
        </w:tc>
        <w:tc>
          <w:tcPr>
            <w:tcW w:w="760" w:type="dxa"/>
            <w:vAlign w:val="bottom"/>
            <w:tcBorders>
              <w:top w:val="single" w:sz="8" w:color="auto"/>
            </w:tcBorders>
            <w:shd w:val="clear" w:color="auto" w:fill="CCEEFF"/>
          </w:tcPr>
          <w:p>
            <w:pPr>
              <w:ind w:left="500"/>
              <w:spacing w:after="0"/>
              <w:rPr>
                <w:sz w:val="20"/>
                <w:szCs w:val="20"/>
                <w:color w:val="auto"/>
              </w:rPr>
            </w:pPr>
            <w:r>
              <w:rPr>
                <w:rFonts w:ascii="Arial" w:cs="Arial" w:eastAsia="Arial" w:hAnsi="Arial"/>
                <w:sz w:val="18"/>
                <w:szCs w:val="18"/>
                <w:b w:val="1"/>
                <w:bCs w:val="1"/>
                <w:color w:val="auto"/>
              </w:rPr>
              <w:t>—</w:t>
            </w:r>
          </w:p>
        </w:tc>
        <w:tc>
          <w:tcPr>
            <w:tcW w:w="48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60" w:type="dxa"/>
            <w:vAlign w:val="bottom"/>
            <w:gridSpan w:val="2"/>
          </w:tcPr>
          <w:p>
            <w:pPr>
              <w:spacing w:after="0"/>
              <w:rPr>
                <w:sz w:val="20"/>
                <w:szCs w:val="20"/>
                <w:color w:val="auto"/>
              </w:rPr>
            </w:pPr>
            <w:r>
              <w:rPr>
                <w:rFonts w:ascii="Arial" w:cs="Arial" w:eastAsia="Arial" w:hAnsi="Arial"/>
                <w:sz w:val="18"/>
                <w:szCs w:val="18"/>
                <w:color w:val="auto"/>
              </w:rPr>
              <w:t>Robert J. Mylod, Jr.</w:t>
            </w:r>
          </w:p>
        </w:tc>
        <w:tc>
          <w:tcPr>
            <w:tcW w:w="1240" w:type="dxa"/>
            <w:vAlign w:val="bottom"/>
            <w:gridSpan w:val="2"/>
          </w:tcPr>
          <w:p>
            <w:pPr>
              <w:ind w:left="500"/>
              <w:spacing w:after="0"/>
              <w:rPr>
                <w:sz w:val="20"/>
                <w:szCs w:val="20"/>
                <w:color w:val="auto"/>
              </w:rPr>
            </w:pPr>
            <w:r>
              <w:rPr>
                <w:rFonts w:ascii="Arial" w:cs="Arial" w:eastAsia="Arial" w:hAnsi="Arial"/>
                <w:sz w:val="18"/>
                <w:szCs w:val="18"/>
                <w:b w:val="1"/>
                <w:bCs w:val="1"/>
                <w:color w:val="auto"/>
              </w:rPr>
              <w:t>—</w:t>
            </w:r>
          </w:p>
        </w:tc>
        <w:tc>
          <w:tcPr>
            <w:tcW w:w="72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16"/>
        </w:trPr>
        <w:tc>
          <w:tcPr>
            <w:tcW w:w="65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Condoleezza Rice</w:t>
            </w:r>
          </w:p>
        </w:tc>
        <w:tc>
          <w:tcPr>
            <w:tcW w:w="1240" w:type="dxa"/>
            <w:vAlign w:val="bottom"/>
            <w:gridSpan w:val="2"/>
            <w:shd w:val="clear" w:color="auto" w:fill="CCEEFF"/>
          </w:tcPr>
          <w:p>
            <w:pPr>
              <w:ind w:left="500"/>
              <w:spacing w:after="0"/>
              <w:rPr>
                <w:sz w:val="20"/>
                <w:szCs w:val="20"/>
                <w:color w:val="auto"/>
              </w:rPr>
            </w:pPr>
            <w:r>
              <w:rPr>
                <w:rFonts w:ascii="Arial" w:cs="Arial" w:eastAsia="Arial" w:hAnsi="Arial"/>
                <w:sz w:val="18"/>
                <w:szCs w:val="18"/>
                <w:b w:val="1"/>
                <w:bCs w:val="1"/>
                <w:color w:val="auto"/>
              </w:rPr>
              <w:t>—</w:t>
            </w:r>
          </w:p>
        </w:tc>
        <w:tc>
          <w:tcPr>
            <w:tcW w:w="7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16"/>
        </w:trPr>
        <w:tc>
          <w:tcPr>
            <w:tcW w:w="6560" w:type="dxa"/>
            <w:vAlign w:val="bottom"/>
            <w:gridSpan w:val="2"/>
          </w:tcPr>
          <w:p>
            <w:pPr>
              <w:spacing w:after="0"/>
              <w:rPr>
                <w:sz w:val="20"/>
                <w:szCs w:val="20"/>
                <w:color w:val="auto"/>
              </w:rPr>
            </w:pPr>
            <w:r>
              <w:rPr>
                <w:rFonts w:ascii="Arial" w:cs="Arial" w:eastAsia="Arial" w:hAnsi="Arial"/>
                <w:sz w:val="18"/>
                <w:szCs w:val="18"/>
                <w:color w:val="auto"/>
              </w:rPr>
              <w:t>Margaret C. Whitman</w:t>
            </w:r>
            <w:r>
              <w:rPr>
                <w:rFonts w:ascii="Arial" w:cs="Arial" w:eastAsia="Arial" w:hAnsi="Arial"/>
                <w:sz w:val="15"/>
                <w:szCs w:val="15"/>
                <w:color w:val="auto"/>
              </w:rPr>
              <w:t>(2)</w:t>
            </w:r>
          </w:p>
        </w:tc>
        <w:tc>
          <w:tcPr>
            <w:tcW w:w="1240" w:type="dxa"/>
            <w:vAlign w:val="bottom"/>
            <w:gridSpan w:val="2"/>
          </w:tcPr>
          <w:p>
            <w:pPr>
              <w:jc w:val="right"/>
              <w:ind w:right="480"/>
              <w:spacing w:after="0"/>
              <w:rPr>
                <w:sz w:val="20"/>
                <w:szCs w:val="20"/>
                <w:color w:val="auto"/>
              </w:rPr>
            </w:pPr>
            <w:r>
              <w:rPr>
                <w:rFonts w:ascii="Arial" w:cs="Arial" w:eastAsia="Arial" w:hAnsi="Arial"/>
                <w:sz w:val="18"/>
                <w:szCs w:val="18"/>
                <w:color w:val="auto"/>
              </w:rPr>
              <w:t>908,000</w:t>
            </w:r>
          </w:p>
        </w:tc>
        <w:tc>
          <w:tcPr>
            <w:tcW w:w="720" w:type="dxa"/>
            <w:vAlign w:val="bottom"/>
            <w:gridSpan w:val="2"/>
          </w:tcPr>
          <w:p>
            <w:pPr>
              <w:jc w:val="right"/>
              <w:ind w:right="60"/>
              <w:spacing w:after="0"/>
              <w:rPr>
                <w:sz w:val="20"/>
                <w:szCs w:val="20"/>
                <w:color w:val="auto"/>
              </w:rPr>
            </w:pPr>
            <w:r>
              <w:rPr>
                <w:rFonts w:ascii="Arial" w:cs="Arial" w:eastAsia="Arial" w:hAnsi="Arial"/>
                <w:sz w:val="18"/>
                <w:szCs w:val="18"/>
                <w:color w:val="auto"/>
                <w:w w:val="98"/>
              </w:rPr>
              <w:t>908,000</w:t>
            </w:r>
          </w:p>
        </w:tc>
        <w:tc>
          <w:tcPr>
            <w:tcW w:w="0" w:type="dxa"/>
            <w:vAlign w:val="bottom"/>
          </w:tcPr>
          <w:p>
            <w:pPr>
              <w:spacing w:after="0"/>
              <w:rPr>
                <w:sz w:val="1"/>
                <w:szCs w:val="1"/>
                <w:color w:val="auto"/>
              </w:rPr>
            </w:pPr>
          </w:p>
        </w:tc>
      </w:tr>
      <w:tr>
        <w:trPr>
          <w:trHeight w:val="216"/>
        </w:trPr>
        <w:tc>
          <w:tcPr>
            <w:tcW w:w="65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 Bryan Schreier</w:t>
            </w:r>
          </w:p>
        </w:tc>
        <w:tc>
          <w:tcPr>
            <w:tcW w:w="1240" w:type="dxa"/>
            <w:vAlign w:val="bottom"/>
            <w:gridSpan w:val="2"/>
            <w:shd w:val="clear" w:color="auto" w:fill="CCEEFF"/>
          </w:tcPr>
          <w:p>
            <w:pPr>
              <w:ind w:left="500"/>
              <w:spacing w:after="0"/>
              <w:rPr>
                <w:sz w:val="20"/>
                <w:szCs w:val="20"/>
                <w:color w:val="auto"/>
              </w:rPr>
            </w:pPr>
            <w:r>
              <w:rPr>
                <w:rFonts w:ascii="Arial" w:cs="Arial" w:eastAsia="Arial" w:hAnsi="Arial"/>
                <w:sz w:val="18"/>
                <w:szCs w:val="18"/>
                <w:b w:val="1"/>
                <w:bCs w:val="1"/>
                <w:color w:val="auto"/>
              </w:rPr>
              <w:t>—</w:t>
            </w:r>
          </w:p>
        </w:tc>
        <w:tc>
          <w:tcPr>
            <w:tcW w:w="7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1200" cy="825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11200" cy="8255"/>
                    </a:xfrm>
                    <a:prstGeom prst="rect">
                      <a:avLst/>
                    </a:prstGeom>
                    <a:noFill/>
                  </pic:spPr>
                </pic:pic>
              </a:graphicData>
            </a:graphic>
          </wp:anchor>
        </w:drawing>
      </w:r>
    </w:p>
    <w:p>
      <w:pPr>
        <w:spacing w:after="0" w:line="159" w:lineRule="exact"/>
        <w:rPr>
          <w:sz w:val="20"/>
          <w:szCs w:val="20"/>
          <w:color w:val="auto"/>
        </w:rPr>
      </w:pPr>
    </w:p>
    <w:p>
      <w:pPr>
        <w:jc w:val="both"/>
        <w:ind w:left="340" w:right="140" w:hanging="332"/>
        <w:spacing w:after="0" w:line="223" w:lineRule="auto"/>
        <w:tabs>
          <w:tab w:leader="none" w:pos="340" w:val="left"/>
        </w:tabs>
        <w:numPr>
          <w:ilvl w:val="0"/>
          <w:numId w:val="69"/>
        </w:numPr>
        <w:rPr>
          <w:rFonts w:ascii="Arial" w:cs="Arial" w:eastAsia="Arial" w:hAnsi="Arial"/>
          <w:sz w:val="28"/>
          <w:szCs w:val="28"/>
          <w:color w:val="auto"/>
          <w:vertAlign w:val="superscript"/>
        </w:rPr>
      </w:pPr>
      <w:r>
        <w:rPr>
          <w:rFonts w:ascii="Arial" w:cs="Arial" w:eastAsia="Arial" w:hAnsi="Arial"/>
          <w:sz w:val="16"/>
          <w:szCs w:val="16"/>
          <w:color w:val="auto"/>
        </w:rPr>
        <w:t>The amounts reported represent the aggregate grant-date fair value of the RSUs awarded to the director in 2017, calculated in accordance with ASC Topic 718. Such grant-date fair value does not take into account any estimated forfeitures related to service-vesting conditions. The assumptions used in calculating the grant-date fair value of the RSUs reported in this column are set forth in the section titled “Management’s Discussion and Analysis of Financial Condition and Results of Operations —Critical Accounting Policies and Judgments.”</w:t>
      </w:r>
    </w:p>
    <w:p>
      <w:pPr>
        <w:spacing w:after="0" w:line="1" w:lineRule="exact"/>
        <w:rPr>
          <w:rFonts w:ascii="Arial" w:cs="Arial" w:eastAsia="Arial" w:hAnsi="Arial"/>
          <w:sz w:val="28"/>
          <w:szCs w:val="28"/>
          <w:color w:val="auto"/>
          <w:vertAlign w:val="superscript"/>
        </w:rPr>
      </w:pPr>
    </w:p>
    <w:p>
      <w:pPr>
        <w:ind w:left="340" w:hanging="332"/>
        <w:spacing w:after="0" w:line="183" w:lineRule="auto"/>
        <w:tabs>
          <w:tab w:leader="none" w:pos="340" w:val="left"/>
        </w:tabs>
        <w:numPr>
          <w:ilvl w:val="0"/>
          <w:numId w:val="69"/>
        </w:numPr>
        <w:rPr>
          <w:rFonts w:ascii="Arial" w:cs="Arial" w:eastAsia="Arial" w:hAnsi="Arial"/>
          <w:sz w:val="23"/>
          <w:szCs w:val="23"/>
          <w:color w:val="auto"/>
          <w:vertAlign w:val="superscript"/>
        </w:rPr>
      </w:pPr>
      <w:r>
        <w:rPr>
          <w:rFonts w:ascii="Arial" w:cs="Arial" w:eastAsia="Arial" w:hAnsi="Arial"/>
          <w:sz w:val="14"/>
          <w:szCs w:val="14"/>
          <w:color w:val="auto"/>
        </w:rPr>
        <w:t>Ms. Whitman became a member of our Board of Directors in September 2017.</w:t>
      </w:r>
    </w:p>
    <w:p>
      <w:pPr>
        <w:spacing w:after="0" w:line="20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lists all outstanding equity awards that we expect will be held by non-employee directors as of December 31, 2017:</w:t>
      </w:r>
    </w:p>
    <w:p>
      <w:pPr>
        <w:spacing w:after="0" w:line="231" w:lineRule="exact"/>
        <w:rPr>
          <w:sz w:val="20"/>
          <w:szCs w:val="20"/>
          <w:color w:val="auto"/>
        </w:rPr>
      </w:pPr>
    </w:p>
    <w:tbl>
      <w:tblPr>
        <w:tblLayout w:type="fixed"/>
        <w:tblInd w:w="1360" w:type="dxa"/>
        <w:tblCellMar>
          <w:top w:w="0" w:type="dxa"/>
          <w:left w:w="0" w:type="dxa"/>
          <w:bottom w:w="0" w:type="dxa"/>
          <w:right w:w="0" w:type="dxa"/>
        </w:tblCellMar>
      </w:tblPr>
      <w:tr>
        <w:trPr>
          <w:trHeight w:val="161"/>
        </w:trPr>
        <w:tc>
          <w:tcPr>
            <w:tcW w:w="360" w:type="dxa"/>
            <w:vAlign w:val="bottom"/>
            <w:vMerge w:val="restart"/>
          </w:tcPr>
          <w:p>
            <w:pPr>
              <w:spacing w:after="0"/>
              <w:rPr>
                <w:sz w:val="20"/>
                <w:szCs w:val="20"/>
                <w:color w:val="auto"/>
              </w:rPr>
            </w:pPr>
            <w:r>
              <w:rPr>
                <w:rFonts w:ascii="Arial" w:cs="Arial" w:eastAsia="Arial" w:hAnsi="Arial"/>
                <w:sz w:val="14"/>
                <w:szCs w:val="14"/>
                <w:b w:val="1"/>
                <w:bCs w:val="1"/>
                <w:color w:val="auto"/>
                <w:w w:val="89"/>
              </w:rPr>
              <w:t>Name</w:t>
            </w:r>
          </w:p>
        </w:tc>
        <w:tc>
          <w:tcPr>
            <w:tcW w:w="4380" w:type="dxa"/>
            <w:vAlign w:val="bottom"/>
            <w:vMerge w:val="restart"/>
          </w:tcPr>
          <w:p>
            <w:pPr>
              <w:spacing w:after="0"/>
              <w:rPr>
                <w:sz w:val="14"/>
                <w:szCs w:val="14"/>
                <w:color w:val="auto"/>
              </w:rPr>
            </w:pPr>
          </w:p>
        </w:tc>
        <w:tc>
          <w:tcPr>
            <w:tcW w:w="1920" w:type="dxa"/>
            <w:vAlign w:val="bottom"/>
            <w:gridSpan w:val="2"/>
          </w:tcPr>
          <w:p>
            <w:pPr>
              <w:jc w:val="right"/>
              <w:ind w:right="1284"/>
              <w:spacing w:after="0"/>
              <w:rPr>
                <w:sz w:val="20"/>
                <w:szCs w:val="20"/>
                <w:color w:val="auto"/>
              </w:rPr>
            </w:pPr>
            <w:r>
              <w:rPr>
                <w:rFonts w:ascii="Arial" w:cs="Arial" w:eastAsia="Arial" w:hAnsi="Arial"/>
                <w:sz w:val="14"/>
                <w:szCs w:val="14"/>
                <w:b w:val="1"/>
                <w:bCs w:val="1"/>
                <w:color w:val="auto"/>
              </w:rPr>
              <w:t>Date of</w:t>
            </w:r>
          </w:p>
        </w:tc>
        <w:tc>
          <w:tcPr>
            <w:tcW w:w="1860" w:type="dxa"/>
            <w:vAlign w:val="bottom"/>
            <w:gridSpan w:val="2"/>
          </w:tcPr>
          <w:p>
            <w:pPr>
              <w:jc w:val="right"/>
              <w:ind w:right="40"/>
              <w:spacing w:after="0"/>
              <w:rPr>
                <w:sz w:val="20"/>
                <w:szCs w:val="20"/>
                <w:color w:val="auto"/>
              </w:rPr>
            </w:pPr>
            <w:r>
              <w:rPr>
                <w:rFonts w:ascii="Arial" w:cs="Arial" w:eastAsia="Arial" w:hAnsi="Arial"/>
                <w:sz w:val="14"/>
                <w:szCs w:val="14"/>
                <w:b w:val="1"/>
                <w:bCs w:val="1"/>
                <w:color w:val="auto"/>
                <w:w w:val="92"/>
              </w:rPr>
              <w:t>Number of shares underlying</w:t>
            </w:r>
          </w:p>
        </w:tc>
        <w:tc>
          <w:tcPr>
            <w:tcW w:w="0" w:type="dxa"/>
            <w:vAlign w:val="bottom"/>
          </w:tcPr>
          <w:p>
            <w:pPr>
              <w:spacing w:after="0"/>
              <w:rPr>
                <w:sz w:val="1"/>
                <w:szCs w:val="1"/>
                <w:color w:val="auto"/>
              </w:rPr>
            </w:pPr>
          </w:p>
        </w:tc>
      </w:tr>
      <w:tr>
        <w:trPr>
          <w:trHeight w:val="178"/>
        </w:trPr>
        <w:tc>
          <w:tcPr>
            <w:tcW w:w="360" w:type="dxa"/>
            <w:vAlign w:val="bottom"/>
            <w:tcBorders>
              <w:bottom w:val="single" w:sz="8" w:color="auto"/>
            </w:tcBorders>
            <w:vMerge w:val="continue"/>
          </w:tcPr>
          <w:p>
            <w:pPr>
              <w:spacing w:after="0"/>
              <w:rPr>
                <w:sz w:val="15"/>
                <w:szCs w:val="15"/>
                <w:color w:val="auto"/>
              </w:rPr>
            </w:pPr>
          </w:p>
        </w:tc>
        <w:tc>
          <w:tcPr>
            <w:tcW w:w="4380" w:type="dxa"/>
            <w:vAlign w:val="bottom"/>
            <w:vMerge w:val="continue"/>
          </w:tcPr>
          <w:p>
            <w:pPr>
              <w:spacing w:after="0"/>
              <w:rPr>
                <w:sz w:val="15"/>
                <w:szCs w:val="15"/>
                <w:color w:val="auto"/>
              </w:rPr>
            </w:pPr>
          </w:p>
        </w:tc>
        <w:tc>
          <w:tcPr>
            <w:tcW w:w="1920" w:type="dxa"/>
            <w:vAlign w:val="bottom"/>
            <w:gridSpan w:val="2"/>
          </w:tcPr>
          <w:p>
            <w:pPr>
              <w:jc w:val="right"/>
              <w:ind w:right="1324"/>
              <w:spacing w:after="0" w:line="158" w:lineRule="exact"/>
              <w:rPr>
                <w:sz w:val="20"/>
                <w:szCs w:val="20"/>
                <w:color w:val="auto"/>
              </w:rPr>
            </w:pPr>
            <w:r>
              <w:rPr>
                <w:rFonts w:ascii="Arial" w:cs="Arial" w:eastAsia="Arial" w:hAnsi="Arial"/>
                <w:sz w:val="14"/>
                <w:szCs w:val="14"/>
                <w:b w:val="1"/>
                <w:bCs w:val="1"/>
                <w:color w:val="auto"/>
              </w:rPr>
              <w:t>grant</w:t>
            </w:r>
          </w:p>
        </w:tc>
        <w:tc>
          <w:tcPr>
            <w:tcW w:w="1860" w:type="dxa"/>
            <w:vAlign w:val="bottom"/>
            <w:gridSpan w:val="2"/>
          </w:tcPr>
          <w:p>
            <w:pPr>
              <w:ind w:left="140"/>
              <w:spacing w:after="0" w:line="158" w:lineRule="exact"/>
              <w:rPr>
                <w:sz w:val="20"/>
                <w:szCs w:val="20"/>
                <w:color w:val="auto"/>
              </w:rPr>
            </w:pPr>
            <w:r>
              <w:rPr>
                <w:rFonts w:ascii="Arial" w:cs="Arial" w:eastAsia="Arial" w:hAnsi="Arial"/>
                <w:sz w:val="14"/>
                <w:szCs w:val="14"/>
                <w:b w:val="1"/>
                <w:bCs w:val="1"/>
                <w:color w:val="auto"/>
              </w:rPr>
              <w:t>unvested stock awards</w:t>
            </w:r>
            <w:r>
              <w:rPr>
                <w:rFonts w:ascii="Arial" w:cs="Arial" w:eastAsia="Arial" w:hAnsi="Arial"/>
                <w:sz w:val="12"/>
                <w:szCs w:val="12"/>
                <w:b w:val="1"/>
                <w:bCs w:val="1"/>
                <w:color w:val="auto"/>
              </w:rPr>
              <w:t>(1)</w:t>
            </w:r>
          </w:p>
        </w:tc>
        <w:tc>
          <w:tcPr>
            <w:tcW w:w="0" w:type="dxa"/>
            <w:vAlign w:val="bottom"/>
          </w:tcPr>
          <w:p>
            <w:pPr>
              <w:spacing w:after="0"/>
              <w:rPr>
                <w:sz w:val="1"/>
                <w:szCs w:val="1"/>
                <w:color w:val="auto"/>
              </w:rPr>
            </w:pPr>
          </w:p>
        </w:tc>
      </w:tr>
      <w:tr>
        <w:trPr>
          <w:trHeight w:val="203"/>
        </w:trPr>
        <w:tc>
          <w:tcPr>
            <w:tcW w:w="4740" w:type="dxa"/>
            <w:vAlign w:val="bottom"/>
            <w:tcBorders>
              <w:top w:val="single" w:sz="8" w:color="CCEEFF"/>
            </w:tcBorders>
            <w:gridSpan w:val="2"/>
            <w:shd w:val="clear" w:color="auto" w:fill="CCEEFF"/>
          </w:tcPr>
          <w:p>
            <w:pPr>
              <w:spacing w:after="0" w:line="203" w:lineRule="exact"/>
              <w:rPr>
                <w:sz w:val="20"/>
                <w:szCs w:val="20"/>
                <w:color w:val="auto"/>
              </w:rPr>
            </w:pPr>
            <w:r>
              <w:rPr>
                <w:rFonts w:ascii="Arial" w:cs="Arial" w:eastAsia="Arial" w:hAnsi="Arial"/>
                <w:sz w:val="18"/>
                <w:szCs w:val="18"/>
                <w:color w:val="auto"/>
              </w:rPr>
              <w:t>Paul E. Jacobs</w:t>
            </w:r>
          </w:p>
        </w:tc>
        <w:tc>
          <w:tcPr>
            <w:tcW w:w="70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5/24/16</w:t>
            </w:r>
          </w:p>
        </w:tc>
        <w:tc>
          <w:tcPr>
            <w:tcW w:w="1220" w:type="dxa"/>
            <w:vAlign w:val="bottom"/>
            <w:tcBorders>
              <w:top w:val="single" w:sz="8" w:color="CCEEFF"/>
            </w:tcBorders>
            <w:shd w:val="clear" w:color="auto" w:fill="CCEEFF"/>
          </w:tcPr>
          <w:p>
            <w:pPr>
              <w:jc w:val="right"/>
              <w:ind w:right="964"/>
              <w:spacing w:after="0"/>
              <w:rPr>
                <w:sz w:val="20"/>
                <w:szCs w:val="20"/>
                <w:color w:val="auto"/>
              </w:rPr>
            </w:pPr>
            <w:r>
              <w:rPr>
                <w:rFonts w:ascii="Arial" w:cs="Arial" w:eastAsia="Arial" w:hAnsi="Arial"/>
                <w:sz w:val="15"/>
                <w:szCs w:val="15"/>
                <w:color w:val="auto"/>
                <w:w w:val="87"/>
              </w:rPr>
              <w:t>(2)</w:t>
            </w:r>
          </w:p>
        </w:tc>
        <w:tc>
          <w:tcPr>
            <w:tcW w:w="182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40,000</w:t>
            </w:r>
          </w:p>
        </w:tc>
        <w:tc>
          <w:tcPr>
            <w:tcW w:w="4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740" w:type="dxa"/>
            <w:vAlign w:val="bottom"/>
            <w:gridSpan w:val="2"/>
          </w:tcPr>
          <w:p>
            <w:pPr>
              <w:spacing w:after="0"/>
              <w:rPr>
                <w:sz w:val="20"/>
                <w:szCs w:val="20"/>
                <w:color w:val="auto"/>
              </w:rPr>
            </w:pPr>
            <w:r>
              <w:rPr>
                <w:rFonts w:ascii="Arial" w:cs="Arial" w:eastAsia="Arial" w:hAnsi="Arial"/>
                <w:sz w:val="18"/>
                <w:szCs w:val="18"/>
                <w:color w:val="auto"/>
              </w:rPr>
              <w:t>Robert J. Mylod, Jr.</w:t>
            </w:r>
          </w:p>
        </w:tc>
        <w:tc>
          <w:tcPr>
            <w:tcW w:w="1920" w:type="dxa"/>
            <w:vAlign w:val="bottom"/>
            <w:gridSpan w:val="2"/>
          </w:tcPr>
          <w:p>
            <w:pPr>
              <w:jc w:val="right"/>
              <w:ind w:right="964"/>
              <w:spacing w:after="0"/>
              <w:rPr>
                <w:sz w:val="20"/>
                <w:szCs w:val="20"/>
                <w:color w:val="auto"/>
              </w:rPr>
            </w:pPr>
            <w:r>
              <w:rPr>
                <w:rFonts w:ascii="Arial" w:cs="Arial" w:eastAsia="Arial" w:hAnsi="Arial"/>
                <w:sz w:val="18"/>
                <w:szCs w:val="18"/>
                <w:color w:val="auto"/>
                <w:w w:val="97"/>
              </w:rPr>
              <w:t>10/27/14</w:t>
            </w:r>
            <w:r>
              <w:rPr>
                <w:rFonts w:ascii="Arial" w:cs="Arial" w:eastAsia="Arial" w:hAnsi="Arial"/>
                <w:sz w:val="15"/>
                <w:szCs w:val="15"/>
                <w:color w:val="auto"/>
                <w:w w:val="97"/>
              </w:rPr>
              <w:t>(3)</w:t>
            </w:r>
          </w:p>
        </w:tc>
        <w:tc>
          <w:tcPr>
            <w:tcW w:w="1860" w:type="dxa"/>
            <w:vAlign w:val="bottom"/>
            <w:gridSpan w:val="2"/>
          </w:tcPr>
          <w:p>
            <w:pPr>
              <w:jc w:val="right"/>
              <w:ind w:right="40"/>
              <w:spacing w:after="0"/>
              <w:rPr>
                <w:sz w:val="20"/>
                <w:szCs w:val="20"/>
                <w:color w:val="auto"/>
              </w:rPr>
            </w:pPr>
            <w:r>
              <w:rPr>
                <w:rFonts w:ascii="Arial" w:cs="Arial" w:eastAsia="Arial" w:hAnsi="Arial"/>
                <w:sz w:val="18"/>
                <w:szCs w:val="18"/>
                <w:color w:val="auto"/>
              </w:rPr>
              <w:t>36,650</w:t>
            </w:r>
          </w:p>
        </w:tc>
        <w:tc>
          <w:tcPr>
            <w:tcW w:w="0" w:type="dxa"/>
            <w:vAlign w:val="bottom"/>
          </w:tcPr>
          <w:p>
            <w:pPr>
              <w:spacing w:after="0"/>
              <w:rPr>
                <w:sz w:val="1"/>
                <w:szCs w:val="1"/>
                <w:color w:val="auto"/>
              </w:rPr>
            </w:pPr>
          </w:p>
        </w:tc>
      </w:tr>
      <w:tr>
        <w:trPr>
          <w:trHeight w:val="216"/>
        </w:trPr>
        <w:tc>
          <w:tcPr>
            <w:tcW w:w="360" w:type="dxa"/>
            <w:vAlign w:val="bottom"/>
            <w:shd w:val="clear" w:color="auto" w:fill="CCEEFF"/>
          </w:tcPr>
          <w:p>
            <w:pPr>
              <w:spacing w:after="0"/>
              <w:rPr>
                <w:sz w:val="18"/>
                <w:szCs w:val="18"/>
                <w:color w:val="auto"/>
              </w:rPr>
            </w:pPr>
          </w:p>
        </w:tc>
        <w:tc>
          <w:tcPr>
            <w:tcW w:w="4380" w:type="dxa"/>
            <w:vAlign w:val="bottom"/>
            <w:shd w:val="clear" w:color="auto" w:fill="CCEEFF"/>
          </w:tcPr>
          <w:p>
            <w:pPr>
              <w:spacing w:after="0"/>
              <w:rPr>
                <w:sz w:val="18"/>
                <w:szCs w:val="18"/>
                <w:color w:val="auto"/>
              </w:rPr>
            </w:pPr>
          </w:p>
        </w:tc>
        <w:tc>
          <w:tcPr>
            <w:tcW w:w="1920" w:type="dxa"/>
            <w:vAlign w:val="bottom"/>
            <w:gridSpan w:val="2"/>
            <w:shd w:val="clear" w:color="auto" w:fill="CCEEFF"/>
          </w:tcPr>
          <w:p>
            <w:pPr>
              <w:jc w:val="right"/>
              <w:ind w:right="964"/>
              <w:spacing w:after="0"/>
              <w:rPr>
                <w:sz w:val="20"/>
                <w:szCs w:val="20"/>
                <w:color w:val="auto"/>
              </w:rPr>
            </w:pPr>
            <w:r>
              <w:rPr>
                <w:rFonts w:ascii="Arial" w:cs="Arial" w:eastAsia="Arial" w:hAnsi="Arial"/>
                <w:sz w:val="18"/>
                <w:szCs w:val="18"/>
                <w:color w:val="auto"/>
              </w:rPr>
              <w:t>5/24/16</w:t>
            </w:r>
            <w:r>
              <w:rPr>
                <w:rFonts w:ascii="Arial" w:cs="Arial" w:eastAsia="Arial" w:hAnsi="Arial"/>
                <w:sz w:val="15"/>
                <w:szCs w:val="15"/>
                <w:color w:val="auto"/>
              </w:rPr>
              <w:t>(4)</w:t>
            </w:r>
          </w:p>
        </w:tc>
        <w:tc>
          <w:tcPr>
            <w:tcW w:w="18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80,000</w:t>
            </w:r>
          </w:p>
        </w:tc>
        <w:tc>
          <w:tcPr>
            <w:tcW w:w="0" w:type="dxa"/>
            <w:vAlign w:val="bottom"/>
          </w:tcPr>
          <w:p>
            <w:pPr>
              <w:spacing w:after="0"/>
              <w:rPr>
                <w:sz w:val="1"/>
                <w:szCs w:val="1"/>
                <w:color w:val="auto"/>
              </w:rPr>
            </w:pPr>
          </w:p>
        </w:tc>
      </w:tr>
      <w:tr>
        <w:trPr>
          <w:trHeight w:val="216"/>
        </w:trPr>
        <w:tc>
          <w:tcPr>
            <w:tcW w:w="4740" w:type="dxa"/>
            <w:vAlign w:val="bottom"/>
            <w:gridSpan w:val="2"/>
          </w:tcPr>
          <w:p>
            <w:pPr>
              <w:spacing w:after="0"/>
              <w:rPr>
                <w:sz w:val="20"/>
                <w:szCs w:val="20"/>
                <w:color w:val="auto"/>
              </w:rPr>
            </w:pPr>
            <w:r>
              <w:rPr>
                <w:rFonts w:ascii="Arial" w:cs="Arial" w:eastAsia="Arial" w:hAnsi="Arial"/>
                <w:sz w:val="18"/>
                <w:szCs w:val="18"/>
                <w:color w:val="auto"/>
              </w:rPr>
              <w:t>Condoleezza Rice</w:t>
            </w:r>
          </w:p>
        </w:tc>
        <w:tc>
          <w:tcPr>
            <w:tcW w:w="1920" w:type="dxa"/>
            <w:vAlign w:val="bottom"/>
            <w:gridSpan w:val="2"/>
          </w:tcPr>
          <w:p>
            <w:pPr>
              <w:jc w:val="right"/>
              <w:ind w:right="964"/>
              <w:spacing w:after="0"/>
              <w:rPr>
                <w:sz w:val="20"/>
                <w:szCs w:val="20"/>
                <w:color w:val="auto"/>
              </w:rPr>
            </w:pPr>
            <w:r>
              <w:rPr>
                <w:rFonts w:ascii="Arial" w:cs="Arial" w:eastAsia="Arial" w:hAnsi="Arial"/>
                <w:sz w:val="18"/>
                <w:szCs w:val="18"/>
                <w:color w:val="auto"/>
              </w:rPr>
              <w:t>7/29/14</w:t>
            </w:r>
            <w:r>
              <w:rPr>
                <w:rFonts w:ascii="Arial" w:cs="Arial" w:eastAsia="Arial" w:hAnsi="Arial"/>
                <w:sz w:val="15"/>
                <w:szCs w:val="15"/>
                <w:color w:val="auto"/>
              </w:rPr>
              <w:t>(5)</w:t>
            </w:r>
          </w:p>
        </w:tc>
        <w:tc>
          <w:tcPr>
            <w:tcW w:w="1860" w:type="dxa"/>
            <w:vAlign w:val="bottom"/>
            <w:gridSpan w:val="2"/>
          </w:tcPr>
          <w:p>
            <w:pPr>
              <w:jc w:val="right"/>
              <w:ind w:right="40"/>
              <w:spacing w:after="0"/>
              <w:rPr>
                <w:sz w:val="20"/>
                <w:szCs w:val="20"/>
                <w:color w:val="auto"/>
              </w:rPr>
            </w:pPr>
            <w:r>
              <w:rPr>
                <w:rFonts w:ascii="Arial" w:cs="Arial" w:eastAsia="Arial" w:hAnsi="Arial"/>
                <w:sz w:val="18"/>
                <w:szCs w:val="18"/>
                <w:color w:val="auto"/>
              </w:rPr>
              <w:t>36,650</w:t>
            </w:r>
          </w:p>
        </w:tc>
        <w:tc>
          <w:tcPr>
            <w:tcW w:w="0" w:type="dxa"/>
            <w:vAlign w:val="bottom"/>
          </w:tcPr>
          <w:p>
            <w:pPr>
              <w:spacing w:after="0"/>
              <w:rPr>
                <w:sz w:val="1"/>
                <w:szCs w:val="1"/>
                <w:color w:val="auto"/>
              </w:rPr>
            </w:pPr>
          </w:p>
        </w:tc>
      </w:tr>
      <w:tr>
        <w:trPr>
          <w:trHeight w:val="216"/>
        </w:trPr>
        <w:tc>
          <w:tcPr>
            <w:tcW w:w="360" w:type="dxa"/>
            <w:vAlign w:val="bottom"/>
            <w:shd w:val="clear" w:color="auto" w:fill="CCEEFF"/>
          </w:tcPr>
          <w:p>
            <w:pPr>
              <w:spacing w:after="0"/>
              <w:rPr>
                <w:sz w:val="18"/>
                <w:szCs w:val="18"/>
                <w:color w:val="auto"/>
              </w:rPr>
            </w:pPr>
          </w:p>
        </w:tc>
        <w:tc>
          <w:tcPr>
            <w:tcW w:w="4380" w:type="dxa"/>
            <w:vAlign w:val="bottom"/>
            <w:shd w:val="clear" w:color="auto" w:fill="CCEEFF"/>
          </w:tcPr>
          <w:p>
            <w:pPr>
              <w:spacing w:after="0"/>
              <w:rPr>
                <w:sz w:val="18"/>
                <w:szCs w:val="18"/>
                <w:color w:val="auto"/>
              </w:rPr>
            </w:pPr>
          </w:p>
        </w:tc>
        <w:tc>
          <w:tcPr>
            <w:tcW w:w="1920" w:type="dxa"/>
            <w:vAlign w:val="bottom"/>
            <w:gridSpan w:val="2"/>
            <w:shd w:val="clear" w:color="auto" w:fill="CCEEFF"/>
          </w:tcPr>
          <w:p>
            <w:pPr>
              <w:jc w:val="right"/>
              <w:ind w:right="964"/>
              <w:spacing w:after="0"/>
              <w:rPr>
                <w:sz w:val="20"/>
                <w:szCs w:val="20"/>
                <w:color w:val="auto"/>
              </w:rPr>
            </w:pPr>
            <w:r>
              <w:rPr>
                <w:rFonts w:ascii="Arial" w:cs="Arial" w:eastAsia="Arial" w:hAnsi="Arial"/>
                <w:sz w:val="18"/>
                <w:szCs w:val="18"/>
                <w:color w:val="auto"/>
              </w:rPr>
              <w:t>5/24/16</w:t>
            </w:r>
            <w:r>
              <w:rPr>
                <w:rFonts w:ascii="Arial" w:cs="Arial" w:eastAsia="Arial" w:hAnsi="Arial"/>
                <w:sz w:val="15"/>
                <w:szCs w:val="15"/>
                <w:color w:val="auto"/>
              </w:rPr>
              <w:t>(6)</w:t>
            </w:r>
          </w:p>
        </w:tc>
        <w:tc>
          <w:tcPr>
            <w:tcW w:w="18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80,000</w:t>
            </w:r>
          </w:p>
        </w:tc>
        <w:tc>
          <w:tcPr>
            <w:tcW w:w="0" w:type="dxa"/>
            <w:vAlign w:val="bottom"/>
          </w:tcPr>
          <w:p>
            <w:pPr>
              <w:spacing w:after="0"/>
              <w:rPr>
                <w:sz w:val="1"/>
                <w:szCs w:val="1"/>
                <w:color w:val="auto"/>
              </w:rPr>
            </w:pPr>
          </w:p>
        </w:tc>
      </w:tr>
      <w:tr>
        <w:trPr>
          <w:trHeight w:val="216"/>
        </w:trPr>
        <w:tc>
          <w:tcPr>
            <w:tcW w:w="4740" w:type="dxa"/>
            <w:vAlign w:val="bottom"/>
            <w:gridSpan w:val="2"/>
          </w:tcPr>
          <w:p>
            <w:pPr>
              <w:spacing w:after="0"/>
              <w:rPr>
                <w:sz w:val="20"/>
                <w:szCs w:val="20"/>
                <w:color w:val="auto"/>
              </w:rPr>
            </w:pPr>
            <w:r>
              <w:rPr>
                <w:rFonts w:ascii="Arial" w:cs="Arial" w:eastAsia="Arial" w:hAnsi="Arial"/>
                <w:sz w:val="18"/>
                <w:szCs w:val="18"/>
                <w:color w:val="auto"/>
              </w:rPr>
              <w:t>Margaret C. Whitman</w:t>
            </w:r>
          </w:p>
        </w:tc>
        <w:tc>
          <w:tcPr>
            <w:tcW w:w="1920" w:type="dxa"/>
            <w:vAlign w:val="bottom"/>
            <w:gridSpan w:val="2"/>
          </w:tcPr>
          <w:p>
            <w:pPr>
              <w:jc w:val="right"/>
              <w:ind w:right="964"/>
              <w:spacing w:after="0"/>
              <w:rPr>
                <w:sz w:val="20"/>
                <w:szCs w:val="20"/>
                <w:color w:val="auto"/>
              </w:rPr>
            </w:pPr>
            <w:r>
              <w:rPr>
                <w:rFonts w:ascii="Arial" w:cs="Arial" w:eastAsia="Arial" w:hAnsi="Arial"/>
                <w:sz w:val="18"/>
                <w:szCs w:val="18"/>
                <w:color w:val="auto"/>
              </w:rPr>
              <w:t>9/8/17</w:t>
            </w:r>
            <w:r>
              <w:rPr>
                <w:rFonts w:ascii="Arial" w:cs="Arial" w:eastAsia="Arial" w:hAnsi="Arial"/>
                <w:sz w:val="15"/>
                <w:szCs w:val="15"/>
                <w:color w:val="auto"/>
              </w:rPr>
              <w:t>(7)</w:t>
            </w:r>
          </w:p>
        </w:tc>
        <w:tc>
          <w:tcPr>
            <w:tcW w:w="1860" w:type="dxa"/>
            <w:vAlign w:val="bottom"/>
            <w:gridSpan w:val="2"/>
          </w:tcPr>
          <w:p>
            <w:pPr>
              <w:jc w:val="right"/>
              <w:ind w:right="40"/>
              <w:spacing w:after="0"/>
              <w:rPr>
                <w:sz w:val="20"/>
                <w:szCs w:val="20"/>
                <w:color w:val="auto"/>
              </w:rPr>
            </w:pPr>
            <w:r>
              <w:rPr>
                <w:rFonts w:ascii="Arial" w:cs="Arial" w:eastAsia="Arial" w:hAnsi="Arial"/>
                <w:sz w:val="18"/>
                <w:szCs w:val="18"/>
                <w:color w:val="auto"/>
              </w:rPr>
              <w:t>80,000</w:t>
            </w:r>
          </w:p>
        </w:tc>
        <w:tc>
          <w:tcPr>
            <w:tcW w:w="0" w:type="dxa"/>
            <w:vAlign w:val="bottom"/>
          </w:tcPr>
          <w:p>
            <w:pPr>
              <w:spacing w:after="0"/>
              <w:rPr>
                <w:sz w:val="1"/>
                <w:szCs w:val="1"/>
                <w:color w:val="auto"/>
              </w:rPr>
            </w:pPr>
          </w:p>
        </w:tc>
      </w:tr>
      <w:tr>
        <w:trPr>
          <w:trHeight w:val="216"/>
        </w:trPr>
        <w:tc>
          <w:tcPr>
            <w:tcW w:w="47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 Bryan Schreier</w:t>
            </w:r>
          </w:p>
        </w:tc>
        <w:tc>
          <w:tcPr>
            <w:tcW w:w="1920" w:type="dxa"/>
            <w:vAlign w:val="bottom"/>
            <w:gridSpan w:val="2"/>
            <w:shd w:val="clear" w:color="auto" w:fill="CCEEFF"/>
          </w:tcPr>
          <w:p>
            <w:pPr>
              <w:jc w:val="right"/>
              <w:ind w:right="1244"/>
              <w:spacing w:after="0"/>
              <w:rPr>
                <w:sz w:val="20"/>
                <w:szCs w:val="20"/>
                <w:color w:val="auto"/>
              </w:rPr>
            </w:pPr>
            <w:r>
              <w:rPr>
                <w:rFonts w:ascii="Arial" w:cs="Arial" w:eastAsia="Arial" w:hAnsi="Arial"/>
                <w:sz w:val="18"/>
                <w:szCs w:val="18"/>
                <w:color w:val="auto"/>
              </w:rPr>
              <w:t>—</w:t>
            </w:r>
          </w:p>
        </w:tc>
        <w:tc>
          <w:tcPr>
            <w:tcW w:w="1860" w:type="dxa"/>
            <w:vAlign w:val="bottom"/>
            <w:gridSpan w:val="2"/>
            <w:shd w:val="clear" w:color="auto" w:fill="CCEEFF"/>
          </w:tcPr>
          <w:p>
            <w:pPr>
              <w:ind w:left="15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1200" cy="825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11200" cy="8255"/>
                    </a:xfrm>
                    <a:prstGeom prst="rect">
                      <a:avLst/>
                    </a:prstGeom>
                    <a:noFill/>
                  </pic:spPr>
                </pic:pic>
              </a:graphicData>
            </a:graphic>
          </wp:anchor>
        </w:drawing>
      </w:r>
    </w:p>
    <w:p>
      <w:pPr>
        <w:spacing w:after="0" w:line="159" w:lineRule="exact"/>
        <w:rPr>
          <w:sz w:val="20"/>
          <w:szCs w:val="20"/>
          <w:color w:val="auto"/>
        </w:rPr>
      </w:pPr>
    </w:p>
    <w:p>
      <w:pPr>
        <w:ind w:left="340" w:hanging="332"/>
        <w:spacing w:after="0" w:line="230" w:lineRule="auto"/>
        <w:tabs>
          <w:tab w:leader="none" w:pos="340" w:val="left"/>
        </w:tabs>
        <w:numPr>
          <w:ilvl w:val="0"/>
          <w:numId w:val="70"/>
        </w:numPr>
        <w:rPr>
          <w:rFonts w:ascii="Arial" w:cs="Arial" w:eastAsia="Arial" w:hAnsi="Arial"/>
          <w:sz w:val="28"/>
          <w:szCs w:val="28"/>
          <w:color w:val="auto"/>
          <w:vertAlign w:val="superscript"/>
        </w:rPr>
      </w:pPr>
      <w:r>
        <w:rPr>
          <w:rFonts w:ascii="Arial" w:cs="Arial" w:eastAsia="Arial" w:hAnsi="Arial"/>
          <w:sz w:val="16"/>
          <w:szCs w:val="16"/>
          <w:color w:val="auto"/>
        </w:rPr>
        <w:t>As further described in the footnotes below, the RSUs granted prior to August 1, 2015, which we refer to as two-tier RSUs, will generally vest upon the satisfaction of a service-based vesting condition and the occurrence of the Performance Vesting Condition. The Performance Vesting Condition occurs on the earlier of (i) an acquisition or change in control of the company or (ii) the earlier of (a) six months after our initial public offering or (b) March 15 of the year following our initial public offering. Our Board of Directors intends to accelerate the Performance Vesting Condition such that it will occur upon the effectiveness of our registration statement of which this prospectus forms a part.</w:t>
      </w:r>
    </w:p>
    <w:p>
      <w:pPr>
        <w:spacing w:after="0" w:line="2" w:lineRule="exact"/>
        <w:rPr>
          <w:rFonts w:ascii="Arial" w:cs="Arial" w:eastAsia="Arial" w:hAnsi="Arial"/>
          <w:sz w:val="28"/>
          <w:szCs w:val="28"/>
          <w:color w:val="auto"/>
          <w:vertAlign w:val="superscript"/>
        </w:rPr>
      </w:pPr>
    </w:p>
    <w:p>
      <w:pPr>
        <w:jc w:val="both"/>
        <w:ind w:left="340" w:right="40" w:hanging="332"/>
        <w:spacing w:after="0" w:line="230" w:lineRule="auto"/>
        <w:tabs>
          <w:tab w:leader="none" w:pos="340" w:val="left"/>
        </w:tabs>
        <w:numPr>
          <w:ilvl w:val="0"/>
          <w:numId w:val="70"/>
        </w:numPr>
        <w:rPr>
          <w:rFonts w:ascii="Arial" w:cs="Arial" w:eastAsia="Arial" w:hAnsi="Arial"/>
          <w:sz w:val="25"/>
          <w:szCs w:val="25"/>
          <w:color w:val="auto"/>
          <w:vertAlign w:val="superscript"/>
        </w:rPr>
      </w:pPr>
      <w:r>
        <w:rPr>
          <w:rFonts w:ascii="Arial" w:cs="Arial" w:eastAsia="Arial" w:hAnsi="Arial"/>
          <w:sz w:val="15"/>
          <w:szCs w:val="15"/>
          <w:color w:val="auto"/>
        </w:rPr>
        <w:t>50% of the shares of our Class B common stock underlying the RSUs vested on each of May 1, 2017 and the remainder will vest on May 1, 2018, subject to continued service through such vesting date; provided, however, that as a result of amendments approved by our Board of Directors on September 8, 2017 applicable to all RSUs, or the September 2017 RSU Amendment, the May 1, 2018 vesting date is being accelerated to February 15, 2018.</w:t>
      </w:r>
    </w:p>
    <w:p>
      <w:pPr>
        <w:spacing w:after="0" w:line="1" w:lineRule="exact"/>
        <w:rPr>
          <w:rFonts w:ascii="Arial" w:cs="Arial" w:eastAsia="Arial" w:hAnsi="Arial"/>
          <w:sz w:val="25"/>
          <w:szCs w:val="25"/>
          <w:color w:val="auto"/>
          <w:vertAlign w:val="superscript"/>
        </w:rPr>
      </w:pPr>
    </w:p>
    <w:p>
      <w:pPr>
        <w:ind w:left="340" w:hanging="332"/>
        <w:spacing w:after="0" w:line="192" w:lineRule="auto"/>
        <w:tabs>
          <w:tab w:leader="none" w:pos="340" w:val="left"/>
        </w:tabs>
        <w:numPr>
          <w:ilvl w:val="0"/>
          <w:numId w:val="70"/>
        </w:numPr>
        <w:rPr>
          <w:rFonts w:ascii="Arial" w:cs="Arial" w:eastAsia="Arial" w:hAnsi="Arial"/>
          <w:sz w:val="28"/>
          <w:szCs w:val="28"/>
          <w:color w:val="auto"/>
          <w:vertAlign w:val="superscript"/>
        </w:rPr>
      </w:pPr>
      <w:r>
        <w:rPr>
          <w:rFonts w:ascii="Arial" w:cs="Arial" w:eastAsia="Arial" w:hAnsi="Arial"/>
          <w:sz w:val="16"/>
          <w:szCs w:val="16"/>
          <w:color w:val="auto"/>
        </w:rPr>
        <w:t>The service condition was satisfied as to 100% of the shares of Class B common stock underlying the RSUs on September 1, 2016. The Performance Vesting Condition has not been satisfied.</w:t>
      </w:r>
    </w:p>
    <w:p>
      <w:pPr>
        <w:ind w:left="340" w:right="240" w:hanging="332"/>
        <w:spacing w:after="0" w:line="211" w:lineRule="auto"/>
        <w:tabs>
          <w:tab w:leader="none" w:pos="340" w:val="left"/>
        </w:tabs>
        <w:numPr>
          <w:ilvl w:val="0"/>
          <w:numId w:val="70"/>
        </w:numPr>
        <w:rPr>
          <w:rFonts w:ascii="Arial" w:cs="Arial" w:eastAsia="Arial" w:hAnsi="Arial"/>
          <w:sz w:val="25"/>
          <w:szCs w:val="25"/>
          <w:color w:val="auto"/>
          <w:vertAlign w:val="superscript"/>
        </w:rPr>
      </w:pPr>
      <w:r>
        <w:rPr>
          <w:rFonts w:ascii="Arial" w:cs="Arial" w:eastAsia="Arial" w:hAnsi="Arial"/>
          <w:sz w:val="15"/>
          <w:szCs w:val="15"/>
          <w:color w:val="auto"/>
        </w:rPr>
        <w:t>100% of the shares of our Class B common stock underlying the RSUs vest on September 1, 2018, subject to continued service through such vesting date; provided, however, that as a result of the September 2017 RSU Amendment, the September 1, 2018 vesting date is being accelerated to August 15, 2018.</w:t>
      </w:r>
    </w:p>
    <w:p>
      <w:pPr>
        <w:ind w:left="340" w:right="60" w:hanging="332"/>
        <w:spacing w:after="0" w:line="192" w:lineRule="auto"/>
        <w:tabs>
          <w:tab w:leader="none" w:pos="340" w:val="left"/>
        </w:tabs>
        <w:numPr>
          <w:ilvl w:val="0"/>
          <w:numId w:val="70"/>
        </w:numPr>
        <w:rPr>
          <w:rFonts w:ascii="Arial" w:cs="Arial" w:eastAsia="Arial" w:hAnsi="Arial"/>
          <w:sz w:val="28"/>
          <w:szCs w:val="28"/>
          <w:color w:val="auto"/>
          <w:vertAlign w:val="superscript"/>
        </w:rPr>
      </w:pPr>
      <w:r>
        <w:rPr>
          <w:rFonts w:ascii="Arial" w:cs="Arial" w:eastAsia="Arial" w:hAnsi="Arial"/>
          <w:sz w:val="16"/>
          <w:szCs w:val="16"/>
          <w:color w:val="auto"/>
        </w:rPr>
        <w:t>The service condition was satisfied as to 100% of the shares of Class B common stock underlying the RSUs on May 15, 2016. The Performance Vesting Condition has not been satisfied.</w:t>
      </w:r>
    </w:p>
    <w:p>
      <w:pPr>
        <w:ind w:left="340" w:hanging="332"/>
        <w:spacing w:after="0" w:line="183" w:lineRule="auto"/>
        <w:tabs>
          <w:tab w:leader="none" w:pos="340" w:val="left"/>
        </w:tabs>
        <w:numPr>
          <w:ilvl w:val="0"/>
          <w:numId w:val="70"/>
        </w:numPr>
        <w:rPr>
          <w:rFonts w:ascii="Arial" w:cs="Arial" w:eastAsia="Arial" w:hAnsi="Arial"/>
          <w:sz w:val="23"/>
          <w:szCs w:val="23"/>
          <w:color w:val="auto"/>
          <w:vertAlign w:val="superscript"/>
        </w:rPr>
      </w:pPr>
      <w:r>
        <w:rPr>
          <w:rFonts w:ascii="Arial" w:cs="Arial" w:eastAsia="Arial" w:hAnsi="Arial"/>
          <w:sz w:val="14"/>
          <w:szCs w:val="14"/>
          <w:color w:val="auto"/>
        </w:rPr>
        <w:t>100% of the shares of our Class B common stock underlying the RSUs vest on May 15, 2018, subject to continued service through such vesting date.</w:t>
      </w:r>
    </w:p>
    <w:p>
      <w:pPr>
        <w:spacing w:after="0" w:line="10" w:lineRule="exact"/>
        <w:rPr>
          <w:rFonts w:ascii="Arial" w:cs="Arial" w:eastAsia="Arial" w:hAnsi="Arial"/>
          <w:sz w:val="23"/>
          <w:szCs w:val="23"/>
          <w:color w:val="auto"/>
          <w:vertAlign w:val="superscript"/>
        </w:rPr>
      </w:pPr>
    </w:p>
    <w:p>
      <w:pPr>
        <w:ind w:left="340" w:right="220" w:hanging="332"/>
        <w:spacing w:after="0" w:line="187" w:lineRule="auto"/>
        <w:tabs>
          <w:tab w:leader="none" w:pos="340" w:val="left"/>
        </w:tabs>
        <w:numPr>
          <w:ilvl w:val="0"/>
          <w:numId w:val="70"/>
        </w:numPr>
        <w:rPr>
          <w:rFonts w:ascii="Arial" w:cs="Arial" w:eastAsia="Arial" w:hAnsi="Arial"/>
          <w:sz w:val="28"/>
          <w:szCs w:val="28"/>
          <w:color w:val="auto"/>
          <w:vertAlign w:val="superscript"/>
        </w:rPr>
      </w:pPr>
      <w:r>
        <w:rPr>
          <w:rFonts w:ascii="Arial" w:cs="Arial" w:eastAsia="Arial" w:hAnsi="Arial"/>
          <w:sz w:val="16"/>
          <w:szCs w:val="16"/>
          <w:color w:val="auto"/>
        </w:rPr>
        <w:t>Ms. Whitman became a member of our Board of Directors in September 2017. 50% of the shares of our Class B common stock underlying the RSUs vest on each of August 15, 2018 and August 15, 2019, subject to continued service through each such vesting date.</w:t>
      </w:r>
    </w:p>
    <w:p>
      <w:pPr>
        <w:spacing w:after="0" w:line="1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111</w:t>
      </w:r>
    </w:p>
    <w:p>
      <w:pPr>
        <w:sectPr>
          <w:pgSz w:w="11900" w:h="16838" w:orient="portrait"/>
          <w:cols w:equalWidth="0" w:num="1">
            <w:col w:w="11220"/>
          </w:cols>
          <w:pgMar w:left="320" w:top="459" w:right="359" w:bottom="1440" w:gutter="0" w:footer="0" w:header="0"/>
        </w:sectPr>
      </w:pPr>
    </w:p>
    <w:bookmarkStart w:id="114" w:name="page115"/>
    <w:bookmarkEnd w:id="1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firstLine="449"/>
        <w:spacing w:after="0" w:line="257" w:lineRule="auto"/>
        <w:rPr>
          <w:sz w:val="20"/>
          <w:szCs w:val="20"/>
          <w:color w:val="auto"/>
        </w:rPr>
      </w:pPr>
      <w:r>
        <w:rPr>
          <w:rFonts w:ascii="Arial" w:cs="Arial" w:eastAsia="Arial" w:hAnsi="Arial"/>
          <w:sz w:val="18"/>
          <w:szCs w:val="18"/>
          <w:color w:val="auto"/>
        </w:rPr>
        <w:t>Prior to this offering, we did not have a formal policy with respect to compensation payable to our non-employee directors for service as directors. From time to time, we have granted equity awards to certain non-employee directors to entice them to join our Board of Directors and for their continued service on our Board of Directors. We also have reimbursed our directors for expenses associated with attending meetings of our Board of Directors and committees of our Board of Directors. We anticipate adopting a formal compensation policy for our non-employee directors to provide cash and equity compensation to them following the completion of this offering.</w:t>
      </w:r>
    </w:p>
    <w:p>
      <w:pPr>
        <w:spacing w:after="0" w:line="120"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112</w:t>
      </w:r>
    </w:p>
    <w:p>
      <w:pPr>
        <w:sectPr>
          <w:pgSz w:w="11900" w:h="16838" w:orient="portrait"/>
          <w:cols w:equalWidth="0" w:num="1">
            <w:col w:w="11040"/>
          </w:cols>
          <w:pgMar w:left="320" w:top="459" w:right="539" w:bottom="1440" w:gutter="0" w:footer="0" w:header="0"/>
        </w:sectPr>
      </w:pPr>
    </w:p>
    <w:bookmarkStart w:id="115" w:name="page116"/>
    <w:bookmarkEnd w:id="1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EXECUTIVE COMPENSATION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Summary Compensation Table</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7"/>
          <w:szCs w:val="17"/>
          <w:color w:val="auto"/>
        </w:rPr>
        <w:t>Our named executive officers, consisting of our principal executive officer and the next two most highly compensated executive officers, as of</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December 31, 2017, were:</w:t>
      </w:r>
    </w:p>
    <w:p>
      <w:pPr>
        <w:spacing w:after="0" w:line="116" w:lineRule="exact"/>
        <w:rPr>
          <w:sz w:val="20"/>
          <w:szCs w:val="20"/>
          <w:color w:val="auto"/>
        </w:rPr>
      </w:pPr>
    </w:p>
    <w:p>
      <w:pPr>
        <w:ind w:left="880" w:hanging="319"/>
        <w:spacing w:after="0"/>
        <w:tabs>
          <w:tab w:leader="none" w:pos="880" w:val="left"/>
        </w:tabs>
        <w:numPr>
          <w:ilvl w:val="0"/>
          <w:numId w:val="71"/>
        </w:numPr>
        <w:rPr>
          <w:rFonts w:ascii="Arial" w:cs="Arial" w:eastAsia="Arial" w:hAnsi="Arial"/>
          <w:sz w:val="18"/>
          <w:szCs w:val="18"/>
          <w:color w:val="auto"/>
        </w:rPr>
      </w:pPr>
      <w:r>
        <w:rPr>
          <w:rFonts w:ascii="Arial" w:cs="Arial" w:eastAsia="Arial" w:hAnsi="Arial"/>
          <w:sz w:val="18"/>
          <w:szCs w:val="18"/>
          <w:color w:val="auto"/>
        </w:rPr>
        <w:t>Andrew W. Houston, our Chief Executive Officer;</w:t>
      </w:r>
    </w:p>
    <w:p>
      <w:pPr>
        <w:spacing w:after="0" w:line="130" w:lineRule="exact"/>
        <w:rPr>
          <w:rFonts w:ascii="Arial" w:cs="Arial" w:eastAsia="Arial" w:hAnsi="Arial"/>
          <w:sz w:val="18"/>
          <w:szCs w:val="18"/>
          <w:color w:val="auto"/>
        </w:rPr>
      </w:pPr>
    </w:p>
    <w:p>
      <w:pPr>
        <w:ind w:left="880" w:hanging="319"/>
        <w:spacing w:after="0"/>
        <w:tabs>
          <w:tab w:leader="none" w:pos="880" w:val="left"/>
        </w:tabs>
        <w:numPr>
          <w:ilvl w:val="0"/>
          <w:numId w:val="71"/>
        </w:numPr>
        <w:rPr>
          <w:rFonts w:ascii="Arial" w:cs="Arial" w:eastAsia="Arial" w:hAnsi="Arial"/>
          <w:sz w:val="18"/>
          <w:szCs w:val="18"/>
          <w:color w:val="auto"/>
        </w:rPr>
      </w:pPr>
      <w:r>
        <w:rPr>
          <w:rFonts w:ascii="Arial" w:cs="Arial" w:eastAsia="Arial" w:hAnsi="Arial"/>
          <w:sz w:val="18"/>
          <w:szCs w:val="18"/>
          <w:color w:val="auto"/>
        </w:rPr>
        <w:t>Quentin J. Clark, our Senior Vice President of Engineering, Product, and Design; and</w:t>
      </w:r>
    </w:p>
    <w:p>
      <w:pPr>
        <w:spacing w:after="0" w:line="130" w:lineRule="exact"/>
        <w:rPr>
          <w:rFonts w:ascii="Arial" w:cs="Arial" w:eastAsia="Arial" w:hAnsi="Arial"/>
          <w:sz w:val="18"/>
          <w:szCs w:val="18"/>
          <w:color w:val="auto"/>
        </w:rPr>
      </w:pPr>
    </w:p>
    <w:p>
      <w:pPr>
        <w:ind w:left="880" w:hanging="319"/>
        <w:spacing w:after="0"/>
        <w:tabs>
          <w:tab w:leader="none" w:pos="880" w:val="left"/>
        </w:tabs>
        <w:numPr>
          <w:ilvl w:val="0"/>
          <w:numId w:val="71"/>
        </w:numPr>
        <w:rPr>
          <w:rFonts w:ascii="Arial" w:cs="Arial" w:eastAsia="Arial" w:hAnsi="Arial"/>
          <w:sz w:val="18"/>
          <w:szCs w:val="18"/>
          <w:color w:val="auto"/>
        </w:rPr>
      </w:pPr>
      <w:r>
        <w:rPr>
          <w:rFonts w:ascii="Arial" w:cs="Arial" w:eastAsia="Arial" w:hAnsi="Arial"/>
          <w:sz w:val="18"/>
          <w:szCs w:val="18"/>
          <w:color w:val="auto"/>
        </w:rPr>
        <w:t>Dennis M. Woodside, our Chief Operating Officer.</w:t>
      </w: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color w:val="auto"/>
        </w:rPr>
        <w:t>Fiscal 2017 is not complete, and the amounts below represent the estimated compensation expected to be paid to our named executive officers for 2017.</w:t>
      </w:r>
    </w:p>
    <w:p>
      <w:pPr>
        <w:spacing w:after="0" w:line="3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2017 Summary Compensation Table</w:t>
      </w:r>
    </w:p>
    <w:p>
      <w:pPr>
        <w:spacing w:after="0" w:line="238"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1540" w:type="dxa"/>
            <w:vAlign w:val="bottom"/>
          </w:tcPr>
          <w:p>
            <w:pPr>
              <w:spacing w:after="0"/>
              <w:rPr>
                <w:sz w:val="13"/>
                <w:szCs w:val="13"/>
                <w:color w:val="auto"/>
              </w:rPr>
            </w:pPr>
          </w:p>
        </w:tc>
        <w:tc>
          <w:tcPr>
            <w:tcW w:w="23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60" w:type="dxa"/>
            <w:vAlign w:val="bottom"/>
            <w:gridSpan w:val="2"/>
          </w:tcPr>
          <w:p>
            <w:pPr>
              <w:jc w:val="center"/>
              <w:ind w:right="240"/>
              <w:spacing w:after="0"/>
              <w:rPr>
                <w:sz w:val="20"/>
                <w:szCs w:val="20"/>
                <w:color w:val="auto"/>
              </w:rPr>
            </w:pPr>
            <w:r>
              <w:rPr>
                <w:rFonts w:ascii="Arial" w:cs="Arial" w:eastAsia="Arial" w:hAnsi="Arial"/>
                <w:sz w:val="13"/>
                <w:szCs w:val="13"/>
                <w:b w:val="1"/>
                <w:bCs w:val="1"/>
                <w:color w:val="auto"/>
                <w:w w:val="88"/>
              </w:rPr>
              <w:t>Non-equity</w:t>
            </w:r>
          </w:p>
        </w:tc>
        <w:tc>
          <w:tcPr>
            <w:tcW w:w="7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5"/>
        </w:trPr>
        <w:tc>
          <w:tcPr>
            <w:tcW w:w="1540" w:type="dxa"/>
            <w:vAlign w:val="bottom"/>
          </w:tcPr>
          <w:p>
            <w:pPr>
              <w:spacing w:after="0"/>
              <w:rPr>
                <w:sz w:val="11"/>
                <w:szCs w:val="11"/>
                <w:color w:val="auto"/>
              </w:rPr>
            </w:pPr>
          </w:p>
        </w:tc>
        <w:tc>
          <w:tcPr>
            <w:tcW w:w="23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60" w:type="dxa"/>
            <w:vAlign w:val="bottom"/>
            <w:gridSpan w:val="2"/>
          </w:tcPr>
          <w:p>
            <w:pPr>
              <w:jc w:val="center"/>
              <w:ind w:right="260"/>
              <w:spacing w:after="0" w:line="135" w:lineRule="exact"/>
              <w:rPr>
                <w:sz w:val="20"/>
                <w:szCs w:val="20"/>
                <w:color w:val="auto"/>
              </w:rPr>
            </w:pPr>
            <w:r>
              <w:rPr>
                <w:rFonts w:ascii="Arial" w:cs="Arial" w:eastAsia="Arial" w:hAnsi="Arial"/>
                <w:sz w:val="13"/>
                <w:szCs w:val="13"/>
                <w:b w:val="1"/>
                <w:bCs w:val="1"/>
                <w:color w:val="auto"/>
                <w:w w:val="88"/>
              </w:rPr>
              <w:t>incentive</w:t>
            </w:r>
          </w:p>
        </w:tc>
        <w:tc>
          <w:tcPr>
            <w:tcW w:w="960" w:type="dxa"/>
            <w:vAlign w:val="bottom"/>
            <w:gridSpan w:val="2"/>
          </w:tcPr>
          <w:p>
            <w:pPr>
              <w:jc w:val="center"/>
              <w:ind w:right="220"/>
              <w:spacing w:after="0" w:line="135" w:lineRule="exact"/>
              <w:rPr>
                <w:sz w:val="20"/>
                <w:szCs w:val="20"/>
                <w:color w:val="auto"/>
              </w:rPr>
            </w:pPr>
            <w:r>
              <w:rPr>
                <w:rFonts w:ascii="Arial" w:cs="Arial" w:eastAsia="Arial" w:hAnsi="Arial"/>
                <w:sz w:val="13"/>
                <w:szCs w:val="13"/>
                <w:b w:val="1"/>
                <w:bCs w:val="1"/>
                <w:color w:val="auto"/>
                <w:w w:val="89"/>
              </w:rPr>
              <w:t>Non-qualified</w:t>
            </w:r>
          </w:p>
        </w:tc>
        <w:tc>
          <w:tcPr>
            <w:tcW w:w="7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540" w:type="dxa"/>
            <w:vAlign w:val="bottom"/>
          </w:tcPr>
          <w:p>
            <w:pPr>
              <w:spacing w:after="0"/>
              <w:rPr>
                <w:sz w:val="11"/>
                <w:szCs w:val="11"/>
                <w:color w:val="auto"/>
              </w:rPr>
            </w:pPr>
          </w:p>
        </w:tc>
        <w:tc>
          <w:tcPr>
            <w:tcW w:w="23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20" w:type="dxa"/>
            <w:vAlign w:val="bottom"/>
            <w:gridSpan w:val="2"/>
          </w:tcPr>
          <w:p>
            <w:pPr>
              <w:jc w:val="center"/>
              <w:ind w:right="240"/>
              <w:spacing w:after="0" w:line="135" w:lineRule="exact"/>
              <w:rPr>
                <w:sz w:val="20"/>
                <w:szCs w:val="20"/>
                <w:color w:val="auto"/>
              </w:rPr>
            </w:pPr>
            <w:r>
              <w:rPr>
                <w:rFonts w:ascii="Arial" w:cs="Arial" w:eastAsia="Arial" w:hAnsi="Arial"/>
                <w:sz w:val="13"/>
                <w:szCs w:val="13"/>
                <w:b w:val="1"/>
                <w:bCs w:val="1"/>
                <w:color w:val="auto"/>
                <w:w w:val="90"/>
              </w:rPr>
              <w:t>Option</w:t>
            </w:r>
          </w:p>
        </w:tc>
        <w:tc>
          <w:tcPr>
            <w:tcW w:w="960" w:type="dxa"/>
            <w:vAlign w:val="bottom"/>
            <w:gridSpan w:val="2"/>
          </w:tcPr>
          <w:p>
            <w:pPr>
              <w:jc w:val="center"/>
              <w:ind w:right="240"/>
              <w:spacing w:after="0" w:line="135" w:lineRule="exact"/>
              <w:rPr>
                <w:sz w:val="20"/>
                <w:szCs w:val="20"/>
                <w:color w:val="auto"/>
              </w:rPr>
            </w:pPr>
            <w:r>
              <w:rPr>
                <w:rFonts w:ascii="Arial" w:cs="Arial" w:eastAsia="Arial" w:hAnsi="Arial"/>
                <w:sz w:val="13"/>
                <w:szCs w:val="13"/>
                <w:b w:val="1"/>
                <w:bCs w:val="1"/>
                <w:color w:val="auto"/>
                <w:w w:val="89"/>
              </w:rPr>
              <w:t>plan</w:t>
            </w:r>
          </w:p>
        </w:tc>
        <w:tc>
          <w:tcPr>
            <w:tcW w:w="960" w:type="dxa"/>
            <w:vAlign w:val="bottom"/>
            <w:gridSpan w:val="2"/>
          </w:tcPr>
          <w:p>
            <w:pPr>
              <w:jc w:val="center"/>
              <w:ind w:right="220"/>
              <w:spacing w:after="0" w:line="135" w:lineRule="exact"/>
              <w:rPr>
                <w:sz w:val="20"/>
                <w:szCs w:val="20"/>
                <w:color w:val="auto"/>
              </w:rPr>
            </w:pPr>
            <w:r>
              <w:rPr>
                <w:rFonts w:ascii="Arial" w:cs="Arial" w:eastAsia="Arial" w:hAnsi="Arial"/>
                <w:sz w:val="13"/>
                <w:szCs w:val="13"/>
                <w:b w:val="1"/>
                <w:bCs w:val="1"/>
                <w:color w:val="auto"/>
                <w:w w:val="88"/>
              </w:rPr>
              <w:t>deferred</w:t>
            </w:r>
          </w:p>
        </w:tc>
        <w:tc>
          <w:tcPr>
            <w:tcW w:w="960" w:type="dxa"/>
            <w:vAlign w:val="bottom"/>
            <w:gridSpan w:val="2"/>
          </w:tcPr>
          <w:p>
            <w:pPr>
              <w:ind w:left="120"/>
              <w:spacing w:after="0" w:line="135" w:lineRule="exact"/>
              <w:rPr>
                <w:sz w:val="20"/>
                <w:szCs w:val="20"/>
                <w:color w:val="auto"/>
              </w:rPr>
            </w:pPr>
            <w:r>
              <w:rPr>
                <w:rFonts w:ascii="Arial" w:cs="Arial" w:eastAsia="Arial" w:hAnsi="Arial"/>
                <w:sz w:val="13"/>
                <w:szCs w:val="13"/>
                <w:b w:val="1"/>
                <w:bCs w:val="1"/>
                <w:color w:val="auto"/>
              </w:rPr>
              <w:t>All other</w:t>
            </w:r>
          </w:p>
        </w:tc>
        <w:tc>
          <w:tcPr>
            <w:tcW w:w="6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860" w:type="dxa"/>
            <w:vAlign w:val="bottom"/>
            <w:gridSpan w:val="2"/>
            <w:vMerge w:val="restart"/>
          </w:tcPr>
          <w:p>
            <w:pPr>
              <w:spacing w:after="0"/>
              <w:rPr>
                <w:sz w:val="20"/>
                <w:szCs w:val="20"/>
                <w:color w:val="auto"/>
              </w:rPr>
            </w:pPr>
            <w:r>
              <w:rPr>
                <w:rFonts w:ascii="Arial" w:cs="Arial" w:eastAsia="Arial" w:hAnsi="Arial"/>
                <w:sz w:val="13"/>
                <w:szCs w:val="13"/>
                <w:b w:val="1"/>
                <w:bCs w:val="1"/>
                <w:color w:val="auto"/>
              </w:rPr>
              <w:t>Name and principal position</w:t>
            </w:r>
          </w:p>
        </w:tc>
        <w:tc>
          <w:tcPr>
            <w:tcW w:w="1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920" w:type="dxa"/>
            <w:vAlign w:val="bottom"/>
            <w:gridSpan w:val="2"/>
          </w:tcPr>
          <w:p>
            <w:pPr>
              <w:jc w:val="center"/>
              <w:ind w:right="220"/>
              <w:spacing w:after="0" w:line="135" w:lineRule="exact"/>
              <w:rPr>
                <w:sz w:val="20"/>
                <w:szCs w:val="20"/>
                <w:color w:val="auto"/>
              </w:rPr>
            </w:pPr>
            <w:r>
              <w:rPr>
                <w:rFonts w:ascii="Arial" w:cs="Arial" w:eastAsia="Arial" w:hAnsi="Arial"/>
                <w:sz w:val="13"/>
                <w:szCs w:val="13"/>
                <w:b w:val="1"/>
                <w:bCs w:val="1"/>
                <w:color w:val="auto"/>
                <w:w w:val="84"/>
              </w:rPr>
              <w:t>Stock</w:t>
            </w:r>
          </w:p>
        </w:tc>
        <w:tc>
          <w:tcPr>
            <w:tcW w:w="620" w:type="dxa"/>
            <w:vAlign w:val="bottom"/>
            <w:gridSpan w:val="2"/>
          </w:tcPr>
          <w:p>
            <w:pPr>
              <w:jc w:val="center"/>
              <w:ind w:right="220"/>
              <w:spacing w:after="0" w:line="135" w:lineRule="exact"/>
              <w:rPr>
                <w:sz w:val="20"/>
                <w:szCs w:val="20"/>
                <w:color w:val="auto"/>
              </w:rPr>
            </w:pPr>
            <w:r>
              <w:rPr>
                <w:rFonts w:ascii="Arial" w:cs="Arial" w:eastAsia="Arial" w:hAnsi="Arial"/>
                <w:sz w:val="13"/>
                <w:szCs w:val="13"/>
                <w:b w:val="1"/>
                <w:bCs w:val="1"/>
                <w:color w:val="auto"/>
                <w:w w:val="89"/>
              </w:rPr>
              <w:t>awards</w:t>
            </w:r>
          </w:p>
        </w:tc>
        <w:tc>
          <w:tcPr>
            <w:tcW w:w="960" w:type="dxa"/>
            <w:vAlign w:val="bottom"/>
            <w:gridSpan w:val="2"/>
          </w:tcPr>
          <w:p>
            <w:pPr>
              <w:jc w:val="center"/>
              <w:ind w:right="220"/>
              <w:spacing w:after="0" w:line="135" w:lineRule="exact"/>
              <w:rPr>
                <w:sz w:val="20"/>
                <w:szCs w:val="20"/>
                <w:color w:val="auto"/>
              </w:rPr>
            </w:pPr>
            <w:r>
              <w:rPr>
                <w:rFonts w:ascii="Arial" w:cs="Arial" w:eastAsia="Arial" w:hAnsi="Arial"/>
                <w:sz w:val="13"/>
                <w:szCs w:val="13"/>
                <w:b w:val="1"/>
                <w:bCs w:val="1"/>
                <w:color w:val="auto"/>
                <w:w w:val="83"/>
              </w:rPr>
              <w:t>compensation</w:t>
            </w:r>
          </w:p>
        </w:tc>
        <w:tc>
          <w:tcPr>
            <w:tcW w:w="960" w:type="dxa"/>
            <w:vAlign w:val="bottom"/>
            <w:gridSpan w:val="2"/>
          </w:tcPr>
          <w:p>
            <w:pPr>
              <w:jc w:val="center"/>
              <w:ind w:right="220"/>
              <w:spacing w:after="0" w:line="135" w:lineRule="exact"/>
              <w:rPr>
                <w:sz w:val="20"/>
                <w:szCs w:val="20"/>
                <w:color w:val="auto"/>
              </w:rPr>
            </w:pPr>
            <w:r>
              <w:rPr>
                <w:rFonts w:ascii="Arial" w:cs="Arial" w:eastAsia="Arial" w:hAnsi="Arial"/>
                <w:sz w:val="13"/>
                <w:szCs w:val="13"/>
                <w:b w:val="1"/>
                <w:bCs w:val="1"/>
                <w:color w:val="auto"/>
                <w:w w:val="83"/>
              </w:rPr>
              <w:t>compensation</w:t>
            </w:r>
          </w:p>
        </w:tc>
        <w:tc>
          <w:tcPr>
            <w:tcW w:w="960" w:type="dxa"/>
            <w:vAlign w:val="bottom"/>
            <w:gridSpan w:val="2"/>
          </w:tcPr>
          <w:p>
            <w:pPr>
              <w:jc w:val="right"/>
              <w:ind w:right="220"/>
              <w:spacing w:after="0" w:line="135" w:lineRule="exact"/>
              <w:rPr>
                <w:sz w:val="20"/>
                <w:szCs w:val="20"/>
                <w:color w:val="auto"/>
              </w:rPr>
            </w:pPr>
            <w:r>
              <w:rPr>
                <w:rFonts w:ascii="Arial" w:cs="Arial" w:eastAsia="Arial" w:hAnsi="Arial"/>
                <w:sz w:val="13"/>
                <w:szCs w:val="13"/>
                <w:b w:val="1"/>
                <w:bCs w:val="1"/>
                <w:color w:val="auto"/>
                <w:w w:val="81"/>
              </w:rPr>
              <w:t>compensation</w:t>
            </w:r>
          </w:p>
        </w:tc>
        <w:tc>
          <w:tcPr>
            <w:tcW w:w="6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3860" w:type="dxa"/>
            <w:vAlign w:val="bottom"/>
            <w:gridSpan w:val="2"/>
            <w:vMerge w:val="continue"/>
          </w:tcPr>
          <w:p>
            <w:pPr>
              <w:spacing w:after="0"/>
              <w:rPr>
                <w:sz w:val="13"/>
                <w:szCs w:val="13"/>
                <w:color w:val="auto"/>
              </w:rPr>
            </w:pPr>
          </w:p>
        </w:tc>
        <w:tc>
          <w:tcPr>
            <w:tcW w:w="180" w:type="dxa"/>
            <w:vAlign w:val="bottom"/>
          </w:tcPr>
          <w:p>
            <w:pPr>
              <w:spacing w:after="0"/>
              <w:rPr>
                <w:sz w:val="13"/>
                <w:szCs w:val="13"/>
                <w:color w:val="auto"/>
              </w:rPr>
            </w:pPr>
          </w:p>
        </w:tc>
        <w:tc>
          <w:tcPr>
            <w:tcW w:w="540" w:type="dxa"/>
            <w:vAlign w:val="bottom"/>
            <w:gridSpan w:val="2"/>
          </w:tcPr>
          <w:p>
            <w:pPr>
              <w:ind w:left="40"/>
              <w:spacing w:after="0"/>
              <w:rPr>
                <w:sz w:val="20"/>
                <w:szCs w:val="20"/>
                <w:color w:val="auto"/>
              </w:rPr>
            </w:pPr>
            <w:r>
              <w:rPr>
                <w:rFonts w:ascii="Arial" w:cs="Arial" w:eastAsia="Arial" w:hAnsi="Arial"/>
                <w:sz w:val="13"/>
                <w:szCs w:val="13"/>
                <w:b w:val="1"/>
                <w:bCs w:val="1"/>
                <w:color w:val="auto"/>
              </w:rPr>
              <w:t>Year</w:t>
            </w:r>
          </w:p>
        </w:tc>
        <w:tc>
          <w:tcPr>
            <w:tcW w:w="660" w:type="dxa"/>
            <w:vAlign w:val="bottom"/>
            <w:gridSpan w:val="2"/>
          </w:tcPr>
          <w:p>
            <w:pPr>
              <w:ind w:left="20"/>
              <w:spacing w:after="0"/>
              <w:rPr>
                <w:sz w:val="20"/>
                <w:szCs w:val="20"/>
                <w:color w:val="auto"/>
              </w:rPr>
            </w:pPr>
            <w:r>
              <w:rPr>
                <w:rFonts w:ascii="Arial" w:cs="Arial" w:eastAsia="Arial" w:hAnsi="Arial"/>
                <w:sz w:val="13"/>
                <w:szCs w:val="13"/>
                <w:b w:val="1"/>
                <w:bCs w:val="1"/>
                <w:u w:val="single" w:color="auto"/>
                <w:color w:val="auto"/>
              </w:rPr>
              <w:t>Salary($</w:t>
            </w:r>
            <w:r>
              <w:rPr>
                <w:rFonts w:ascii="Arial" w:cs="Arial" w:eastAsia="Arial" w:hAnsi="Arial"/>
                <w:sz w:val="13"/>
                <w:szCs w:val="13"/>
                <w:b w:val="1"/>
                <w:bCs w:val="1"/>
                <w:color w:val="auto"/>
              </w:rPr>
              <w:t>)</w:t>
            </w:r>
          </w:p>
        </w:tc>
        <w:tc>
          <w:tcPr>
            <w:tcW w:w="860" w:type="dxa"/>
            <w:vAlign w:val="bottom"/>
            <w:gridSpan w:val="2"/>
          </w:tcPr>
          <w:p>
            <w:pPr>
              <w:spacing w:after="0"/>
              <w:rPr>
                <w:sz w:val="20"/>
                <w:szCs w:val="20"/>
                <w:color w:val="auto"/>
              </w:rPr>
            </w:pPr>
            <w:r>
              <w:rPr>
                <w:rFonts w:ascii="Arial" w:cs="Arial" w:eastAsia="Arial" w:hAnsi="Arial"/>
                <w:sz w:val="13"/>
                <w:szCs w:val="13"/>
                <w:b w:val="1"/>
                <w:bCs w:val="1"/>
                <w:u w:val="single" w:color="auto"/>
                <w:color w:val="auto"/>
              </w:rPr>
              <w:t>Bonus($</w:t>
            </w:r>
            <w:r>
              <w:rPr>
                <w:rFonts w:ascii="Arial" w:cs="Arial" w:eastAsia="Arial" w:hAnsi="Arial"/>
                <w:sz w:val="13"/>
                <w:szCs w:val="13"/>
                <w:b w:val="1"/>
                <w:bCs w:val="1"/>
                <w:color w:val="auto"/>
              </w:rPr>
              <w:t>)</w:t>
            </w:r>
          </w:p>
        </w:tc>
        <w:tc>
          <w:tcPr>
            <w:tcW w:w="920" w:type="dxa"/>
            <w:vAlign w:val="bottom"/>
            <w:gridSpan w:val="2"/>
          </w:tcPr>
          <w:p>
            <w:pPr>
              <w:jc w:val="center"/>
              <w:ind w:right="220"/>
              <w:spacing w:after="0"/>
              <w:rPr>
                <w:sz w:val="20"/>
                <w:szCs w:val="20"/>
                <w:color w:val="auto"/>
              </w:rPr>
            </w:pPr>
            <w:r>
              <w:rPr>
                <w:rFonts w:ascii="Arial" w:cs="Arial" w:eastAsia="Arial" w:hAnsi="Arial"/>
                <w:sz w:val="13"/>
                <w:szCs w:val="13"/>
                <w:b w:val="1"/>
                <w:bCs w:val="1"/>
                <w:u w:val="single" w:color="auto"/>
                <w:color w:val="auto"/>
                <w:w w:val="90"/>
              </w:rPr>
              <w:t>awards($</w:t>
            </w:r>
            <w:r>
              <w:rPr>
                <w:rFonts w:ascii="Arial" w:cs="Arial" w:eastAsia="Arial" w:hAnsi="Arial"/>
                <w:sz w:val="13"/>
                <w:szCs w:val="13"/>
                <w:b w:val="1"/>
                <w:bCs w:val="1"/>
                <w:color w:val="auto"/>
                <w:w w:val="90"/>
              </w:rPr>
              <w:t>)</w:t>
            </w:r>
            <w:r>
              <w:rPr>
                <w:rFonts w:ascii="Arial" w:cs="Arial" w:eastAsia="Arial" w:hAnsi="Arial"/>
                <w:sz w:val="10"/>
                <w:szCs w:val="10"/>
                <w:b w:val="1"/>
                <w:bCs w:val="1"/>
                <w:color w:val="auto"/>
                <w:w w:val="90"/>
              </w:rPr>
              <w:t>(1)</w:t>
            </w:r>
          </w:p>
        </w:tc>
        <w:tc>
          <w:tcPr>
            <w:tcW w:w="400" w:type="dxa"/>
            <w:vAlign w:val="bottom"/>
          </w:tcPr>
          <w:p>
            <w:pPr>
              <w:jc w:val="center"/>
              <w:spacing w:after="0"/>
              <w:rPr>
                <w:sz w:val="20"/>
                <w:szCs w:val="20"/>
                <w:color w:val="auto"/>
              </w:rPr>
            </w:pPr>
            <w:r>
              <w:rPr>
                <w:rFonts w:ascii="Arial" w:cs="Arial" w:eastAsia="Arial" w:hAnsi="Arial"/>
                <w:sz w:val="13"/>
                <w:szCs w:val="13"/>
                <w:b w:val="1"/>
                <w:bCs w:val="1"/>
                <w:color w:val="auto"/>
              </w:rPr>
              <w:t>($)</w:t>
            </w:r>
          </w:p>
        </w:tc>
        <w:tc>
          <w:tcPr>
            <w:tcW w:w="220" w:type="dxa"/>
            <w:vAlign w:val="bottom"/>
          </w:tcPr>
          <w:p>
            <w:pPr>
              <w:spacing w:after="0"/>
              <w:rPr>
                <w:sz w:val="13"/>
                <w:szCs w:val="13"/>
                <w:color w:val="auto"/>
              </w:rPr>
            </w:pPr>
          </w:p>
        </w:tc>
        <w:tc>
          <w:tcPr>
            <w:tcW w:w="740" w:type="dxa"/>
            <w:vAlign w:val="bottom"/>
          </w:tcPr>
          <w:p>
            <w:pPr>
              <w:jc w:val="center"/>
              <w:spacing w:after="0"/>
              <w:rPr>
                <w:sz w:val="20"/>
                <w:szCs w:val="20"/>
                <w:color w:val="auto"/>
              </w:rPr>
            </w:pPr>
            <w:r>
              <w:rPr>
                <w:rFonts w:ascii="Arial" w:cs="Arial" w:eastAsia="Arial" w:hAnsi="Arial"/>
                <w:sz w:val="13"/>
                <w:szCs w:val="13"/>
                <w:b w:val="1"/>
                <w:bCs w:val="1"/>
                <w:color w:val="auto"/>
                <w:w w:val="92"/>
              </w:rPr>
              <w:t>($)</w:t>
            </w:r>
            <w:r>
              <w:rPr>
                <w:rFonts w:ascii="Arial" w:cs="Arial" w:eastAsia="Arial" w:hAnsi="Arial"/>
                <w:sz w:val="10"/>
                <w:szCs w:val="10"/>
                <w:b w:val="1"/>
                <w:bCs w:val="1"/>
                <w:color w:val="auto"/>
                <w:w w:val="92"/>
              </w:rPr>
              <w:t>(2)</w:t>
            </w:r>
          </w:p>
        </w:tc>
        <w:tc>
          <w:tcPr>
            <w:tcW w:w="220" w:type="dxa"/>
            <w:vAlign w:val="bottom"/>
          </w:tcPr>
          <w:p>
            <w:pPr>
              <w:spacing w:after="0"/>
              <w:rPr>
                <w:sz w:val="13"/>
                <w:szCs w:val="13"/>
                <w:color w:val="auto"/>
              </w:rPr>
            </w:pPr>
          </w:p>
        </w:tc>
        <w:tc>
          <w:tcPr>
            <w:tcW w:w="960" w:type="dxa"/>
            <w:vAlign w:val="bottom"/>
            <w:gridSpan w:val="2"/>
          </w:tcPr>
          <w:p>
            <w:pPr>
              <w:jc w:val="center"/>
              <w:ind w:right="240"/>
              <w:spacing w:after="0"/>
              <w:rPr>
                <w:sz w:val="20"/>
                <w:szCs w:val="20"/>
                <w:color w:val="auto"/>
              </w:rPr>
            </w:pPr>
            <w:r>
              <w:rPr>
                <w:rFonts w:ascii="Arial" w:cs="Arial" w:eastAsia="Arial" w:hAnsi="Arial"/>
                <w:sz w:val="13"/>
                <w:szCs w:val="13"/>
                <w:b w:val="1"/>
                <w:bCs w:val="1"/>
                <w:color w:val="auto"/>
                <w:w w:val="86"/>
              </w:rPr>
              <w:t xml:space="preserve">earnings </w:t>
            </w:r>
            <w:r>
              <w:rPr>
                <w:rFonts w:ascii="Arial" w:cs="Arial" w:eastAsia="Arial" w:hAnsi="Arial"/>
                <w:sz w:val="13"/>
                <w:szCs w:val="13"/>
                <w:b w:val="1"/>
                <w:bCs w:val="1"/>
                <w:u w:val="single" w:color="auto"/>
                <w:color w:val="auto"/>
                <w:w w:val="86"/>
              </w:rPr>
              <w:t>($</w:t>
            </w:r>
            <w:r>
              <w:rPr>
                <w:rFonts w:ascii="Arial" w:cs="Arial" w:eastAsia="Arial" w:hAnsi="Arial"/>
                <w:sz w:val="13"/>
                <w:szCs w:val="13"/>
                <w:b w:val="1"/>
                <w:bCs w:val="1"/>
                <w:color w:val="auto"/>
                <w:w w:val="86"/>
              </w:rPr>
              <w:t>)</w:t>
            </w:r>
          </w:p>
        </w:tc>
        <w:tc>
          <w:tcPr>
            <w:tcW w:w="740" w:type="dxa"/>
            <w:vAlign w:val="bottom"/>
          </w:tcPr>
          <w:p>
            <w:pPr>
              <w:jc w:val="right"/>
              <w:ind w:right="233"/>
              <w:spacing w:after="0"/>
              <w:rPr>
                <w:sz w:val="20"/>
                <w:szCs w:val="20"/>
                <w:color w:val="auto"/>
              </w:rPr>
            </w:pPr>
            <w:r>
              <w:rPr>
                <w:rFonts w:ascii="Arial" w:cs="Arial" w:eastAsia="Arial" w:hAnsi="Arial"/>
                <w:sz w:val="13"/>
                <w:szCs w:val="13"/>
                <w:b w:val="1"/>
                <w:bCs w:val="1"/>
                <w:color w:val="auto"/>
              </w:rPr>
              <w:t>($)</w:t>
            </w:r>
          </w:p>
        </w:tc>
        <w:tc>
          <w:tcPr>
            <w:tcW w:w="220" w:type="dxa"/>
            <w:vAlign w:val="bottom"/>
          </w:tcPr>
          <w:p>
            <w:pPr>
              <w:spacing w:after="0"/>
              <w:rPr>
                <w:sz w:val="13"/>
                <w:szCs w:val="13"/>
                <w:color w:val="auto"/>
              </w:rPr>
            </w:pPr>
          </w:p>
        </w:tc>
        <w:tc>
          <w:tcPr>
            <w:tcW w:w="720" w:type="dxa"/>
            <w:vAlign w:val="bottom"/>
            <w:gridSpan w:val="2"/>
          </w:tcPr>
          <w:p>
            <w:pPr>
              <w:ind w:left="120"/>
              <w:spacing w:after="0"/>
              <w:rPr>
                <w:sz w:val="20"/>
                <w:szCs w:val="20"/>
                <w:color w:val="auto"/>
              </w:rPr>
            </w:pPr>
            <w:r>
              <w:rPr>
                <w:rFonts w:ascii="Arial" w:cs="Arial" w:eastAsia="Arial" w:hAnsi="Arial"/>
                <w:sz w:val="13"/>
                <w:szCs w:val="13"/>
                <w:b w:val="1"/>
                <w:bCs w:val="1"/>
                <w:color w:val="auto"/>
              </w:rPr>
              <w:t>Total($)</w:t>
            </w:r>
          </w:p>
        </w:tc>
        <w:tc>
          <w:tcPr>
            <w:tcW w:w="0" w:type="dxa"/>
            <w:vAlign w:val="bottom"/>
          </w:tcPr>
          <w:p>
            <w:pPr>
              <w:spacing w:after="0"/>
              <w:rPr>
                <w:sz w:val="1"/>
                <w:szCs w:val="1"/>
                <w:color w:val="auto"/>
              </w:rPr>
            </w:pPr>
          </w:p>
        </w:tc>
      </w:tr>
      <w:tr>
        <w:trPr>
          <w:trHeight w:val="123"/>
        </w:trPr>
        <w:tc>
          <w:tcPr>
            <w:tcW w:w="1540" w:type="dxa"/>
            <w:vAlign w:val="bottom"/>
            <w:tcBorders>
              <w:top w:val="single" w:sz="8" w:color="auto"/>
            </w:tcBorders>
            <w:shd w:val="clear" w:color="auto" w:fill="CCEEFF"/>
          </w:tcPr>
          <w:p>
            <w:pPr>
              <w:spacing w:after="0" w:line="123" w:lineRule="exact"/>
              <w:rPr>
                <w:sz w:val="20"/>
                <w:szCs w:val="20"/>
                <w:color w:val="auto"/>
              </w:rPr>
            </w:pPr>
            <w:r>
              <w:rPr>
                <w:rFonts w:ascii="Arial" w:cs="Arial" w:eastAsia="Arial" w:hAnsi="Arial"/>
                <w:sz w:val="14"/>
                <w:szCs w:val="14"/>
                <w:color w:val="auto"/>
              </w:rPr>
              <w:t>Andrew W. Houston</w:t>
            </w:r>
          </w:p>
        </w:tc>
        <w:tc>
          <w:tcPr>
            <w:tcW w:w="2320" w:type="dxa"/>
            <w:vAlign w:val="bottom"/>
            <w:tcBorders>
              <w:top w:val="single" w:sz="8" w:color="CCEEFF"/>
            </w:tcBorders>
            <w:shd w:val="clear" w:color="auto" w:fill="CCEEFF"/>
          </w:tcPr>
          <w:p>
            <w:pPr>
              <w:spacing w:after="0"/>
              <w:rPr>
                <w:sz w:val="10"/>
                <w:szCs w:val="10"/>
                <w:color w:val="auto"/>
              </w:rPr>
            </w:pPr>
          </w:p>
        </w:tc>
        <w:tc>
          <w:tcPr>
            <w:tcW w:w="180" w:type="dxa"/>
            <w:vAlign w:val="bottom"/>
            <w:tcBorders>
              <w:top w:val="single" w:sz="8" w:color="CCEEFF"/>
            </w:tcBorders>
            <w:shd w:val="clear" w:color="auto" w:fill="CCEEFF"/>
          </w:tcPr>
          <w:p>
            <w:pPr>
              <w:spacing w:after="0"/>
              <w:rPr>
                <w:sz w:val="10"/>
                <w:szCs w:val="10"/>
                <w:color w:val="auto"/>
              </w:rPr>
            </w:pPr>
          </w:p>
        </w:tc>
        <w:tc>
          <w:tcPr>
            <w:tcW w:w="320" w:type="dxa"/>
            <w:vAlign w:val="bottom"/>
            <w:tcBorders>
              <w:top w:val="single" w:sz="8" w:color="auto"/>
            </w:tcBorders>
            <w:shd w:val="clear" w:color="auto" w:fill="CCEEFF"/>
          </w:tcPr>
          <w:p>
            <w:pPr>
              <w:ind w:left="40"/>
              <w:spacing w:after="0" w:line="123" w:lineRule="exact"/>
              <w:rPr>
                <w:sz w:val="20"/>
                <w:szCs w:val="20"/>
                <w:color w:val="auto"/>
              </w:rPr>
            </w:pPr>
            <w:r>
              <w:rPr>
                <w:rFonts w:ascii="Arial" w:cs="Arial" w:eastAsia="Arial" w:hAnsi="Arial"/>
                <w:sz w:val="14"/>
                <w:szCs w:val="14"/>
                <w:color w:val="auto"/>
                <w:w w:val="83"/>
              </w:rPr>
              <w:t>2017</w:t>
            </w:r>
          </w:p>
        </w:tc>
        <w:tc>
          <w:tcPr>
            <w:tcW w:w="220" w:type="dxa"/>
            <w:vAlign w:val="bottom"/>
            <w:tcBorders>
              <w:top w:val="single" w:sz="8" w:color="CCEEFF"/>
            </w:tcBorders>
            <w:shd w:val="clear" w:color="auto" w:fill="CCEEFF"/>
          </w:tcPr>
          <w:p>
            <w:pPr>
              <w:spacing w:after="0"/>
              <w:rPr>
                <w:sz w:val="10"/>
                <w:szCs w:val="10"/>
                <w:color w:val="auto"/>
              </w:rPr>
            </w:pPr>
          </w:p>
        </w:tc>
        <w:tc>
          <w:tcPr>
            <w:tcW w:w="520" w:type="dxa"/>
            <w:vAlign w:val="bottom"/>
            <w:tcBorders>
              <w:top w:val="single" w:sz="8" w:color="auto"/>
            </w:tcBorders>
            <w:shd w:val="clear" w:color="auto" w:fill="CCEEFF"/>
          </w:tcPr>
          <w:p>
            <w:pPr>
              <w:jc w:val="right"/>
              <w:spacing w:after="0" w:line="123" w:lineRule="exact"/>
              <w:rPr>
                <w:sz w:val="20"/>
                <w:szCs w:val="20"/>
                <w:color w:val="auto"/>
              </w:rPr>
            </w:pPr>
            <w:r>
              <w:rPr>
                <w:rFonts w:ascii="Arial" w:cs="Arial" w:eastAsia="Arial" w:hAnsi="Arial"/>
                <w:sz w:val="14"/>
                <w:szCs w:val="14"/>
                <w:color w:val="auto"/>
                <w:w w:val="98"/>
              </w:rPr>
              <w:t>400,000</w:t>
            </w:r>
          </w:p>
        </w:tc>
        <w:tc>
          <w:tcPr>
            <w:tcW w:w="140" w:type="dxa"/>
            <w:vAlign w:val="bottom"/>
            <w:tcBorders>
              <w:top w:val="single" w:sz="8" w:color="CCEEFF"/>
            </w:tcBorders>
            <w:shd w:val="clear" w:color="auto" w:fill="CCEEFF"/>
          </w:tcPr>
          <w:p>
            <w:pPr>
              <w:spacing w:after="0"/>
              <w:rPr>
                <w:sz w:val="10"/>
                <w:szCs w:val="10"/>
                <w:color w:val="auto"/>
              </w:rPr>
            </w:pPr>
          </w:p>
        </w:tc>
        <w:tc>
          <w:tcPr>
            <w:tcW w:w="500" w:type="dxa"/>
            <w:vAlign w:val="bottom"/>
            <w:tcBorders>
              <w:top w:val="single" w:sz="8" w:color="auto"/>
            </w:tcBorders>
            <w:shd w:val="clear" w:color="auto" w:fill="CCEEFF"/>
          </w:tcPr>
          <w:p>
            <w:pPr>
              <w:ind w:left="280"/>
              <w:spacing w:after="0" w:line="123" w:lineRule="exact"/>
              <w:rPr>
                <w:sz w:val="20"/>
                <w:szCs w:val="20"/>
                <w:color w:val="auto"/>
              </w:rPr>
            </w:pPr>
            <w:r>
              <w:rPr>
                <w:rFonts w:ascii="Arial" w:cs="Arial" w:eastAsia="Arial" w:hAnsi="Arial"/>
                <w:sz w:val="14"/>
                <w:szCs w:val="14"/>
                <w:color w:val="auto"/>
              </w:rPr>
              <w:t>—</w:t>
            </w:r>
          </w:p>
        </w:tc>
        <w:tc>
          <w:tcPr>
            <w:tcW w:w="360" w:type="dxa"/>
            <w:vAlign w:val="bottom"/>
            <w:tcBorders>
              <w:top w:val="single" w:sz="8" w:color="CCEEFF"/>
            </w:tcBorders>
            <w:shd w:val="clear" w:color="auto" w:fill="CCEEFF"/>
          </w:tcPr>
          <w:p>
            <w:pPr>
              <w:spacing w:after="0"/>
              <w:rPr>
                <w:sz w:val="10"/>
                <w:szCs w:val="10"/>
                <w:color w:val="auto"/>
              </w:rPr>
            </w:pPr>
          </w:p>
        </w:tc>
        <w:tc>
          <w:tcPr>
            <w:tcW w:w="700" w:type="dxa"/>
            <w:vAlign w:val="bottom"/>
            <w:tcBorders>
              <w:top w:val="single" w:sz="8" w:color="auto"/>
            </w:tcBorders>
            <w:shd w:val="clear" w:color="auto" w:fill="CCEEFF"/>
          </w:tcPr>
          <w:p>
            <w:pPr>
              <w:jc w:val="right"/>
              <w:ind w:right="12"/>
              <w:spacing w:after="0" w:line="123" w:lineRule="exact"/>
              <w:rPr>
                <w:sz w:val="20"/>
                <w:szCs w:val="20"/>
                <w:color w:val="auto"/>
              </w:rPr>
            </w:pPr>
            <w:r>
              <w:rPr>
                <w:rFonts w:ascii="Arial" w:cs="Arial" w:eastAsia="Arial" w:hAnsi="Arial"/>
                <w:sz w:val="14"/>
                <w:szCs w:val="14"/>
                <w:color w:val="auto"/>
              </w:rPr>
              <w:t>—</w:t>
            </w:r>
          </w:p>
        </w:tc>
        <w:tc>
          <w:tcPr>
            <w:tcW w:w="220" w:type="dxa"/>
            <w:vAlign w:val="bottom"/>
            <w:tcBorders>
              <w:top w:val="single" w:sz="8" w:color="CCEEFF"/>
            </w:tcBorders>
            <w:shd w:val="clear" w:color="auto" w:fill="CCEEFF"/>
          </w:tcPr>
          <w:p>
            <w:pPr>
              <w:spacing w:after="0"/>
              <w:rPr>
                <w:sz w:val="10"/>
                <w:szCs w:val="10"/>
                <w:color w:val="auto"/>
              </w:rPr>
            </w:pPr>
          </w:p>
        </w:tc>
        <w:tc>
          <w:tcPr>
            <w:tcW w:w="400" w:type="dxa"/>
            <w:vAlign w:val="bottom"/>
            <w:tcBorders>
              <w:top w:val="single" w:sz="8" w:color="auto"/>
            </w:tcBorders>
            <w:shd w:val="clear" w:color="auto" w:fill="CCEEFF"/>
          </w:tcPr>
          <w:p>
            <w:pPr>
              <w:ind w:left="180"/>
              <w:spacing w:after="0" w:line="123" w:lineRule="exact"/>
              <w:rPr>
                <w:sz w:val="20"/>
                <w:szCs w:val="20"/>
                <w:color w:val="auto"/>
              </w:rPr>
            </w:pPr>
            <w:r>
              <w:rPr>
                <w:rFonts w:ascii="Arial" w:cs="Arial" w:eastAsia="Arial" w:hAnsi="Arial"/>
                <w:sz w:val="14"/>
                <w:szCs w:val="14"/>
                <w:color w:val="auto"/>
              </w:rPr>
              <w:t>—</w:t>
            </w:r>
          </w:p>
        </w:tc>
        <w:tc>
          <w:tcPr>
            <w:tcW w:w="220" w:type="dxa"/>
            <w:vAlign w:val="bottom"/>
            <w:tcBorders>
              <w:top w:val="single" w:sz="8" w:color="CCEEFF"/>
            </w:tcBorders>
            <w:shd w:val="clear" w:color="auto" w:fill="CCEEFF"/>
          </w:tcPr>
          <w:p>
            <w:pPr>
              <w:spacing w:after="0"/>
              <w:rPr>
                <w:sz w:val="10"/>
                <w:szCs w:val="10"/>
                <w:color w:val="auto"/>
              </w:rPr>
            </w:pPr>
          </w:p>
        </w:tc>
        <w:tc>
          <w:tcPr>
            <w:tcW w:w="740" w:type="dxa"/>
            <w:vAlign w:val="bottom"/>
            <w:tcBorders>
              <w:top w:val="single" w:sz="8" w:color="auto"/>
            </w:tcBorders>
            <w:shd w:val="clear" w:color="auto" w:fill="CCEEFF"/>
          </w:tcPr>
          <w:p>
            <w:pPr>
              <w:jc w:val="right"/>
              <w:spacing w:after="0" w:line="123" w:lineRule="exact"/>
              <w:rPr>
                <w:sz w:val="20"/>
                <w:szCs w:val="20"/>
                <w:color w:val="auto"/>
              </w:rPr>
            </w:pPr>
            <w:r>
              <w:rPr>
                <w:rFonts w:ascii="Arial" w:cs="Arial" w:eastAsia="Arial" w:hAnsi="Arial"/>
                <w:sz w:val="14"/>
                <w:szCs w:val="14"/>
                <w:color w:val="auto"/>
              </w:rPr>
              <w:t>284,700</w:t>
            </w:r>
          </w:p>
        </w:tc>
        <w:tc>
          <w:tcPr>
            <w:tcW w:w="220" w:type="dxa"/>
            <w:vAlign w:val="bottom"/>
            <w:tcBorders>
              <w:top w:val="single" w:sz="8" w:color="CCEEFF"/>
            </w:tcBorders>
            <w:shd w:val="clear" w:color="auto" w:fill="CCEEFF"/>
          </w:tcPr>
          <w:p>
            <w:pPr>
              <w:spacing w:after="0"/>
              <w:rPr>
                <w:sz w:val="10"/>
                <w:szCs w:val="10"/>
                <w:color w:val="auto"/>
              </w:rPr>
            </w:pPr>
          </w:p>
        </w:tc>
        <w:tc>
          <w:tcPr>
            <w:tcW w:w="740" w:type="dxa"/>
            <w:vAlign w:val="bottom"/>
            <w:tcBorders>
              <w:top w:val="single" w:sz="8" w:color="auto"/>
            </w:tcBorders>
            <w:shd w:val="clear" w:color="auto" w:fill="CCEEFF"/>
          </w:tcPr>
          <w:p>
            <w:pPr>
              <w:ind w:left="520"/>
              <w:spacing w:after="0" w:line="123" w:lineRule="exact"/>
              <w:rPr>
                <w:sz w:val="20"/>
                <w:szCs w:val="20"/>
                <w:color w:val="auto"/>
              </w:rPr>
            </w:pPr>
            <w:r>
              <w:rPr>
                <w:rFonts w:ascii="Arial" w:cs="Arial" w:eastAsia="Arial" w:hAnsi="Arial"/>
                <w:sz w:val="14"/>
                <w:szCs w:val="14"/>
                <w:color w:val="auto"/>
              </w:rPr>
              <w:t>—</w:t>
            </w:r>
          </w:p>
        </w:tc>
        <w:tc>
          <w:tcPr>
            <w:tcW w:w="220" w:type="dxa"/>
            <w:vAlign w:val="bottom"/>
            <w:tcBorders>
              <w:top w:val="single" w:sz="8" w:color="CCEEFF"/>
            </w:tcBorders>
            <w:shd w:val="clear" w:color="auto" w:fill="CCEEFF"/>
          </w:tcPr>
          <w:p>
            <w:pPr>
              <w:spacing w:after="0"/>
              <w:rPr>
                <w:sz w:val="10"/>
                <w:szCs w:val="10"/>
                <w:color w:val="auto"/>
              </w:rPr>
            </w:pPr>
          </w:p>
        </w:tc>
        <w:tc>
          <w:tcPr>
            <w:tcW w:w="740" w:type="dxa"/>
            <w:vAlign w:val="bottom"/>
            <w:tcBorders>
              <w:top w:val="single" w:sz="8" w:color="auto"/>
            </w:tcBorders>
            <w:shd w:val="clear" w:color="auto" w:fill="CCEEFF"/>
          </w:tcPr>
          <w:p>
            <w:pPr>
              <w:jc w:val="right"/>
              <w:spacing w:after="0" w:line="123" w:lineRule="exact"/>
              <w:rPr>
                <w:sz w:val="20"/>
                <w:szCs w:val="20"/>
                <w:color w:val="auto"/>
              </w:rPr>
            </w:pPr>
            <w:r>
              <w:rPr>
                <w:rFonts w:ascii="Arial" w:cs="Arial" w:eastAsia="Arial" w:hAnsi="Arial"/>
                <w:sz w:val="14"/>
                <w:szCs w:val="14"/>
                <w:color w:val="auto"/>
              </w:rPr>
              <w:t>3,000</w:t>
            </w:r>
          </w:p>
        </w:tc>
        <w:tc>
          <w:tcPr>
            <w:tcW w:w="220" w:type="dxa"/>
            <w:vAlign w:val="bottom"/>
            <w:tcBorders>
              <w:top w:val="single" w:sz="8" w:color="CCEEFF"/>
            </w:tcBorders>
            <w:shd w:val="clear" w:color="auto" w:fill="CCEEFF"/>
          </w:tcPr>
          <w:p>
            <w:pPr>
              <w:spacing w:after="0"/>
              <w:rPr>
                <w:sz w:val="10"/>
                <w:szCs w:val="10"/>
                <w:color w:val="auto"/>
              </w:rPr>
            </w:pPr>
          </w:p>
        </w:tc>
        <w:tc>
          <w:tcPr>
            <w:tcW w:w="680" w:type="dxa"/>
            <w:vAlign w:val="bottom"/>
            <w:tcBorders>
              <w:top w:val="single" w:sz="8" w:color="auto"/>
            </w:tcBorders>
            <w:shd w:val="clear" w:color="auto" w:fill="CCEEFF"/>
          </w:tcPr>
          <w:p>
            <w:pPr>
              <w:jc w:val="right"/>
              <w:spacing w:after="0" w:line="123" w:lineRule="exact"/>
              <w:rPr>
                <w:sz w:val="20"/>
                <w:szCs w:val="20"/>
                <w:color w:val="auto"/>
              </w:rPr>
            </w:pPr>
            <w:r>
              <w:rPr>
                <w:rFonts w:ascii="Arial" w:cs="Arial" w:eastAsia="Arial" w:hAnsi="Arial"/>
                <w:sz w:val="14"/>
                <w:szCs w:val="14"/>
                <w:color w:val="auto"/>
              </w:rPr>
              <w:t>687,700</w:t>
            </w:r>
          </w:p>
        </w:tc>
        <w:tc>
          <w:tcPr>
            <w:tcW w:w="40" w:type="dxa"/>
            <w:vAlign w:val="bottom"/>
            <w:tcBorders>
              <w:top w:val="single" w:sz="8" w:color="CCEEFF"/>
            </w:tcBorders>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67"/>
        </w:trPr>
        <w:tc>
          <w:tcPr>
            <w:tcW w:w="3860" w:type="dxa"/>
            <w:vAlign w:val="bottom"/>
            <w:gridSpan w:val="2"/>
            <w:shd w:val="clear" w:color="auto" w:fill="CCEEFF"/>
          </w:tcPr>
          <w:p>
            <w:pPr>
              <w:ind w:left="160"/>
              <w:spacing w:after="0"/>
              <w:rPr>
                <w:sz w:val="20"/>
                <w:szCs w:val="20"/>
                <w:color w:val="auto"/>
              </w:rPr>
            </w:pPr>
            <w:r>
              <w:rPr>
                <w:rFonts w:ascii="Arial" w:cs="Arial" w:eastAsia="Arial" w:hAnsi="Arial"/>
                <w:sz w:val="14"/>
                <w:szCs w:val="14"/>
                <w:i w:val="1"/>
                <w:iCs w:val="1"/>
                <w:color w:val="auto"/>
              </w:rPr>
              <w:t>Chief Executive Officer</w:t>
            </w:r>
          </w:p>
        </w:tc>
        <w:tc>
          <w:tcPr>
            <w:tcW w:w="18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38"/>
        </w:trPr>
        <w:tc>
          <w:tcPr>
            <w:tcW w:w="3860" w:type="dxa"/>
            <w:vAlign w:val="bottom"/>
            <w:gridSpan w:val="2"/>
          </w:tcPr>
          <w:p>
            <w:pPr>
              <w:spacing w:after="0"/>
              <w:rPr>
                <w:sz w:val="20"/>
                <w:szCs w:val="20"/>
                <w:color w:val="auto"/>
              </w:rPr>
            </w:pPr>
            <w:r>
              <w:rPr>
                <w:rFonts w:ascii="Arial" w:cs="Arial" w:eastAsia="Arial" w:hAnsi="Arial"/>
                <w:sz w:val="14"/>
                <w:szCs w:val="14"/>
                <w:color w:val="auto"/>
              </w:rPr>
              <w:t>Quentin J. Clark</w:t>
            </w:r>
            <w:r>
              <w:rPr>
                <w:rFonts w:ascii="Arial" w:cs="Arial" w:eastAsia="Arial" w:hAnsi="Arial"/>
                <w:sz w:val="12"/>
                <w:szCs w:val="12"/>
                <w:color w:val="auto"/>
              </w:rPr>
              <w:t>(3)</w:t>
            </w:r>
          </w:p>
        </w:tc>
        <w:tc>
          <w:tcPr>
            <w:tcW w:w="720" w:type="dxa"/>
            <w:vAlign w:val="bottom"/>
            <w:gridSpan w:val="3"/>
          </w:tcPr>
          <w:p>
            <w:pPr>
              <w:ind w:left="220"/>
              <w:spacing w:after="0"/>
              <w:rPr>
                <w:sz w:val="20"/>
                <w:szCs w:val="20"/>
                <w:color w:val="auto"/>
              </w:rPr>
            </w:pPr>
            <w:r>
              <w:rPr>
                <w:rFonts w:ascii="Arial" w:cs="Arial" w:eastAsia="Arial" w:hAnsi="Arial"/>
                <w:sz w:val="14"/>
                <w:szCs w:val="14"/>
                <w:color w:val="auto"/>
              </w:rPr>
              <w:t>2017</w:t>
            </w:r>
          </w:p>
        </w:tc>
        <w:tc>
          <w:tcPr>
            <w:tcW w:w="660" w:type="dxa"/>
            <w:vAlign w:val="bottom"/>
            <w:gridSpan w:val="2"/>
          </w:tcPr>
          <w:p>
            <w:pPr>
              <w:jc w:val="right"/>
              <w:ind w:right="140"/>
              <w:spacing w:after="0"/>
              <w:rPr>
                <w:sz w:val="20"/>
                <w:szCs w:val="20"/>
                <w:color w:val="auto"/>
              </w:rPr>
            </w:pPr>
            <w:r>
              <w:rPr>
                <w:rFonts w:ascii="Arial" w:cs="Arial" w:eastAsia="Arial" w:hAnsi="Arial"/>
                <w:sz w:val="14"/>
                <w:szCs w:val="14"/>
                <w:color w:val="auto"/>
                <w:w w:val="98"/>
              </w:rPr>
              <w:t>129,315</w:t>
            </w:r>
          </w:p>
        </w:tc>
        <w:tc>
          <w:tcPr>
            <w:tcW w:w="860" w:type="dxa"/>
            <w:vAlign w:val="bottom"/>
            <w:gridSpan w:val="2"/>
          </w:tcPr>
          <w:p>
            <w:pPr>
              <w:jc w:val="right"/>
              <w:ind w:right="220"/>
              <w:spacing w:after="0"/>
              <w:rPr>
                <w:sz w:val="20"/>
                <w:szCs w:val="20"/>
                <w:color w:val="auto"/>
              </w:rPr>
            </w:pPr>
            <w:r>
              <w:rPr>
                <w:rFonts w:ascii="Arial" w:cs="Arial" w:eastAsia="Arial" w:hAnsi="Arial"/>
                <w:sz w:val="14"/>
                <w:szCs w:val="14"/>
                <w:color w:val="auto"/>
                <w:w w:val="94"/>
              </w:rPr>
              <w:t>340,000</w:t>
            </w:r>
            <w:r>
              <w:rPr>
                <w:rFonts w:ascii="Arial" w:cs="Arial" w:eastAsia="Arial" w:hAnsi="Arial"/>
                <w:sz w:val="12"/>
                <w:szCs w:val="12"/>
                <w:color w:val="auto"/>
                <w:w w:val="94"/>
              </w:rPr>
              <w:t>(4)</w:t>
            </w:r>
          </w:p>
        </w:tc>
        <w:tc>
          <w:tcPr>
            <w:tcW w:w="920" w:type="dxa"/>
            <w:vAlign w:val="bottom"/>
            <w:gridSpan w:val="2"/>
          </w:tcPr>
          <w:p>
            <w:pPr>
              <w:jc w:val="right"/>
              <w:ind w:right="220"/>
              <w:spacing w:after="0"/>
              <w:rPr>
                <w:sz w:val="20"/>
                <w:szCs w:val="20"/>
                <w:color w:val="auto"/>
              </w:rPr>
            </w:pPr>
            <w:r>
              <w:rPr>
                <w:rFonts w:ascii="Arial" w:cs="Arial" w:eastAsia="Arial" w:hAnsi="Arial"/>
                <w:sz w:val="14"/>
                <w:szCs w:val="14"/>
                <w:color w:val="auto"/>
                <w:w w:val="96"/>
              </w:rPr>
              <w:t>34,050,000</w:t>
            </w:r>
          </w:p>
        </w:tc>
        <w:tc>
          <w:tcPr>
            <w:tcW w:w="620" w:type="dxa"/>
            <w:vAlign w:val="bottom"/>
            <w:gridSpan w:val="2"/>
          </w:tcPr>
          <w:p>
            <w:pPr>
              <w:ind w:left="180"/>
              <w:spacing w:after="0"/>
              <w:rPr>
                <w:sz w:val="20"/>
                <w:szCs w:val="20"/>
                <w:color w:val="auto"/>
              </w:rPr>
            </w:pPr>
            <w:r>
              <w:rPr>
                <w:rFonts w:ascii="Arial" w:cs="Arial" w:eastAsia="Arial" w:hAnsi="Arial"/>
                <w:sz w:val="14"/>
                <w:szCs w:val="14"/>
                <w:color w:val="auto"/>
              </w:rPr>
              <w:t>—</w:t>
            </w:r>
          </w:p>
        </w:tc>
        <w:tc>
          <w:tcPr>
            <w:tcW w:w="960" w:type="dxa"/>
            <w:vAlign w:val="bottom"/>
            <w:gridSpan w:val="2"/>
          </w:tcPr>
          <w:p>
            <w:pPr>
              <w:jc w:val="right"/>
              <w:ind w:right="220"/>
              <w:spacing w:after="0"/>
              <w:rPr>
                <w:sz w:val="20"/>
                <w:szCs w:val="20"/>
                <w:color w:val="auto"/>
              </w:rPr>
            </w:pPr>
            <w:r>
              <w:rPr>
                <w:rFonts w:ascii="Arial" w:cs="Arial" w:eastAsia="Arial" w:hAnsi="Arial"/>
                <w:sz w:val="14"/>
                <w:szCs w:val="14"/>
                <w:color w:val="auto"/>
              </w:rPr>
              <w:t>92,040</w:t>
            </w:r>
          </w:p>
        </w:tc>
        <w:tc>
          <w:tcPr>
            <w:tcW w:w="960" w:type="dxa"/>
            <w:vAlign w:val="bottom"/>
            <w:gridSpan w:val="2"/>
          </w:tcPr>
          <w:p>
            <w:pPr>
              <w:ind w:left="520"/>
              <w:spacing w:after="0"/>
              <w:rPr>
                <w:sz w:val="20"/>
                <w:szCs w:val="20"/>
                <w:color w:val="auto"/>
              </w:rPr>
            </w:pPr>
            <w:r>
              <w:rPr>
                <w:rFonts w:ascii="Arial" w:cs="Arial" w:eastAsia="Arial" w:hAnsi="Arial"/>
                <w:sz w:val="14"/>
                <w:szCs w:val="14"/>
                <w:color w:val="auto"/>
              </w:rPr>
              <w:t>—</w:t>
            </w:r>
          </w:p>
        </w:tc>
        <w:tc>
          <w:tcPr>
            <w:tcW w:w="960" w:type="dxa"/>
            <w:vAlign w:val="bottom"/>
            <w:gridSpan w:val="2"/>
          </w:tcPr>
          <w:p>
            <w:pPr>
              <w:jc w:val="right"/>
              <w:ind w:right="220"/>
              <w:spacing w:after="0"/>
              <w:rPr>
                <w:sz w:val="20"/>
                <w:szCs w:val="20"/>
                <w:color w:val="auto"/>
              </w:rPr>
            </w:pPr>
            <w:r>
              <w:rPr>
                <w:rFonts w:ascii="Arial" w:cs="Arial" w:eastAsia="Arial" w:hAnsi="Arial"/>
                <w:sz w:val="14"/>
                <w:szCs w:val="14"/>
                <w:color w:val="auto"/>
              </w:rPr>
              <w:t>3,000</w:t>
            </w:r>
          </w:p>
        </w:tc>
        <w:tc>
          <w:tcPr>
            <w:tcW w:w="720" w:type="dxa"/>
            <w:vAlign w:val="bottom"/>
            <w:gridSpan w:val="2"/>
          </w:tcPr>
          <w:p>
            <w:pPr>
              <w:jc w:val="right"/>
              <w:ind w:right="40"/>
              <w:spacing w:after="0"/>
              <w:rPr>
                <w:sz w:val="20"/>
                <w:szCs w:val="20"/>
                <w:color w:val="auto"/>
              </w:rPr>
            </w:pPr>
            <w:r>
              <w:rPr>
                <w:rFonts w:ascii="Arial" w:cs="Arial" w:eastAsia="Arial" w:hAnsi="Arial"/>
                <w:sz w:val="14"/>
                <w:szCs w:val="14"/>
                <w:color w:val="auto"/>
                <w:w w:val="94"/>
              </w:rPr>
              <w:t>34,614,355</w:t>
            </w:r>
          </w:p>
        </w:tc>
        <w:tc>
          <w:tcPr>
            <w:tcW w:w="0" w:type="dxa"/>
            <w:vAlign w:val="bottom"/>
          </w:tcPr>
          <w:p>
            <w:pPr>
              <w:spacing w:after="0"/>
              <w:rPr>
                <w:sz w:val="1"/>
                <w:szCs w:val="1"/>
                <w:color w:val="auto"/>
              </w:rPr>
            </w:pPr>
          </w:p>
        </w:tc>
      </w:tr>
      <w:tr>
        <w:trPr>
          <w:trHeight w:val="182"/>
        </w:trPr>
        <w:tc>
          <w:tcPr>
            <w:tcW w:w="3860" w:type="dxa"/>
            <w:vAlign w:val="bottom"/>
            <w:gridSpan w:val="2"/>
          </w:tcPr>
          <w:p>
            <w:pPr>
              <w:ind w:left="160"/>
              <w:spacing w:after="0"/>
              <w:rPr>
                <w:sz w:val="20"/>
                <w:szCs w:val="20"/>
                <w:color w:val="auto"/>
              </w:rPr>
            </w:pPr>
            <w:r>
              <w:rPr>
                <w:rFonts w:ascii="Arial" w:cs="Arial" w:eastAsia="Arial" w:hAnsi="Arial"/>
                <w:sz w:val="14"/>
                <w:szCs w:val="14"/>
                <w:i w:val="1"/>
                <w:iCs w:val="1"/>
                <w:color w:val="auto"/>
              </w:rPr>
              <w:t>Senior Vice President of Engineering, Product, and Design</w:t>
            </w:r>
          </w:p>
        </w:tc>
        <w:tc>
          <w:tcPr>
            <w:tcW w:w="1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3"/>
        </w:trPr>
        <w:tc>
          <w:tcPr>
            <w:tcW w:w="1540" w:type="dxa"/>
            <w:vAlign w:val="bottom"/>
          </w:tcPr>
          <w:p>
            <w:pPr>
              <w:spacing w:after="0"/>
              <w:rPr>
                <w:sz w:val="8"/>
                <w:szCs w:val="8"/>
                <w:color w:val="auto"/>
              </w:rPr>
            </w:pPr>
          </w:p>
        </w:tc>
        <w:tc>
          <w:tcPr>
            <w:tcW w:w="2320" w:type="dxa"/>
            <w:vAlign w:val="bottom"/>
          </w:tcPr>
          <w:p>
            <w:pPr>
              <w:spacing w:after="0"/>
              <w:rPr>
                <w:sz w:val="8"/>
                <w:szCs w:val="8"/>
                <w:color w:val="auto"/>
              </w:rPr>
            </w:pPr>
          </w:p>
        </w:tc>
        <w:tc>
          <w:tcPr>
            <w:tcW w:w="180" w:type="dxa"/>
            <w:vAlign w:val="bottom"/>
          </w:tcPr>
          <w:p>
            <w:pPr>
              <w:spacing w:after="0"/>
              <w:rPr>
                <w:sz w:val="8"/>
                <w:szCs w:val="8"/>
                <w:color w:val="auto"/>
              </w:rPr>
            </w:pPr>
          </w:p>
        </w:tc>
        <w:tc>
          <w:tcPr>
            <w:tcW w:w="320" w:type="dxa"/>
            <w:vAlign w:val="bottom"/>
          </w:tcPr>
          <w:p>
            <w:pPr>
              <w:spacing w:after="0"/>
              <w:rPr>
                <w:sz w:val="8"/>
                <w:szCs w:val="8"/>
                <w:color w:val="auto"/>
              </w:rPr>
            </w:pPr>
          </w:p>
        </w:tc>
        <w:tc>
          <w:tcPr>
            <w:tcW w:w="220" w:type="dxa"/>
            <w:vAlign w:val="bottom"/>
          </w:tcPr>
          <w:p>
            <w:pPr>
              <w:spacing w:after="0"/>
              <w:rPr>
                <w:sz w:val="8"/>
                <w:szCs w:val="8"/>
                <w:color w:val="auto"/>
              </w:rPr>
            </w:pPr>
          </w:p>
        </w:tc>
        <w:tc>
          <w:tcPr>
            <w:tcW w:w="520" w:type="dxa"/>
            <w:vAlign w:val="bottom"/>
          </w:tcPr>
          <w:p>
            <w:pPr>
              <w:spacing w:after="0"/>
              <w:rPr>
                <w:sz w:val="8"/>
                <w:szCs w:val="8"/>
                <w:color w:val="auto"/>
              </w:rPr>
            </w:pPr>
          </w:p>
        </w:tc>
        <w:tc>
          <w:tcPr>
            <w:tcW w:w="140" w:type="dxa"/>
            <w:vAlign w:val="bottom"/>
          </w:tcPr>
          <w:p>
            <w:pPr>
              <w:spacing w:after="0"/>
              <w:rPr>
                <w:sz w:val="8"/>
                <w:szCs w:val="8"/>
                <w:color w:val="auto"/>
              </w:rPr>
            </w:pPr>
          </w:p>
        </w:tc>
        <w:tc>
          <w:tcPr>
            <w:tcW w:w="500" w:type="dxa"/>
            <w:vAlign w:val="bottom"/>
          </w:tcPr>
          <w:p>
            <w:pPr>
              <w:spacing w:after="0"/>
              <w:rPr>
                <w:sz w:val="8"/>
                <w:szCs w:val="8"/>
                <w:color w:val="auto"/>
              </w:rPr>
            </w:pPr>
          </w:p>
        </w:tc>
        <w:tc>
          <w:tcPr>
            <w:tcW w:w="360" w:type="dxa"/>
            <w:vAlign w:val="bottom"/>
          </w:tcPr>
          <w:p>
            <w:pPr>
              <w:spacing w:after="0"/>
              <w:rPr>
                <w:sz w:val="8"/>
                <w:szCs w:val="8"/>
                <w:color w:val="auto"/>
              </w:rPr>
            </w:pPr>
          </w:p>
        </w:tc>
        <w:tc>
          <w:tcPr>
            <w:tcW w:w="700" w:type="dxa"/>
            <w:vAlign w:val="bottom"/>
          </w:tcPr>
          <w:p>
            <w:pPr>
              <w:spacing w:after="0"/>
              <w:rPr>
                <w:sz w:val="8"/>
                <w:szCs w:val="8"/>
                <w:color w:val="auto"/>
              </w:rPr>
            </w:pPr>
          </w:p>
        </w:tc>
        <w:tc>
          <w:tcPr>
            <w:tcW w:w="220" w:type="dxa"/>
            <w:vAlign w:val="bottom"/>
          </w:tcPr>
          <w:p>
            <w:pPr>
              <w:spacing w:after="0"/>
              <w:rPr>
                <w:sz w:val="8"/>
                <w:szCs w:val="8"/>
                <w:color w:val="auto"/>
              </w:rPr>
            </w:pPr>
          </w:p>
        </w:tc>
        <w:tc>
          <w:tcPr>
            <w:tcW w:w="400" w:type="dxa"/>
            <w:vAlign w:val="bottom"/>
          </w:tcPr>
          <w:p>
            <w:pPr>
              <w:spacing w:after="0"/>
              <w:rPr>
                <w:sz w:val="8"/>
                <w:szCs w:val="8"/>
                <w:color w:val="auto"/>
              </w:rPr>
            </w:pPr>
          </w:p>
        </w:tc>
        <w:tc>
          <w:tcPr>
            <w:tcW w:w="220" w:type="dxa"/>
            <w:vAlign w:val="bottom"/>
          </w:tcPr>
          <w:p>
            <w:pPr>
              <w:spacing w:after="0"/>
              <w:rPr>
                <w:sz w:val="8"/>
                <w:szCs w:val="8"/>
                <w:color w:val="auto"/>
              </w:rPr>
            </w:pPr>
          </w:p>
        </w:tc>
        <w:tc>
          <w:tcPr>
            <w:tcW w:w="740" w:type="dxa"/>
            <w:vAlign w:val="bottom"/>
          </w:tcPr>
          <w:p>
            <w:pPr>
              <w:spacing w:after="0"/>
              <w:rPr>
                <w:sz w:val="8"/>
                <w:szCs w:val="8"/>
                <w:color w:val="auto"/>
              </w:rPr>
            </w:pPr>
          </w:p>
        </w:tc>
        <w:tc>
          <w:tcPr>
            <w:tcW w:w="220" w:type="dxa"/>
            <w:vAlign w:val="bottom"/>
          </w:tcPr>
          <w:p>
            <w:pPr>
              <w:spacing w:after="0"/>
              <w:rPr>
                <w:sz w:val="8"/>
                <w:szCs w:val="8"/>
                <w:color w:val="auto"/>
              </w:rPr>
            </w:pPr>
          </w:p>
        </w:tc>
        <w:tc>
          <w:tcPr>
            <w:tcW w:w="740" w:type="dxa"/>
            <w:vAlign w:val="bottom"/>
          </w:tcPr>
          <w:p>
            <w:pPr>
              <w:spacing w:after="0"/>
              <w:rPr>
                <w:sz w:val="8"/>
                <w:szCs w:val="8"/>
                <w:color w:val="auto"/>
              </w:rPr>
            </w:pPr>
          </w:p>
        </w:tc>
        <w:tc>
          <w:tcPr>
            <w:tcW w:w="220" w:type="dxa"/>
            <w:vAlign w:val="bottom"/>
          </w:tcPr>
          <w:p>
            <w:pPr>
              <w:spacing w:after="0"/>
              <w:rPr>
                <w:sz w:val="8"/>
                <w:szCs w:val="8"/>
                <w:color w:val="auto"/>
              </w:rPr>
            </w:pPr>
          </w:p>
        </w:tc>
        <w:tc>
          <w:tcPr>
            <w:tcW w:w="740" w:type="dxa"/>
            <w:vAlign w:val="bottom"/>
          </w:tcPr>
          <w:p>
            <w:pPr>
              <w:spacing w:after="0"/>
              <w:rPr>
                <w:sz w:val="8"/>
                <w:szCs w:val="8"/>
                <w:color w:val="auto"/>
              </w:rPr>
            </w:pPr>
          </w:p>
        </w:tc>
        <w:tc>
          <w:tcPr>
            <w:tcW w:w="220" w:type="dxa"/>
            <w:vAlign w:val="bottom"/>
          </w:tcPr>
          <w:p>
            <w:pPr>
              <w:spacing w:after="0"/>
              <w:rPr>
                <w:sz w:val="8"/>
                <w:szCs w:val="8"/>
                <w:color w:val="auto"/>
              </w:rPr>
            </w:pPr>
          </w:p>
        </w:tc>
        <w:tc>
          <w:tcPr>
            <w:tcW w:w="680" w:type="dxa"/>
            <w:vAlign w:val="bottom"/>
          </w:tcPr>
          <w:p>
            <w:pPr>
              <w:spacing w:after="0"/>
              <w:rPr>
                <w:sz w:val="8"/>
                <w:szCs w:val="8"/>
                <w:color w:val="auto"/>
              </w:rPr>
            </w:pP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0"/>
        </w:trPr>
        <w:tc>
          <w:tcPr>
            <w:tcW w:w="386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Dennis M. Woodside</w:t>
            </w:r>
          </w:p>
        </w:tc>
        <w:tc>
          <w:tcPr>
            <w:tcW w:w="720" w:type="dxa"/>
            <w:vAlign w:val="bottom"/>
            <w:gridSpan w:val="3"/>
            <w:shd w:val="clear" w:color="auto" w:fill="CCEEFF"/>
          </w:tcPr>
          <w:p>
            <w:pPr>
              <w:ind w:left="220"/>
              <w:spacing w:after="0" w:line="130" w:lineRule="exact"/>
              <w:rPr>
                <w:sz w:val="20"/>
                <w:szCs w:val="20"/>
                <w:color w:val="auto"/>
              </w:rPr>
            </w:pPr>
            <w:r>
              <w:rPr>
                <w:rFonts w:ascii="Arial" w:cs="Arial" w:eastAsia="Arial" w:hAnsi="Arial"/>
                <w:sz w:val="14"/>
                <w:szCs w:val="14"/>
                <w:color w:val="auto"/>
              </w:rPr>
              <w:t>2017</w:t>
            </w:r>
          </w:p>
        </w:tc>
        <w:tc>
          <w:tcPr>
            <w:tcW w:w="660" w:type="dxa"/>
            <w:vAlign w:val="bottom"/>
            <w:gridSpan w:val="2"/>
            <w:shd w:val="clear" w:color="auto" w:fill="CCEEFF"/>
          </w:tcPr>
          <w:p>
            <w:pPr>
              <w:jc w:val="right"/>
              <w:ind w:right="140"/>
              <w:spacing w:after="0" w:line="130" w:lineRule="exact"/>
              <w:rPr>
                <w:sz w:val="20"/>
                <w:szCs w:val="20"/>
                <w:color w:val="auto"/>
              </w:rPr>
            </w:pPr>
            <w:r>
              <w:rPr>
                <w:rFonts w:ascii="Arial" w:cs="Arial" w:eastAsia="Arial" w:hAnsi="Arial"/>
                <w:sz w:val="14"/>
                <w:szCs w:val="14"/>
                <w:color w:val="auto"/>
                <w:w w:val="98"/>
              </w:rPr>
              <w:t>400,000</w:t>
            </w:r>
          </w:p>
        </w:tc>
        <w:tc>
          <w:tcPr>
            <w:tcW w:w="860" w:type="dxa"/>
            <w:vAlign w:val="bottom"/>
            <w:gridSpan w:val="2"/>
            <w:shd w:val="clear" w:color="auto" w:fill="CCEEFF"/>
          </w:tcPr>
          <w:p>
            <w:pPr>
              <w:ind w:left="280"/>
              <w:spacing w:after="0" w:line="130" w:lineRule="exact"/>
              <w:rPr>
                <w:sz w:val="20"/>
                <w:szCs w:val="20"/>
                <w:color w:val="auto"/>
              </w:rPr>
            </w:pPr>
            <w:r>
              <w:rPr>
                <w:rFonts w:ascii="Arial" w:cs="Arial" w:eastAsia="Arial" w:hAnsi="Arial"/>
                <w:sz w:val="14"/>
                <w:szCs w:val="14"/>
                <w:color w:val="auto"/>
              </w:rPr>
              <w:t>—</w:t>
            </w:r>
          </w:p>
        </w:tc>
        <w:tc>
          <w:tcPr>
            <w:tcW w:w="920" w:type="dxa"/>
            <w:vAlign w:val="bottom"/>
            <w:gridSpan w:val="2"/>
            <w:shd w:val="clear" w:color="auto" w:fill="CCEEFF"/>
          </w:tcPr>
          <w:p>
            <w:pPr>
              <w:jc w:val="right"/>
              <w:ind w:right="220"/>
              <w:spacing w:after="0" w:line="130" w:lineRule="exact"/>
              <w:rPr>
                <w:sz w:val="20"/>
                <w:szCs w:val="20"/>
                <w:color w:val="auto"/>
              </w:rPr>
            </w:pPr>
            <w:r>
              <w:rPr>
                <w:rFonts w:ascii="Arial" w:cs="Arial" w:eastAsia="Arial" w:hAnsi="Arial"/>
                <w:sz w:val="14"/>
                <w:szCs w:val="14"/>
                <w:color w:val="auto"/>
                <w:w w:val="96"/>
              </w:rPr>
              <w:t>19,558,500</w:t>
            </w:r>
          </w:p>
        </w:tc>
        <w:tc>
          <w:tcPr>
            <w:tcW w:w="620" w:type="dxa"/>
            <w:vAlign w:val="bottom"/>
            <w:gridSpan w:val="2"/>
            <w:shd w:val="clear" w:color="auto" w:fill="CCEEFF"/>
          </w:tcPr>
          <w:p>
            <w:pPr>
              <w:ind w:left="180"/>
              <w:spacing w:after="0" w:line="130" w:lineRule="exact"/>
              <w:rPr>
                <w:sz w:val="20"/>
                <w:szCs w:val="20"/>
                <w:color w:val="auto"/>
              </w:rPr>
            </w:pPr>
            <w:r>
              <w:rPr>
                <w:rFonts w:ascii="Arial" w:cs="Arial" w:eastAsia="Arial" w:hAnsi="Arial"/>
                <w:sz w:val="14"/>
                <w:szCs w:val="14"/>
                <w:color w:val="auto"/>
              </w:rPr>
              <w:t>—</w:t>
            </w:r>
          </w:p>
        </w:tc>
        <w:tc>
          <w:tcPr>
            <w:tcW w:w="960" w:type="dxa"/>
            <w:vAlign w:val="bottom"/>
            <w:gridSpan w:val="2"/>
            <w:shd w:val="clear" w:color="auto" w:fill="CCEEFF"/>
          </w:tcPr>
          <w:p>
            <w:pPr>
              <w:jc w:val="right"/>
              <w:ind w:right="220"/>
              <w:spacing w:after="0" w:line="130" w:lineRule="exact"/>
              <w:rPr>
                <w:sz w:val="20"/>
                <w:szCs w:val="20"/>
                <w:color w:val="auto"/>
              </w:rPr>
            </w:pPr>
            <w:r>
              <w:rPr>
                <w:rFonts w:ascii="Arial" w:cs="Arial" w:eastAsia="Arial" w:hAnsi="Arial"/>
                <w:sz w:val="14"/>
                <w:szCs w:val="14"/>
                <w:color w:val="auto"/>
              </w:rPr>
              <w:t>284,700</w:t>
            </w:r>
          </w:p>
        </w:tc>
        <w:tc>
          <w:tcPr>
            <w:tcW w:w="960" w:type="dxa"/>
            <w:vAlign w:val="bottom"/>
            <w:gridSpan w:val="2"/>
            <w:shd w:val="clear" w:color="auto" w:fill="CCEEFF"/>
          </w:tcPr>
          <w:p>
            <w:pPr>
              <w:ind w:left="520"/>
              <w:spacing w:after="0" w:line="130" w:lineRule="exact"/>
              <w:rPr>
                <w:sz w:val="20"/>
                <w:szCs w:val="20"/>
                <w:color w:val="auto"/>
              </w:rPr>
            </w:pPr>
            <w:r>
              <w:rPr>
                <w:rFonts w:ascii="Arial" w:cs="Arial" w:eastAsia="Arial" w:hAnsi="Arial"/>
                <w:sz w:val="14"/>
                <w:szCs w:val="14"/>
                <w:color w:val="auto"/>
              </w:rPr>
              <w:t>—</w:t>
            </w:r>
          </w:p>
        </w:tc>
        <w:tc>
          <w:tcPr>
            <w:tcW w:w="960" w:type="dxa"/>
            <w:vAlign w:val="bottom"/>
            <w:gridSpan w:val="2"/>
            <w:shd w:val="clear" w:color="auto" w:fill="CCEEFF"/>
          </w:tcPr>
          <w:p>
            <w:pPr>
              <w:jc w:val="right"/>
              <w:ind w:right="220"/>
              <w:spacing w:after="0" w:line="130" w:lineRule="exact"/>
              <w:rPr>
                <w:sz w:val="20"/>
                <w:szCs w:val="20"/>
                <w:color w:val="auto"/>
              </w:rPr>
            </w:pPr>
            <w:r>
              <w:rPr>
                <w:rFonts w:ascii="Arial" w:cs="Arial" w:eastAsia="Arial" w:hAnsi="Arial"/>
                <w:sz w:val="14"/>
                <w:szCs w:val="14"/>
                <w:color w:val="auto"/>
              </w:rPr>
              <w:t>3,000</w:t>
            </w:r>
          </w:p>
        </w:tc>
        <w:tc>
          <w:tcPr>
            <w:tcW w:w="720" w:type="dxa"/>
            <w:vAlign w:val="bottom"/>
            <w:gridSpan w:val="2"/>
            <w:shd w:val="clear" w:color="auto" w:fill="CCEEFF"/>
          </w:tcPr>
          <w:p>
            <w:pPr>
              <w:jc w:val="right"/>
              <w:ind w:right="40"/>
              <w:spacing w:after="0" w:line="130" w:lineRule="exact"/>
              <w:rPr>
                <w:sz w:val="20"/>
                <w:szCs w:val="20"/>
                <w:color w:val="auto"/>
              </w:rPr>
            </w:pPr>
            <w:r>
              <w:rPr>
                <w:rFonts w:ascii="Arial" w:cs="Arial" w:eastAsia="Arial" w:hAnsi="Arial"/>
                <w:sz w:val="14"/>
                <w:szCs w:val="14"/>
                <w:color w:val="auto"/>
                <w:w w:val="94"/>
              </w:rPr>
              <w:t>20,246,200</w:t>
            </w:r>
          </w:p>
        </w:tc>
        <w:tc>
          <w:tcPr>
            <w:tcW w:w="0" w:type="dxa"/>
            <w:vAlign w:val="bottom"/>
          </w:tcPr>
          <w:p>
            <w:pPr>
              <w:spacing w:after="0"/>
              <w:rPr>
                <w:sz w:val="1"/>
                <w:szCs w:val="1"/>
                <w:color w:val="auto"/>
              </w:rPr>
            </w:pPr>
          </w:p>
        </w:tc>
      </w:tr>
      <w:tr>
        <w:trPr>
          <w:trHeight w:val="167"/>
        </w:trPr>
        <w:tc>
          <w:tcPr>
            <w:tcW w:w="3860" w:type="dxa"/>
            <w:vAlign w:val="bottom"/>
            <w:gridSpan w:val="2"/>
            <w:shd w:val="clear" w:color="auto" w:fill="CCEEFF"/>
          </w:tcPr>
          <w:p>
            <w:pPr>
              <w:ind w:left="160"/>
              <w:spacing w:after="0"/>
              <w:rPr>
                <w:sz w:val="20"/>
                <w:szCs w:val="20"/>
                <w:color w:val="auto"/>
              </w:rPr>
            </w:pPr>
            <w:r>
              <w:rPr>
                <w:rFonts w:ascii="Arial" w:cs="Arial" w:eastAsia="Arial" w:hAnsi="Arial"/>
                <w:sz w:val="14"/>
                <w:szCs w:val="14"/>
                <w:i w:val="1"/>
                <w:iCs w:val="1"/>
                <w:color w:val="auto"/>
              </w:rPr>
              <w:t>Chief Operating Officer</w:t>
            </w:r>
          </w:p>
        </w:tc>
        <w:tc>
          <w:tcPr>
            <w:tcW w:w="18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1200" cy="825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11200" cy="8255"/>
                    </a:xfrm>
                    <a:prstGeom prst="rect">
                      <a:avLst/>
                    </a:prstGeom>
                    <a:noFill/>
                  </pic:spPr>
                </pic:pic>
              </a:graphicData>
            </a:graphic>
          </wp:anchor>
        </w:drawing>
      </w:r>
    </w:p>
    <w:p>
      <w:pPr>
        <w:spacing w:after="0" w:line="159" w:lineRule="exact"/>
        <w:rPr>
          <w:sz w:val="20"/>
          <w:szCs w:val="20"/>
          <w:color w:val="auto"/>
        </w:rPr>
      </w:pPr>
    </w:p>
    <w:p>
      <w:pPr>
        <w:ind w:left="340" w:right="40" w:hanging="332"/>
        <w:spacing w:after="0" w:line="223" w:lineRule="auto"/>
        <w:tabs>
          <w:tab w:leader="none" w:pos="340" w:val="left"/>
        </w:tabs>
        <w:numPr>
          <w:ilvl w:val="0"/>
          <w:numId w:val="72"/>
        </w:numPr>
        <w:rPr>
          <w:rFonts w:ascii="Arial" w:cs="Arial" w:eastAsia="Arial" w:hAnsi="Arial"/>
          <w:sz w:val="28"/>
          <w:szCs w:val="28"/>
          <w:color w:val="auto"/>
          <w:vertAlign w:val="superscript"/>
        </w:rPr>
      </w:pPr>
      <w:r>
        <w:rPr>
          <w:rFonts w:ascii="Arial" w:cs="Arial" w:eastAsia="Arial" w:hAnsi="Arial"/>
          <w:sz w:val="16"/>
          <w:szCs w:val="16"/>
          <w:color w:val="auto"/>
        </w:rPr>
        <w:t>The amounts reported represent the aggregate grant-date fair value of RSUs calculated in accordance with ASC Topic 718. Such grant-date fair value does not take into account any estimated forfeitures related to service-vesting conditions. The assumptions used in calculating the grant-date fair value of the RSUs reported in this column are set forth in the section titled “Management’s Discussion and Analysis of Financial Condition and Results of Operations—Critical Accounting Policies and Judgments.”</w:t>
      </w:r>
    </w:p>
    <w:p>
      <w:pPr>
        <w:spacing w:after="0" w:line="1" w:lineRule="exact"/>
        <w:rPr>
          <w:rFonts w:ascii="Arial" w:cs="Arial" w:eastAsia="Arial" w:hAnsi="Arial"/>
          <w:sz w:val="28"/>
          <w:szCs w:val="28"/>
          <w:color w:val="auto"/>
          <w:vertAlign w:val="superscript"/>
        </w:rPr>
      </w:pPr>
    </w:p>
    <w:p>
      <w:pPr>
        <w:ind w:left="340" w:right="80" w:hanging="332"/>
        <w:spacing w:after="0" w:line="211" w:lineRule="auto"/>
        <w:tabs>
          <w:tab w:leader="none" w:pos="340" w:val="left"/>
        </w:tabs>
        <w:numPr>
          <w:ilvl w:val="0"/>
          <w:numId w:val="72"/>
        </w:numPr>
        <w:rPr>
          <w:rFonts w:ascii="Arial" w:cs="Arial" w:eastAsia="Arial" w:hAnsi="Arial"/>
          <w:sz w:val="25"/>
          <w:szCs w:val="25"/>
          <w:color w:val="auto"/>
          <w:vertAlign w:val="superscript"/>
        </w:rPr>
      </w:pPr>
      <w:r>
        <w:rPr>
          <w:rFonts w:ascii="Arial" w:cs="Arial" w:eastAsia="Arial" w:hAnsi="Arial"/>
          <w:sz w:val="15"/>
          <w:szCs w:val="15"/>
          <w:color w:val="auto"/>
        </w:rPr>
        <w:t>The amounts reported represent the estimated amounts payable in 2017 under our 2017 Cash Bonus Plan, as described in greater detail under “—Non-Equity Incentive Plan Compensation.” The determination of actual amounts paid for 2017 is not yet complete, and the amounts reported reflect the current estimates only.</w:t>
      </w:r>
    </w:p>
    <w:p>
      <w:pPr>
        <w:ind w:left="340" w:right="60" w:hanging="332"/>
        <w:spacing w:after="0" w:line="192" w:lineRule="auto"/>
        <w:tabs>
          <w:tab w:leader="none" w:pos="340" w:val="left"/>
        </w:tabs>
        <w:numPr>
          <w:ilvl w:val="0"/>
          <w:numId w:val="72"/>
        </w:numPr>
        <w:rPr>
          <w:rFonts w:ascii="Arial" w:cs="Arial" w:eastAsia="Arial" w:hAnsi="Arial"/>
          <w:sz w:val="28"/>
          <w:szCs w:val="28"/>
          <w:color w:val="auto"/>
          <w:vertAlign w:val="superscript"/>
        </w:rPr>
      </w:pPr>
      <w:r>
        <w:rPr>
          <w:rFonts w:ascii="Arial" w:cs="Arial" w:eastAsia="Arial" w:hAnsi="Arial"/>
          <w:sz w:val="16"/>
          <w:szCs w:val="16"/>
          <w:color w:val="auto"/>
        </w:rPr>
        <w:t>Mr. Clark joined us in September 2017 and therefore his salary and non-equity incentive plan compensation set forth in the table above were prorated for the portion of 2017 in which he was employed with us.</w:t>
      </w:r>
    </w:p>
    <w:p>
      <w:pPr>
        <w:ind w:left="340" w:right="200" w:hanging="332"/>
        <w:spacing w:after="0" w:line="192" w:lineRule="auto"/>
        <w:tabs>
          <w:tab w:leader="none" w:pos="340" w:val="left"/>
        </w:tabs>
        <w:numPr>
          <w:ilvl w:val="0"/>
          <w:numId w:val="72"/>
        </w:numPr>
        <w:rPr>
          <w:rFonts w:ascii="Arial" w:cs="Arial" w:eastAsia="Arial" w:hAnsi="Arial"/>
          <w:sz w:val="28"/>
          <w:szCs w:val="28"/>
          <w:color w:val="auto"/>
          <w:vertAlign w:val="superscript"/>
        </w:rPr>
      </w:pPr>
      <w:r>
        <w:rPr>
          <w:rFonts w:ascii="Arial" w:cs="Arial" w:eastAsia="Arial" w:hAnsi="Arial"/>
          <w:sz w:val="16"/>
          <w:szCs w:val="16"/>
          <w:color w:val="auto"/>
        </w:rPr>
        <w:t>Amount represents a one-time signing bonus paid in connection with Mr. Clark’s hiring in 2017. Mr. Clark must repay the bonus if, before the first anniversary of his employment start date, his employment ends voluntarily or involuntarily under certain specified circumstances.</w:t>
      </w:r>
    </w:p>
    <w:p>
      <w:pPr>
        <w:spacing w:after="0" w:line="3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Non-Equity Incentive Plan Compensation</w:t>
      </w:r>
    </w:p>
    <w:p>
      <w:pPr>
        <w:spacing w:after="0" w:line="121" w:lineRule="exact"/>
        <w:rPr>
          <w:sz w:val="20"/>
          <w:szCs w:val="20"/>
          <w:color w:val="auto"/>
        </w:rPr>
      </w:pPr>
    </w:p>
    <w:p>
      <w:pPr>
        <w:ind w:right="300" w:firstLine="449"/>
        <w:spacing w:after="0" w:line="277" w:lineRule="auto"/>
        <w:rPr>
          <w:sz w:val="20"/>
          <w:szCs w:val="20"/>
          <w:color w:val="auto"/>
        </w:rPr>
      </w:pPr>
      <w:r>
        <w:rPr>
          <w:rFonts w:ascii="Arial" w:cs="Arial" w:eastAsia="Arial" w:hAnsi="Arial"/>
          <w:sz w:val="18"/>
          <w:szCs w:val="18"/>
          <w:color w:val="auto"/>
        </w:rPr>
        <w:t>Each of our named executive officers is eligible to participate in our 2017 Cash Bonus Plan, or the 2017 Bonus Plan, under which he is eligible to receive cash bonus amounts based on our achievements of key company performance metrics.</w:t>
      </w:r>
    </w:p>
    <w:p>
      <w:pPr>
        <w:spacing w:after="0" w:line="170" w:lineRule="exact"/>
        <w:rPr>
          <w:sz w:val="20"/>
          <w:szCs w:val="20"/>
          <w:color w:val="auto"/>
        </w:rPr>
      </w:pPr>
    </w:p>
    <w:p>
      <w:pPr>
        <w:ind w:right="100" w:firstLine="449"/>
        <w:spacing w:after="0" w:line="259" w:lineRule="auto"/>
        <w:rPr>
          <w:sz w:val="20"/>
          <w:szCs w:val="20"/>
          <w:color w:val="auto"/>
        </w:rPr>
      </w:pPr>
      <w:r>
        <w:rPr>
          <w:rFonts w:ascii="Arial" w:cs="Arial" w:eastAsia="Arial" w:hAnsi="Arial"/>
          <w:sz w:val="18"/>
          <w:szCs w:val="18"/>
          <w:color w:val="auto"/>
        </w:rPr>
        <w:t>Under the 2017 Bonus Plan, a cash bonus pool under our 2017 Bonus Plan will be established if we achieve certain corporate financial performance measures based on revenue and free cash flow. Our Board of Directors retains the discretion to increase or decrease the cash bonus pool under the 2017 Bonus Plan based on our achievements of those corporate financial performance measures in 2017. In addition, the actual bonus amount payable under the 2017 Bonus Plan may be modified based on individual performance for 2017.</w:t>
      </w:r>
    </w:p>
    <w:p>
      <w:pPr>
        <w:spacing w:after="0" w:line="187" w:lineRule="exact"/>
        <w:rPr>
          <w:sz w:val="20"/>
          <w:szCs w:val="20"/>
          <w:color w:val="auto"/>
        </w:rPr>
      </w:pPr>
    </w:p>
    <w:p>
      <w:pPr>
        <w:ind w:right="500" w:firstLine="449"/>
        <w:spacing w:after="0" w:line="277" w:lineRule="auto"/>
        <w:rPr>
          <w:sz w:val="20"/>
          <w:szCs w:val="20"/>
          <w:color w:val="auto"/>
        </w:rPr>
      </w:pPr>
      <w:r>
        <w:rPr>
          <w:rFonts w:ascii="Arial" w:cs="Arial" w:eastAsia="Arial" w:hAnsi="Arial"/>
          <w:sz w:val="18"/>
          <w:szCs w:val="18"/>
          <w:color w:val="auto"/>
        </w:rPr>
        <w:t>Following the end of 2017, we expect our Board of Directors to review our achievements of our corporate financial performance measures and individual performance and determine the bonus amounts for each named</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113</w:t>
      </w:r>
    </w:p>
    <w:p>
      <w:pPr>
        <w:sectPr>
          <w:pgSz w:w="11900" w:h="16838" w:orient="portrait"/>
          <w:cols w:equalWidth="0" w:num="1">
            <w:col w:w="11240"/>
          </w:cols>
          <w:pgMar w:left="320" w:top="459" w:right="339" w:bottom="1440" w:gutter="0" w:footer="0" w:header="0"/>
        </w:sectPr>
      </w:pPr>
    </w:p>
    <w:bookmarkStart w:id="116" w:name="page117"/>
    <w:bookmarkEnd w:id="1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right="20"/>
        <w:spacing w:after="0" w:line="263" w:lineRule="auto"/>
        <w:rPr>
          <w:sz w:val="20"/>
          <w:szCs w:val="20"/>
          <w:color w:val="auto"/>
        </w:rPr>
      </w:pPr>
      <w:r>
        <w:rPr>
          <w:rFonts w:ascii="Arial" w:cs="Arial" w:eastAsia="Arial" w:hAnsi="Arial"/>
          <w:sz w:val="18"/>
          <w:szCs w:val="18"/>
          <w:color w:val="auto"/>
        </w:rPr>
        <w:t>executive officer based on his target bonus amount, which is described under “—Executive Employment Agreement.” Mr. Clark’s amount will be pro-rated based on the length of his service with us in 2017. The actual bonus amounts payable to our named executive officers under the 2017 Bonus Plan will be set forth in the “2017 Summary Compensation Table” above once determined.</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Outstanding Equity Awards at 2017 Year-End</w:t>
      </w:r>
    </w:p>
    <w:p>
      <w:pPr>
        <w:spacing w:after="0" w:line="121" w:lineRule="exact"/>
        <w:rPr>
          <w:sz w:val="20"/>
          <w:szCs w:val="20"/>
          <w:color w:val="auto"/>
        </w:rPr>
      </w:pPr>
    </w:p>
    <w:p>
      <w:pPr>
        <w:ind w:right="180" w:firstLine="449"/>
        <w:spacing w:after="0" w:line="263" w:lineRule="auto"/>
        <w:rPr>
          <w:sz w:val="20"/>
          <w:szCs w:val="20"/>
          <w:color w:val="auto"/>
        </w:rPr>
      </w:pPr>
      <w:r>
        <w:rPr>
          <w:rFonts w:ascii="Arial" w:cs="Arial" w:eastAsia="Arial" w:hAnsi="Arial"/>
          <w:sz w:val="18"/>
          <w:szCs w:val="18"/>
          <w:color w:val="auto"/>
        </w:rPr>
        <w:t>The following table sets forth estimated information regarding outstanding equity awards held by our named executive officers as of December 31, 2017. Fiscal 2017 is not complete, and the amounts reported in the table below represent estimates assuming each named executive officer continues in service and vests through the end of 2017.</w:t>
      </w:r>
    </w:p>
    <w:p>
      <w:pPr>
        <w:sectPr>
          <w:pgSz w:w="11900" w:h="16838" w:orient="portrait"/>
          <w:cols w:equalWidth="0" w:num="1">
            <w:col w:w="11220"/>
          </w:cols>
          <w:pgMar w:left="320" w:top="459" w:right="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ind w:left="920"/>
        <w:spacing w:after="0"/>
        <w:rPr>
          <w:sz w:val="20"/>
          <w:szCs w:val="20"/>
          <w:color w:val="auto"/>
        </w:rPr>
      </w:pPr>
      <w:r>
        <w:rPr>
          <w:rFonts w:ascii="Arial" w:cs="Arial" w:eastAsia="Arial" w:hAnsi="Arial"/>
          <w:sz w:val="14"/>
          <w:szCs w:val="14"/>
          <w:b w:val="1"/>
          <w:bCs w:val="1"/>
          <w:u w:val="single" w:color="auto"/>
          <w:color w:val="auto"/>
        </w:rPr>
        <w:t>Name</w:t>
      </w:r>
    </w:p>
    <w:p>
      <w:pPr>
        <w:spacing w:after="0" w:line="25" w:lineRule="exact"/>
        <w:rPr>
          <w:sz w:val="20"/>
          <w:szCs w:val="20"/>
          <w:color w:val="auto"/>
        </w:rPr>
      </w:pPr>
    </w:p>
    <w:p>
      <w:pPr>
        <w:ind w:left="920"/>
        <w:spacing w:after="0"/>
        <w:rPr>
          <w:sz w:val="20"/>
          <w:szCs w:val="20"/>
          <w:color w:val="auto"/>
        </w:rPr>
      </w:pPr>
      <w:r>
        <w:rPr>
          <w:rFonts w:ascii="Arial" w:cs="Arial" w:eastAsia="Arial" w:hAnsi="Arial"/>
          <w:sz w:val="16"/>
          <w:szCs w:val="16"/>
          <w:color w:val="auto"/>
        </w:rPr>
        <w:t>Andrew W. Houston</w:t>
      </w:r>
    </w:p>
    <w:p>
      <w:pPr>
        <w:spacing w:after="0" w:line="31" w:lineRule="exact"/>
        <w:rPr>
          <w:sz w:val="20"/>
          <w:szCs w:val="20"/>
          <w:color w:val="auto"/>
        </w:rPr>
      </w:pPr>
    </w:p>
    <w:p>
      <w:pPr>
        <w:ind w:left="920"/>
        <w:spacing w:after="0"/>
        <w:rPr>
          <w:sz w:val="20"/>
          <w:szCs w:val="20"/>
          <w:color w:val="auto"/>
        </w:rPr>
      </w:pPr>
      <w:r>
        <w:rPr>
          <w:rFonts w:ascii="Arial" w:cs="Arial" w:eastAsia="Arial" w:hAnsi="Arial"/>
          <w:sz w:val="18"/>
          <w:szCs w:val="18"/>
          <w:color w:val="auto"/>
        </w:rPr>
        <w:t>Quentin J. Clark</w:t>
      </w:r>
    </w:p>
    <w:p>
      <w:pPr>
        <w:spacing w:after="0" w:line="20" w:lineRule="exact"/>
        <w:rPr>
          <w:sz w:val="20"/>
          <w:szCs w:val="20"/>
          <w:color w:val="auto"/>
        </w:rPr>
      </w:pPr>
      <w:r>
        <w:rPr>
          <w:sz w:val="20"/>
          <w:szCs w:val="20"/>
          <w:color w:val="auto"/>
        </w:rPr>
        <w:br w:type="column"/>
      </w:r>
    </w:p>
    <w:p>
      <w:pPr>
        <w:spacing w:after="0" w:line="182"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71"/>
        </w:trPr>
        <w:tc>
          <w:tcPr>
            <w:tcW w:w="6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300" w:type="dxa"/>
            <w:vAlign w:val="bottom"/>
            <w:tcBorders>
              <w:bottom w:val="single" w:sz="8" w:color="auto"/>
            </w:tcBorders>
            <w:gridSpan w:val="3"/>
          </w:tcPr>
          <w:p>
            <w:pPr>
              <w:ind w:left="660"/>
              <w:spacing w:after="0"/>
              <w:rPr>
                <w:sz w:val="20"/>
                <w:szCs w:val="20"/>
                <w:color w:val="auto"/>
              </w:rPr>
            </w:pPr>
            <w:r>
              <w:rPr>
                <w:rFonts w:ascii="Arial" w:cs="Arial" w:eastAsia="Arial" w:hAnsi="Arial"/>
                <w:sz w:val="14"/>
                <w:szCs w:val="14"/>
                <w:b w:val="1"/>
                <w:bCs w:val="1"/>
                <w:color w:val="auto"/>
              </w:rPr>
              <w:t>Stock awards</w:t>
            </w:r>
            <w:r>
              <w:rPr>
                <w:rFonts w:ascii="Arial" w:cs="Arial" w:eastAsia="Arial" w:hAnsi="Arial"/>
                <w:sz w:val="12"/>
                <w:szCs w:val="12"/>
                <w:b w:val="1"/>
                <w:bCs w:val="1"/>
                <w:color w:val="auto"/>
              </w:rPr>
              <w:t>(1)</w:t>
            </w:r>
          </w:p>
        </w:tc>
        <w:tc>
          <w:tcPr>
            <w:tcW w:w="0" w:type="dxa"/>
            <w:vAlign w:val="bottom"/>
          </w:tcPr>
          <w:p>
            <w:pPr>
              <w:spacing w:after="0"/>
              <w:rPr>
                <w:sz w:val="1"/>
                <w:szCs w:val="1"/>
                <w:color w:val="auto"/>
              </w:rPr>
            </w:pPr>
          </w:p>
        </w:tc>
      </w:tr>
      <w:tr>
        <w:trPr>
          <w:trHeight w:val="119"/>
        </w:trPr>
        <w:tc>
          <w:tcPr>
            <w:tcW w:w="6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460" w:type="dxa"/>
            <w:vAlign w:val="bottom"/>
            <w:gridSpan w:val="2"/>
          </w:tcPr>
          <w:p>
            <w:pPr>
              <w:jc w:val="center"/>
              <w:ind w:right="640"/>
              <w:spacing w:after="0" w:line="119" w:lineRule="exact"/>
              <w:rPr>
                <w:sz w:val="20"/>
                <w:szCs w:val="20"/>
                <w:color w:val="auto"/>
              </w:rPr>
            </w:pPr>
            <w:r>
              <w:rPr>
                <w:rFonts w:ascii="Arial" w:cs="Arial" w:eastAsia="Arial" w:hAnsi="Arial"/>
                <w:sz w:val="13"/>
                <w:szCs w:val="13"/>
                <w:b w:val="1"/>
                <w:bCs w:val="1"/>
                <w:color w:val="auto"/>
              </w:rPr>
              <w:t>Number of</w:t>
            </w:r>
          </w:p>
        </w:tc>
        <w:tc>
          <w:tcPr>
            <w:tcW w:w="840" w:type="dxa"/>
            <w:vAlign w:val="bottom"/>
          </w:tcPr>
          <w:p>
            <w:pPr>
              <w:jc w:val="center"/>
              <w:spacing w:after="0" w:line="119" w:lineRule="exact"/>
              <w:rPr>
                <w:sz w:val="20"/>
                <w:szCs w:val="20"/>
                <w:color w:val="auto"/>
              </w:rPr>
            </w:pPr>
            <w:r>
              <w:rPr>
                <w:rFonts w:ascii="Arial" w:cs="Arial" w:eastAsia="Arial" w:hAnsi="Arial"/>
                <w:sz w:val="13"/>
                <w:szCs w:val="13"/>
                <w:b w:val="1"/>
                <w:bCs w:val="1"/>
                <w:color w:val="auto"/>
              </w:rPr>
              <w:t>Market value</w:t>
            </w:r>
          </w:p>
        </w:tc>
        <w:tc>
          <w:tcPr>
            <w:tcW w:w="0" w:type="dxa"/>
            <w:vAlign w:val="bottom"/>
          </w:tcPr>
          <w:p>
            <w:pPr>
              <w:spacing w:after="0"/>
              <w:rPr>
                <w:sz w:val="1"/>
                <w:szCs w:val="1"/>
                <w:color w:val="auto"/>
              </w:rPr>
            </w:pPr>
          </w:p>
        </w:tc>
      </w:tr>
      <w:tr>
        <w:trPr>
          <w:trHeight w:val="148"/>
        </w:trPr>
        <w:tc>
          <w:tcPr>
            <w:tcW w:w="6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460" w:type="dxa"/>
            <w:vAlign w:val="bottom"/>
            <w:gridSpan w:val="2"/>
          </w:tcPr>
          <w:p>
            <w:pPr>
              <w:jc w:val="center"/>
              <w:ind w:right="660"/>
              <w:spacing w:after="0" w:line="149" w:lineRule="exact"/>
              <w:rPr>
                <w:sz w:val="20"/>
                <w:szCs w:val="20"/>
                <w:color w:val="auto"/>
              </w:rPr>
            </w:pPr>
            <w:r>
              <w:rPr>
                <w:rFonts w:ascii="Arial" w:cs="Arial" w:eastAsia="Arial" w:hAnsi="Arial"/>
                <w:sz w:val="14"/>
                <w:szCs w:val="14"/>
                <w:b w:val="1"/>
                <w:bCs w:val="1"/>
                <w:color w:val="auto"/>
                <w:w w:val="88"/>
              </w:rPr>
              <w:t>shares or</w:t>
            </w:r>
          </w:p>
        </w:tc>
        <w:tc>
          <w:tcPr>
            <w:tcW w:w="8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of shares or</w:t>
            </w:r>
          </w:p>
        </w:tc>
        <w:tc>
          <w:tcPr>
            <w:tcW w:w="0" w:type="dxa"/>
            <w:vAlign w:val="bottom"/>
          </w:tcPr>
          <w:p>
            <w:pPr>
              <w:spacing w:after="0"/>
              <w:rPr>
                <w:sz w:val="1"/>
                <w:szCs w:val="1"/>
                <w:color w:val="auto"/>
              </w:rPr>
            </w:pPr>
          </w:p>
        </w:tc>
      </w:tr>
      <w:tr>
        <w:trPr>
          <w:trHeight w:val="148"/>
        </w:trPr>
        <w:tc>
          <w:tcPr>
            <w:tcW w:w="1360" w:type="dxa"/>
            <w:vAlign w:val="bottom"/>
            <w:gridSpan w:val="2"/>
            <w:vMerge w:val="restart"/>
          </w:tcPr>
          <w:p>
            <w:pPr>
              <w:ind w:left="120"/>
              <w:spacing w:after="0"/>
              <w:rPr>
                <w:sz w:val="20"/>
                <w:szCs w:val="20"/>
                <w:color w:val="auto"/>
              </w:rPr>
            </w:pPr>
            <w:r>
              <w:rPr>
                <w:rFonts w:ascii="Arial" w:cs="Arial" w:eastAsia="Arial" w:hAnsi="Arial"/>
                <w:sz w:val="14"/>
                <w:szCs w:val="14"/>
                <w:b w:val="1"/>
                <w:bCs w:val="1"/>
                <w:color w:val="auto"/>
              </w:rPr>
              <w:t>Grant</w:t>
            </w:r>
          </w:p>
        </w:tc>
        <w:tc>
          <w:tcPr>
            <w:tcW w:w="1460" w:type="dxa"/>
            <w:vAlign w:val="bottom"/>
            <w:gridSpan w:val="2"/>
          </w:tcPr>
          <w:p>
            <w:pPr>
              <w:jc w:val="center"/>
              <w:ind w:right="640"/>
              <w:spacing w:after="0" w:line="149" w:lineRule="exact"/>
              <w:rPr>
                <w:sz w:val="20"/>
                <w:szCs w:val="20"/>
                <w:color w:val="auto"/>
              </w:rPr>
            </w:pPr>
            <w:r>
              <w:rPr>
                <w:rFonts w:ascii="Arial" w:cs="Arial" w:eastAsia="Arial" w:hAnsi="Arial"/>
                <w:sz w:val="14"/>
                <w:szCs w:val="14"/>
                <w:b w:val="1"/>
                <w:bCs w:val="1"/>
                <w:color w:val="auto"/>
                <w:w w:val="90"/>
              </w:rPr>
              <w:t>units of stock</w:t>
            </w:r>
          </w:p>
        </w:tc>
        <w:tc>
          <w:tcPr>
            <w:tcW w:w="8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units of stock</w:t>
            </w:r>
          </w:p>
        </w:tc>
        <w:tc>
          <w:tcPr>
            <w:tcW w:w="0" w:type="dxa"/>
            <w:vAlign w:val="bottom"/>
          </w:tcPr>
          <w:p>
            <w:pPr>
              <w:spacing w:after="0"/>
              <w:rPr>
                <w:sz w:val="1"/>
                <w:szCs w:val="1"/>
                <w:color w:val="auto"/>
              </w:rPr>
            </w:pPr>
          </w:p>
        </w:tc>
      </w:tr>
      <w:tr>
        <w:trPr>
          <w:trHeight w:val="148"/>
        </w:trPr>
        <w:tc>
          <w:tcPr>
            <w:tcW w:w="1360" w:type="dxa"/>
            <w:vAlign w:val="bottom"/>
            <w:gridSpan w:val="2"/>
            <w:vMerge w:val="continue"/>
          </w:tcPr>
          <w:p>
            <w:pPr>
              <w:spacing w:after="0"/>
              <w:rPr>
                <w:sz w:val="12"/>
                <w:szCs w:val="12"/>
                <w:color w:val="auto"/>
              </w:rPr>
            </w:pPr>
          </w:p>
        </w:tc>
        <w:tc>
          <w:tcPr>
            <w:tcW w:w="1460" w:type="dxa"/>
            <w:vAlign w:val="bottom"/>
            <w:gridSpan w:val="2"/>
          </w:tcPr>
          <w:p>
            <w:pPr>
              <w:jc w:val="center"/>
              <w:ind w:right="660"/>
              <w:spacing w:after="0" w:line="149" w:lineRule="exact"/>
              <w:rPr>
                <w:sz w:val="20"/>
                <w:szCs w:val="20"/>
                <w:color w:val="auto"/>
              </w:rPr>
            </w:pPr>
            <w:r>
              <w:rPr>
                <w:rFonts w:ascii="Arial" w:cs="Arial" w:eastAsia="Arial" w:hAnsi="Arial"/>
                <w:sz w:val="14"/>
                <w:szCs w:val="14"/>
                <w:b w:val="1"/>
                <w:bCs w:val="1"/>
                <w:color w:val="auto"/>
                <w:w w:val="91"/>
              </w:rPr>
              <w:t>that have not</w:t>
            </w:r>
          </w:p>
        </w:tc>
        <w:tc>
          <w:tcPr>
            <w:tcW w:w="8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1"/>
              </w:rPr>
              <w:t>that have not</w:t>
            </w:r>
          </w:p>
        </w:tc>
        <w:tc>
          <w:tcPr>
            <w:tcW w:w="0" w:type="dxa"/>
            <w:vAlign w:val="bottom"/>
          </w:tcPr>
          <w:p>
            <w:pPr>
              <w:spacing w:after="0"/>
              <w:rPr>
                <w:sz w:val="1"/>
                <w:szCs w:val="1"/>
                <w:color w:val="auto"/>
              </w:rPr>
            </w:pPr>
          </w:p>
        </w:tc>
      </w:tr>
      <w:tr>
        <w:trPr>
          <w:trHeight w:val="171"/>
        </w:trPr>
        <w:tc>
          <w:tcPr>
            <w:tcW w:w="1360" w:type="dxa"/>
            <w:vAlign w:val="bottom"/>
            <w:gridSpan w:val="2"/>
          </w:tcPr>
          <w:p>
            <w:pPr>
              <w:ind w:left="100"/>
              <w:spacing w:after="0"/>
              <w:rPr>
                <w:sz w:val="20"/>
                <w:szCs w:val="20"/>
                <w:color w:val="auto"/>
              </w:rPr>
            </w:pPr>
            <w:r>
              <w:rPr>
                <w:rFonts w:ascii="Arial" w:cs="Arial" w:eastAsia="Arial" w:hAnsi="Arial"/>
                <w:sz w:val="14"/>
                <w:szCs w:val="14"/>
                <w:b w:val="1"/>
                <w:bCs w:val="1"/>
                <w:color w:val="auto"/>
              </w:rPr>
              <w:t>date</w:t>
            </w:r>
            <w:r>
              <w:rPr>
                <w:rFonts w:ascii="Arial" w:cs="Arial" w:eastAsia="Arial" w:hAnsi="Arial"/>
                <w:sz w:val="12"/>
                <w:szCs w:val="12"/>
                <w:b w:val="1"/>
                <w:bCs w:val="1"/>
                <w:color w:val="auto"/>
              </w:rPr>
              <w:t>(2)</w:t>
            </w:r>
          </w:p>
        </w:tc>
        <w:tc>
          <w:tcPr>
            <w:tcW w:w="1460" w:type="dxa"/>
            <w:vAlign w:val="bottom"/>
            <w:gridSpan w:val="2"/>
          </w:tcPr>
          <w:p>
            <w:pPr>
              <w:jc w:val="center"/>
              <w:ind w:right="640"/>
              <w:spacing w:after="0"/>
              <w:rPr>
                <w:sz w:val="20"/>
                <w:szCs w:val="20"/>
                <w:color w:val="auto"/>
              </w:rPr>
            </w:pPr>
            <w:r>
              <w:rPr>
                <w:rFonts w:ascii="Arial" w:cs="Arial" w:eastAsia="Arial" w:hAnsi="Arial"/>
                <w:sz w:val="14"/>
                <w:szCs w:val="14"/>
                <w:b w:val="1"/>
                <w:bCs w:val="1"/>
                <w:color w:val="auto"/>
                <w:w w:val="85"/>
              </w:rPr>
              <w:t>vested</w:t>
            </w:r>
          </w:p>
        </w:tc>
        <w:tc>
          <w:tcPr>
            <w:tcW w:w="840" w:type="dxa"/>
            <w:vAlign w:val="bottom"/>
          </w:tcPr>
          <w:p>
            <w:pPr>
              <w:jc w:val="center"/>
              <w:spacing w:after="0"/>
              <w:rPr>
                <w:sz w:val="20"/>
                <w:szCs w:val="20"/>
                <w:color w:val="auto"/>
              </w:rPr>
            </w:pPr>
            <w:r>
              <w:rPr>
                <w:rFonts w:ascii="Arial" w:cs="Arial" w:eastAsia="Arial" w:hAnsi="Arial"/>
                <w:sz w:val="14"/>
                <w:szCs w:val="14"/>
                <w:b w:val="1"/>
                <w:bCs w:val="1"/>
                <w:color w:val="auto"/>
                <w:w w:val="89"/>
              </w:rPr>
              <w:t xml:space="preserve">vested </w:t>
            </w:r>
            <w:r>
              <w:rPr>
                <w:rFonts w:ascii="Arial" w:cs="Arial" w:eastAsia="Arial" w:hAnsi="Arial"/>
                <w:sz w:val="14"/>
                <w:szCs w:val="14"/>
                <w:b w:val="1"/>
                <w:bCs w:val="1"/>
                <w:u w:val="single" w:color="auto"/>
                <w:color w:val="auto"/>
                <w:w w:val="89"/>
              </w:rPr>
              <w:t>($</w:t>
            </w:r>
            <w:r>
              <w:rPr>
                <w:rFonts w:ascii="Arial" w:cs="Arial" w:eastAsia="Arial" w:hAnsi="Arial"/>
                <w:sz w:val="14"/>
                <w:szCs w:val="14"/>
                <w:b w:val="1"/>
                <w:bCs w:val="1"/>
                <w:color w:val="auto"/>
                <w:w w:val="89"/>
              </w:rPr>
              <w:t>)</w:t>
            </w:r>
            <w:r>
              <w:rPr>
                <w:rFonts w:ascii="Arial" w:cs="Arial" w:eastAsia="Arial" w:hAnsi="Arial"/>
                <w:sz w:val="12"/>
                <w:szCs w:val="12"/>
                <w:b w:val="1"/>
                <w:bCs w:val="1"/>
                <w:color w:val="auto"/>
                <w:w w:val="89"/>
              </w:rPr>
              <w:t>(3)</w:t>
            </w:r>
          </w:p>
        </w:tc>
        <w:tc>
          <w:tcPr>
            <w:tcW w:w="0" w:type="dxa"/>
            <w:vAlign w:val="bottom"/>
          </w:tcPr>
          <w:p>
            <w:pPr>
              <w:spacing w:after="0"/>
              <w:rPr>
                <w:sz w:val="1"/>
                <w:szCs w:val="1"/>
                <w:color w:val="auto"/>
              </w:rPr>
            </w:pPr>
          </w:p>
        </w:tc>
      </w:tr>
      <w:tr>
        <w:trPr>
          <w:trHeight w:val="195"/>
        </w:trPr>
        <w:tc>
          <w:tcPr>
            <w:tcW w:w="620" w:type="dxa"/>
            <w:vAlign w:val="bottom"/>
            <w:tcBorders>
              <w:top w:val="single" w:sz="8" w:color="auto"/>
            </w:tcBorders>
          </w:tcPr>
          <w:p>
            <w:pPr>
              <w:ind w:left="340"/>
              <w:spacing w:after="0" w:line="195" w:lineRule="exact"/>
              <w:rPr>
                <w:sz w:val="20"/>
                <w:szCs w:val="20"/>
                <w:color w:val="auto"/>
              </w:rPr>
            </w:pPr>
            <w:r>
              <w:rPr>
                <w:rFonts w:ascii="Arial" w:cs="Arial" w:eastAsia="Arial" w:hAnsi="Arial"/>
                <w:sz w:val="18"/>
                <w:szCs w:val="18"/>
                <w:color w:val="auto"/>
              </w:rPr>
              <w:t>—</w:t>
            </w:r>
          </w:p>
        </w:tc>
        <w:tc>
          <w:tcPr>
            <w:tcW w:w="740" w:type="dxa"/>
            <w:vAlign w:val="bottom"/>
          </w:tcPr>
          <w:p>
            <w:pPr>
              <w:spacing w:after="0"/>
              <w:rPr>
                <w:sz w:val="16"/>
                <w:szCs w:val="16"/>
                <w:color w:val="auto"/>
              </w:rPr>
            </w:pPr>
          </w:p>
        </w:tc>
        <w:tc>
          <w:tcPr>
            <w:tcW w:w="820" w:type="dxa"/>
            <w:vAlign w:val="bottom"/>
            <w:tcBorders>
              <w:top w:val="single" w:sz="8" w:color="auto"/>
            </w:tcBorders>
          </w:tcPr>
          <w:p>
            <w:pPr>
              <w:jc w:val="right"/>
              <w:ind w:right="24"/>
              <w:spacing w:after="0" w:line="195" w:lineRule="exact"/>
              <w:rPr>
                <w:sz w:val="20"/>
                <w:szCs w:val="20"/>
                <w:color w:val="auto"/>
              </w:rPr>
            </w:pPr>
            <w:r>
              <w:rPr>
                <w:rFonts w:ascii="Arial" w:cs="Arial" w:eastAsia="Arial" w:hAnsi="Arial"/>
                <w:sz w:val="18"/>
                <w:szCs w:val="18"/>
                <w:color w:val="auto"/>
              </w:rPr>
              <w:t>—</w:t>
            </w:r>
          </w:p>
        </w:tc>
        <w:tc>
          <w:tcPr>
            <w:tcW w:w="640" w:type="dxa"/>
            <w:vAlign w:val="bottom"/>
          </w:tcPr>
          <w:p>
            <w:pPr>
              <w:spacing w:after="0"/>
              <w:rPr>
                <w:sz w:val="16"/>
                <w:szCs w:val="16"/>
                <w:color w:val="auto"/>
              </w:rPr>
            </w:pPr>
          </w:p>
        </w:tc>
        <w:tc>
          <w:tcPr>
            <w:tcW w:w="840" w:type="dxa"/>
            <w:vAlign w:val="bottom"/>
            <w:tcBorders>
              <w:top w:val="single" w:sz="8" w:color="auto"/>
            </w:tcBorders>
          </w:tcPr>
          <w:p>
            <w:pPr>
              <w:ind w:left="580"/>
              <w:spacing w:after="0" w:line="195"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8"/>
        </w:trPr>
        <w:tc>
          <w:tcPr>
            <w:tcW w:w="1360" w:type="dxa"/>
            <w:vAlign w:val="bottom"/>
            <w:gridSpan w:val="2"/>
          </w:tcPr>
          <w:p>
            <w:pPr>
              <w:jc w:val="right"/>
              <w:ind w:right="580"/>
              <w:spacing w:after="0"/>
              <w:rPr>
                <w:sz w:val="20"/>
                <w:szCs w:val="20"/>
                <w:color w:val="auto"/>
              </w:rPr>
            </w:pPr>
            <w:r>
              <w:rPr>
                <w:rFonts w:ascii="Arial" w:cs="Arial" w:eastAsia="Arial" w:hAnsi="Arial"/>
                <w:sz w:val="18"/>
                <w:szCs w:val="18"/>
                <w:color w:val="auto"/>
              </w:rPr>
              <w:t>9/8/17</w:t>
            </w:r>
            <w:r>
              <w:rPr>
                <w:rFonts w:ascii="Arial" w:cs="Arial" w:eastAsia="Arial" w:hAnsi="Arial"/>
                <w:sz w:val="15"/>
                <w:szCs w:val="15"/>
                <w:color w:val="auto"/>
              </w:rPr>
              <w:t>(4)</w:t>
            </w:r>
          </w:p>
        </w:tc>
        <w:tc>
          <w:tcPr>
            <w:tcW w:w="1460" w:type="dxa"/>
            <w:vAlign w:val="bottom"/>
            <w:gridSpan w:val="2"/>
          </w:tcPr>
          <w:p>
            <w:pPr>
              <w:jc w:val="right"/>
              <w:ind w:right="640"/>
              <w:spacing w:after="0"/>
              <w:rPr>
                <w:sz w:val="20"/>
                <w:szCs w:val="20"/>
                <w:color w:val="auto"/>
              </w:rPr>
            </w:pPr>
            <w:r>
              <w:rPr>
                <w:rFonts w:ascii="Arial" w:cs="Arial" w:eastAsia="Arial" w:hAnsi="Arial"/>
                <w:sz w:val="18"/>
                <w:szCs w:val="18"/>
                <w:color w:val="auto"/>
                <w:w w:val="99"/>
              </w:rPr>
              <w:t>3,000,000</w:t>
            </w:r>
          </w:p>
        </w:tc>
        <w:tc>
          <w:tcPr>
            <w:tcW w:w="84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-3623945</wp:posOffset>
            </wp:positionH>
            <wp:positionV relativeFrom="paragraph">
              <wp:posOffset>-280670</wp:posOffset>
            </wp:positionV>
            <wp:extent cx="5983605" cy="14541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5983605" cy="145415"/>
                    </a:xfrm>
                    <a:prstGeom prst="rect">
                      <a:avLst/>
                    </a:prstGeom>
                    <a:noFill/>
                  </pic:spPr>
                </pic:pic>
              </a:graphicData>
            </a:graphic>
          </wp:anchor>
        </w:drawing>
      </w:r>
    </w:p>
    <w:p>
      <w:pPr>
        <w:spacing w:after="0" w:line="1" w:lineRule="exact"/>
        <w:rPr>
          <w:sz w:val="20"/>
          <w:szCs w:val="20"/>
          <w:color w:val="auto"/>
        </w:rPr>
      </w:pPr>
    </w:p>
    <w:p>
      <w:pPr>
        <w:sectPr>
          <w:pgSz w:w="11900" w:h="16838" w:orient="portrait"/>
          <w:cols w:equalWidth="0" w:num="2">
            <w:col w:w="5900" w:space="720"/>
            <w:col w:w="4600"/>
          </w:cols>
          <w:pgMar w:left="320" w:top="459" w:right="359" w:bottom="1440" w:gutter="0" w:footer="0" w:header="0"/>
          <w:type w:val="continuous"/>
        </w:sectPr>
      </w:pPr>
    </w:p>
    <w:tbl>
      <w:tblPr>
        <w:tblLayout w:type="fixed"/>
        <w:tblInd w:w="920" w:type="dxa"/>
        <w:tblCellMar>
          <w:top w:w="0" w:type="dxa"/>
          <w:left w:w="0" w:type="dxa"/>
          <w:bottom w:w="0" w:type="dxa"/>
          <w:right w:w="0" w:type="dxa"/>
        </w:tblCellMar>
      </w:tblPr>
      <w:tr>
        <w:trPr>
          <w:trHeight w:val="204"/>
        </w:trPr>
        <w:tc>
          <w:tcPr>
            <w:tcW w:w="5100" w:type="dxa"/>
            <w:vAlign w:val="bottom"/>
            <w:shd w:val="clear" w:color="auto" w:fill="CCEEFF"/>
          </w:tcPr>
          <w:p>
            <w:pPr>
              <w:spacing w:after="0" w:line="204" w:lineRule="exact"/>
              <w:rPr>
                <w:sz w:val="20"/>
                <w:szCs w:val="20"/>
                <w:color w:val="auto"/>
              </w:rPr>
            </w:pPr>
            <w:r>
              <w:rPr>
                <w:rFonts w:ascii="Arial" w:cs="Arial" w:eastAsia="Arial" w:hAnsi="Arial"/>
                <w:sz w:val="18"/>
                <w:szCs w:val="18"/>
                <w:color w:val="auto"/>
              </w:rPr>
              <w:t>Dennis M. Woodside</w:t>
            </w:r>
          </w:p>
        </w:tc>
        <w:tc>
          <w:tcPr>
            <w:tcW w:w="1720" w:type="dxa"/>
            <w:vAlign w:val="bottom"/>
            <w:gridSpan w:val="2"/>
            <w:shd w:val="clear" w:color="auto" w:fill="CCEEFF"/>
          </w:tcPr>
          <w:p>
            <w:pPr>
              <w:jc w:val="right"/>
              <w:ind w:right="264"/>
              <w:spacing w:after="0" w:line="204" w:lineRule="exact"/>
              <w:rPr>
                <w:sz w:val="20"/>
                <w:szCs w:val="20"/>
                <w:color w:val="auto"/>
              </w:rPr>
            </w:pPr>
            <w:r>
              <w:rPr>
                <w:rFonts w:ascii="Arial" w:cs="Arial" w:eastAsia="Arial" w:hAnsi="Arial"/>
                <w:sz w:val="18"/>
                <w:szCs w:val="18"/>
                <w:color w:val="auto"/>
              </w:rPr>
              <w:t>4/4/14</w:t>
            </w:r>
            <w:r>
              <w:rPr>
                <w:rFonts w:ascii="Arial" w:cs="Arial" w:eastAsia="Arial" w:hAnsi="Arial"/>
                <w:sz w:val="15"/>
                <w:szCs w:val="15"/>
                <w:color w:val="auto"/>
              </w:rPr>
              <w:t>(5)</w:t>
            </w:r>
          </w:p>
        </w:tc>
        <w:tc>
          <w:tcPr>
            <w:tcW w:w="2600" w:type="dxa"/>
            <w:vAlign w:val="bottom"/>
            <w:shd w:val="clear" w:color="auto" w:fill="CCEEFF"/>
          </w:tcPr>
          <w:p>
            <w:pPr>
              <w:jc w:val="right"/>
              <w:ind w:right="1450"/>
              <w:spacing w:after="0" w:line="204" w:lineRule="exact"/>
              <w:rPr>
                <w:sz w:val="20"/>
                <w:szCs w:val="20"/>
                <w:color w:val="auto"/>
              </w:rPr>
            </w:pPr>
            <w:r>
              <w:rPr>
                <w:rFonts w:ascii="Arial" w:cs="Arial" w:eastAsia="Arial" w:hAnsi="Arial"/>
                <w:sz w:val="18"/>
                <w:szCs w:val="18"/>
                <w:color w:val="auto"/>
              </w:rPr>
              <w:t>88,500</w:t>
            </w:r>
          </w:p>
        </w:tc>
      </w:tr>
      <w:tr>
        <w:trPr>
          <w:trHeight w:val="216"/>
        </w:trPr>
        <w:tc>
          <w:tcPr>
            <w:tcW w:w="5100" w:type="dxa"/>
            <w:vAlign w:val="bottom"/>
            <w:shd w:val="clear" w:color="auto" w:fill="CCEEFF"/>
          </w:tcPr>
          <w:p>
            <w:pPr>
              <w:spacing w:after="0"/>
              <w:rPr>
                <w:sz w:val="18"/>
                <w:szCs w:val="18"/>
                <w:color w:val="auto"/>
              </w:rPr>
            </w:pPr>
          </w:p>
        </w:tc>
        <w:tc>
          <w:tcPr>
            <w:tcW w:w="1720" w:type="dxa"/>
            <w:vAlign w:val="bottom"/>
            <w:gridSpan w:val="2"/>
            <w:shd w:val="clear" w:color="auto" w:fill="CCEEFF"/>
          </w:tcPr>
          <w:p>
            <w:pPr>
              <w:jc w:val="right"/>
              <w:ind w:right="264"/>
              <w:spacing w:after="0"/>
              <w:rPr>
                <w:sz w:val="20"/>
                <w:szCs w:val="20"/>
                <w:color w:val="auto"/>
              </w:rPr>
            </w:pPr>
            <w:r>
              <w:rPr>
                <w:rFonts w:ascii="Arial" w:cs="Arial" w:eastAsia="Arial" w:hAnsi="Arial"/>
                <w:sz w:val="18"/>
                <w:szCs w:val="18"/>
                <w:color w:val="auto"/>
              </w:rPr>
              <w:t>5/6/14</w:t>
            </w:r>
            <w:r>
              <w:rPr>
                <w:rFonts w:ascii="Arial" w:cs="Arial" w:eastAsia="Arial" w:hAnsi="Arial"/>
                <w:sz w:val="15"/>
                <w:szCs w:val="15"/>
                <w:color w:val="auto"/>
              </w:rPr>
              <w:t>(5)</w:t>
            </w:r>
          </w:p>
        </w:tc>
        <w:tc>
          <w:tcPr>
            <w:tcW w:w="2600" w:type="dxa"/>
            <w:vAlign w:val="bottom"/>
            <w:shd w:val="clear" w:color="auto" w:fill="CCEEFF"/>
          </w:tcPr>
          <w:p>
            <w:pPr>
              <w:jc w:val="right"/>
              <w:ind w:right="1450"/>
              <w:spacing w:after="0"/>
              <w:rPr>
                <w:sz w:val="20"/>
                <w:szCs w:val="20"/>
                <w:color w:val="auto"/>
              </w:rPr>
            </w:pPr>
            <w:r>
              <w:rPr>
                <w:rFonts w:ascii="Arial" w:cs="Arial" w:eastAsia="Arial" w:hAnsi="Arial"/>
                <w:sz w:val="18"/>
                <w:szCs w:val="18"/>
                <w:color w:val="auto"/>
              </w:rPr>
              <w:t>241</w:t>
            </w:r>
          </w:p>
        </w:tc>
      </w:tr>
      <w:tr>
        <w:trPr>
          <w:trHeight w:val="216"/>
        </w:trPr>
        <w:tc>
          <w:tcPr>
            <w:tcW w:w="5100" w:type="dxa"/>
            <w:vAlign w:val="bottom"/>
            <w:shd w:val="clear" w:color="auto" w:fill="CCEEFF"/>
          </w:tcPr>
          <w:p>
            <w:pPr>
              <w:spacing w:after="0"/>
              <w:rPr>
                <w:sz w:val="18"/>
                <w:szCs w:val="18"/>
                <w:color w:val="auto"/>
              </w:rPr>
            </w:pPr>
          </w:p>
        </w:tc>
        <w:tc>
          <w:tcPr>
            <w:tcW w:w="1720" w:type="dxa"/>
            <w:vAlign w:val="bottom"/>
            <w:gridSpan w:val="2"/>
            <w:shd w:val="clear" w:color="auto" w:fill="CCEEFF"/>
          </w:tcPr>
          <w:p>
            <w:pPr>
              <w:jc w:val="right"/>
              <w:ind w:right="264"/>
              <w:spacing w:after="0"/>
              <w:rPr>
                <w:sz w:val="20"/>
                <w:szCs w:val="20"/>
                <w:color w:val="auto"/>
              </w:rPr>
            </w:pPr>
            <w:r>
              <w:rPr>
                <w:rFonts w:ascii="Arial" w:cs="Arial" w:eastAsia="Arial" w:hAnsi="Arial"/>
                <w:sz w:val="18"/>
                <w:szCs w:val="18"/>
                <w:color w:val="auto"/>
              </w:rPr>
              <w:t>7/29/14</w:t>
            </w:r>
            <w:r>
              <w:rPr>
                <w:rFonts w:ascii="Arial" w:cs="Arial" w:eastAsia="Arial" w:hAnsi="Arial"/>
                <w:sz w:val="15"/>
                <w:szCs w:val="15"/>
                <w:color w:val="auto"/>
              </w:rPr>
              <w:t>(5)</w:t>
            </w:r>
          </w:p>
        </w:tc>
        <w:tc>
          <w:tcPr>
            <w:tcW w:w="2600" w:type="dxa"/>
            <w:vAlign w:val="bottom"/>
            <w:shd w:val="clear" w:color="auto" w:fill="CCEEFF"/>
          </w:tcPr>
          <w:p>
            <w:pPr>
              <w:jc w:val="right"/>
              <w:ind w:right="1450"/>
              <w:spacing w:after="0"/>
              <w:rPr>
                <w:sz w:val="20"/>
                <w:szCs w:val="20"/>
                <w:color w:val="auto"/>
              </w:rPr>
            </w:pPr>
            <w:r>
              <w:rPr>
                <w:rFonts w:ascii="Arial" w:cs="Arial" w:eastAsia="Arial" w:hAnsi="Arial"/>
                <w:sz w:val="18"/>
                <w:szCs w:val="18"/>
                <w:color w:val="auto"/>
              </w:rPr>
              <w:t>2,083</w:t>
            </w:r>
          </w:p>
        </w:tc>
      </w:tr>
      <w:tr>
        <w:trPr>
          <w:trHeight w:val="216"/>
        </w:trPr>
        <w:tc>
          <w:tcPr>
            <w:tcW w:w="510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3/30/16</w:t>
            </w:r>
          </w:p>
        </w:tc>
        <w:tc>
          <w:tcPr>
            <w:tcW w:w="500" w:type="dxa"/>
            <w:vAlign w:val="bottom"/>
            <w:shd w:val="clear" w:color="auto" w:fill="CCEEFF"/>
          </w:tcPr>
          <w:p>
            <w:pPr>
              <w:jc w:val="right"/>
              <w:ind w:right="264"/>
              <w:spacing w:after="0"/>
              <w:rPr>
                <w:sz w:val="20"/>
                <w:szCs w:val="20"/>
                <w:color w:val="auto"/>
              </w:rPr>
            </w:pPr>
            <w:r>
              <w:rPr>
                <w:rFonts w:ascii="Arial" w:cs="Arial" w:eastAsia="Arial" w:hAnsi="Arial"/>
                <w:sz w:val="15"/>
                <w:szCs w:val="15"/>
                <w:color w:val="auto"/>
                <w:w w:val="76"/>
              </w:rPr>
              <w:t>(6)</w:t>
            </w:r>
          </w:p>
        </w:tc>
        <w:tc>
          <w:tcPr>
            <w:tcW w:w="2600" w:type="dxa"/>
            <w:vAlign w:val="bottom"/>
            <w:shd w:val="clear" w:color="auto" w:fill="CCEEFF"/>
          </w:tcPr>
          <w:p>
            <w:pPr>
              <w:jc w:val="right"/>
              <w:ind w:right="1450"/>
              <w:spacing w:after="0"/>
              <w:rPr>
                <w:sz w:val="20"/>
                <w:szCs w:val="20"/>
                <w:color w:val="auto"/>
              </w:rPr>
            </w:pPr>
            <w:r>
              <w:rPr>
                <w:rFonts w:ascii="Arial" w:cs="Arial" w:eastAsia="Arial" w:hAnsi="Arial"/>
                <w:sz w:val="18"/>
                <w:szCs w:val="18"/>
                <w:color w:val="auto"/>
              </w:rPr>
              <w:t>408,582</w:t>
            </w:r>
          </w:p>
        </w:tc>
      </w:tr>
      <w:tr>
        <w:trPr>
          <w:trHeight w:val="230"/>
        </w:trPr>
        <w:tc>
          <w:tcPr>
            <w:tcW w:w="5100" w:type="dxa"/>
            <w:vAlign w:val="bottom"/>
            <w:shd w:val="clear" w:color="auto" w:fill="CCEEFF"/>
          </w:tcPr>
          <w:p>
            <w:pPr>
              <w:spacing w:after="0"/>
              <w:rPr>
                <w:sz w:val="20"/>
                <w:szCs w:val="20"/>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5/4/17</w:t>
            </w:r>
          </w:p>
        </w:tc>
        <w:tc>
          <w:tcPr>
            <w:tcW w:w="500" w:type="dxa"/>
            <w:vAlign w:val="bottom"/>
            <w:shd w:val="clear" w:color="auto" w:fill="CCEEFF"/>
          </w:tcPr>
          <w:p>
            <w:pPr>
              <w:jc w:val="right"/>
              <w:ind w:right="264"/>
              <w:spacing w:after="0"/>
              <w:rPr>
                <w:sz w:val="20"/>
                <w:szCs w:val="20"/>
                <w:color w:val="auto"/>
              </w:rPr>
            </w:pPr>
            <w:r>
              <w:rPr>
                <w:rFonts w:ascii="Arial" w:cs="Arial" w:eastAsia="Arial" w:hAnsi="Arial"/>
                <w:sz w:val="15"/>
                <w:szCs w:val="15"/>
                <w:color w:val="auto"/>
                <w:w w:val="76"/>
              </w:rPr>
              <w:t>(7)</w:t>
            </w:r>
          </w:p>
        </w:tc>
        <w:tc>
          <w:tcPr>
            <w:tcW w:w="2600" w:type="dxa"/>
            <w:vAlign w:val="bottom"/>
            <w:shd w:val="clear" w:color="auto" w:fill="CCEEFF"/>
          </w:tcPr>
          <w:p>
            <w:pPr>
              <w:jc w:val="right"/>
              <w:ind w:right="1450"/>
              <w:spacing w:after="0"/>
              <w:rPr>
                <w:sz w:val="20"/>
                <w:szCs w:val="20"/>
                <w:color w:val="auto"/>
              </w:rPr>
            </w:pPr>
            <w:r>
              <w:rPr>
                <w:rFonts w:ascii="Arial" w:cs="Arial" w:eastAsia="Arial" w:hAnsi="Arial"/>
                <w:sz w:val="18"/>
                <w:szCs w:val="18"/>
                <w:color w:val="auto"/>
              </w:rPr>
              <w:t>1,950,000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1200" cy="825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11200" cy="8255"/>
                    </a:xfrm>
                    <a:prstGeom prst="rect">
                      <a:avLst/>
                    </a:prstGeom>
                    <a:noFill/>
                  </pic:spPr>
                </pic:pic>
              </a:graphicData>
            </a:graphic>
          </wp:anchor>
        </w:drawing>
      </w:r>
    </w:p>
    <w:p>
      <w:pPr>
        <w:spacing w:after="0" w:line="159" w:lineRule="exact"/>
        <w:rPr>
          <w:sz w:val="20"/>
          <w:szCs w:val="20"/>
          <w:color w:val="auto"/>
        </w:rPr>
      </w:pPr>
    </w:p>
    <w:p>
      <w:pPr>
        <w:ind w:left="340" w:hanging="332"/>
        <w:spacing w:after="0" w:line="230" w:lineRule="auto"/>
        <w:tabs>
          <w:tab w:leader="none" w:pos="340" w:val="left"/>
        </w:tabs>
        <w:numPr>
          <w:ilvl w:val="0"/>
          <w:numId w:val="73"/>
        </w:numPr>
        <w:rPr>
          <w:rFonts w:ascii="Arial" w:cs="Arial" w:eastAsia="Arial" w:hAnsi="Arial"/>
          <w:sz w:val="28"/>
          <w:szCs w:val="28"/>
          <w:color w:val="auto"/>
          <w:vertAlign w:val="superscript"/>
        </w:rPr>
      </w:pPr>
      <w:r>
        <w:rPr>
          <w:rFonts w:ascii="Arial" w:cs="Arial" w:eastAsia="Arial" w:hAnsi="Arial"/>
          <w:sz w:val="16"/>
          <w:szCs w:val="16"/>
          <w:color w:val="auto"/>
        </w:rPr>
        <w:t>As further described in the footnotes below, the RSUs granted prior to August 1, 2015, which we refer to as two-tier RSUs, will generally vest upon the satisfaction of a service-based vesting condition and the occurrence of the Performance Vesting Condition. The Performance Vesting Condition occurs on the earlier of (i) an acquisition or change in control of the Company or (ii) the earlier of (a) six months after our initial public offering or (b) March 15 of the year following our initial public offering. Our Board of Directors intends to accelerate the Performance Vesting Condition such that it will occur upon the effectiveness of our registration statement related to this offering.</w:t>
      </w:r>
    </w:p>
    <w:p>
      <w:pPr>
        <w:spacing w:after="0" w:line="2" w:lineRule="exact"/>
        <w:rPr>
          <w:rFonts w:ascii="Arial" w:cs="Arial" w:eastAsia="Arial" w:hAnsi="Arial"/>
          <w:sz w:val="28"/>
          <w:szCs w:val="28"/>
          <w:color w:val="auto"/>
          <w:vertAlign w:val="superscript"/>
        </w:rPr>
      </w:pPr>
    </w:p>
    <w:p>
      <w:pPr>
        <w:ind w:left="340" w:hanging="332"/>
        <w:spacing w:after="0" w:line="183" w:lineRule="auto"/>
        <w:tabs>
          <w:tab w:leader="none" w:pos="340" w:val="left"/>
        </w:tabs>
        <w:numPr>
          <w:ilvl w:val="0"/>
          <w:numId w:val="73"/>
        </w:numPr>
        <w:rPr>
          <w:rFonts w:ascii="Arial" w:cs="Arial" w:eastAsia="Arial" w:hAnsi="Arial"/>
          <w:sz w:val="23"/>
          <w:szCs w:val="23"/>
          <w:color w:val="auto"/>
          <w:vertAlign w:val="superscript"/>
        </w:rPr>
      </w:pPr>
      <w:r>
        <w:rPr>
          <w:rFonts w:ascii="Arial" w:cs="Arial" w:eastAsia="Arial" w:hAnsi="Arial"/>
          <w:sz w:val="14"/>
          <w:szCs w:val="14"/>
          <w:color w:val="auto"/>
        </w:rPr>
        <w:t>Each of the outstanding equity awards was granted pursuant to our 2008 Plan or our 2017 Plan.</w:t>
      </w:r>
    </w:p>
    <w:p>
      <w:pPr>
        <w:spacing w:after="0"/>
        <w:tabs>
          <w:tab w:leader="none" w:pos="320" w:val="left"/>
          <w:tab w:leader="none" w:pos="7640" w:val="left"/>
        </w:tabs>
        <w:rPr>
          <w:sz w:val="20"/>
          <w:szCs w:val="20"/>
          <w:color w:val="auto"/>
        </w:rPr>
      </w:pPr>
      <w:r>
        <w:rPr>
          <w:rFonts w:ascii="Arial" w:cs="Arial" w:eastAsia="Arial" w:hAnsi="Arial"/>
          <w:sz w:val="23"/>
          <w:szCs w:val="23"/>
          <w:color w:val="auto"/>
          <w:vertAlign w:val="superscript"/>
        </w:rPr>
        <w:t>(3)</w:t>
      </w:r>
      <w:r>
        <w:rPr>
          <w:sz w:val="20"/>
          <w:szCs w:val="20"/>
          <w:color w:val="auto"/>
        </w:rPr>
        <w:tab/>
      </w:r>
      <w:r>
        <w:rPr>
          <w:rFonts w:ascii="Arial" w:cs="Arial" w:eastAsia="Arial" w:hAnsi="Arial"/>
          <w:sz w:val="14"/>
          <w:szCs w:val="14"/>
          <w:color w:val="auto"/>
        </w:rPr>
        <w:t>The market price for our Class A common stock is based upon the assumed initial public offering price of $</w:t>
      </w:r>
      <w:r>
        <w:rPr>
          <w:sz w:val="20"/>
          <w:szCs w:val="20"/>
          <w:color w:val="auto"/>
        </w:rPr>
        <w:tab/>
      </w:r>
      <w:r>
        <w:rPr>
          <w:rFonts w:ascii="Arial" w:cs="Arial" w:eastAsia="Arial" w:hAnsi="Arial"/>
          <w:sz w:val="14"/>
          <w:szCs w:val="14"/>
          <w:color w:val="auto"/>
        </w:rPr>
        <w:t>per share, which is the midpoint of the estimated</w:t>
      </w:r>
    </w:p>
    <w:p>
      <w:pPr>
        <w:spacing w:after="0" w:line="11" w:lineRule="exact"/>
        <w:rPr>
          <w:sz w:val="20"/>
          <w:szCs w:val="20"/>
          <w:color w:val="auto"/>
        </w:rPr>
      </w:pPr>
    </w:p>
    <w:p>
      <w:pPr>
        <w:ind w:left="340"/>
        <w:spacing w:after="0"/>
        <w:rPr>
          <w:sz w:val="20"/>
          <w:szCs w:val="20"/>
          <w:color w:val="auto"/>
        </w:rPr>
      </w:pPr>
      <w:r>
        <w:rPr>
          <w:rFonts w:ascii="Arial" w:cs="Arial" w:eastAsia="Arial" w:hAnsi="Arial"/>
          <w:sz w:val="16"/>
          <w:szCs w:val="16"/>
          <w:color w:val="auto"/>
        </w:rPr>
        <w:t>offering price range set forth on the cover page of this prospectus.</w:t>
      </w:r>
    </w:p>
    <w:p>
      <w:pPr>
        <w:spacing w:after="0" w:line="8" w:lineRule="exact"/>
        <w:rPr>
          <w:sz w:val="20"/>
          <w:szCs w:val="20"/>
          <w:color w:val="auto"/>
        </w:rPr>
      </w:pPr>
    </w:p>
    <w:p>
      <w:pPr>
        <w:ind w:left="340" w:right="240" w:hanging="332"/>
        <w:spacing w:after="0" w:line="211" w:lineRule="auto"/>
        <w:tabs>
          <w:tab w:leader="none" w:pos="340" w:val="left"/>
        </w:tabs>
        <w:numPr>
          <w:ilvl w:val="0"/>
          <w:numId w:val="74"/>
        </w:numPr>
        <w:rPr>
          <w:rFonts w:ascii="Arial" w:cs="Arial" w:eastAsia="Arial" w:hAnsi="Arial"/>
          <w:sz w:val="25"/>
          <w:szCs w:val="25"/>
          <w:color w:val="auto"/>
          <w:vertAlign w:val="superscript"/>
        </w:rPr>
      </w:pPr>
      <w:r>
        <w:rPr>
          <w:rFonts w:ascii="Arial" w:cs="Arial" w:eastAsia="Arial" w:hAnsi="Arial"/>
          <w:sz w:val="15"/>
          <w:szCs w:val="15"/>
          <w:color w:val="auto"/>
        </w:rPr>
        <w:t>25% of the shares of our Class B common stock underlying the RSUs vest on August 15, 2018, and an additional 3/48</w:t>
      </w:r>
      <w:r>
        <w:rPr>
          <w:rFonts w:ascii="Arial" w:cs="Arial" w:eastAsia="Arial" w:hAnsi="Arial"/>
          <w:sz w:val="25"/>
          <w:szCs w:val="25"/>
          <w:color w:val="auto"/>
          <w:vertAlign w:val="superscript"/>
        </w:rPr>
        <w:t>th</w:t>
      </w:r>
      <w:r>
        <w:rPr>
          <w:rFonts w:ascii="Arial" w:cs="Arial" w:eastAsia="Arial" w:hAnsi="Arial"/>
          <w:sz w:val="15"/>
          <w:szCs w:val="15"/>
          <w:color w:val="auto"/>
        </w:rPr>
        <w:t xml:space="preserve"> of the total number of shares of our Class B common stock underlying the RSUs vests in equal quarterly installments, each subject to continued service through each such vesting date.</w:t>
      </w:r>
    </w:p>
    <w:p>
      <w:pPr>
        <w:ind w:left="340" w:right="20" w:hanging="332"/>
        <w:spacing w:after="0" w:line="195" w:lineRule="auto"/>
        <w:tabs>
          <w:tab w:leader="none" w:pos="340" w:val="left"/>
        </w:tabs>
        <w:numPr>
          <w:ilvl w:val="0"/>
          <w:numId w:val="74"/>
        </w:numPr>
        <w:rPr>
          <w:rFonts w:ascii="Arial" w:cs="Arial" w:eastAsia="Arial" w:hAnsi="Arial"/>
          <w:sz w:val="28"/>
          <w:szCs w:val="28"/>
          <w:color w:val="auto"/>
          <w:vertAlign w:val="superscript"/>
        </w:rPr>
      </w:pPr>
      <w:r>
        <w:rPr>
          <w:rFonts w:ascii="Arial" w:cs="Arial" w:eastAsia="Arial" w:hAnsi="Arial"/>
          <w:sz w:val="16"/>
          <w:szCs w:val="16"/>
          <w:color w:val="auto"/>
        </w:rPr>
        <w:t>The service-based vesting condition was satisfied as to 25% of shares of our Class B common stock underlying the RSUs on April 1, 2015. Prior to satisfaction of the Performance Vesting Condition, an additional 1/48</w:t>
      </w:r>
      <w:r>
        <w:rPr>
          <w:rFonts w:ascii="Arial" w:cs="Arial" w:eastAsia="Arial" w:hAnsi="Arial"/>
          <w:sz w:val="27"/>
          <w:szCs w:val="27"/>
          <w:color w:val="auto"/>
          <w:vertAlign w:val="superscript"/>
        </w:rPr>
        <w:t>th</w:t>
      </w:r>
      <w:r>
        <w:rPr>
          <w:rFonts w:ascii="Arial" w:cs="Arial" w:eastAsia="Arial" w:hAnsi="Arial"/>
          <w:sz w:val="16"/>
          <w:szCs w:val="16"/>
          <w:color w:val="auto"/>
        </w:rPr>
        <w:t xml:space="preserve"> of the total number of shares of our Class B common stock underlying the RSUs vests in equal monthly installments, subject to continued service through each such vesting date. After satisfaction of the Performance Vesting Condition, an additional 3/48</w:t>
      </w:r>
      <w:r>
        <w:rPr>
          <w:rFonts w:ascii="Arial" w:cs="Arial" w:eastAsia="Arial" w:hAnsi="Arial"/>
          <w:sz w:val="27"/>
          <w:szCs w:val="27"/>
          <w:color w:val="auto"/>
          <w:vertAlign w:val="superscript"/>
        </w:rPr>
        <w:t>th</w:t>
      </w:r>
      <w:r>
        <w:rPr>
          <w:rFonts w:ascii="Arial" w:cs="Arial" w:eastAsia="Arial" w:hAnsi="Arial"/>
          <w:sz w:val="16"/>
          <w:szCs w:val="16"/>
          <w:color w:val="auto"/>
        </w:rPr>
        <w:t xml:space="preserve"> of the total number of shares of our Class B common stock underlying the RSUs vest in equal quarterly installments, subject to continued service through each such vesting date; provided, however, that as a result of the September 2017 RSU Amendment, the vesting dates are being accelerated to February 15, May 15, August 15, and November 15 of each applicable year effective February 15, 2018.</w:t>
      </w:r>
    </w:p>
    <w:p>
      <w:pPr>
        <w:ind w:left="340" w:hanging="332"/>
        <w:spacing w:after="0" w:line="230" w:lineRule="auto"/>
        <w:tabs>
          <w:tab w:leader="none" w:pos="340" w:val="left"/>
        </w:tabs>
        <w:numPr>
          <w:ilvl w:val="0"/>
          <w:numId w:val="74"/>
        </w:numPr>
        <w:rPr>
          <w:rFonts w:ascii="Arial" w:cs="Arial" w:eastAsia="Arial" w:hAnsi="Arial"/>
          <w:sz w:val="25"/>
          <w:szCs w:val="25"/>
          <w:color w:val="auto"/>
          <w:vertAlign w:val="superscript"/>
        </w:rPr>
      </w:pPr>
      <w:r>
        <w:rPr>
          <w:rFonts w:ascii="Arial" w:cs="Arial" w:eastAsia="Arial" w:hAnsi="Arial"/>
          <w:sz w:val="15"/>
          <w:szCs w:val="15"/>
          <w:color w:val="auto"/>
        </w:rPr>
        <w:t>50% of the shares of our Class B common stock underlying the RSUs vested on April 1, 2016. An additional 1/8</w:t>
      </w:r>
      <w:r>
        <w:rPr>
          <w:rFonts w:ascii="Arial" w:cs="Arial" w:eastAsia="Arial" w:hAnsi="Arial"/>
          <w:sz w:val="25"/>
          <w:szCs w:val="25"/>
          <w:color w:val="auto"/>
          <w:vertAlign w:val="superscript"/>
        </w:rPr>
        <w:t>th</w:t>
      </w:r>
      <w:r>
        <w:rPr>
          <w:rFonts w:ascii="Arial" w:cs="Arial" w:eastAsia="Arial" w:hAnsi="Arial"/>
          <w:sz w:val="15"/>
          <w:szCs w:val="15"/>
          <w:color w:val="auto"/>
        </w:rPr>
        <w:t xml:space="preserve"> of the total number of shares of our Class B common stock underlying the RSUs vests in equal quarterly installments, subject to continued service through each such vesting date; provided, however, that as a result of the September 2017 RSU Amendment, the final vesting date is being accelerated to February 15, 2018 effective February 15, 2018.</w:t>
      </w:r>
    </w:p>
    <w:p>
      <w:pPr>
        <w:spacing w:after="0" w:line="1" w:lineRule="exact"/>
        <w:rPr>
          <w:rFonts w:ascii="Arial" w:cs="Arial" w:eastAsia="Arial" w:hAnsi="Arial"/>
          <w:sz w:val="25"/>
          <w:szCs w:val="25"/>
          <w:color w:val="auto"/>
          <w:vertAlign w:val="superscript"/>
        </w:rPr>
      </w:pPr>
    </w:p>
    <w:p>
      <w:pPr>
        <w:ind w:left="340" w:hanging="332"/>
        <w:spacing w:after="0" w:line="222" w:lineRule="auto"/>
        <w:tabs>
          <w:tab w:leader="none" w:pos="340" w:val="left"/>
        </w:tabs>
        <w:numPr>
          <w:ilvl w:val="0"/>
          <w:numId w:val="74"/>
        </w:numPr>
        <w:rPr>
          <w:rFonts w:ascii="Arial" w:cs="Arial" w:eastAsia="Arial" w:hAnsi="Arial"/>
          <w:sz w:val="28"/>
          <w:szCs w:val="28"/>
          <w:color w:val="auto"/>
          <w:vertAlign w:val="superscript"/>
        </w:rPr>
      </w:pPr>
      <w:r>
        <w:rPr>
          <w:rFonts w:ascii="Arial" w:cs="Arial" w:eastAsia="Arial" w:hAnsi="Arial"/>
          <w:sz w:val="16"/>
          <w:szCs w:val="16"/>
          <w:color w:val="auto"/>
        </w:rPr>
        <w:t>3/21</w:t>
      </w:r>
      <w:r>
        <w:rPr>
          <w:rFonts w:ascii="Arial" w:cs="Arial" w:eastAsia="Arial" w:hAnsi="Arial"/>
          <w:sz w:val="27"/>
          <w:szCs w:val="27"/>
          <w:color w:val="auto"/>
          <w:vertAlign w:val="superscript"/>
        </w:rPr>
        <w:t>st</w:t>
      </w:r>
      <w:r>
        <w:rPr>
          <w:rFonts w:ascii="Arial" w:cs="Arial" w:eastAsia="Arial" w:hAnsi="Arial"/>
          <w:sz w:val="16"/>
          <w:szCs w:val="16"/>
          <w:color w:val="auto"/>
        </w:rPr>
        <w:t xml:space="preserve"> of the shares of our Class B common stock underlying the RSUs vest on April 1, 2018, and an additional 3/21</w:t>
      </w:r>
      <w:r>
        <w:rPr>
          <w:rFonts w:ascii="Arial" w:cs="Arial" w:eastAsia="Arial" w:hAnsi="Arial"/>
          <w:sz w:val="27"/>
          <w:szCs w:val="27"/>
          <w:color w:val="auto"/>
          <w:vertAlign w:val="superscript"/>
        </w:rPr>
        <w:t>st</w:t>
      </w:r>
      <w:r>
        <w:rPr>
          <w:rFonts w:ascii="Arial" w:cs="Arial" w:eastAsia="Arial" w:hAnsi="Arial"/>
          <w:sz w:val="16"/>
          <w:szCs w:val="16"/>
          <w:color w:val="auto"/>
        </w:rPr>
        <w:t xml:space="preserve"> of the total number of shares of our Class B common stock underlying the RSUs vests in equal quarterly installments, each subject to continued service through each such vesting date; provided, however, that as a result of the September 2017 RSU Amendment, the vesting dates are being accelerated to February 15, May 15, August 15, and November 15 of each applicable year effective February 15, 2018.</w:t>
      </w:r>
    </w:p>
    <w:p>
      <w:pPr>
        <w:spacing w:after="0" w:line="14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114</w:t>
      </w:r>
    </w:p>
    <w:p>
      <w:pPr>
        <w:sectPr>
          <w:pgSz w:w="11900" w:h="16838" w:orient="portrait"/>
          <w:cols w:equalWidth="0" w:num="1">
            <w:col w:w="11220"/>
          </w:cols>
          <w:pgMar w:left="320" w:top="459" w:right="359" w:bottom="1440" w:gutter="0" w:footer="0" w:header="0"/>
          <w:type w:val="continuous"/>
        </w:sectPr>
      </w:pPr>
    </w:p>
    <w:bookmarkStart w:id="117" w:name="page118"/>
    <w:bookmarkEnd w:id="1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Executive Employment Arrangements</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Andrew W. Houston</w:t>
      </w:r>
    </w:p>
    <w:p>
      <w:pPr>
        <w:spacing w:after="0" w:line="117" w:lineRule="exact"/>
        <w:rPr>
          <w:sz w:val="20"/>
          <w:szCs w:val="20"/>
          <w:color w:val="auto"/>
        </w:rPr>
      </w:pPr>
    </w:p>
    <w:p>
      <w:pPr>
        <w:ind w:right="20" w:firstLine="449"/>
        <w:spacing w:after="0" w:line="279" w:lineRule="auto"/>
        <w:rPr>
          <w:sz w:val="20"/>
          <w:szCs w:val="20"/>
          <w:color w:val="auto"/>
        </w:rPr>
      </w:pPr>
      <w:r>
        <w:rPr>
          <w:rFonts w:ascii="Arial" w:cs="Arial" w:eastAsia="Arial" w:hAnsi="Arial"/>
          <w:sz w:val="17"/>
          <w:szCs w:val="17"/>
          <w:color w:val="auto"/>
        </w:rPr>
        <w:t>Prior to the completion of this offering, we intend to enter into an employment agreement with Andrew W. Houston, our Chief Executive Officer and one of our co-founders. The employment agreement is not expected to have a specific term and will provide that Mr. Houston is an at-will employee. The employment agreement also is expected to provide Mr. Houston with severance and change in control benefits. Mr. Houston’s current annual base salary is $400,000, and he is eligible for an annual target cash incentive payment equal to % of his annual base salary.</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Quentin J. Clark</w:t>
      </w:r>
    </w:p>
    <w:p>
      <w:pPr>
        <w:spacing w:after="0" w:line="117" w:lineRule="exact"/>
        <w:rPr>
          <w:sz w:val="20"/>
          <w:szCs w:val="20"/>
          <w:color w:val="auto"/>
        </w:rPr>
      </w:pPr>
    </w:p>
    <w:p>
      <w:pPr>
        <w:ind w:firstLine="449"/>
        <w:spacing w:after="0" w:line="279" w:lineRule="auto"/>
        <w:rPr>
          <w:sz w:val="20"/>
          <w:szCs w:val="20"/>
          <w:color w:val="auto"/>
        </w:rPr>
      </w:pPr>
      <w:r>
        <w:rPr>
          <w:rFonts w:ascii="Arial" w:cs="Arial" w:eastAsia="Arial" w:hAnsi="Arial"/>
          <w:sz w:val="17"/>
          <w:szCs w:val="17"/>
          <w:color w:val="auto"/>
        </w:rPr>
        <w:t>Prior to the completion of this offering, we intend to enter into an employment agreement with Quentin J. Clark, our Senior Vice President of Engineering, Product, and Design. The employment agreement is not expected to have a specific term and will provide that Mr. Clark is an at-will employee. The employment agreement also is expected to provide Mr. Clark with severance and change in control benefits. Mr. Clark’s current annual base salary is $400,000, and he is eligible for an annual target cash incentive payment equal to % of his annual base salary.</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Dennis M. Woodside</w:t>
      </w:r>
    </w:p>
    <w:p>
      <w:pPr>
        <w:spacing w:after="0" w:line="117" w:lineRule="exact"/>
        <w:rPr>
          <w:sz w:val="20"/>
          <w:szCs w:val="20"/>
          <w:color w:val="auto"/>
        </w:rPr>
      </w:pPr>
    </w:p>
    <w:p>
      <w:pPr>
        <w:ind w:right="60" w:firstLine="449"/>
        <w:spacing w:after="0" w:line="279" w:lineRule="auto"/>
        <w:rPr>
          <w:sz w:val="20"/>
          <w:szCs w:val="20"/>
          <w:color w:val="auto"/>
        </w:rPr>
      </w:pPr>
      <w:r>
        <w:rPr>
          <w:rFonts w:ascii="Arial" w:cs="Arial" w:eastAsia="Arial" w:hAnsi="Arial"/>
          <w:sz w:val="17"/>
          <w:szCs w:val="17"/>
          <w:color w:val="auto"/>
        </w:rPr>
        <w:t>Prior to the completion of this offering, we intend to enter into an employment agreement with Dennis M. Woodside, our Chief Operating Officer. The employment agreement is not expected to have a specific term and will provide that Mr. Woodside is an at-will employee. The employment agreement also is expected to provide Mr. Woodside with severance and change in control benefits. Mr. Woodside’s current annual base salary is $400,000, and he is eligible for an annual target cash incentive payment equal to % of his annual base salary.</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Employee Benefits and Stock Plans</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2018 Equity Incentive Plan</w:t>
      </w:r>
    </w:p>
    <w:p>
      <w:pPr>
        <w:spacing w:after="0" w:line="117" w:lineRule="exact"/>
        <w:rPr>
          <w:sz w:val="20"/>
          <w:szCs w:val="20"/>
          <w:color w:val="auto"/>
        </w:rPr>
      </w:pPr>
    </w:p>
    <w:p>
      <w:pPr>
        <w:ind w:right="140" w:firstLine="449"/>
        <w:spacing w:after="0" w:line="257" w:lineRule="auto"/>
        <w:rPr>
          <w:sz w:val="20"/>
          <w:szCs w:val="20"/>
          <w:color w:val="auto"/>
        </w:rPr>
      </w:pPr>
      <w:r>
        <w:rPr>
          <w:rFonts w:ascii="Arial" w:cs="Arial" w:eastAsia="Arial" w:hAnsi="Arial"/>
          <w:sz w:val="18"/>
          <w:szCs w:val="18"/>
          <w:color w:val="auto"/>
        </w:rPr>
        <w:t>Prior to the completion of this offering, our Board of Directors intends to adopt, and we expect our stockholders will approve, our 2018 Plan. We expect that our 2018 Plan will be effective on the business day immediately prior to the effective date of our registration statement related to this offering. Our 2018 Plan will provide for the grant of incentive stock options, within the meaning of Section 422 of the Internal Revenue Code, or Code, to our employees, and for the grant of nonstatutory stock options, restricted stock, restricted stock units, stock appreciation rights, performance units, and performance shares to our employees, directors, and consultants.</w:t>
      </w:r>
    </w:p>
    <w:p>
      <w:pPr>
        <w:spacing w:after="0" w:line="188" w:lineRule="exact"/>
        <w:rPr>
          <w:sz w:val="20"/>
          <w:szCs w:val="20"/>
          <w:color w:val="auto"/>
        </w:rPr>
      </w:pPr>
    </w:p>
    <w:p>
      <w:pPr>
        <w:ind w:firstLine="449"/>
        <w:spacing w:after="0" w:line="286" w:lineRule="auto"/>
        <w:rPr>
          <w:sz w:val="20"/>
          <w:szCs w:val="20"/>
          <w:color w:val="auto"/>
        </w:rPr>
      </w:pPr>
      <w:r>
        <w:rPr>
          <w:rFonts w:ascii="Arial" w:cs="Arial" w:eastAsia="Arial" w:hAnsi="Arial"/>
          <w:sz w:val="16"/>
          <w:szCs w:val="16"/>
          <w:i w:val="1"/>
          <w:iCs w:val="1"/>
          <w:color w:val="auto"/>
        </w:rPr>
        <w:t>Authorized shares</w:t>
      </w:r>
      <w:r>
        <w:rPr>
          <w:rFonts w:ascii="Arial" w:cs="Arial" w:eastAsia="Arial" w:hAnsi="Arial"/>
          <w:sz w:val="16"/>
          <w:szCs w:val="16"/>
          <w:color w:val="auto"/>
        </w:rPr>
        <w:t>. A total of shares of our Class A common stock will be reserved for issuance pursuant to our 2018 Plan. In addition, the</w:t>
      </w:r>
      <w:r>
        <w:rPr>
          <w:rFonts w:ascii="Arial" w:cs="Arial" w:eastAsia="Arial" w:hAnsi="Arial"/>
          <w:sz w:val="16"/>
          <w:szCs w:val="16"/>
          <w:i w:val="1"/>
          <w:iCs w:val="1"/>
          <w:color w:val="auto"/>
        </w:rPr>
        <w:t xml:space="preserve"> </w:t>
      </w:r>
      <w:r>
        <w:rPr>
          <w:rFonts w:ascii="Arial" w:cs="Arial" w:eastAsia="Arial" w:hAnsi="Arial"/>
          <w:sz w:val="16"/>
          <w:szCs w:val="16"/>
          <w:color w:val="auto"/>
        </w:rPr>
        <w:t>shares reserved for issuance under our 2018 Plan also will include (i) shares that were reserved but unissued under our 2017 Plan as of immediately prior to its termination, plus (ii) shares subject to awards under our 2008 Plan or 2017 Plan (each, a “Prior Plan”) that, on or after the termination of the 2017 Plan, expire or terminate and shares previously issued pursuant to our Prior Plans, as applicable, that, on or after the termination of the 2017 Plan, are forfeited or</w:t>
      </w:r>
    </w:p>
    <w:p>
      <w:pPr>
        <w:spacing w:after="0" w:line="1" w:lineRule="exact"/>
        <w:rPr>
          <w:sz w:val="20"/>
          <w:szCs w:val="20"/>
          <w:color w:val="auto"/>
        </w:rPr>
      </w:pPr>
    </w:p>
    <w:p>
      <w:pPr>
        <w:jc w:val="both"/>
        <w:ind w:right="160"/>
        <w:spacing w:after="0" w:line="255" w:lineRule="auto"/>
        <w:rPr>
          <w:sz w:val="20"/>
          <w:szCs w:val="20"/>
          <w:color w:val="auto"/>
        </w:rPr>
      </w:pPr>
      <w:r>
        <w:rPr>
          <w:rFonts w:ascii="Arial" w:cs="Arial" w:eastAsia="Arial" w:hAnsi="Arial"/>
          <w:sz w:val="18"/>
          <w:szCs w:val="18"/>
          <w:color w:val="auto"/>
        </w:rPr>
        <w:t>repurchased by us (provided that the maximum number of shares that may be added to our 2018 Plan from the Prior Plans is shares). The number of shares of our Class A common stock available for issuance under our 2018 Plan will also include an annual increase on the first day of each fiscal year beginning on January 1, 2019, equal to the least of:</w:t>
      </w:r>
    </w:p>
    <w:p>
      <w:pPr>
        <w:spacing w:after="0" w:line="95" w:lineRule="exact"/>
        <w:rPr>
          <w:sz w:val="20"/>
          <w:szCs w:val="20"/>
          <w:color w:val="auto"/>
        </w:rPr>
      </w:pPr>
    </w:p>
    <w:p>
      <w:pPr>
        <w:ind w:left="1480" w:hanging="919"/>
        <w:spacing w:after="0"/>
        <w:tabs>
          <w:tab w:leader="none" w:pos="1480" w:val="left"/>
        </w:tabs>
        <w:numPr>
          <w:ilvl w:val="0"/>
          <w:numId w:val="75"/>
        </w:numPr>
        <w:rPr>
          <w:rFonts w:ascii="Arial" w:cs="Arial" w:eastAsia="Arial" w:hAnsi="Arial"/>
          <w:sz w:val="18"/>
          <w:szCs w:val="18"/>
          <w:color w:val="auto"/>
        </w:rPr>
      </w:pPr>
      <w:r>
        <w:rPr>
          <w:rFonts w:ascii="Arial" w:cs="Arial" w:eastAsia="Arial" w:hAnsi="Arial"/>
          <w:sz w:val="18"/>
          <w:szCs w:val="18"/>
          <w:color w:val="auto"/>
        </w:rPr>
        <w:t>shares of our Class A common stock;</w:t>
      </w:r>
    </w:p>
    <w:p>
      <w:pPr>
        <w:spacing w:after="0" w:line="130" w:lineRule="exact"/>
        <w:rPr>
          <w:rFonts w:ascii="Arial" w:cs="Arial" w:eastAsia="Arial" w:hAnsi="Arial"/>
          <w:sz w:val="18"/>
          <w:szCs w:val="18"/>
          <w:color w:val="auto"/>
        </w:rPr>
      </w:pPr>
    </w:p>
    <w:p>
      <w:pPr>
        <w:ind w:left="1480" w:hanging="919"/>
        <w:spacing w:after="0"/>
        <w:tabs>
          <w:tab w:leader="none" w:pos="1480" w:val="left"/>
        </w:tabs>
        <w:numPr>
          <w:ilvl w:val="0"/>
          <w:numId w:val="75"/>
        </w:numPr>
        <w:rPr>
          <w:rFonts w:ascii="Arial" w:cs="Arial" w:eastAsia="Arial" w:hAnsi="Arial"/>
          <w:sz w:val="18"/>
          <w:szCs w:val="18"/>
          <w:color w:val="auto"/>
        </w:rPr>
      </w:pPr>
      <w:r>
        <w:rPr>
          <w:rFonts w:ascii="Arial" w:cs="Arial" w:eastAsia="Arial" w:hAnsi="Arial"/>
          <w:sz w:val="18"/>
          <w:szCs w:val="18"/>
          <w:color w:val="auto"/>
        </w:rPr>
        <w:t>percent (  %) of the outstanding shares of our capital stock as of the last day of the immediately preceding fiscal year; or</w:t>
      </w:r>
    </w:p>
    <w:p>
      <w:pPr>
        <w:spacing w:after="0" w:line="130" w:lineRule="exact"/>
        <w:rPr>
          <w:rFonts w:ascii="Arial" w:cs="Arial" w:eastAsia="Arial" w:hAnsi="Arial"/>
          <w:sz w:val="18"/>
          <w:szCs w:val="18"/>
          <w:color w:val="auto"/>
        </w:rPr>
      </w:pPr>
    </w:p>
    <w:p>
      <w:pPr>
        <w:ind w:left="880" w:hanging="319"/>
        <w:spacing w:after="0"/>
        <w:tabs>
          <w:tab w:leader="none" w:pos="880" w:val="left"/>
        </w:tabs>
        <w:numPr>
          <w:ilvl w:val="0"/>
          <w:numId w:val="75"/>
        </w:numPr>
        <w:rPr>
          <w:rFonts w:ascii="Arial" w:cs="Arial" w:eastAsia="Arial" w:hAnsi="Arial"/>
          <w:sz w:val="18"/>
          <w:szCs w:val="18"/>
          <w:color w:val="auto"/>
        </w:rPr>
      </w:pPr>
      <w:r>
        <w:rPr>
          <w:rFonts w:ascii="Arial" w:cs="Arial" w:eastAsia="Arial" w:hAnsi="Arial"/>
          <w:sz w:val="18"/>
          <w:szCs w:val="18"/>
          <w:color w:val="auto"/>
        </w:rPr>
        <w:t>such other amount as our Board of Directors may determine.</w:t>
      </w:r>
    </w:p>
    <w:p>
      <w:pPr>
        <w:spacing w:after="0" w:line="15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115</w:t>
      </w:r>
    </w:p>
    <w:p>
      <w:pPr>
        <w:sectPr>
          <w:pgSz w:w="11900" w:h="16838" w:orient="portrait"/>
          <w:cols w:equalWidth="0" w:num="1">
            <w:col w:w="11220"/>
          </w:cols>
          <w:pgMar w:left="320" w:top="459" w:right="359" w:bottom="1440" w:gutter="0" w:footer="0" w:header="0"/>
        </w:sectPr>
      </w:pPr>
    </w:p>
    <w:bookmarkStart w:id="118" w:name="page119"/>
    <w:bookmarkEnd w:id="1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firstLine="449"/>
        <w:spacing w:after="0" w:line="269" w:lineRule="auto"/>
        <w:rPr>
          <w:sz w:val="20"/>
          <w:szCs w:val="20"/>
          <w:color w:val="auto"/>
        </w:rPr>
      </w:pPr>
      <w:r>
        <w:rPr>
          <w:rFonts w:ascii="Arial" w:cs="Arial" w:eastAsia="Arial" w:hAnsi="Arial"/>
          <w:sz w:val="17"/>
          <w:szCs w:val="17"/>
          <w:color w:val="auto"/>
        </w:rPr>
        <w:t>If an award expires or becomes unexercisable without having been exercised in full, is surrendered pursuant to an exchange program, or, with respect to restricted stock, restricted stock units, performance units, or performance shares, is forfeited to or repurchased due to failure to vest, the unpurchased shares (or for awards other than stock options or stock appreciation rights, the forfeited or repurchased shares) will become available for future grant or sale under the 2018 Plan. With respect to stock appreciation rights, only the net shares actually issued will cease to be available under the 2018 Plan and all remaining shares under stock appreciation rights will remain available for future grant or sale under the 2018 Plan. Shares that have actually been issued under the 2018 Plan under any award will not be returned to the 2018 Plan; provided, however, that if shares issued pursuant to awards of restricted stock, restricted stock units, performance shares, or performance units are repurchased or forfeited, such shares will become available for future grant under the 2018 Plan. Shares used to pay the exercise price of an award or satisfy the tax withholding obligations related to an award will become available for future grant or sale under the 2018 Plan. To the extent an award is paid out in cash rather than shares, such cash payment will not result in a reduction in the number of shares available for issuance under the 2018 Plan.</w:t>
      </w:r>
    </w:p>
    <w:p>
      <w:pPr>
        <w:spacing w:after="0" w:line="185" w:lineRule="exact"/>
        <w:rPr>
          <w:sz w:val="20"/>
          <w:szCs w:val="20"/>
          <w:color w:val="auto"/>
        </w:rPr>
      </w:pPr>
    </w:p>
    <w:p>
      <w:pPr>
        <w:ind w:right="20" w:firstLine="449"/>
        <w:spacing w:after="0" w:line="285" w:lineRule="auto"/>
        <w:rPr>
          <w:sz w:val="20"/>
          <w:szCs w:val="20"/>
          <w:color w:val="auto"/>
        </w:rPr>
      </w:pPr>
      <w:r>
        <w:rPr>
          <w:rFonts w:ascii="Arial" w:cs="Arial" w:eastAsia="Arial" w:hAnsi="Arial"/>
          <w:sz w:val="16"/>
          <w:szCs w:val="16"/>
          <w:i w:val="1"/>
          <w:iCs w:val="1"/>
          <w:color w:val="auto"/>
        </w:rPr>
        <w:t>Plan administration</w:t>
      </w:r>
      <w:r>
        <w:rPr>
          <w:rFonts w:ascii="Arial" w:cs="Arial" w:eastAsia="Arial" w:hAnsi="Arial"/>
          <w:sz w:val="16"/>
          <w:szCs w:val="16"/>
          <w:color w:val="auto"/>
        </w:rPr>
        <w:t>. Our Board of Directors or one or more committees appointed by our Board of Directors will administer our 2018 Plan. Our</w:t>
      </w:r>
      <w:r>
        <w:rPr>
          <w:rFonts w:ascii="Arial" w:cs="Arial" w:eastAsia="Arial" w:hAnsi="Arial"/>
          <w:sz w:val="16"/>
          <w:szCs w:val="16"/>
          <w:i w:val="1"/>
          <w:iCs w:val="1"/>
          <w:color w:val="auto"/>
        </w:rPr>
        <w:t xml:space="preserve"> </w:t>
      </w:r>
      <w:r>
        <w:rPr>
          <w:rFonts w:ascii="Arial" w:cs="Arial" w:eastAsia="Arial" w:hAnsi="Arial"/>
          <w:sz w:val="16"/>
          <w:szCs w:val="16"/>
          <w:color w:val="auto"/>
        </w:rPr>
        <w:t>compensation committee is expected to administer our 2018 Plan. In the case of awards intended to qualify as “performance-based compensation” within the meaning of Section 162(m) of the Internal Revenue Code, the committee will consist of two or more “outside directors” within the meaning of Section 162(m) of the Internal Revenue Code. In addition, if we determine it is desirable to qualify transactions under our 2018 Plan as exempt under Rule 16b-3 of the Exchange Act, such transactions will be structured to satisfy the requirements for exemption under Rule 16b-3. Subject to the provisions of our 2018 Plan, the administrator has the power to administer our 2018 Plan and make all determinations deemed necessary or advisable for administering the 2018 Plan, including but not limited to, the power to determine the fair market value of our Class A common stock, select the service providers to whom awards may be granted, determine the number of shares covered by each award, approve forms of award agreements for use under the 2018 Plan, determine the terms and conditions of awards (including, but not limited to, the exercise price, the times or times at which the awards may be exercised, any vesting acceleration or waiver or forfeiture restrictions, and any restriction or limitation regarding any award or the shares relating thereto), construe and interpret the terms of our 2018 Plan and awards granted under it, to prescribe, amend, and rescind rules relating to our 2018 Plan, including creating sub-plans, and to modify or amend each award, including but not limited to the discretionary authority to extend the post-termination exercisability period of awards (provided that no option or stock appreciation right will be extended past its original maximum term), and to allow a participant to defer the receipt of payment of cash or the delivery of shares that would otherwise be due to such participant under an award. The administrator also has the authority to allow participants the opportunity to transfer outstanding awards to a financial institution or other person or entity selected by the administrator and to institute an exchange program by which outstanding awards may be surrendered or cancelled in exchange for awards of the same type which may have a higher or lower exercise price and/or different terms, awards of a different type and/or cash, or by which the exercise price of an outstanding award is increased or reduced. The administrator’s decisions, interpretations, and other actions are final and binding on all participants.</w:t>
      </w:r>
    </w:p>
    <w:p>
      <w:pPr>
        <w:spacing w:after="0" w:line="171" w:lineRule="exact"/>
        <w:rPr>
          <w:sz w:val="20"/>
          <w:szCs w:val="20"/>
          <w:color w:val="auto"/>
        </w:rPr>
      </w:pPr>
    </w:p>
    <w:p>
      <w:pPr>
        <w:ind w:firstLine="449"/>
        <w:spacing w:after="0" w:line="290" w:lineRule="auto"/>
        <w:rPr>
          <w:sz w:val="20"/>
          <w:szCs w:val="20"/>
          <w:color w:val="auto"/>
        </w:rPr>
      </w:pPr>
      <w:r>
        <w:rPr>
          <w:rFonts w:ascii="Arial" w:cs="Arial" w:eastAsia="Arial" w:hAnsi="Arial"/>
          <w:sz w:val="16"/>
          <w:szCs w:val="16"/>
          <w:i w:val="1"/>
          <w:iCs w:val="1"/>
          <w:color w:val="auto"/>
        </w:rPr>
        <w:t>Stock options</w:t>
      </w:r>
      <w:r>
        <w:rPr>
          <w:rFonts w:ascii="Arial" w:cs="Arial" w:eastAsia="Arial" w:hAnsi="Arial"/>
          <w:sz w:val="16"/>
          <w:szCs w:val="16"/>
          <w:color w:val="auto"/>
        </w:rPr>
        <w:t>. Stock options may be granted under our 2018 Plan. The exercise price of options granted under our 2018 Plan must at least be equal to</w:t>
      </w:r>
      <w:r>
        <w:rPr>
          <w:rFonts w:ascii="Arial" w:cs="Arial" w:eastAsia="Arial" w:hAnsi="Arial"/>
          <w:sz w:val="16"/>
          <w:szCs w:val="16"/>
          <w:i w:val="1"/>
          <w:iCs w:val="1"/>
          <w:color w:val="auto"/>
        </w:rPr>
        <w:t xml:space="preserve"> </w:t>
      </w:r>
      <w:r>
        <w:rPr>
          <w:rFonts w:ascii="Arial" w:cs="Arial" w:eastAsia="Arial" w:hAnsi="Arial"/>
          <w:sz w:val="16"/>
          <w:szCs w:val="16"/>
          <w:color w:val="auto"/>
        </w:rPr>
        <w:t>the fair market value of our Class A common stock on the date of grant. The term of an option may not exceed ten years. With respect to any participant who owns more than 10% of the voting power of all classes of our outstanding stock, the term of an incentive stock option granted to such participant must not exceed five years and the exercise price must equal at least 110% of the fair market value on the grant date. The administrator will determine the methods of payment of the exercise price of an option, which may include cash, shares, or other property acceptable to the administrator, as well as other types of consideration permitted by applicable law. After the termination of service of an employee, director, or consultant, he or she may exercise his or her option for the period of time stated in his or her option agreement. In the absence of a specified time in an award agreement, if termination is due to death or disability, the option will remain exercisable for 12 months. In all other cases, in the absence of a specified time in an award</w:t>
      </w:r>
    </w:p>
    <w:p>
      <w:pPr>
        <w:spacing w:after="0" w:line="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116</w:t>
      </w:r>
    </w:p>
    <w:p>
      <w:pPr>
        <w:sectPr>
          <w:pgSz w:w="11900" w:h="16838" w:orient="portrait"/>
          <w:cols w:equalWidth="0" w:num="1">
            <w:col w:w="11220"/>
          </w:cols>
          <w:pgMar w:left="320" w:top="459" w:right="359" w:bottom="1440" w:gutter="0" w:footer="0" w:header="0"/>
        </w:sectPr>
      </w:pPr>
    </w:p>
    <w:bookmarkStart w:id="119" w:name="page120"/>
    <w:bookmarkEnd w:id="1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right="700"/>
        <w:spacing w:after="0" w:line="308" w:lineRule="auto"/>
        <w:rPr>
          <w:sz w:val="20"/>
          <w:szCs w:val="20"/>
          <w:color w:val="auto"/>
        </w:rPr>
      </w:pPr>
      <w:r>
        <w:rPr>
          <w:rFonts w:ascii="Arial" w:cs="Arial" w:eastAsia="Arial" w:hAnsi="Arial"/>
          <w:sz w:val="17"/>
          <w:szCs w:val="17"/>
          <w:color w:val="auto"/>
        </w:rPr>
        <w:t>agreement, the option will remain exercisable for three months following the termination of service. An option may not be exercised later than the expiration of its term. Subject to the provisions of our 2018 Plan, the administrator determines the other terms of options.</w:t>
      </w:r>
    </w:p>
    <w:p>
      <w:pPr>
        <w:spacing w:after="0" w:line="146" w:lineRule="exact"/>
        <w:rPr>
          <w:sz w:val="20"/>
          <w:szCs w:val="20"/>
          <w:color w:val="auto"/>
        </w:rPr>
      </w:pPr>
    </w:p>
    <w:p>
      <w:pPr>
        <w:ind w:firstLine="449"/>
        <w:spacing w:after="0" w:line="288" w:lineRule="auto"/>
        <w:rPr>
          <w:sz w:val="20"/>
          <w:szCs w:val="20"/>
          <w:color w:val="auto"/>
        </w:rPr>
      </w:pPr>
      <w:r>
        <w:rPr>
          <w:rFonts w:ascii="Arial" w:cs="Arial" w:eastAsia="Arial" w:hAnsi="Arial"/>
          <w:sz w:val="16"/>
          <w:szCs w:val="16"/>
          <w:i w:val="1"/>
          <w:iCs w:val="1"/>
          <w:color w:val="auto"/>
        </w:rPr>
        <w:t>Stock appreciation rights</w:t>
      </w:r>
      <w:r>
        <w:rPr>
          <w:rFonts w:ascii="Arial" w:cs="Arial" w:eastAsia="Arial" w:hAnsi="Arial"/>
          <w:sz w:val="16"/>
          <w:szCs w:val="16"/>
          <w:color w:val="auto"/>
        </w:rPr>
        <w:t>. Stock appreciation rights may be granted under our 2018 Plan. Stock appreciation rights allow the recipient to receive the</w:t>
      </w:r>
      <w:r>
        <w:rPr>
          <w:rFonts w:ascii="Arial" w:cs="Arial" w:eastAsia="Arial" w:hAnsi="Arial"/>
          <w:sz w:val="16"/>
          <w:szCs w:val="16"/>
          <w:i w:val="1"/>
          <w:iCs w:val="1"/>
          <w:color w:val="auto"/>
        </w:rPr>
        <w:t xml:space="preserve"> </w:t>
      </w:r>
      <w:r>
        <w:rPr>
          <w:rFonts w:ascii="Arial" w:cs="Arial" w:eastAsia="Arial" w:hAnsi="Arial"/>
          <w:sz w:val="16"/>
          <w:szCs w:val="16"/>
          <w:color w:val="auto"/>
        </w:rPr>
        <w:t>appreciation in the fair market value of our Class A common stock between the exercise date and the date of grant. Stock appreciation rights may not have a term exceeding ten years. After the termination of service of an employee, director, or consultant, he or she may exercise his or her stock appreciation right for the period of time stated in his or her stock appreciation rights agreement. In the absence of a specified time in an award agreement, if termination is due to death or disability, the stock appreciation rights will remain exercisable for 12 months. In all other cases, in the absence of a specified time in an award agreement, the stock appreciation rights will remain exercisable for three months following the termination of service. However, in no event may a stock appreciation right be exercised later than the expiration of its term. Subject to the provisions of our 2018 Plan, the administrator determines the other terms of stock appreciation rights, including when such rights become exercisable and whether to pay any increased appreciation in cash or with shares of our Class A common stock, or a combination thereof, except that the per share exercise price for the shares to be issued pursuant to the exercise of a stock appreciation right will be no less than 100% of the fair market value per share on the date of grant.</w:t>
      </w:r>
    </w:p>
    <w:p>
      <w:pPr>
        <w:spacing w:after="0" w:line="168" w:lineRule="exact"/>
        <w:rPr>
          <w:sz w:val="20"/>
          <w:szCs w:val="20"/>
          <w:color w:val="auto"/>
        </w:rPr>
      </w:pPr>
    </w:p>
    <w:p>
      <w:pPr>
        <w:ind w:firstLine="449"/>
        <w:spacing w:after="0" w:line="271" w:lineRule="auto"/>
        <w:rPr>
          <w:sz w:val="20"/>
          <w:szCs w:val="20"/>
          <w:color w:val="auto"/>
        </w:rPr>
      </w:pPr>
      <w:r>
        <w:rPr>
          <w:rFonts w:ascii="Arial" w:cs="Arial" w:eastAsia="Arial" w:hAnsi="Arial"/>
          <w:sz w:val="17"/>
          <w:szCs w:val="17"/>
          <w:i w:val="1"/>
          <w:iCs w:val="1"/>
          <w:color w:val="auto"/>
        </w:rPr>
        <w:t>Restricted stock</w:t>
      </w:r>
      <w:r>
        <w:rPr>
          <w:rFonts w:ascii="Arial" w:cs="Arial" w:eastAsia="Arial" w:hAnsi="Arial"/>
          <w:sz w:val="17"/>
          <w:szCs w:val="17"/>
          <w:color w:val="auto"/>
        </w:rPr>
        <w:t>. Restricted stock may be granted under our 2018 Plan. Restricted stock awards are grants of shares of our Class A common stock</w:t>
      </w:r>
      <w:r>
        <w:rPr>
          <w:rFonts w:ascii="Arial" w:cs="Arial" w:eastAsia="Arial" w:hAnsi="Arial"/>
          <w:sz w:val="17"/>
          <w:szCs w:val="17"/>
          <w:i w:val="1"/>
          <w:iCs w:val="1"/>
          <w:color w:val="auto"/>
        </w:rPr>
        <w:t xml:space="preserve"> </w:t>
      </w:r>
      <w:r>
        <w:rPr>
          <w:rFonts w:ascii="Arial" w:cs="Arial" w:eastAsia="Arial" w:hAnsi="Arial"/>
          <w:sz w:val="17"/>
          <w:szCs w:val="17"/>
          <w:color w:val="auto"/>
        </w:rPr>
        <w:t>that vest in accordance with terms and conditions established by the administrator. The administrator will determine the number of shares of restricted stock granted to any employee, director, or consultant and, subject to the provisions of our 2018 Plan, will determine the terms and conditions of such awards. The administrator may impose whatever conditions to vesting it determines to be appropriate (for example, the administrator may set restrictions based on the achievement of specific performance goals or continued service to us); provided, however, that the administrator, in its sole discretion, may accelerate the time at which any restrictions will lapse or be removed. Recipients of restricted stock awards generally will have voting and dividend rights with respect to such shares upon grant without regard to vesting, unless the administrator provides otherwise. Shares of restricted stock that do not vest are subject to our right of repurchase or forfeiture.</w:t>
      </w:r>
    </w:p>
    <w:p>
      <w:pPr>
        <w:spacing w:after="0" w:line="178" w:lineRule="exact"/>
        <w:rPr>
          <w:sz w:val="20"/>
          <w:szCs w:val="20"/>
          <w:color w:val="auto"/>
        </w:rPr>
      </w:pPr>
    </w:p>
    <w:p>
      <w:pPr>
        <w:ind w:right="80" w:firstLine="449"/>
        <w:spacing w:after="0" w:line="254" w:lineRule="auto"/>
        <w:rPr>
          <w:sz w:val="20"/>
          <w:szCs w:val="20"/>
          <w:color w:val="auto"/>
        </w:rPr>
      </w:pPr>
      <w:r>
        <w:rPr>
          <w:rFonts w:ascii="Arial" w:cs="Arial" w:eastAsia="Arial" w:hAnsi="Arial"/>
          <w:sz w:val="18"/>
          <w:szCs w:val="18"/>
          <w:i w:val="1"/>
          <w:iCs w:val="1"/>
          <w:color w:val="auto"/>
        </w:rPr>
        <w:t>RSUs</w:t>
      </w:r>
      <w:r>
        <w:rPr>
          <w:rFonts w:ascii="Arial" w:cs="Arial" w:eastAsia="Arial" w:hAnsi="Arial"/>
          <w:sz w:val="18"/>
          <w:szCs w:val="18"/>
          <w:color w:val="auto"/>
        </w:rPr>
        <w:t>. RSUs may be granted under our 2018 Plan. Each RSU represents an amount equal to the fair market value of one share of our Class A</w:t>
      </w:r>
      <w:r>
        <w:rPr>
          <w:rFonts w:ascii="Arial" w:cs="Arial" w:eastAsia="Arial" w:hAnsi="Arial"/>
          <w:sz w:val="18"/>
          <w:szCs w:val="18"/>
          <w:i w:val="1"/>
          <w:iCs w:val="1"/>
          <w:color w:val="auto"/>
        </w:rPr>
        <w:t xml:space="preserve"> </w:t>
      </w:r>
      <w:r>
        <w:rPr>
          <w:rFonts w:ascii="Arial" w:cs="Arial" w:eastAsia="Arial" w:hAnsi="Arial"/>
          <w:sz w:val="18"/>
          <w:szCs w:val="18"/>
          <w:color w:val="auto"/>
        </w:rPr>
        <w:t>common stock. Subject to the provisions of our 2018 Plan, the administrator determines the terms and conditions of RSUs, including the vesting criteria and the form and timing of payment. The administrator may set vesting criteria based upon the achievement of company-wide, divisional, business unit, or individual goals (including, but not limited to, continued employment or service), applicable federal or state securities laws, or any other basis determined by the administrator in its discretion. The administrator, in its sole discretion, may pay earned restricted stock units in the form of cash, in shares, or in some combination thereof. Notwithstanding the foregoing, the administrator, in its sole discretion, may accelerate the time at which any restrictions will lapse or be removed.</w:t>
      </w:r>
    </w:p>
    <w:p>
      <w:pPr>
        <w:spacing w:after="0" w:line="195" w:lineRule="exact"/>
        <w:rPr>
          <w:sz w:val="20"/>
          <w:szCs w:val="20"/>
          <w:color w:val="auto"/>
        </w:rPr>
      </w:pPr>
    </w:p>
    <w:p>
      <w:pPr>
        <w:ind w:right="20" w:firstLine="449"/>
        <w:spacing w:after="0" w:line="290" w:lineRule="auto"/>
        <w:rPr>
          <w:sz w:val="20"/>
          <w:szCs w:val="20"/>
          <w:color w:val="auto"/>
        </w:rPr>
      </w:pPr>
      <w:r>
        <w:rPr>
          <w:rFonts w:ascii="Arial" w:cs="Arial" w:eastAsia="Arial" w:hAnsi="Arial"/>
          <w:sz w:val="16"/>
          <w:szCs w:val="16"/>
          <w:i w:val="1"/>
          <w:iCs w:val="1"/>
          <w:color w:val="auto"/>
        </w:rPr>
        <w:t>Performance units and performance shares</w:t>
      </w:r>
      <w:r>
        <w:rPr>
          <w:rFonts w:ascii="Arial" w:cs="Arial" w:eastAsia="Arial" w:hAnsi="Arial"/>
          <w:sz w:val="16"/>
          <w:szCs w:val="16"/>
          <w:color w:val="auto"/>
        </w:rPr>
        <w:t>. Performance units and performance shares may be granted under our 2018 Plan. Performance units and</w:t>
      </w:r>
      <w:r>
        <w:rPr>
          <w:rFonts w:ascii="Arial" w:cs="Arial" w:eastAsia="Arial" w:hAnsi="Arial"/>
          <w:sz w:val="16"/>
          <w:szCs w:val="16"/>
          <w:i w:val="1"/>
          <w:iCs w:val="1"/>
          <w:color w:val="auto"/>
        </w:rPr>
        <w:t xml:space="preserve"> </w:t>
      </w:r>
      <w:r>
        <w:rPr>
          <w:rFonts w:ascii="Arial" w:cs="Arial" w:eastAsia="Arial" w:hAnsi="Arial"/>
          <w:sz w:val="16"/>
          <w:szCs w:val="16"/>
          <w:color w:val="auto"/>
        </w:rPr>
        <w:t>performance shares are awards that will result in a payment to a participant only if performance goals established by the administrator are achieved or the awards otherwise vest. The administrator will establish performance objectives or other vesting criteria in its discretion, which, depending on the extent to which they are met, will determine the number and/or the value of performance units and performance shares to be paid out to participants. The administrator may set performance objectives based on the achievement of company-wide, divisional, business unit, or individual goals (including, but not limited to, continued employment or service), applicable federal or state securities laws, or any other basis determined by the administrator in its discretion. After the grant of a performance unit or performance share, the administrator, in its sole discretion, may reduce or waive any performance criteria or other vesting provisions for such performance units or performance shares. Performance units shall have an initial dollar value established by the</w:t>
      </w:r>
    </w:p>
    <w:p>
      <w:pPr>
        <w:spacing w:after="0" w:line="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117</w:t>
      </w:r>
    </w:p>
    <w:p>
      <w:pPr>
        <w:sectPr>
          <w:pgSz w:w="11900" w:h="16838" w:orient="portrait"/>
          <w:cols w:equalWidth="0" w:num="1">
            <w:col w:w="11240"/>
          </w:cols>
          <w:pgMar w:left="320" w:top="459" w:right="339" w:bottom="1440" w:gutter="0" w:footer="0" w:header="0"/>
        </w:sectPr>
      </w:pPr>
    </w:p>
    <w:bookmarkStart w:id="120" w:name="page121"/>
    <w:bookmarkEnd w:id="1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right="20"/>
        <w:spacing w:after="0" w:line="263" w:lineRule="auto"/>
        <w:rPr>
          <w:sz w:val="20"/>
          <w:szCs w:val="20"/>
          <w:color w:val="auto"/>
        </w:rPr>
      </w:pPr>
      <w:r>
        <w:rPr>
          <w:rFonts w:ascii="Arial" w:cs="Arial" w:eastAsia="Arial" w:hAnsi="Arial"/>
          <w:sz w:val="18"/>
          <w:szCs w:val="18"/>
          <w:color w:val="auto"/>
        </w:rPr>
        <w:t>administrator on or prior to the grant date. Performance shares shall have an initial value equal to the fair market value of our Class A common stock on the grant date. The administrator, in its sole discretion, may pay earned performance units or performance shares in the form of cash, in shares, or in some combination thereof.</w:t>
      </w:r>
    </w:p>
    <w:p>
      <w:pPr>
        <w:spacing w:after="0" w:line="184" w:lineRule="exact"/>
        <w:rPr>
          <w:sz w:val="20"/>
          <w:szCs w:val="20"/>
          <w:color w:val="auto"/>
        </w:rPr>
      </w:pPr>
    </w:p>
    <w:p>
      <w:pPr>
        <w:ind w:right="200" w:firstLine="449"/>
        <w:spacing w:after="0" w:line="286" w:lineRule="auto"/>
        <w:rPr>
          <w:sz w:val="20"/>
          <w:szCs w:val="20"/>
          <w:color w:val="auto"/>
        </w:rPr>
      </w:pPr>
      <w:r>
        <w:rPr>
          <w:rFonts w:ascii="Arial" w:cs="Arial" w:eastAsia="Arial" w:hAnsi="Arial"/>
          <w:sz w:val="16"/>
          <w:szCs w:val="16"/>
          <w:i w:val="1"/>
          <w:iCs w:val="1"/>
          <w:color w:val="auto"/>
        </w:rPr>
        <w:t>Outside directors</w:t>
      </w:r>
      <w:r>
        <w:rPr>
          <w:rFonts w:ascii="Arial" w:cs="Arial" w:eastAsia="Arial" w:hAnsi="Arial"/>
          <w:sz w:val="16"/>
          <w:szCs w:val="16"/>
          <w:color w:val="auto"/>
        </w:rPr>
        <w:t>. Our 2018 Plan provides that all outside (non-employee) directors will be eligible to receive all types of awards (except for</w:t>
      </w:r>
      <w:r>
        <w:rPr>
          <w:rFonts w:ascii="Arial" w:cs="Arial" w:eastAsia="Arial" w:hAnsi="Arial"/>
          <w:sz w:val="16"/>
          <w:szCs w:val="16"/>
          <w:i w:val="1"/>
          <w:iCs w:val="1"/>
          <w:color w:val="auto"/>
        </w:rPr>
        <w:t xml:space="preserve"> </w:t>
      </w:r>
      <w:r>
        <w:rPr>
          <w:rFonts w:ascii="Arial" w:cs="Arial" w:eastAsia="Arial" w:hAnsi="Arial"/>
          <w:sz w:val="16"/>
          <w:szCs w:val="16"/>
          <w:color w:val="auto"/>
        </w:rPr>
        <w:t>incentive stock options) available for issuance under our 2018 Plan. Prior to the completion of this offering, we intend to implement a formal policy pursuant to which our outside directors will be eligible to receive equity awards under our 2018 Plan. In order to provide a maximum limit on the awards that can be made to our outside directors, our 2018 Plan provides that in any given fiscal year, an outside director will not be granted awards having a</w:t>
      </w:r>
    </w:p>
    <w:p>
      <w:pPr>
        <w:spacing w:after="0" w:line="1" w:lineRule="exact"/>
        <w:rPr>
          <w:sz w:val="20"/>
          <w:szCs w:val="20"/>
          <w:color w:val="auto"/>
        </w:rPr>
      </w:pPr>
    </w:p>
    <w:p>
      <w:pPr>
        <w:ind w:right="200"/>
        <w:spacing w:after="0" w:line="277" w:lineRule="auto"/>
        <w:rPr>
          <w:sz w:val="20"/>
          <w:szCs w:val="20"/>
          <w:color w:val="auto"/>
        </w:rPr>
      </w:pPr>
      <w:r>
        <w:rPr>
          <w:rFonts w:ascii="Arial" w:cs="Arial" w:eastAsia="Arial" w:hAnsi="Arial"/>
          <w:sz w:val="17"/>
          <w:szCs w:val="17"/>
          <w:color w:val="auto"/>
        </w:rPr>
        <w:t>grant-date fair value greater than $ , but this limit is increased to $ in connection with his or her initial service (in each case, excluding awards granted to him or her as a consultant or employee). The grant-date fair values will be determined according to GAAP. The maximum limits do not reflect the intended size of any potential grants or a commitment to make grants to our outside directors under our 2018 Plan in the future.</w:t>
      </w:r>
    </w:p>
    <w:p>
      <w:pPr>
        <w:spacing w:after="0" w:line="173" w:lineRule="exact"/>
        <w:rPr>
          <w:sz w:val="20"/>
          <w:szCs w:val="20"/>
          <w:color w:val="auto"/>
        </w:rPr>
      </w:pPr>
    </w:p>
    <w:p>
      <w:pPr>
        <w:ind w:right="80" w:firstLine="449"/>
        <w:spacing w:after="0" w:line="263" w:lineRule="auto"/>
        <w:rPr>
          <w:sz w:val="20"/>
          <w:szCs w:val="20"/>
          <w:color w:val="auto"/>
        </w:rPr>
      </w:pPr>
      <w:r>
        <w:rPr>
          <w:rFonts w:ascii="Arial" w:cs="Arial" w:eastAsia="Arial" w:hAnsi="Arial"/>
          <w:sz w:val="18"/>
          <w:szCs w:val="18"/>
          <w:i w:val="1"/>
          <w:iCs w:val="1"/>
          <w:color w:val="auto"/>
        </w:rPr>
        <w:t>Non-transferability of awards</w:t>
      </w:r>
      <w:r>
        <w:rPr>
          <w:rFonts w:ascii="Arial" w:cs="Arial" w:eastAsia="Arial" w:hAnsi="Arial"/>
          <w:sz w:val="18"/>
          <w:szCs w:val="18"/>
          <w:color w:val="auto"/>
        </w:rPr>
        <w:t>. Unless the administrator provides otherwise, our 2018 Plan generally does not allow for the transfer of awards and</w:t>
      </w:r>
      <w:r>
        <w:rPr>
          <w:rFonts w:ascii="Arial" w:cs="Arial" w:eastAsia="Arial" w:hAnsi="Arial"/>
          <w:sz w:val="18"/>
          <w:szCs w:val="18"/>
          <w:i w:val="1"/>
          <w:iCs w:val="1"/>
          <w:color w:val="auto"/>
        </w:rPr>
        <w:t xml:space="preserve"> </w:t>
      </w:r>
      <w:r>
        <w:rPr>
          <w:rFonts w:ascii="Arial" w:cs="Arial" w:eastAsia="Arial" w:hAnsi="Arial"/>
          <w:sz w:val="18"/>
          <w:szCs w:val="18"/>
          <w:color w:val="auto"/>
        </w:rPr>
        <w:t>only the recipient of an award may exercise an award during his or her lifetime. If the administrator makes an award transferrable, such award will contain such additional terms and conditions as the administrator deems appropriate.</w:t>
      </w:r>
    </w:p>
    <w:p>
      <w:pPr>
        <w:spacing w:after="0" w:line="184" w:lineRule="exact"/>
        <w:rPr>
          <w:sz w:val="20"/>
          <w:szCs w:val="20"/>
          <w:color w:val="auto"/>
        </w:rPr>
      </w:pPr>
    </w:p>
    <w:p>
      <w:pPr>
        <w:jc w:val="both"/>
        <w:ind w:right="180" w:firstLine="449"/>
        <w:spacing w:after="0" w:line="286" w:lineRule="auto"/>
        <w:rPr>
          <w:sz w:val="20"/>
          <w:szCs w:val="20"/>
          <w:color w:val="auto"/>
        </w:rPr>
      </w:pPr>
      <w:r>
        <w:rPr>
          <w:rFonts w:ascii="Arial" w:cs="Arial" w:eastAsia="Arial" w:hAnsi="Arial"/>
          <w:sz w:val="17"/>
          <w:szCs w:val="17"/>
          <w:i w:val="1"/>
          <w:iCs w:val="1"/>
          <w:color w:val="auto"/>
        </w:rPr>
        <w:t>Certain adjustments</w:t>
      </w:r>
      <w:r>
        <w:rPr>
          <w:rFonts w:ascii="Arial" w:cs="Arial" w:eastAsia="Arial" w:hAnsi="Arial"/>
          <w:sz w:val="17"/>
          <w:szCs w:val="17"/>
          <w:color w:val="auto"/>
        </w:rPr>
        <w:t>. In the event of certain changes in our capitalization, to prevent diminution or enlargement of the benefits or potential benefits</w:t>
      </w:r>
      <w:r>
        <w:rPr>
          <w:rFonts w:ascii="Arial" w:cs="Arial" w:eastAsia="Arial" w:hAnsi="Arial"/>
          <w:sz w:val="17"/>
          <w:szCs w:val="17"/>
          <w:i w:val="1"/>
          <w:iCs w:val="1"/>
          <w:color w:val="auto"/>
        </w:rPr>
        <w:t xml:space="preserve"> </w:t>
      </w:r>
      <w:r>
        <w:rPr>
          <w:rFonts w:ascii="Arial" w:cs="Arial" w:eastAsia="Arial" w:hAnsi="Arial"/>
          <w:sz w:val="17"/>
          <w:szCs w:val="17"/>
          <w:color w:val="auto"/>
        </w:rPr>
        <w:t>available under our 2018 Plan, the administrator will adjust the number and class of shares that may be delivered under our 2018 Plan and/or the number, class, and price of shares covered by each outstanding award, and the numerical share limits set forth in our 2018 Plan.</w:t>
      </w:r>
    </w:p>
    <w:p>
      <w:pPr>
        <w:spacing w:after="0" w:line="165" w:lineRule="exact"/>
        <w:rPr>
          <w:sz w:val="20"/>
          <w:szCs w:val="20"/>
          <w:color w:val="auto"/>
        </w:rPr>
      </w:pPr>
    </w:p>
    <w:p>
      <w:pPr>
        <w:ind w:firstLine="449"/>
        <w:spacing w:after="0" w:line="277" w:lineRule="auto"/>
        <w:rPr>
          <w:sz w:val="20"/>
          <w:szCs w:val="20"/>
          <w:color w:val="auto"/>
        </w:rPr>
      </w:pPr>
      <w:r>
        <w:rPr>
          <w:rFonts w:ascii="Arial" w:cs="Arial" w:eastAsia="Arial" w:hAnsi="Arial"/>
          <w:sz w:val="18"/>
          <w:szCs w:val="18"/>
          <w:i w:val="1"/>
          <w:iCs w:val="1"/>
          <w:color w:val="auto"/>
        </w:rPr>
        <w:t>Dissolution or liquidation</w:t>
      </w:r>
      <w:r>
        <w:rPr>
          <w:rFonts w:ascii="Arial" w:cs="Arial" w:eastAsia="Arial" w:hAnsi="Arial"/>
          <w:sz w:val="18"/>
          <w:szCs w:val="18"/>
          <w:color w:val="auto"/>
        </w:rPr>
        <w:t>. In the event of our proposed liquidation or dissolution, the administrator will notify participants as soon as practicable and</w:t>
      </w:r>
      <w:r>
        <w:rPr>
          <w:rFonts w:ascii="Arial" w:cs="Arial" w:eastAsia="Arial" w:hAnsi="Arial"/>
          <w:sz w:val="18"/>
          <w:szCs w:val="18"/>
          <w:i w:val="1"/>
          <w:iCs w:val="1"/>
          <w:color w:val="auto"/>
        </w:rPr>
        <w:t xml:space="preserve"> </w:t>
      </w:r>
      <w:r>
        <w:rPr>
          <w:rFonts w:ascii="Arial" w:cs="Arial" w:eastAsia="Arial" w:hAnsi="Arial"/>
          <w:sz w:val="18"/>
          <w:szCs w:val="18"/>
          <w:color w:val="auto"/>
        </w:rPr>
        <w:t>all awards will terminate immediately prior to the consummation of such proposed transaction.</w:t>
      </w:r>
    </w:p>
    <w:p>
      <w:pPr>
        <w:spacing w:after="0" w:line="170" w:lineRule="exact"/>
        <w:rPr>
          <w:sz w:val="20"/>
          <w:szCs w:val="20"/>
          <w:color w:val="auto"/>
        </w:rPr>
      </w:pPr>
    </w:p>
    <w:p>
      <w:pPr>
        <w:ind w:right="40" w:firstLine="449"/>
        <w:spacing w:after="0" w:line="263" w:lineRule="auto"/>
        <w:rPr>
          <w:sz w:val="20"/>
          <w:szCs w:val="20"/>
          <w:color w:val="auto"/>
        </w:rPr>
      </w:pPr>
      <w:r>
        <w:rPr>
          <w:rFonts w:ascii="Arial" w:cs="Arial" w:eastAsia="Arial" w:hAnsi="Arial"/>
          <w:sz w:val="18"/>
          <w:szCs w:val="18"/>
          <w:i w:val="1"/>
          <w:iCs w:val="1"/>
          <w:color w:val="auto"/>
        </w:rPr>
        <w:t>Merger or change in control</w:t>
      </w:r>
      <w:r>
        <w:rPr>
          <w:rFonts w:ascii="Arial" w:cs="Arial" w:eastAsia="Arial" w:hAnsi="Arial"/>
          <w:sz w:val="18"/>
          <w:szCs w:val="18"/>
          <w:color w:val="auto"/>
        </w:rPr>
        <w:t>. Our 2018 Plan provides that in the event of a merger or change in control, as defined under our 2018 Plan, each</w:t>
      </w:r>
      <w:r>
        <w:rPr>
          <w:rFonts w:ascii="Arial" w:cs="Arial" w:eastAsia="Arial" w:hAnsi="Arial"/>
          <w:sz w:val="18"/>
          <w:szCs w:val="18"/>
          <w:i w:val="1"/>
          <w:iCs w:val="1"/>
          <w:color w:val="auto"/>
        </w:rPr>
        <w:t xml:space="preserve"> </w:t>
      </w:r>
      <w:r>
        <w:rPr>
          <w:rFonts w:ascii="Arial" w:cs="Arial" w:eastAsia="Arial" w:hAnsi="Arial"/>
          <w:sz w:val="18"/>
          <w:szCs w:val="18"/>
          <w:color w:val="auto"/>
        </w:rPr>
        <w:t>outstanding award will be treated as the administrator determines, without a requirement to obtain a participant’s consent. The administrator is not required to treat all awards, all awards held by a participant, or all awards of the same type, similarly.</w:t>
      </w:r>
    </w:p>
    <w:p>
      <w:pPr>
        <w:spacing w:after="0" w:line="184" w:lineRule="exact"/>
        <w:rPr>
          <w:sz w:val="20"/>
          <w:szCs w:val="20"/>
          <w:color w:val="auto"/>
        </w:rPr>
      </w:pPr>
    </w:p>
    <w:p>
      <w:pPr>
        <w:ind w:firstLine="449"/>
        <w:spacing w:after="0" w:line="272" w:lineRule="auto"/>
        <w:rPr>
          <w:sz w:val="20"/>
          <w:szCs w:val="20"/>
          <w:color w:val="auto"/>
        </w:rPr>
      </w:pPr>
      <w:r>
        <w:rPr>
          <w:rFonts w:ascii="Arial" w:cs="Arial" w:eastAsia="Arial" w:hAnsi="Arial"/>
          <w:sz w:val="17"/>
          <w:szCs w:val="17"/>
          <w:color w:val="auto"/>
        </w:rPr>
        <w:t>In the event that a successor corporation or its parent or subsidiary does not assume or substitute an equivalent award for any outstanding award, then such award will fully vest, all restrictions on such award will lapse, all performance goals or other vesting criteria applicable to such award will be deemed achieved at 100% of target levels and such award will become fully exercisable, if applicable, for a specified period prior to the transaction, unless specifically provided for otherwise under the applicable award agreement or other written agreement with the participant. The award will then terminate upon the expiration of the specified period of time. If an option or stock appreciation right is not assumed or substituted, the administrator will notify the participant in writing or electronically that such option or stock appreciation right will be exercisable for a period of time determined by the administrator in its sole discretion and the option or stock appreciation right will terminate upon the expiration of such period.</w:t>
      </w:r>
    </w:p>
    <w:p>
      <w:pPr>
        <w:spacing w:after="0" w:line="177" w:lineRule="exact"/>
        <w:rPr>
          <w:sz w:val="20"/>
          <w:szCs w:val="20"/>
          <w:color w:val="auto"/>
        </w:rPr>
      </w:pPr>
    </w:p>
    <w:p>
      <w:pPr>
        <w:ind w:right="100" w:firstLine="449"/>
        <w:spacing w:after="0" w:line="301" w:lineRule="auto"/>
        <w:rPr>
          <w:sz w:val="20"/>
          <w:szCs w:val="20"/>
          <w:color w:val="auto"/>
        </w:rPr>
      </w:pPr>
      <w:r>
        <w:rPr>
          <w:rFonts w:ascii="Arial" w:cs="Arial" w:eastAsia="Arial" w:hAnsi="Arial"/>
          <w:sz w:val="16"/>
          <w:szCs w:val="16"/>
          <w:color w:val="auto"/>
        </w:rPr>
        <w:t>If an outside director’s awards are assumed or substituted for in a merger or change in control and the service of such outside director is terminated on or following a change in control, other than pursuant to a voluntary resignation, his or her options and stock appreciation rights, if any, will vest fully and become immediately exercisable, all restrictions on his or her restricted stock and restricted stock units will lapse and all performance goals or other vesting requirements for his or her performance shares and units will be deemed achieved at 100% of target levels, and all other terms and conditions met.</w:t>
      </w:r>
    </w:p>
    <w:p>
      <w:pPr>
        <w:spacing w:after="0" w:line="9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118</w:t>
      </w:r>
    </w:p>
    <w:p>
      <w:pPr>
        <w:sectPr>
          <w:pgSz w:w="11900" w:h="16838" w:orient="portrait"/>
          <w:cols w:equalWidth="0" w:num="1">
            <w:col w:w="11220"/>
          </w:cols>
          <w:pgMar w:left="320" w:top="459" w:right="359" w:bottom="1440" w:gutter="0" w:footer="0" w:header="0"/>
        </w:sectPr>
      </w:pPr>
    </w:p>
    <w:bookmarkStart w:id="121" w:name="page122"/>
    <w:bookmarkEnd w:id="1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firstLine="449"/>
        <w:spacing w:after="0" w:line="257" w:lineRule="auto"/>
        <w:rPr>
          <w:sz w:val="20"/>
          <w:szCs w:val="20"/>
          <w:color w:val="auto"/>
        </w:rPr>
      </w:pPr>
      <w:r>
        <w:rPr>
          <w:rFonts w:ascii="Arial" w:cs="Arial" w:eastAsia="Arial" w:hAnsi="Arial"/>
          <w:sz w:val="18"/>
          <w:szCs w:val="18"/>
          <w:i w:val="1"/>
          <w:iCs w:val="1"/>
          <w:color w:val="auto"/>
        </w:rPr>
        <w:t xml:space="preserve">Clawback. </w:t>
      </w:r>
      <w:r>
        <w:rPr>
          <w:rFonts w:ascii="Arial" w:cs="Arial" w:eastAsia="Arial" w:hAnsi="Arial"/>
          <w:sz w:val="18"/>
          <w:szCs w:val="18"/>
          <w:color w:val="auto"/>
        </w:rPr>
        <w:t>Awards will be subject to any clawback policy of ours, and the administrator also may specify in an award agreement that the participant’s</w:t>
      </w:r>
      <w:r>
        <w:rPr>
          <w:rFonts w:ascii="Arial" w:cs="Arial" w:eastAsia="Arial" w:hAnsi="Arial"/>
          <w:sz w:val="18"/>
          <w:szCs w:val="18"/>
          <w:i w:val="1"/>
          <w:iCs w:val="1"/>
          <w:color w:val="auto"/>
        </w:rPr>
        <w:t xml:space="preserve"> </w:t>
      </w:r>
      <w:r>
        <w:rPr>
          <w:rFonts w:ascii="Arial" w:cs="Arial" w:eastAsia="Arial" w:hAnsi="Arial"/>
          <w:sz w:val="18"/>
          <w:szCs w:val="18"/>
          <w:color w:val="auto"/>
        </w:rPr>
        <w:t>rights, payments, and/or benefits with respect to an award will be subject to reduction, cancellation, forfeiture, and/or recoupment upon the occurrence of certain specified events. Our Board of Directors may require a participant to forfeit, return, or reimburse us all or a portion of the award and/or shares issued under the award, any amounts paid under the award, and any payments or proceeds paid or provided upon disposition of the shares issued under the award in order to comply with such clawback policy or applicable laws</w:t>
      </w:r>
      <w:r>
        <w:rPr>
          <w:rFonts w:ascii="Arial" w:cs="Arial" w:eastAsia="Arial" w:hAnsi="Arial"/>
          <w:sz w:val="18"/>
          <w:szCs w:val="18"/>
          <w:i w:val="1"/>
          <w:iCs w:val="1"/>
          <w:color w:val="auto"/>
        </w:rPr>
        <w:t>.</w:t>
      </w:r>
    </w:p>
    <w:p>
      <w:pPr>
        <w:spacing w:after="0" w:line="188" w:lineRule="exact"/>
        <w:rPr>
          <w:sz w:val="20"/>
          <w:szCs w:val="20"/>
          <w:color w:val="auto"/>
        </w:rPr>
      </w:pPr>
    </w:p>
    <w:p>
      <w:pPr>
        <w:ind w:right="240" w:firstLine="449"/>
        <w:spacing w:after="0" w:line="277" w:lineRule="auto"/>
        <w:rPr>
          <w:sz w:val="20"/>
          <w:szCs w:val="20"/>
          <w:color w:val="auto"/>
        </w:rPr>
      </w:pPr>
      <w:r>
        <w:rPr>
          <w:rFonts w:ascii="Arial" w:cs="Arial" w:eastAsia="Arial" w:hAnsi="Arial"/>
          <w:sz w:val="18"/>
          <w:szCs w:val="18"/>
          <w:i w:val="1"/>
          <w:iCs w:val="1"/>
          <w:color w:val="auto"/>
        </w:rPr>
        <w:t>Amendment; termination</w:t>
      </w:r>
      <w:r>
        <w:rPr>
          <w:rFonts w:ascii="Arial" w:cs="Arial" w:eastAsia="Arial" w:hAnsi="Arial"/>
          <w:sz w:val="18"/>
          <w:szCs w:val="18"/>
          <w:color w:val="auto"/>
        </w:rPr>
        <w:t>. The administrator has the authority to amend, suspend, or terminate our 2018 Plan provided such action does not impair</w:t>
      </w:r>
      <w:r>
        <w:rPr>
          <w:rFonts w:ascii="Arial" w:cs="Arial" w:eastAsia="Arial" w:hAnsi="Arial"/>
          <w:sz w:val="18"/>
          <w:szCs w:val="18"/>
          <w:i w:val="1"/>
          <w:iCs w:val="1"/>
          <w:color w:val="auto"/>
        </w:rPr>
        <w:t xml:space="preserve"> </w:t>
      </w:r>
      <w:r>
        <w:rPr>
          <w:rFonts w:ascii="Arial" w:cs="Arial" w:eastAsia="Arial" w:hAnsi="Arial"/>
          <w:sz w:val="18"/>
          <w:szCs w:val="18"/>
          <w:color w:val="auto"/>
        </w:rPr>
        <w:t>the existing rights of any participant. Our 2018 Plan automatically will terminate in 2028, unless we terminate it sooner.</w:t>
      </w:r>
    </w:p>
    <w:p>
      <w:pPr>
        <w:spacing w:after="0" w:line="278"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2018 Employee Stock Purchase Plan</w:t>
      </w:r>
    </w:p>
    <w:p>
      <w:pPr>
        <w:spacing w:after="0" w:line="117" w:lineRule="exact"/>
        <w:rPr>
          <w:sz w:val="20"/>
          <w:szCs w:val="20"/>
          <w:color w:val="auto"/>
        </w:rPr>
      </w:pPr>
    </w:p>
    <w:p>
      <w:pPr>
        <w:ind w:right="60" w:firstLine="449"/>
        <w:spacing w:after="0" w:line="259" w:lineRule="auto"/>
        <w:rPr>
          <w:sz w:val="20"/>
          <w:szCs w:val="20"/>
          <w:color w:val="auto"/>
        </w:rPr>
      </w:pPr>
      <w:r>
        <w:rPr>
          <w:rFonts w:ascii="Arial" w:cs="Arial" w:eastAsia="Arial" w:hAnsi="Arial"/>
          <w:sz w:val="18"/>
          <w:szCs w:val="18"/>
          <w:color w:val="auto"/>
        </w:rPr>
        <w:t>Prior to the effectiveness of this offering, our Board of Directors intends to adopt, and we expect our stockholders will approve, our Employee Stock Purchase Plan, or the ESPP. Our ESPP will be effective on the business day immediately prior to the effective date of the registration statement of which this prospectus forms a part. However, no offering period or purchase period under the ESPP will begin unless and until determined by our Board of Directors.</w:t>
      </w:r>
    </w:p>
    <w:p>
      <w:pPr>
        <w:spacing w:after="0" w:line="187" w:lineRule="exact"/>
        <w:rPr>
          <w:sz w:val="20"/>
          <w:szCs w:val="20"/>
          <w:color w:val="auto"/>
        </w:rPr>
      </w:pPr>
    </w:p>
    <w:p>
      <w:pPr>
        <w:ind w:right="300" w:firstLine="449"/>
        <w:spacing w:after="0" w:line="263" w:lineRule="auto"/>
        <w:rPr>
          <w:sz w:val="20"/>
          <w:szCs w:val="20"/>
          <w:color w:val="auto"/>
        </w:rPr>
      </w:pPr>
      <w:r>
        <w:rPr>
          <w:rFonts w:ascii="Arial" w:cs="Arial" w:eastAsia="Arial" w:hAnsi="Arial"/>
          <w:sz w:val="18"/>
          <w:szCs w:val="18"/>
          <w:i w:val="1"/>
          <w:iCs w:val="1"/>
          <w:color w:val="auto"/>
        </w:rPr>
        <w:t>Authorized shares</w:t>
      </w:r>
      <w:r>
        <w:rPr>
          <w:rFonts w:ascii="Arial" w:cs="Arial" w:eastAsia="Arial" w:hAnsi="Arial"/>
          <w:sz w:val="18"/>
          <w:szCs w:val="18"/>
          <w:color w:val="auto"/>
        </w:rPr>
        <w:t>. A total of shares of our Class A common stock will be available for sale under our ESPP. The number of shares of our</w:t>
      </w:r>
      <w:r>
        <w:rPr>
          <w:rFonts w:ascii="Arial" w:cs="Arial" w:eastAsia="Arial" w:hAnsi="Arial"/>
          <w:sz w:val="18"/>
          <w:szCs w:val="18"/>
          <w:i w:val="1"/>
          <w:iCs w:val="1"/>
          <w:color w:val="auto"/>
        </w:rPr>
        <w:t xml:space="preserve"> </w:t>
      </w:r>
      <w:r>
        <w:rPr>
          <w:rFonts w:ascii="Arial" w:cs="Arial" w:eastAsia="Arial" w:hAnsi="Arial"/>
          <w:sz w:val="18"/>
          <w:szCs w:val="18"/>
          <w:color w:val="auto"/>
        </w:rPr>
        <w:t>Class A common stock that will be available for sale under our ESPP also includes an annual increase on the first day of each fiscal year beginning on January 1, 2019, equal to the least of:</w:t>
      </w:r>
    </w:p>
    <w:p>
      <w:pPr>
        <w:spacing w:after="0" w:line="89" w:lineRule="exact"/>
        <w:rPr>
          <w:sz w:val="20"/>
          <w:szCs w:val="20"/>
          <w:color w:val="auto"/>
        </w:rPr>
      </w:pPr>
    </w:p>
    <w:p>
      <w:pPr>
        <w:ind w:left="1480" w:hanging="919"/>
        <w:spacing w:after="0"/>
        <w:tabs>
          <w:tab w:leader="none" w:pos="1480" w:val="left"/>
        </w:tabs>
        <w:numPr>
          <w:ilvl w:val="0"/>
          <w:numId w:val="76"/>
        </w:numPr>
        <w:rPr>
          <w:rFonts w:ascii="Arial" w:cs="Arial" w:eastAsia="Arial" w:hAnsi="Arial"/>
          <w:sz w:val="18"/>
          <w:szCs w:val="18"/>
          <w:color w:val="auto"/>
        </w:rPr>
      </w:pPr>
      <w:r>
        <w:rPr>
          <w:rFonts w:ascii="Arial" w:cs="Arial" w:eastAsia="Arial" w:hAnsi="Arial"/>
          <w:sz w:val="18"/>
          <w:szCs w:val="18"/>
          <w:color w:val="auto"/>
        </w:rPr>
        <w:t>shares of our Class A common stock;</w:t>
      </w:r>
    </w:p>
    <w:p>
      <w:pPr>
        <w:spacing w:after="0" w:line="130" w:lineRule="exact"/>
        <w:rPr>
          <w:rFonts w:ascii="Arial" w:cs="Arial" w:eastAsia="Arial" w:hAnsi="Arial"/>
          <w:sz w:val="18"/>
          <w:szCs w:val="18"/>
          <w:color w:val="auto"/>
        </w:rPr>
      </w:pPr>
    </w:p>
    <w:p>
      <w:pPr>
        <w:ind w:left="1480" w:hanging="919"/>
        <w:spacing w:after="0"/>
        <w:tabs>
          <w:tab w:leader="none" w:pos="1480" w:val="left"/>
        </w:tabs>
        <w:numPr>
          <w:ilvl w:val="0"/>
          <w:numId w:val="76"/>
        </w:numPr>
        <w:rPr>
          <w:rFonts w:ascii="Arial" w:cs="Arial" w:eastAsia="Arial" w:hAnsi="Arial"/>
          <w:sz w:val="18"/>
          <w:szCs w:val="18"/>
          <w:color w:val="auto"/>
        </w:rPr>
      </w:pPr>
      <w:r>
        <w:rPr>
          <w:rFonts w:ascii="Arial" w:cs="Arial" w:eastAsia="Arial" w:hAnsi="Arial"/>
          <w:sz w:val="18"/>
          <w:szCs w:val="18"/>
          <w:color w:val="auto"/>
        </w:rPr>
        <w:t>percent (  %) of the outstanding shares of our capital stock as of the last day of the immediately preceding fiscal year; or</w:t>
      </w:r>
    </w:p>
    <w:p>
      <w:pPr>
        <w:spacing w:after="0" w:line="130" w:lineRule="exact"/>
        <w:rPr>
          <w:rFonts w:ascii="Arial" w:cs="Arial" w:eastAsia="Arial" w:hAnsi="Arial"/>
          <w:sz w:val="18"/>
          <w:szCs w:val="18"/>
          <w:color w:val="auto"/>
        </w:rPr>
      </w:pPr>
    </w:p>
    <w:p>
      <w:pPr>
        <w:ind w:left="880" w:hanging="319"/>
        <w:spacing w:after="0"/>
        <w:tabs>
          <w:tab w:leader="none" w:pos="880" w:val="left"/>
        </w:tabs>
        <w:numPr>
          <w:ilvl w:val="0"/>
          <w:numId w:val="76"/>
        </w:numPr>
        <w:rPr>
          <w:rFonts w:ascii="Arial" w:cs="Arial" w:eastAsia="Arial" w:hAnsi="Arial"/>
          <w:sz w:val="18"/>
          <w:szCs w:val="18"/>
          <w:color w:val="auto"/>
        </w:rPr>
      </w:pPr>
      <w:r>
        <w:rPr>
          <w:rFonts w:ascii="Arial" w:cs="Arial" w:eastAsia="Arial" w:hAnsi="Arial"/>
          <w:sz w:val="18"/>
          <w:szCs w:val="18"/>
          <w:color w:val="auto"/>
        </w:rPr>
        <w:t>such other amount as the administrator may determine.</w:t>
      </w:r>
    </w:p>
    <w:p>
      <w:pPr>
        <w:spacing w:after="0" w:line="225" w:lineRule="exact"/>
        <w:rPr>
          <w:sz w:val="20"/>
          <w:szCs w:val="20"/>
          <w:color w:val="auto"/>
        </w:rPr>
      </w:pPr>
    </w:p>
    <w:p>
      <w:pPr>
        <w:ind w:firstLine="449"/>
        <w:spacing w:after="0" w:line="253" w:lineRule="auto"/>
        <w:rPr>
          <w:sz w:val="20"/>
          <w:szCs w:val="20"/>
          <w:color w:val="auto"/>
        </w:rPr>
      </w:pPr>
      <w:r>
        <w:rPr>
          <w:rFonts w:ascii="Arial" w:cs="Arial" w:eastAsia="Arial" w:hAnsi="Arial"/>
          <w:sz w:val="18"/>
          <w:szCs w:val="18"/>
          <w:i w:val="1"/>
          <w:iCs w:val="1"/>
          <w:color w:val="auto"/>
        </w:rPr>
        <w:t>Plan administration</w:t>
      </w:r>
      <w:r>
        <w:rPr>
          <w:rFonts w:ascii="Arial" w:cs="Arial" w:eastAsia="Arial" w:hAnsi="Arial"/>
          <w:sz w:val="18"/>
          <w:szCs w:val="18"/>
          <w:color w:val="auto"/>
        </w:rPr>
        <w:t>. Our Board of Directors, or a committee appointed by our Board of Directors will administer our ESPP, and have full but</w:t>
      </w:r>
      <w:r>
        <w:rPr>
          <w:rFonts w:ascii="Arial" w:cs="Arial" w:eastAsia="Arial" w:hAnsi="Arial"/>
          <w:sz w:val="18"/>
          <w:szCs w:val="18"/>
          <w:i w:val="1"/>
          <w:iCs w:val="1"/>
          <w:color w:val="auto"/>
        </w:rPr>
        <w:t xml:space="preserve"> </w:t>
      </w:r>
      <w:r>
        <w:rPr>
          <w:rFonts w:ascii="Arial" w:cs="Arial" w:eastAsia="Arial" w:hAnsi="Arial"/>
          <w:sz w:val="18"/>
          <w:szCs w:val="18"/>
          <w:color w:val="auto"/>
        </w:rPr>
        <w:t>non-exclusive authority to interpret the terms of our ESPP and determine eligibility to participate, subject to the conditions of our ESPP, as described below. We expect our compensation committee to administer our ESPP. The administrator will have full and exclusive discretionary authority to construe, interpret, and apply the terms of the ESPP, to delegate ministerial duties to any of our employees, to designate separate offerings under the ESPP, to designate our subsidiaries and affiliates as participating in the ESPP, to determine eligibility, to adjudicate all disputed claims filed under the ESPP and to establish procedures that it deems necessary or advisable for the administration of the ESPP, including, but not limited to, adopting such procedures, sub-plans, and appendices to the enrollment agreement as are necessary or appropriate to permit participation in the ESPP by employees who are foreign nationals or employed outside the U.S. The administrator’s findings, decisions, and determinations are final and binding on all participants to the full extent permitted by law.</w:t>
      </w:r>
    </w:p>
    <w:p>
      <w:pPr>
        <w:spacing w:after="0" w:line="196" w:lineRule="exact"/>
        <w:rPr>
          <w:sz w:val="20"/>
          <w:szCs w:val="20"/>
          <w:color w:val="auto"/>
        </w:rPr>
      </w:pPr>
    </w:p>
    <w:p>
      <w:pPr>
        <w:ind w:right="40" w:firstLine="449"/>
        <w:spacing w:after="0" w:line="273" w:lineRule="auto"/>
        <w:rPr>
          <w:sz w:val="20"/>
          <w:szCs w:val="20"/>
          <w:color w:val="auto"/>
        </w:rPr>
      </w:pPr>
      <w:r>
        <w:rPr>
          <w:rFonts w:ascii="Arial" w:cs="Arial" w:eastAsia="Arial" w:hAnsi="Arial"/>
          <w:sz w:val="17"/>
          <w:szCs w:val="17"/>
          <w:i w:val="1"/>
          <w:iCs w:val="1"/>
          <w:color w:val="auto"/>
        </w:rPr>
        <w:t>Eligibility</w:t>
      </w:r>
      <w:r>
        <w:rPr>
          <w:rFonts w:ascii="Arial" w:cs="Arial" w:eastAsia="Arial" w:hAnsi="Arial"/>
          <w:sz w:val="17"/>
          <w:szCs w:val="17"/>
          <w:color w:val="auto"/>
        </w:rPr>
        <w:t>. Generally, all of our employees will be eligible to participate if they are customarily employed by us, or any participating subsidiary, for</w:t>
      </w:r>
      <w:r>
        <w:rPr>
          <w:rFonts w:ascii="Arial" w:cs="Arial" w:eastAsia="Arial" w:hAnsi="Arial"/>
          <w:sz w:val="17"/>
          <w:szCs w:val="17"/>
          <w:i w:val="1"/>
          <w:iCs w:val="1"/>
          <w:color w:val="auto"/>
        </w:rPr>
        <w:t xml:space="preserve"> </w:t>
      </w:r>
      <w:r>
        <w:rPr>
          <w:rFonts w:ascii="Arial" w:cs="Arial" w:eastAsia="Arial" w:hAnsi="Arial"/>
          <w:sz w:val="17"/>
          <w:szCs w:val="17"/>
          <w:color w:val="auto"/>
        </w:rPr>
        <w:t>at least 20 hours per week and more than five months in any calendar year. The administrator, in its discretion, may, prior to an enrollment date for all options granted on such enrollment date in an offering, determine that an employee who (i) has not completed at least two years of service (or a lesser period of time determined by the administrator) since his or her last hire date, (ii) customarily works not more than 20 hours per week (or a lesser period of time determined by the administrator), (iii) customarily works not more than five months per calendar year (or a lesser period of time determined by the administrator), (iv) is a highly compensated employee within the meaning of Section 414(q) of the Code, and</w:t>
      </w:r>
    </w:p>
    <w:p>
      <w:pPr>
        <w:spacing w:after="0" w:line="11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119</w:t>
      </w:r>
    </w:p>
    <w:p>
      <w:pPr>
        <w:sectPr>
          <w:pgSz w:w="11900" w:h="16838" w:orient="portrait"/>
          <w:cols w:equalWidth="0" w:num="1">
            <w:col w:w="11220"/>
          </w:cols>
          <w:pgMar w:left="320" w:top="459" w:right="359" w:bottom="1440" w:gutter="0" w:footer="0" w:header="0"/>
        </w:sectPr>
      </w:pPr>
    </w:p>
    <w:bookmarkStart w:id="122" w:name="page123"/>
    <w:bookmarkEnd w:id="1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right="80" w:firstLine="8"/>
        <w:spacing w:after="0" w:line="308" w:lineRule="auto"/>
        <w:tabs>
          <w:tab w:leader="none" w:pos="255" w:val="left"/>
        </w:tabs>
        <w:numPr>
          <w:ilvl w:val="0"/>
          <w:numId w:val="77"/>
        </w:numPr>
        <w:rPr>
          <w:rFonts w:ascii="Arial" w:cs="Arial" w:eastAsia="Arial" w:hAnsi="Arial"/>
          <w:sz w:val="17"/>
          <w:szCs w:val="17"/>
          <w:color w:val="auto"/>
        </w:rPr>
      </w:pPr>
      <w:r>
        <w:rPr>
          <w:rFonts w:ascii="Arial" w:cs="Arial" w:eastAsia="Arial" w:hAnsi="Arial"/>
          <w:sz w:val="17"/>
          <w:szCs w:val="17"/>
          <w:color w:val="auto"/>
        </w:rPr>
        <w:t>is a highly compensated employee within the meaning of Section 414(q) of the Code with compensation above a certain level or is an officer or subject to disclosure requirements under Section 16(a) of the Exchange Act, is or is not eligible to participate in such offering period.</w:t>
      </w:r>
    </w:p>
    <w:p>
      <w:pPr>
        <w:spacing w:after="0" w:line="14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However, an employee may not be granted rights to purchase shares of our Class A common stock under our ESPP if such employee:</w:t>
      </w:r>
    </w:p>
    <w:p>
      <w:pPr>
        <w:spacing w:after="0" w:line="131" w:lineRule="exact"/>
        <w:rPr>
          <w:sz w:val="20"/>
          <w:szCs w:val="20"/>
          <w:color w:val="auto"/>
        </w:rPr>
      </w:pPr>
    </w:p>
    <w:p>
      <w:pPr>
        <w:ind w:left="880" w:right="220" w:hanging="319"/>
        <w:spacing w:after="0" w:line="277" w:lineRule="auto"/>
        <w:tabs>
          <w:tab w:leader="none" w:pos="880" w:val="left"/>
        </w:tabs>
        <w:numPr>
          <w:ilvl w:val="0"/>
          <w:numId w:val="78"/>
        </w:numPr>
        <w:rPr>
          <w:rFonts w:ascii="Arial" w:cs="Arial" w:eastAsia="Arial" w:hAnsi="Arial"/>
          <w:sz w:val="18"/>
          <w:szCs w:val="18"/>
          <w:color w:val="auto"/>
        </w:rPr>
      </w:pPr>
      <w:r>
        <w:rPr>
          <w:rFonts w:ascii="Arial" w:cs="Arial" w:eastAsia="Arial" w:hAnsi="Arial"/>
          <w:sz w:val="18"/>
          <w:szCs w:val="18"/>
          <w:color w:val="auto"/>
        </w:rPr>
        <w:t>immediately after the grant would own capital stock possessing 5% or more of the total combined voting power or value of all classes of our capital stock; or</w:t>
      </w:r>
    </w:p>
    <w:p>
      <w:pPr>
        <w:spacing w:after="0" w:line="75" w:lineRule="exact"/>
        <w:rPr>
          <w:rFonts w:ascii="Arial" w:cs="Arial" w:eastAsia="Arial" w:hAnsi="Arial"/>
          <w:sz w:val="18"/>
          <w:szCs w:val="18"/>
          <w:color w:val="auto"/>
        </w:rPr>
      </w:pPr>
    </w:p>
    <w:p>
      <w:pPr>
        <w:ind w:left="880" w:right="200" w:hanging="319"/>
        <w:spacing w:after="0" w:line="277" w:lineRule="auto"/>
        <w:tabs>
          <w:tab w:leader="none" w:pos="880" w:val="left"/>
        </w:tabs>
        <w:numPr>
          <w:ilvl w:val="0"/>
          <w:numId w:val="78"/>
        </w:numPr>
        <w:rPr>
          <w:rFonts w:ascii="Arial" w:cs="Arial" w:eastAsia="Arial" w:hAnsi="Arial"/>
          <w:sz w:val="18"/>
          <w:szCs w:val="18"/>
          <w:color w:val="auto"/>
        </w:rPr>
      </w:pPr>
      <w:r>
        <w:rPr>
          <w:rFonts w:ascii="Arial" w:cs="Arial" w:eastAsia="Arial" w:hAnsi="Arial"/>
          <w:sz w:val="18"/>
          <w:szCs w:val="18"/>
          <w:color w:val="auto"/>
        </w:rPr>
        <w:t>hold rights to purchase shares of our Class A common stock under all of our employee stock purchase plans that accrue at a rate that exceeds $25,000 worth of shares of our Class A common stock for each calendar year.</w:t>
      </w:r>
    </w:p>
    <w:p>
      <w:pPr>
        <w:spacing w:after="0" w:line="170" w:lineRule="exact"/>
        <w:rPr>
          <w:sz w:val="20"/>
          <w:szCs w:val="20"/>
          <w:color w:val="auto"/>
        </w:rPr>
      </w:pPr>
    </w:p>
    <w:p>
      <w:pPr>
        <w:ind w:right="40" w:firstLine="449"/>
        <w:spacing w:after="0" w:line="275" w:lineRule="auto"/>
        <w:rPr>
          <w:sz w:val="20"/>
          <w:szCs w:val="20"/>
          <w:color w:val="auto"/>
        </w:rPr>
      </w:pPr>
      <w:r>
        <w:rPr>
          <w:rFonts w:ascii="Arial" w:cs="Arial" w:eastAsia="Arial" w:hAnsi="Arial"/>
          <w:sz w:val="17"/>
          <w:szCs w:val="17"/>
          <w:i w:val="1"/>
          <w:iCs w:val="1"/>
          <w:color w:val="auto"/>
        </w:rPr>
        <w:t>Offering periods; purchase periods</w:t>
      </w:r>
      <w:r>
        <w:rPr>
          <w:rFonts w:ascii="Arial" w:cs="Arial" w:eastAsia="Arial" w:hAnsi="Arial"/>
          <w:sz w:val="17"/>
          <w:szCs w:val="17"/>
          <w:color w:val="auto"/>
        </w:rPr>
        <w:t>. Our ESPP includes a component that allows us to make offerings intended to qualify under Section 423 of the</w:t>
      </w:r>
      <w:r>
        <w:rPr>
          <w:rFonts w:ascii="Arial" w:cs="Arial" w:eastAsia="Arial" w:hAnsi="Arial"/>
          <w:sz w:val="17"/>
          <w:szCs w:val="17"/>
          <w:i w:val="1"/>
          <w:iCs w:val="1"/>
          <w:color w:val="auto"/>
        </w:rPr>
        <w:t xml:space="preserve"> </w:t>
      </w:r>
      <w:r>
        <w:rPr>
          <w:rFonts w:ascii="Arial" w:cs="Arial" w:eastAsia="Arial" w:hAnsi="Arial"/>
          <w:sz w:val="17"/>
          <w:szCs w:val="17"/>
          <w:color w:val="auto"/>
        </w:rPr>
        <w:t>Code and a component that allows us to make offerings not intended to qualify under Section 423 of the Code to designated companies, as described in our ESPP. No offerings have been authorized to date by our Board of Directors under the ESPP. If our Board of Directors authorizes an offering period under the ESPP, our Board of Directors is authorized to establish the duration of offering periods and purchase periods, including the starting and ending dates of offering periods and purchase periods, provided that no offering period may have a duration exceeding 27 months.</w:t>
      </w:r>
    </w:p>
    <w:p>
      <w:pPr>
        <w:spacing w:after="0" w:line="176" w:lineRule="exact"/>
        <w:rPr>
          <w:sz w:val="20"/>
          <w:szCs w:val="20"/>
          <w:color w:val="auto"/>
        </w:rPr>
      </w:pPr>
    </w:p>
    <w:p>
      <w:pPr>
        <w:ind w:right="120" w:firstLine="449"/>
        <w:spacing w:after="0" w:line="291" w:lineRule="auto"/>
        <w:rPr>
          <w:sz w:val="20"/>
          <w:szCs w:val="20"/>
          <w:color w:val="auto"/>
        </w:rPr>
      </w:pPr>
      <w:r>
        <w:rPr>
          <w:rFonts w:ascii="Arial" w:cs="Arial" w:eastAsia="Arial" w:hAnsi="Arial"/>
          <w:sz w:val="16"/>
          <w:szCs w:val="16"/>
          <w:i w:val="1"/>
          <w:iCs w:val="1"/>
          <w:color w:val="auto"/>
        </w:rPr>
        <w:t>Contributions</w:t>
      </w:r>
      <w:r>
        <w:rPr>
          <w:rFonts w:ascii="Arial" w:cs="Arial" w:eastAsia="Arial" w:hAnsi="Arial"/>
          <w:sz w:val="16"/>
          <w:szCs w:val="16"/>
          <w:color w:val="auto"/>
        </w:rPr>
        <w:t>. Our ESPP permits participants to purchase shares of our Class A common stock through contributions (in the form of payroll</w:t>
      </w:r>
      <w:r>
        <w:rPr>
          <w:rFonts w:ascii="Arial" w:cs="Arial" w:eastAsia="Arial" w:hAnsi="Arial"/>
          <w:sz w:val="16"/>
          <w:szCs w:val="16"/>
          <w:i w:val="1"/>
          <w:iCs w:val="1"/>
          <w:color w:val="auto"/>
        </w:rPr>
        <w:t xml:space="preserve"> </w:t>
      </w:r>
      <w:r>
        <w:rPr>
          <w:rFonts w:ascii="Arial" w:cs="Arial" w:eastAsia="Arial" w:hAnsi="Arial"/>
          <w:sz w:val="16"/>
          <w:szCs w:val="16"/>
          <w:color w:val="auto"/>
        </w:rPr>
        <w:t>deductions or otherwise to the extent permitted by the administrator) of up to % of their eligible compensation. A participant may purchase a maximum</w:t>
      </w:r>
    </w:p>
    <w:p>
      <w:pPr>
        <w:spacing w:after="0"/>
        <w:tabs>
          <w:tab w:leader="none" w:pos="760" w:val="left"/>
        </w:tabs>
        <w:rPr>
          <w:sz w:val="20"/>
          <w:szCs w:val="20"/>
          <w:color w:val="auto"/>
        </w:rPr>
      </w:pPr>
      <w:r>
        <w:rPr>
          <w:rFonts w:ascii="Arial" w:cs="Arial" w:eastAsia="Arial" w:hAnsi="Arial"/>
          <w:sz w:val="18"/>
          <w:szCs w:val="18"/>
          <w:color w:val="auto"/>
        </w:rPr>
        <w:t>of</w:t>
      </w:r>
      <w:r>
        <w:rPr>
          <w:sz w:val="20"/>
          <w:szCs w:val="20"/>
          <w:color w:val="auto"/>
        </w:rPr>
        <w:tab/>
      </w:r>
      <w:r>
        <w:rPr>
          <w:rFonts w:ascii="Arial" w:cs="Arial" w:eastAsia="Arial" w:hAnsi="Arial"/>
          <w:sz w:val="18"/>
          <w:szCs w:val="18"/>
          <w:color w:val="auto"/>
        </w:rPr>
        <w:t>shares of our Class A common stock during a purchase period.</w:t>
      </w:r>
    </w:p>
    <w:p>
      <w:pPr>
        <w:spacing w:after="0" w:line="211" w:lineRule="exact"/>
        <w:rPr>
          <w:sz w:val="20"/>
          <w:szCs w:val="20"/>
          <w:color w:val="auto"/>
        </w:rPr>
      </w:pPr>
    </w:p>
    <w:p>
      <w:pPr>
        <w:ind w:right="100" w:firstLine="449"/>
        <w:spacing w:after="0" w:line="255" w:lineRule="auto"/>
        <w:rPr>
          <w:sz w:val="20"/>
          <w:szCs w:val="20"/>
          <w:color w:val="auto"/>
        </w:rPr>
      </w:pPr>
      <w:r>
        <w:rPr>
          <w:rFonts w:ascii="Arial" w:cs="Arial" w:eastAsia="Arial" w:hAnsi="Arial"/>
          <w:sz w:val="18"/>
          <w:szCs w:val="18"/>
          <w:i w:val="1"/>
          <w:iCs w:val="1"/>
          <w:color w:val="auto"/>
        </w:rPr>
        <w:t>Exercise of purchase right</w:t>
      </w:r>
      <w:r>
        <w:rPr>
          <w:rFonts w:ascii="Arial" w:cs="Arial" w:eastAsia="Arial" w:hAnsi="Arial"/>
          <w:sz w:val="18"/>
          <w:szCs w:val="18"/>
          <w:color w:val="auto"/>
        </w:rPr>
        <w:t>. If our Board of Directors authorizes an offering and purchase period under the ESPP, amounts contributed and</w:t>
      </w:r>
      <w:r>
        <w:rPr>
          <w:rFonts w:ascii="Arial" w:cs="Arial" w:eastAsia="Arial" w:hAnsi="Arial"/>
          <w:sz w:val="18"/>
          <w:szCs w:val="18"/>
          <w:i w:val="1"/>
          <w:iCs w:val="1"/>
          <w:color w:val="auto"/>
        </w:rPr>
        <w:t xml:space="preserve"> </w:t>
      </w:r>
      <w:r>
        <w:rPr>
          <w:rFonts w:ascii="Arial" w:cs="Arial" w:eastAsia="Arial" w:hAnsi="Arial"/>
          <w:sz w:val="18"/>
          <w:szCs w:val="18"/>
          <w:color w:val="auto"/>
        </w:rPr>
        <w:t>accumulated by the participant during any offering period will be used to purchase shares of our Class A common stock at the end of each purchase period established by our Board of Directors. The purchase price of the shares will be % of the lower of the fair market value of our Class A common stock on the first trading day of each offering period or on the exercise date. Participants may end their participation at any time during an offering period and will be paid their accrued contributions that have not yet been used to purchase shares of our Class A common stock. Participation ends automatically upon termination of employment with us.</w:t>
      </w:r>
    </w:p>
    <w:p>
      <w:pPr>
        <w:spacing w:after="0" w:line="192" w:lineRule="exact"/>
        <w:rPr>
          <w:sz w:val="20"/>
          <w:szCs w:val="20"/>
          <w:color w:val="auto"/>
        </w:rPr>
      </w:pPr>
    </w:p>
    <w:p>
      <w:pPr>
        <w:ind w:right="280" w:firstLine="449"/>
        <w:spacing w:after="0" w:line="277" w:lineRule="auto"/>
        <w:rPr>
          <w:sz w:val="20"/>
          <w:szCs w:val="20"/>
          <w:color w:val="auto"/>
        </w:rPr>
      </w:pPr>
      <w:r>
        <w:rPr>
          <w:rFonts w:ascii="Arial" w:cs="Arial" w:eastAsia="Arial" w:hAnsi="Arial"/>
          <w:sz w:val="18"/>
          <w:szCs w:val="18"/>
          <w:i w:val="1"/>
          <w:iCs w:val="1"/>
          <w:color w:val="auto"/>
        </w:rPr>
        <w:t>Non-transferability</w:t>
      </w:r>
      <w:r>
        <w:rPr>
          <w:rFonts w:ascii="Arial" w:cs="Arial" w:eastAsia="Arial" w:hAnsi="Arial"/>
          <w:sz w:val="18"/>
          <w:szCs w:val="18"/>
          <w:color w:val="auto"/>
        </w:rPr>
        <w:t>. A participant may not transfer rights granted under our ESPP. If our compensation committee permits the transfer of rights, it</w:t>
      </w:r>
      <w:r>
        <w:rPr>
          <w:rFonts w:ascii="Arial" w:cs="Arial" w:eastAsia="Arial" w:hAnsi="Arial"/>
          <w:sz w:val="18"/>
          <w:szCs w:val="18"/>
          <w:i w:val="1"/>
          <w:iCs w:val="1"/>
          <w:color w:val="auto"/>
        </w:rPr>
        <w:t xml:space="preserve"> </w:t>
      </w:r>
      <w:r>
        <w:rPr>
          <w:rFonts w:ascii="Arial" w:cs="Arial" w:eastAsia="Arial" w:hAnsi="Arial"/>
          <w:sz w:val="18"/>
          <w:szCs w:val="18"/>
          <w:color w:val="auto"/>
        </w:rPr>
        <w:t>may only be done by will, the laws of descent and distribution, or as otherwise provided under our ESPP.</w:t>
      </w:r>
    </w:p>
    <w:p>
      <w:pPr>
        <w:spacing w:after="0" w:line="170" w:lineRule="exact"/>
        <w:rPr>
          <w:sz w:val="20"/>
          <w:szCs w:val="20"/>
          <w:color w:val="auto"/>
        </w:rPr>
      </w:pPr>
    </w:p>
    <w:p>
      <w:pPr>
        <w:ind w:firstLine="449"/>
        <w:spacing w:after="0" w:line="296" w:lineRule="auto"/>
        <w:rPr>
          <w:sz w:val="20"/>
          <w:szCs w:val="20"/>
          <w:color w:val="auto"/>
        </w:rPr>
      </w:pPr>
      <w:r>
        <w:rPr>
          <w:rFonts w:ascii="Arial" w:cs="Arial" w:eastAsia="Arial" w:hAnsi="Arial"/>
          <w:sz w:val="16"/>
          <w:szCs w:val="16"/>
          <w:i w:val="1"/>
          <w:iCs w:val="1"/>
          <w:color w:val="auto"/>
        </w:rPr>
        <w:t>Merger or change in control</w:t>
      </w:r>
      <w:r>
        <w:rPr>
          <w:rFonts w:ascii="Arial" w:cs="Arial" w:eastAsia="Arial" w:hAnsi="Arial"/>
          <w:sz w:val="16"/>
          <w:szCs w:val="16"/>
          <w:color w:val="auto"/>
        </w:rPr>
        <w:t>. Our ESPP provides that in the event of a merger or change in control, as defined under our ESPP, a successor</w:t>
      </w:r>
      <w:r>
        <w:rPr>
          <w:rFonts w:ascii="Arial" w:cs="Arial" w:eastAsia="Arial" w:hAnsi="Arial"/>
          <w:sz w:val="16"/>
          <w:szCs w:val="16"/>
          <w:i w:val="1"/>
          <w:iCs w:val="1"/>
          <w:color w:val="auto"/>
        </w:rPr>
        <w:t xml:space="preserve"> </w:t>
      </w:r>
      <w:r>
        <w:rPr>
          <w:rFonts w:ascii="Arial" w:cs="Arial" w:eastAsia="Arial" w:hAnsi="Arial"/>
          <w:sz w:val="16"/>
          <w:szCs w:val="16"/>
          <w:color w:val="auto"/>
        </w:rPr>
        <w:t>corporation may assume or substitute each outstanding purchase right. If the successor corporation refuses to assume or substitute for the outstanding purchase right, the offering period then in progress will be shortened, and a new exercise date will be set that will be before the date of the proposed merger or change in control. The administrator will notify each participant that the exercise date has been changed and that the participant’s option will be exercised automatically on the new exercise date unless prior to such date the participant has withdrawn from the offering period.</w:t>
      </w:r>
    </w:p>
    <w:p>
      <w:pPr>
        <w:spacing w:after="0" w:line="161" w:lineRule="exact"/>
        <w:rPr>
          <w:sz w:val="20"/>
          <w:szCs w:val="20"/>
          <w:color w:val="auto"/>
        </w:rPr>
      </w:pPr>
    </w:p>
    <w:p>
      <w:pPr>
        <w:jc w:val="both"/>
        <w:ind w:right="220" w:firstLine="449"/>
        <w:spacing w:after="0" w:line="263" w:lineRule="auto"/>
        <w:rPr>
          <w:sz w:val="20"/>
          <w:szCs w:val="20"/>
          <w:color w:val="auto"/>
        </w:rPr>
      </w:pPr>
      <w:r>
        <w:rPr>
          <w:rFonts w:ascii="Arial" w:cs="Arial" w:eastAsia="Arial" w:hAnsi="Arial"/>
          <w:sz w:val="18"/>
          <w:szCs w:val="18"/>
          <w:i w:val="1"/>
          <w:iCs w:val="1"/>
          <w:color w:val="auto"/>
        </w:rPr>
        <w:t>Amendment; termination</w:t>
      </w:r>
      <w:r>
        <w:rPr>
          <w:rFonts w:ascii="Arial" w:cs="Arial" w:eastAsia="Arial" w:hAnsi="Arial"/>
          <w:sz w:val="18"/>
          <w:szCs w:val="18"/>
          <w:color w:val="auto"/>
        </w:rPr>
        <w:t>. The administrator has the authority to amend, suspend, or terminate our ESPP, except that, subject to certain exceptions</w:t>
      </w:r>
      <w:r>
        <w:rPr>
          <w:rFonts w:ascii="Arial" w:cs="Arial" w:eastAsia="Arial" w:hAnsi="Arial"/>
          <w:sz w:val="18"/>
          <w:szCs w:val="18"/>
          <w:i w:val="1"/>
          <w:iCs w:val="1"/>
          <w:color w:val="auto"/>
        </w:rPr>
        <w:t xml:space="preserve"> </w:t>
      </w:r>
      <w:r>
        <w:rPr>
          <w:rFonts w:ascii="Arial" w:cs="Arial" w:eastAsia="Arial" w:hAnsi="Arial"/>
          <w:sz w:val="18"/>
          <w:szCs w:val="18"/>
          <w:color w:val="auto"/>
        </w:rPr>
        <w:t>described in our ESPP, no such action may adversely affect any outstanding rights to purchase shares of our Class A common stock under our ESPP. Our ESPP automatically will terminate in 2038, unless we terminate it sooner.</w:t>
      </w:r>
    </w:p>
    <w:p>
      <w:pPr>
        <w:spacing w:after="0" w:line="11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120</w:t>
      </w:r>
    </w:p>
    <w:p>
      <w:pPr>
        <w:sectPr>
          <w:pgSz w:w="11900" w:h="16838" w:orient="portrait"/>
          <w:cols w:equalWidth="0" w:num="1">
            <w:col w:w="11220"/>
          </w:cols>
          <w:pgMar w:left="320" w:top="459" w:right="359" w:bottom="1440" w:gutter="0" w:footer="0" w:header="0"/>
        </w:sectPr>
      </w:pPr>
    </w:p>
    <w:bookmarkStart w:id="123" w:name="page124"/>
    <w:bookmarkEnd w:id="1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2017 Equity Incentive Plan</w:t>
      </w:r>
    </w:p>
    <w:p>
      <w:pPr>
        <w:spacing w:after="0" w:line="117" w:lineRule="exact"/>
        <w:rPr>
          <w:sz w:val="20"/>
          <w:szCs w:val="20"/>
          <w:color w:val="auto"/>
        </w:rPr>
      </w:pPr>
    </w:p>
    <w:p>
      <w:pPr>
        <w:ind w:right="140" w:firstLine="449"/>
        <w:spacing w:after="0" w:line="263" w:lineRule="auto"/>
        <w:rPr>
          <w:sz w:val="20"/>
          <w:szCs w:val="20"/>
          <w:color w:val="auto"/>
        </w:rPr>
      </w:pPr>
      <w:r>
        <w:rPr>
          <w:rFonts w:ascii="Arial" w:cs="Arial" w:eastAsia="Arial" w:hAnsi="Arial"/>
          <w:sz w:val="18"/>
          <w:szCs w:val="18"/>
          <w:color w:val="auto"/>
        </w:rPr>
        <w:t>Our Board of Directors and stockholders adopted our 2017 Plan on March 8, 2017. Our 2017 Plan allows for the grant of incentive stock options to our employees, and for the grant of nonqualified stock options and restricted stock awards, RSUs, and stock appreciation rights to employees, officers, directors, and certain of our consultants.</w:t>
      </w:r>
    </w:p>
    <w:p>
      <w:pPr>
        <w:spacing w:after="0" w:line="184" w:lineRule="exact"/>
        <w:rPr>
          <w:sz w:val="20"/>
          <w:szCs w:val="20"/>
          <w:color w:val="auto"/>
        </w:rPr>
      </w:pPr>
    </w:p>
    <w:p>
      <w:pPr>
        <w:ind w:right="140" w:firstLine="449"/>
        <w:spacing w:after="0" w:line="291" w:lineRule="auto"/>
        <w:rPr>
          <w:sz w:val="20"/>
          <w:szCs w:val="20"/>
          <w:color w:val="auto"/>
        </w:rPr>
      </w:pPr>
      <w:r>
        <w:rPr>
          <w:rFonts w:ascii="Arial" w:cs="Arial" w:eastAsia="Arial" w:hAnsi="Arial"/>
          <w:sz w:val="16"/>
          <w:szCs w:val="16"/>
          <w:i w:val="1"/>
          <w:iCs w:val="1"/>
          <w:color w:val="auto"/>
        </w:rPr>
        <w:t>Authorized shares</w:t>
      </w:r>
      <w:r>
        <w:rPr>
          <w:rFonts w:ascii="Arial" w:cs="Arial" w:eastAsia="Arial" w:hAnsi="Arial"/>
          <w:sz w:val="16"/>
          <w:szCs w:val="16"/>
          <w:color w:val="auto"/>
        </w:rPr>
        <w:t>. Our 2017 Plan will be terminated immediately prior to the effectiveness of our 2018 Plan, and accordingly, no shares will be</w:t>
      </w:r>
      <w:r>
        <w:rPr>
          <w:rFonts w:ascii="Arial" w:cs="Arial" w:eastAsia="Arial" w:hAnsi="Arial"/>
          <w:sz w:val="16"/>
          <w:szCs w:val="16"/>
          <w:i w:val="1"/>
          <w:iCs w:val="1"/>
          <w:color w:val="auto"/>
        </w:rPr>
        <w:t xml:space="preserve"> </w:t>
      </w:r>
      <w:r>
        <w:rPr>
          <w:rFonts w:ascii="Arial" w:cs="Arial" w:eastAsia="Arial" w:hAnsi="Arial"/>
          <w:sz w:val="16"/>
          <w:szCs w:val="16"/>
          <w:color w:val="auto"/>
        </w:rPr>
        <w:t>available for issuance under the 2017 Plan following its termination. Our 2017 Plan will continue to govern outstanding awards granted thereunder. As of</w:t>
      </w:r>
    </w:p>
    <w:p>
      <w:pPr>
        <w:ind w:right="240"/>
        <w:spacing w:after="0" w:line="260" w:lineRule="auto"/>
        <w:rPr>
          <w:sz w:val="20"/>
          <w:szCs w:val="20"/>
          <w:color w:val="auto"/>
        </w:rPr>
      </w:pPr>
      <w:r>
        <w:rPr>
          <w:rFonts w:ascii="Arial" w:cs="Arial" w:eastAsia="Arial" w:hAnsi="Arial"/>
          <w:sz w:val="18"/>
          <w:szCs w:val="18"/>
          <w:color w:val="auto"/>
        </w:rPr>
        <w:t>September 30, 2017, shares of our Class A common stock were reserved for future issuance under our 2017 Plan and RSUs covering 22,883,109 shares of our Class A common stock remained outstanding under our 2017 Plan.</w:t>
      </w:r>
    </w:p>
    <w:p>
      <w:pPr>
        <w:spacing w:after="0" w:line="185" w:lineRule="exact"/>
        <w:rPr>
          <w:sz w:val="20"/>
          <w:szCs w:val="20"/>
          <w:color w:val="auto"/>
        </w:rPr>
      </w:pPr>
    </w:p>
    <w:p>
      <w:pPr>
        <w:ind w:right="100" w:firstLine="449"/>
        <w:spacing w:after="0" w:line="269" w:lineRule="auto"/>
        <w:rPr>
          <w:sz w:val="20"/>
          <w:szCs w:val="20"/>
          <w:color w:val="auto"/>
        </w:rPr>
      </w:pPr>
      <w:r>
        <w:rPr>
          <w:rFonts w:ascii="Arial" w:cs="Arial" w:eastAsia="Arial" w:hAnsi="Arial"/>
          <w:sz w:val="17"/>
          <w:szCs w:val="17"/>
          <w:i w:val="1"/>
          <w:iCs w:val="1"/>
          <w:color w:val="auto"/>
        </w:rPr>
        <w:t>Plan administration</w:t>
      </w:r>
      <w:r>
        <w:rPr>
          <w:rFonts w:ascii="Arial" w:cs="Arial" w:eastAsia="Arial" w:hAnsi="Arial"/>
          <w:sz w:val="17"/>
          <w:szCs w:val="17"/>
          <w:color w:val="auto"/>
        </w:rPr>
        <w:t>. Our Board of Directors or one or more committees appointed by our Board of Directors may administer our 2017 Plan. Our</w:t>
      </w:r>
      <w:r>
        <w:rPr>
          <w:rFonts w:ascii="Arial" w:cs="Arial" w:eastAsia="Arial" w:hAnsi="Arial"/>
          <w:sz w:val="17"/>
          <w:szCs w:val="17"/>
          <w:i w:val="1"/>
          <w:iCs w:val="1"/>
          <w:color w:val="auto"/>
        </w:rPr>
        <w:t xml:space="preserve"> </w:t>
      </w:r>
      <w:r>
        <w:rPr>
          <w:rFonts w:ascii="Arial" w:cs="Arial" w:eastAsia="Arial" w:hAnsi="Arial"/>
          <w:sz w:val="17"/>
          <w:szCs w:val="17"/>
          <w:color w:val="auto"/>
        </w:rPr>
        <w:t>compensation committee currently administers our 2017 Plan. Subject to the provisions of our 2017 Plan, the administrator has the power to construe and interpret our 2017 Plan and any agreement thereunder and to determine the form and terms of awards (including the participants), the number of shares subject to each award, the exercise price (if any), the fair market value of a share of our Class A common stock, if such stock is not publicly-traded, listed, or admitted to trading on a national securities exchange, nor reported in any newspaper or other source, the vesting, exercisability, and payment of awards granted under our 2017 Plan, whether an award has been earned, and whether awards will be granted singly, in combination with, in tandem with, in replacement of, or as alternatives to, other awards. The administrator may correct, prescribe, amend, expand, modify, rescind, or terminate rules and regulations relating to our 2017 Plan. The administrator may, at any time, authorize the issuance of new awards in exchange for the surrender and cancellation of any or all outstanding awards with the consent of a participant. The administrator may also buy out an award previously granted for cash, shares, or other consideration as the administrator and the participant may agree.</w:t>
      </w:r>
    </w:p>
    <w:p>
      <w:pPr>
        <w:spacing w:after="0" w:line="185" w:lineRule="exact"/>
        <w:rPr>
          <w:sz w:val="20"/>
          <w:szCs w:val="20"/>
          <w:color w:val="auto"/>
        </w:rPr>
      </w:pPr>
    </w:p>
    <w:p>
      <w:pPr>
        <w:ind w:firstLine="449"/>
        <w:spacing w:after="0" w:line="269" w:lineRule="auto"/>
        <w:rPr>
          <w:sz w:val="20"/>
          <w:szCs w:val="20"/>
          <w:color w:val="auto"/>
        </w:rPr>
      </w:pPr>
      <w:r>
        <w:rPr>
          <w:rFonts w:ascii="Arial" w:cs="Arial" w:eastAsia="Arial" w:hAnsi="Arial"/>
          <w:sz w:val="17"/>
          <w:szCs w:val="17"/>
          <w:i w:val="1"/>
          <w:iCs w:val="1"/>
          <w:color w:val="auto"/>
        </w:rPr>
        <w:t>Options</w:t>
      </w:r>
      <w:r>
        <w:rPr>
          <w:rFonts w:ascii="Arial" w:cs="Arial" w:eastAsia="Arial" w:hAnsi="Arial"/>
          <w:sz w:val="17"/>
          <w:szCs w:val="17"/>
          <w:color w:val="auto"/>
        </w:rPr>
        <w:t>. Stock options may be granted under our 2017 Plan. The exercise price per share of all options must equal at least the fair market value per</w:t>
      </w:r>
      <w:r>
        <w:rPr>
          <w:rFonts w:ascii="Arial" w:cs="Arial" w:eastAsia="Arial" w:hAnsi="Arial"/>
          <w:sz w:val="17"/>
          <w:szCs w:val="17"/>
          <w:i w:val="1"/>
          <w:iCs w:val="1"/>
          <w:color w:val="auto"/>
        </w:rPr>
        <w:t xml:space="preserve"> </w:t>
      </w:r>
      <w:r>
        <w:rPr>
          <w:rFonts w:ascii="Arial" w:cs="Arial" w:eastAsia="Arial" w:hAnsi="Arial"/>
          <w:sz w:val="17"/>
          <w:szCs w:val="17"/>
          <w:color w:val="auto"/>
        </w:rPr>
        <w:t>share of our Class A common stock on the date of grant, unless otherwise expressly determined in writing by the administrator on the grant date. The term of an option may not exceed ten years. An incentive stock option granted to a participant who owns more than 10% of the total combined voting power of all classes of our stock on the date of grant, or any parent or subsidiary corporations, may not have a term in excess of five years and must have an exercise price of at least 110% of the fair market value per share of our common stock on the grant date. The methods of payment of the exercise price of an option include cash (by check) or shares or certain other property or other consideration acceptable to the administrator and otherwise permitted under our 2017 Plan. After a participant’s termination of service for reasons other than for death, disability, or cause, the participant generally may exercise his or her options, to the extent vested as of such date of termination, for three months after termination. After a participant’s termination of service for death or disability, the option generally will remain exercisable, to the extent vested as of such date of termination, for 12 months after such termination. In no event may an option be exercised later than the expiration of its term. After a participant’s termination of service for cause, the option generally will expire on the date of such termination.</w:t>
      </w:r>
    </w:p>
    <w:p>
      <w:pPr>
        <w:spacing w:after="0" w:line="182" w:lineRule="exact"/>
        <w:rPr>
          <w:sz w:val="20"/>
          <w:szCs w:val="20"/>
          <w:color w:val="auto"/>
        </w:rPr>
      </w:pPr>
    </w:p>
    <w:p>
      <w:pPr>
        <w:ind w:right="40" w:firstLine="449"/>
        <w:spacing w:after="0" w:line="311" w:lineRule="auto"/>
        <w:rPr>
          <w:sz w:val="20"/>
          <w:szCs w:val="20"/>
          <w:color w:val="auto"/>
        </w:rPr>
      </w:pPr>
      <w:r>
        <w:rPr>
          <w:rFonts w:ascii="Arial" w:cs="Arial" w:eastAsia="Arial" w:hAnsi="Arial"/>
          <w:sz w:val="16"/>
          <w:szCs w:val="16"/>
          <w:i w:val="1"/>
          <w:iCs w:val="1"/>
          <w:color w:val="auto"/>
        </w:rPr>
        <w:t>Restricted stock</w:t>
      </w:r>
      <w:r>
        <w:rPr>
          <w:rFonts w:ascii="Arial" w:cs="Arial" w:eastAsia="Arial" w:hAnsi="Arial"/>
          <w:sz w:val="16"/>
          <w:szCs w:val="16"/>
          <w:color w:val="auto"/>
        </w:rPr>
        <w:t>. Restricted stock awards may be granted under our 2017 Plan. Restricted stock awards are offers by us to sell to an eligible person</w:t>
      </w:r>
      <w:r>
        <w:rPr>
          <w:rFonts w:ascii="Arial" w:cs="Arial" w:eastAsia="Arial" w:hAnsi="Arial"/>
          <w:sz w:val="16"/>
          <w:szCs w:val="16"/>
          <w:i w:val="1"/>
          <w:iCs w:val="1"/>
          <w:color w:val="auto"/>
        </w:rPr>
        <w:t xml:space="preserve"> </w:t>
      </w:r>
      <w:r>
        <w:rPr>
          <w:rFonts w:ascii="Arial" w:cs="Arial" w:eastAsia="Arial" w:hAnsi="Arial"/>
          <w:sz w:val="16"/>
          <w:szCs w:val="16"/>
          <w:color w:val="auto"/>
        </w:rPr>
        <w:t>shares that are subject to certain specified restrictions, including restrictions on transferability and forfeiture provisions. Restricted stock awards will be entitled to receive all dividends or other distributions paid with respect to such shares, unless the administrator provides otherwise at the time of the award.</w:t>
      </w:r>
    </w:p>
    <w:p>
      <w:pPr>
        <w:spacing w:after="0" w:line="149" w:lineRule="exact"/>
        <w:rPr>
          <w:sz w:val="20"/>
          <w:szCs w:val="20"/>
          <w:color w:val="auto"/>
        </w:rPr>
      </w:pPr>
    </w:p>
    <w:p>
      <w:pPr>
        <w:jc w:val="both"/>
        <w:ind w:right="320" w:firstLine="449"/>
        <w:spacing w:after="0" w:line="263" w:lineRule="auto"/>
        <w:rPr>
          <w:sz w:val="20"/>
          <w:szCs w:val="20"/>
          <w:color w:val="auto"/>
        </w:rPr>
      </w:pPr>
      <w:r>
        <w:rPr>
          <w:rFonts w:ascii="Arial" w:cs="Arial" w:eastAsia="Arial" w:hAnsi="Arial"/>
          <w:sz w:val="18"/>
          <w:szCs w:val="18"/>
          <w:i w:val="1"/>
          <w:iCs w:val="1"/>
          <w:color w:val="auto"/>
        </w:rPr>
        <w:t>RSUs</w:t>
      </w:r>
      <w:r>
        <w:rPr>
          <w:rFonts w:ascii="Arial" w:cs="Arial" w:eastAsia="Arial" w:hAnsi="Arial"/>
          <w:sz w:val="18"/>
          <w:szCs w:val="18"/>
          <w:color w:val="auto"/>
        </w:rPr>
        <w:t>. RSUs may be granted under our 2017 Plan. RSUs are awards covering a number of shares that may be settled in cash, or by issue of those</w:t>
      </w:r>
      <w:r>
        <w:rPr>
          <w:rFonts w:ascii="Arial" w:cs="Arial" w:eastAsia="Arial" w:hAnsi="Arial"/>
          <w:sz w:val="18"/>
          <w:szCs w:val="18"/>
          <w:i w:val="1"/>
          <w:iCs w:val="1"/>
          <w:color w:val="auto"/>
        </w:rPr>
        <w:t xml:space="preserve"> </w:t>
      </w:r>
      <w:r>
        <w:rPr>
          <w:rFonts w:ascii="Arial" w:cs="Arial" w:eastAsia="Arial" w:hAnsi="Arial"/>
          <w:sz w:val="18"/>
          <w:szCs w:val="18"/>
          <w:color w:val="auto"/>
        </w:rPr>
        <w:t>shares at a date in the future. No purchase price shall apply to an RSU settled in shares. The administrator may permit an RSU holder to defer payment under an RSU to a date or dates</w:t>
      </w:r>
    </w:p>
    <w:p>
      <w:pPr>
        <w:spacing w:after="0" w:line="11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121</w:t>
      </w:r>
    </w:p>
    <w:p>
      <w:pPr>
        <w:sectPr>
          <w:pgSz w:w="11900" w:h="16838" w:orient="portrait"/>
          <w:cols w:equalWidth="0" w:num="1">
            <w:col w:w="11200"/>
          </w:cols>
          <w:pgMar w:left="320" w:top="459" w:right="379" w:bottom="1440" w:gutter="0" w:footer="0" w:header="0"/>
        </w:sectPr>
      </w:pPr>
    </w:p>
    <w:bookmarkStart w:id="124" w:name="page125"/>
    <w:bookmarkEnd w:id="1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right="640"/>
        <w:spacing w:after="0" w:line="342" w:lineRule="auto"/>
        <w:rPr>
          <w:sz w:val="20"/>
          <w:szCs w:val="20"/>
          <w:color w:val="auto"/>
        </w:rPr>
      </w:pPr>
      <w:r>
        <w:rPr>
          <w:rFonts w:ascii="Arial" w:cs="Arial" w:eastAsia="Arial" w:hAnsi="Arial"/>
          <w:sz w:val="16"/>
          <w:szCs w:val="16"/>
          <w:color w:val="auto"/>
        </w:rPr>
        <w:t>after the RSU is earned subject to certain restrictions set forth in our 2017 Plan. The administrator may permit holders of RSUs to receive dividend equivalent payments on outstanding RSUs if and when dividends are paid to stockholders in accordance with the terms of our 2017 Plan.</w:t>
      </w:r>
    </w:p>
    <w:p>
      <w:pPr>
        <w:spacing w:after="0" w:line="124" w:lineRule="exact"/>
        <w:rPr>
          <w:sz w:val="20"/>
          <w:szCs w:val="20"/>
          <w:color w:val="auto"/>
        </w:rPr>
      </w:pPr>
    </w:p>
    <w:p>
      <w:pPr>
        <w:ind w:firstLine="449"/>
        <w:spacing w:after="0" w:line="291" w:lineRule="auto"/>
        <w:rPr>
          <w:sz w:val="20"/>
          <w:szCs w:val="20"/>
          <w:color w:val="auto"/>
        </w:rPr>
      </w:pPr>
      <w:r>
        <w:rPr>
          <w:rFonts w:ascii="Arial" w:cs="Arial" w:eastAsia="Arial" w:hAnsi="Arial"/>
          <w:sz w:val="16"/>
          <w:szCs w:val="16"/>
          <w:i w:val="1"/>
          <w:iCs w:val="1"/>
          <w:color w:val="auto"/>
        </w:rPr>
        <w:t>Stock appreciation rights</w:t>
      </w:r>
      <w:r>
        <w:rPr>
          <w:rFonts w:ascii="Arial" w:cs="Arial" w:eastAsia="Arial" w:hAnsi="Arial"/>
          <w:sz w:val="16"/>
          <w:szCs w:val="16"/>
          <w:b w:val="1"/>
          <w:bCs w:val="1"/>
          <w:i w:val="1"/>
          <w:iCs w:val="1"/>
          <w:color w:val="auto"/>
        </w:rPr>
        <w:t>.</w:t>
      </w:r>
      <w:r>
        <w:rPr>
          <w:rFonts w:ascii="Arial" w:cs="Arial" w:eastAsia="Arial" w:hAnsi="Arial"/>
          <w:sz w:val="16"/>
          <w:szCs w:val="16"/>
          <w:i w:val="1"/>
          <w:iCs w:val="1"/>
          <w:color w:val="auto"/>
        </w:rPr>
        <w:t xml:space="preserve"> </w:t>
      </w:r>
      <w:r>
        <w:rPr>
          <w:rFonts w:ascii="Arial" w:cs="Arial" w:eastAsia="Arial" w:hAnsi="Arial"/>
          <w:sz w:val="16"/>
          <w:szCs w:val="16"/>
          <w:color w:val="auto"/>
        </w:rPr>
        <w:t>Stock appreciation rights may be granted under our 2017 Plan. Stock appreciation rights allow the participant to receive</w:t>
      </w:r>
      <w:r>
        <w:rPr>
          <w:rFonts w:ascii="Arial" w:cs="Arial" w:eastAsia="Arial" w:hAnsi="Arial"/>
          <w:sz w:val="16"/>
          <w:szCs w:val="16"/>
          <w:i w:val="1"/>
          <w:iCs w:val="1"/>
          <w:color w:val="auto"/>
        </w:rPr>
        <w:t xml:space="preserve"> </w:t>
      </w:r>
      <w:r>
        <w:rPr>
          <w:rFonts w:ascii="Arial" w:cs="Arial" w:eastAsia="Arial" w:hAnsi="Arial"/>
          <w:sz w:val="16"/>
          <w:szCs w:val="16"/>
          <w:color w:val="auto"/>
        </w:rPr>
        <w:t>the appreciation in the fair market value of Class A common stock between the exercise date and the date of grant. Subject to the provisions of our 2017 Plan, the administrator determines the terms of stock appreciation rights, including when such rights become exercisable and whether to pay any increased appreciation in cash or shares. The per share exercise price for the shares to be issued pursuant to the exercise of a stock appreciation right must equal at least the fair market value per share of our Class A common stock on the date of grant. The term of a stock appreciation right may not exceed 10 years from the date the stock appreciation right is signed. The administrator will determine the period of time after a participant’s termination of service during which the participant may exercise his or her stock appreciation right, subject to the same terms and conditions as applicable to options as described above.</w:t>
      </w:r>
    </w:p>
    <w:p>
      <w:pPr>
        <w:spacing w:after="0" w:line="166" w:lineRule="exact"/>
        <w:rPr>
          <w:sz w:val="20"/>
          <w:szCs w:val="20"/>
          <w:color w:val="auto"/>
        </w:rPr>
      </w:pPr>
    </w:p>
    <w:p>
      <w:pPr>
        <w:ind w:right="40" w:firstLine="449"/>
        <w:spacing w:after="0" w:line="257" w:lineRule="auto"/>
        <w:rPr>
          <w:sz w:val="20"/>
          <w:szCs w:val="20"/>
          <w:color w:val="auto"/>
        </w:rPr>
      </w:pPr>
      <w:r>
        <w:rPr>
          <w:rFonts w:ascii="Arial" w:cs="Arial" w:eastAsia="Arial" w:hAnsi="Arial"/>
          <w:sz w:val="18"/>
          <w:szCs w:val="18"/>
          <w:i w:val="1"/>
          <w:iCs w:val="1"/>
          <w:color w:val="auto"/>
        </w:rPr>
        <w:t>Transferability or assignability of awards</w:t>
      </w:r>
      <w:r>
        <w:rPr>
          <w:rFonts w:ascii="Arial" w:cs="Arial" w:eastAsia="Arial" w:hAnsi="Arial"/>
          <w:sz w:val="18"/>
          <w:szCs w:val="18"/>
          <w:color w:val="auto"/>
        </w:rPr>
        <w:t>. Our 2017 Plan generally does not allow for the transfer or assignment of awards, other than by will or by</w:t>
      </w:r>
      <w:r>
        <w:rPr>
          <w:rFonts w:ascii="Arial" w:cs="Arial" w:eastAsia="Arial" w:hAnsi="Arial"/>
          <w:sz w:val="18"/>
          <w:szCs w:val="18"/>
          <w:i w:val="1"/>
          <w:iCs w:val="1"/>
          <w:color w:val="auto"/>
        </w:rPr>
        <w:t xml:space="preserve"> </w:t>
      </w:r>
      <w:r>
        <w:rPr>
          <w:rFonts w:ascii="Arial" w:cs="Arial" w:eastAsia="Arial" w:hAnsi="Arial"/>
          <w:sz w:val="18"/>
          <w:szCs w:val="18"/>
          <w:color w:val="auto"/>
        </w:rPr>
        <w:t>the laws of descent and distribution and, with respect to nonqualified options, by instrument to an inter vivos or testamentary trust in which the options are to be passed to beneficiaries upon the death of the trustor (settlor) or by gift to “family member,” and awards under our 2017 Plan may not be made subject to execution, attachment, or similar process. An award under our 2017 Plan generally is only exercisable by the participant or the participant’s legal representative during the participant’s lifetime.</w:t>
      </w:r>
    </w:p>
    <w:p>
      <w:pPr>
        <w:spacing w:after="0" w:line="188" w:lineRule="exact"/>
        <w:rPr>
          <w:sz w:val="20"/>
          <w:szCs w:val="20"/>
          <w:color w:val="auto"/>
        </w:rPr>
      </w:pPr>
    </w:p>
    <w:p>
      <w:pPr>
        <w:jc w:val="both"/>
        <w:ind w:right="100" w:firstLine="449"/>
        <w:spacing w:after="0" w:line="263" w:lineRule="auto"/>
        <w:rPr>
          <w:sz w:val="20"/>
          <w:szCs w:val="20"/>
          <w:color w:val="auto"/>
        </w:rPr>
      </w:pPr>
      <w:r>
        <w:rPr>
          <w:rFonts w:ascii="Arial" w:cs="Arial" w:eastAsia="Arial" w:hAnsi="Arial"/>
          <w:sz w:val="18"/>
          <w:szCs w:val="18"/>
          <w:i w:val="1"/>
          <w:iCs w:val="1"/>
          <w:color w:val="auto"/>
        </w:rPr>
        <w:t xml:space="preserve">Certain adjustments. </w:t>
      </w:r>
      <w:r>
        <w:rPr>
          <w:rFonts w:ascii="Arial" w:cs="Arial" w:eastAsia="Arial" w:hAnsi="Arial"/>
          <w:sz w:val="18"/>
          <w:szCs w:val="18"/>
          <w:color w:val="auto"/>
        </w:rPr>
        <w:t>In the event of certain changes in our capitalization, the administrator will proportionally adjust the number of shares that may</w:t>
      </w:r>
      <w:r>
        <w:rPr>
          <w:rFonts w:ascii="Arial" w:cs="Arial" w:eastAsia="Arial" w:hAnsi="Arial"/>
          <w:sz w:val="18"/>
          <w:szCs w:val="18"/>
          <w:i w:val="1"/>
          <w:iCs w:val="1"/>
          <w:color w:val="auto"/>
        </w:rPr>
        <w:t xml:space="preserve"> </w:t>
      </w:r>
      <w:r>
        <w:rPr>
          <w:rFonts w:ascii="Arial" w:cs="Arial" w:eastAsia="Arial" w:hAnsi="Arial"/>
          <w:sz w:val="18"/>
          <w:szCs w:val="18"/>
          <w:color w:val="auto"/>
        </w:rPr>
        <w:t>be delivered under our 2017 Plan and/or the number and price of shares covered by each outstanding award subject to any required action by our Board of Directors or stockholders.</w:t>
      </w:r>
    </w:p>
    <w:p>
      <w:pPr>
        <w:spacing w:after="0" w:line="184" w:lineRule="exact"/>
        <w:rPr>
          <w:sz w:val="20"/>
          <w:szCs w:val="20"/>
          <w:color w:val="auto"/>
        </w:rPr>
      </w:pPr>
    </w:p>
    <w:p>
      <w:pPr>
        <w:ind w:right="400" w:firstLine="449"/>
        <w:spacing w:after="0" w:line="277" w:lineRule="auto"/>
        <w:rPr>
          <w:sz w:val="20"/>
          <w:szCs w:val="20"/>
          <w:color w:val="auto"/>
        </w:rPr>
      </w:pPr>
      <w:r>
        <w:rPr>
          <w:rFonts w:ascii="Arial" w:cs="Arial" w:eastAsia="Arial" w:hAnsi="Arial"/>
          <w:sz w:val="18"/>
          <w:szCs w:val="18"/>
          <w:i w:val="1"/>
          <w:iCs w:val="1"/>
          <w:color w:val="auto"/>
        </w:rPr>
        <w:t xml:space="preserve">Dissolution or liquidation. </w:t>
      </w:r>
      <w:r>
        <w:rPr>
          <w:rFonts w:ascii="Arial" w:cs="Arial" w:eastAsia="Arial" w:hAnsi="Arial"/>
          <w:sz w:val="18"/>
          <w:szCs w:val="18"/>
          <w:color w:val="auto"/>
        </w:rPr>
        <w:t>In the event of our proposed liquidation or dissolution, our Board of Directors may terminate any and all outstanding</w:t>
      </w:r>
      <w:r>
        <w:rPr>
          <w:rFonts w:ascii="Arial" w:cs="Arial" w:eastAsia="Arial" w:hAnsi="Arial"/>
          <w:sz w:val="18"/>
          <w:szCs w:val="18"/>
          <w:i w:val="1"/>
          <w:iCs w:val="1"/>
          <w:color w:val="auto"/>
        </w:rPr>
        <w:t xml:space="preserve"> </w:t>
      </w:r>
      <w:r>
        <w:rPr>
          <w:rFonts w:ascii="Arial" w:cs="Arial" w:eastAsia="Arial" w:hAnsi="Arial"/>
          <w:sz w:val="18"/>
          <w:szCs w:val="18"/>
          <w:color w:val="auto"/>
        </w:rPr>
        <w:t>awards followed by the payment of creditors and the distribution of any remaining funds to the our stockholders.</w:t>
      </w:r>
    </w:p>
    <w:p>
      <w:pPr>
        <w:spacing w:after="0" w:line="170" w:lineRule="exact"/>
        <w:rPr>
          <w:sz w:val="20"/>
          <w:szCs w:val="20"/>
          <w:color w:val="auto"/>
        </w:rPr>
      </w:pPr>
    </w:p>
    <w:p>
      <w:pPr>
        <w:ind w:right="20" w:firstLine="449"/>
        <w:spacing w:after="0" w:line="273" w:lineRule="auto"/>
        <w:rPr>
          <w:sz w:val="20"/>
          <w:szCs w:val="20"/>
          <w:color w:val="auto"/>
        </w:rPr>
      </w:pPr>
      <w:r>
        <w:rPr>
          <w:rFonts w:ascii="Arial" w:cs="Arial" w:eastAsia="Arial" w:hAnsi="Arial"/>
          <w:sz w:val="17"/>
          <w:szCs w:val="17"/>
          <w:i w:val="1"/>
          <w:iCs w:val="1"/>
          <w:color w:val="auto"/>
        </w:rPr>
        <w:t>Acquisition or other combination</w:t>
      </w:r>
      <w:r>
        <w:rPr>
          <w:rFonts w:ascii="Arial" w:cs="Arial" w:eastAsia="Arial" w:hAnsi="Arial"/>
          <w:sz w:val="17"/>
          <w:szCs w:val="17"/>
          <w:color w:val="auto"/>
        </w:rPr>
        <w:t>. If we are subject to an acquisition, consolidation, or merger, or similar conversion event, outstanding awards under</w:t>
      </w:r>
      <w:r>
        <w:rPr>
          <w:rFonts w:ascii="Arial" w:cs="Arial" w:eastAsia="Arial" w:hAnsi="Arial"/>
          <w:sz w:val="17"/>
          <w:szCs w:val="17"/>
          <w:i w:val="1"/>
          <w:iCs w:val="1"/>
          <w:color w:val="auto"/>
        </w:rPr>
        <w:t xml:space="preserve"> </w:t>
      </w:r>
      <w:r>
        <w:rPr>
          <w:rFonts w:ascii="Arial" w:cs="Arial" w:eastAsia="Arial" w:hAnsi="Arial"/>
          <w:sz w:val="17"/>
          <w:szCs w:val="17"/>
          <w:color w:val="auto"/>
        </w:rPr>
        <w:t>our 2017 Plan shall be subject to the agreement evidencing such transaction. The agreement may provide for the continuation, assumption, or substitution of outstanding awards by us (if we are the surviving corporation) or the successor or acquiring entity (if any), or the full or partial exercisability or vesting and accelerated expiration of awards, or the settlement of the full value of outstanding awards in cash, cash equivalents, or securities of the successor or its parent followed by the cancellation of such awards. If an outstanding award is not continued, assumed, or substituted, the award will terminate and cease to be outstanding immediately following the occurrence of the applicable transaction.</w:t>
      </w:r>
    </w:p>
    <w:p>
      <w:pPr>
        <w:spacing w:after="0" w:line="178" w:lineRule="exact"/>
        <w:rPr>
          <w:sz w:val="20"/>
          <w:szCs w:val="20"/>
          <w:color w:val="auto"/>
        </w:rPr>
      </w:pPr>
    </w:p>
    <w:p>
      <w:pPr>
        <w:ind w:right="40" w:firstLine="449"/>
        <w:spacing w:after="0" w:line="259" w:lineRule="auto"/>
        <w:rPr>
          <w:sz w:val="20"/>
          <w:szCs w:val="20"/>
          <w:color w:val="auto"/>
        </w:rPr>
      </w:pPr>
      <w:r>
        <w:rPr>
          <w:rFonts w:ascii="Arial" w:cs="Arial" w:eastAsia="Arial" w:hAnsi="Arial"/>
          <w:sz w:val="18"/>
          <w:szCs w:val="18"/>
          <w:i w:val="1"/>
          <w:iCs w:val="1"/>
          <w:color w:val="auto"/>
        </w:rPr>
        <w:t>Amendment; termination</w:t>
      </w:r>
      <w:r>
        <w:rPr>
          <w:rFonts w:ascii="Arial" w:cs="Arial" w:eastAsia="Arial" w:hAnsi="Arial"/>
          <w:sz w:val="18"/>
          <w:szCs w:val="18"/>
          <w:color w:val="auto"/>
        </w:rPr>
        <w:t>. Our Board of Directors may terminate or amend our 2017 Plan at any time, provided that such amendment does not impair</w:t>
      </w:r>
      <w:r>
        <w:rPr>
          <w:rFonts w:ascii="Arial" w:cs="Arial" w:eastAsia="Arial" w:hAnsi="Arial"/>
          <w:sz w:val="18"/>
          <w:szCs w:val="18"/>
          <w:i w:val="1"/>
          <w:iCs w:val="1"/>
          <w:color w:val="auto"/>
        </w:rPr>
        <w:t xml:space="preserve"> </w:t>
      </w:r>
      <w:r>
        <w:rPr>
          <w:rFonts w:ascii="Arial" w:cs="Arial" w:eastAsia="Arial" w:hAnsi="Arial"/>
          <w:sz w:val="18"/>
          <w:szCs w:val="18"/>
          <w:color w:val="auto"/>
        </w:rPr>
        <w:t>the rights under outstanding options without the participant’s written consent. As noted above, prior to the adoption of our 2018 Plan in connection with this offering, our 2017 Plan will be terminated and no further awards will be granted thereunder. All outstanding awards will continue to be governed by their existing terms.</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2008 Equity Incentive Plan, As Amended</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6"/>
          <w:szCs w:val="16"/>
          <w:color w:val="auto"/>
        </w:rPr>
        <w:t>Our Board of Directors and stockholders adopted our 2008 Plan in January 2008. Our 2008 Plan was most recently amended in November 2016. Our</w:t>
      </w:r>
    </w:p>
    <w:p>
      <w:pPr>
        <w:spacing w:after="0" w:line="46" w:lineRule="exact"/>
        <w:rPr>
          <w:sz w:val="20"/>
          <w:szCs w:val="20"/>
          <w:color w:val="auto"/>
        </w:rPr>
      </w:pPr>
    </w:p>
    <w:p>
      <w:pPr>
        <w:ind w:right="560"/>
        <w:spacing w:after="0" w:line="260" w:lineRule="auto"/>
        <w:rPr>
          <w:sz w:val="20"/>
          <w:szCs w:val="20"/>
          <w:color w:val="auto"/>
        </w:rPr>
      </w:pPr>
      <w:r>
        <w:rPr>
          <w:rFonts w:ascii="Arial" w:cs="Arial" w:eastAsia="Arial" w:hAnsi="Arial"/>
          <w:sz w:val="18"/>
          <w:szCs w:val="18"/>
          <w:color w:val="auto"/>
        </w:rPr>
        <w:t>2008 Plan was terminated in connection with our adoption of our 2017 Plan. As of September 30, 2017, options to purchase 7,484,830 shares of our Class B common stock remained</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122</w:t>
      </w:r>
    </w:p>
    <w:p>
      <w:pPr>
        <w:sectPr>
          <w:pgSz w:w="11900" w:h="16838" w:orient="portrait"/>
          <w:cols w:equalWidth="0" w:num="1">
            <w:col w:w="11220"/>
          </w:cols>
          <w:pgMar w:left="320" w:top="459" w:right="359" w:bottom="1440" w:gutter="0" w:footer="0" w:header="0"/>
        </w:sectPr>
      </w:pPr>
    </w:p>
    <w:bookmarkStart w:id="125" w:name="page126"/>
    <w:bookmarkEnd w:id="1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spacing w:after="0" w:line="268" w:lineRule="auto"/>
        <w:rPr>
          <w:sz w:val="20"/>
          <w:szCs w:val="20"/>
          <w:color w:val="auto"/>
        </w:rPr>
      </w:pPr>
      <w:r>
        <w:rPr>
          <w:rFonts w:ascii="Arial" w:cs="Arial" w:eastAsia="Arial" w:hAnsi="Arial"/>
          <w:sz w:val="17"/>
          <w:szCs w:val="17"/>
          <w:color w:val="auto"/>
        </w:rPr>
        <w:t>outstanding under our 2008 Plan at a weighted-average exercise price of approximately $7.03 per share and RSUs covering 61,577,921 shares of our Class B common stock remained outstanding under our 2008 Plan. Awards granted under the 2008 Plan generally are subject to terms similar to those described above with respect to options and RSUs granted under the 2017 Plan. Our 2008 Plan provides that if there is (i) a dissolution or liquidation of the company, (ii) any reorganization, consolidation, merger, or similar transaction or series of related transactions resulting in a significant change in our voting securities as described in our 2008 Plan, or (iii) a sale of all or substantially all of our assets followed by the distribution of the proceeds to our stockholders, any or all outstanding awards may be assumed, converted, replaced, or substituted by the successor or acquiring corporation (if any). If a successor or acquiring corporation refuses to assume, convert, replace, or substitute awards, vesting of awards will accelerate and options will become exercisable in full prior to the consummation of event on such terms as determined by the administrator, and all options that are not exercised prior to the consummation of the transaction and all other awards will terminate. Our 2008 Plan generally does not allow for the transfer or assignment of awards, other than by will or by the laws of descent and distribution and, with respect to nonqualified options, by instrument to an inter vivos or testamentary trust in which the options are to be passed to beneficiaries upon the death of the trustor (settlor) or by gift to “immediate family,” and awards may not be made subject to execution, attachment, or similar process. An award is only exercisable by the participant or the participant’s legal representative during the participant’s lifetime. Our Board of Directors may amend our 2008 Plan at any time, provided that such amendment does not impair the rights under outstanding awards without the participant’s written consent.</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Executive Incentive Compensation Plan</w:t>
      </w:r>
    </w:p>
    <w:p>
      <w:pPr>
        <w:spacing w:after="0" w:line="117" w:lineRule="exact"/>
        <w:rPr>
          <w:sz w:val="20"/>
          <w:szCs w:val="20"/>
          <w:color w:val="auto"/>
        </w:rPr>
      </w:pPr>
    </w:p>
    <w:p>
      <w:pPr>
        <w:ind w:right="240" w:firstLine="449"/>
        <w:spacing w:after="0" w:line="275" w:lineRule="auto"/>
        <w:rPr>
          <w:sz w:val="20"/>
          <w:szCs w:val="20"/>
          <w:color w:val="auto"/>
        </w:rPr>
      </w:pPr>
      <w:r>
        <w:rPr>
          <w:rFonts w:ascii="Arial" w:cs="Arial" w:eastAsia="Arial" w:hAnsi="Arial"/>
          <w:sz w:val="17"/>
          <w:szCs w:val="17"/>
          <w:color w:val="auto"/>
        </w:rPr>
        <w:t>We maintain an Executive Incentive Compensation Plan, or the Bonus Plan. The Bonus Plan allows our compensation committee to provide cash incentive awards to selected employees, including our NEOs, determined by our compensation committee, based upon performance goals established by our compensation committee. Our compensation committee, in its sole discretion, establishes a target award for each participant under the Bonus Plan, which may be expressed as a percentage of the participant’s average annual base salary for the applicable performance period, a fixed dollar amount, or such other amount or based on such other formula as it determines to be appropriate.</w:t>
      </w:r>
    </w:p>
    <w:p>
      <w:pPr>
        <w:spacing w:after="0" w:line="176" w:lineRule="exact"/>
        <w:rPr>
          <w:sz w:val="20"/>
          <w:szCs w:val="20"/>
          <w:color w:val="auto"/>
        </w:rPr>
      </w:pPr>
    </w:p>
    <w:p>
      <w:pPr>
        <w:ind w:right="80" w:firstLine="449"/>
        <w:spacing w:after="0" w:line="268" w:lineRule="auto"/>
        <w:rPr>
          <w:sz w:val="20"/>
          <w:szCs w:val="20"/>
          <w:color w:val="auto"/>
        </w:rPr>
      </w:pPr>
      <w:r>
        <w:rPr>
          <w:rFonts w:ascii="Arial" w:cs="Arial" w:eastAsia="Arial" w:hAnsi="Arial"/>
          <w:sz w:val="17"/>
          <w:szCs w:val="17"/>
          <w:color w:val="auto"/>
        </w:rPr>
        <w:t>Under the Bonus Plan, our compensation committee determines the performance goals applicable to awards, which goals may include, without limitation: attainment of research and development milestones, sales bookings, business divestitures and acquisitions, cash flow, cash position, earnings (which may include any calculation of earnings, including but not limited to earnings before interest and taxes, earnings before taxes, earnings before interest, taxes, depreciation and amortization, and net earnings), earnings per share, net income, net profit, net sales, operating cash flow, operating expenses, operating income, operating margin, overhead, or other expense reduction, product defect measures, product release timelines, productivity, profit, return on assets, return on capital, return on equity, return on investment, return on sales, revenue, revenue growth, sales results, sales growth, stock price, time to market, total stockholder return, working capital, and individual objectives such as MBOs, peer reviews, or other subjective or objective criteria. Performance goals that include the Company’s financial results may be determined in accordance with U.S. generally accepted accounting principles, or GAAP, or such financial results may consist of non-GAAP financial measures and any actual results may be adjusted by our compensation committee for one-time items or unbudgeted or unexpected items and/or payments of actual awards under the Bonus Plan when determining whether the performance goals have been met. The goals may be on the basis of any factors our compensation committee determines relevant, and may be on an individual, divisional, business unit, or company-wide basis. Any criteria used may be measured on such basis as our compensation committee determines. The performance goals may differ from participant to participant and from award to award. Our compensation committee also may determine that a target award or a portion thereof will not have a performance goal associated with it but instead will be granted (if at all) in the compensation committee’s sole discretion.</w:t>
      </w:r>
    </w:p>
    <w:p>
      <w:pPr>
        <w:spacing w:after="0" w:line="182" w:lineRule="exact"/>
        <w:rPr>
          <w:sz w:val="20"/>
          <w:szCs w:val="20"/>
          <w:color w:val="auto"/>
        </w:rPr>
      </w:pPr>
    </w:p>
    <w:p>
      <w:pPr>
        <w:ind w:right="180" w:firstLine="449"/>
        <w:spacing w:after="0" w:line="277" w:lineRule="auto"/>
        <w:rPr>
          <w:sz w:val="20"/>
          <w:szCs w:val="20"/>
          <w:color w:val="auto"/>
        </w:rPr>
      </w:pPr>
      <w:r>
        <w:rPr>
          <w:rFonts w:ascii="Arial" w:cs="Arial" w:eastAsia="Arial" w:hAnsi="Arial"/>
          <w:sz w:val="18"/>
          <w:szCs w:val="18"/>
          <w:color w:val="auto"/>
        </w:rPr>
        <w:t>Our compensation committee may, in its sole discretion and at any time, increase, reduce, or eliminate a participant’s actual award, and/or increase, reduce, or eliminate the amount allocated to the bonus pool. The</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123</w:t>
      </w:r>
    </w:p>
    <w:p>
      <w:pPr>
        <w:sectPr>
          <w:pgSz w:w="11900" w:h="16838" w:orient="portrait"/>
          <w:cols w:equalWidth="0" w:num="1">
            <w:col w:w="11240"/>
          </w:cols>
          <w:pgMar w:left="320" w:top="459" w:right="339" w:bottom="1440" w:gutter="0" w:footer="0" w:header="0"/>
        </w:sectPr>
      </w:pPr>
    </w:p>
    <w:bookmarkStart w:id="126" w:name="page127"/>
    <w:bookmarkEnd w:id="1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right="20"/>
        <w:spacing w:after="0" w:line="263" w:lineRule="auto"/>
        <w:rPr>
          <w:sz w:val="20"/>
          <w:szCs w:val="20"/>
          <w:color w:val="auto"/>
        </w:rPr>
      </w:pPr>
      <w:r>
        <w:rPr>
          <w:rFonts w:ascii="Arial" w:cs="Arial" w:eastAsia="Arial" w:hAnsi="Arial"/>
          <w:sz w:val="18"/>
          <w:szCs w:val="18"/>
          <w:color w:val="auto"/>
        </w:rPr>
        <w:t>actual award may be below, at, or above a participant’s target award, in our compensation committee’s discretion. Our compensation committee may determine the amount of any increase, reduction, or elimination on the basis of such factors as it deems relevant, and it will not be required to establish any allocation or weighting with respect to the factors it considers.</w:t>
      </w:r>
    </w:p>
    <w:p>
      <w:pPr>
        <w:spacing w:after="0" w:line="184" w:lineRule="exact"/>
        <w:rPr>
          <w:sz w:val="20"/>
          <w:szCs w:val="20"/>
          <w:color w:val="auto"/>
        </w:rPr>
      </w:pPr>
    </w:p>
    <w:p>
      <w:pPr>
        <w:ind w:firstLine="449"/>
        <w:spacing w:after="0" w:line="259" w:lineRule="auto"/>
        <w:rPr>
          <w:sz w:val="20"/>
          <w:szCs w:val="20"/>
          <w:color w:val="auto"/>
        </w:rPr>
      </w:pPr>
      <w:r>
        <w:rPr>
          <w:rFonts w:ascii="Arial" w:cs="Arial" w:eastAsia="Arial" w:hAnsi="Arial"/>
          <w:sz w:val="18"/>
          <w:szCs w:val="18"/>
          <w:color w:val="auto"/>
        </w:rPr>
        <w:t>Actual awards are paid in cash (or its equivalent) in a single lump sum only after they are earned and approved by our compensation committee. Unless otherwise determined by our compensation committee, to earn an actual award, a participant must be employed by us (or an affiliate of ours, as applicable) through the date the bonus is paid. Payment of bonuses occurs as soon as administratively practicable after they are earned, but no later than the dates set forth in the Bonus Plan.</w:t>
      </w:r>
    </w:p>
    <w:p>
      <w:pPr>
        <w:spacing w:after="0" w:line="187" w:lineRule="exact"/>
        <w:rPr>
          <w:sz w:val="20"/>
          <w:szCs w:val="20"/>
          <w:color w:val="auto"/>
        </w:rPr>
      </w:pPr>
    </w:p>
    <w:p>
      <w:pPr>
        <w:ind w:firstLine="449"/>
        <w:spacing w:after="0" w:line="263" w:lineRule="auto"/>
        <w:rPr>
          <w:sz w:val="20"/>
          <w:szCs w:val="20"/>
          <w:color w:val="auto"/>
        </w:rPr>
      </w:pPr>
      <w:r>
        <w:rPr>
          <w:rFonts w:ascii="Arial" w:cs="Arial" w:eastAsia="Arial" w:hAnsi="Arial"/>
          <w:sz w:val="18"/>
          <w:szCs w:val="18"/>
          <w:color w:val="auto"/>
        </w:rPr>
        <w:t>Our Board of Directors has the authority to amend or terminate the Bonus Plan, provided such action does not, without the consent of the participant, alter or impair the rights or obligations under any award already earned by such participant. The Bonus Plan will remain in effect until terminated in accordance with the terms of the Bonus Plan.</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401(k) plan</w:t>
      </w:r>
    </w:p>
    <w:p>
      <w:pPr>
        <w:spacing w:after="0" w:line="117" w:lineRule="exact"/>
        <w:rPr>
          <w:sz w:val="20"/>
          <w:szCs w:val="20"/>
          <w:color w:val="auto"/>
        </w:rPr>
      </w:pPr>
    </w:p>
    <w:p>
      <w:pPr>
        <w:ind w:right="80" w:firstLine="449"/>
        <w:spacing w:after="0" w:line="257" w:lineRule="auto"/>
        <w:rPr>
          <w:sz w:val="20"/>
          <w:szCs w:val="20"/>
          <w:color w:val="auto"/>
        </w:rPr>
      </w:pPr>
      <w:r>
        <w:rPr>
          <w:rFonts w:ascii="Arial" w:cs="Arial" w:eastAsia="Arial" w:hAnsi="Arial"/>
          <w:sz w:val="18"/>
          <w:szCs w:val="18"/>
          <w:color w:val="auto"/>
        </w:rPr>
        <w:t>We maintain a tax-qualified 401(k) retirement plan for all U.S. employees who satisfy certain eligibility requirements, including requirements relating to age and length of service. Under our 401(k) plan, employees may elect to defer up to all eligible compensation, subject to applicable annual Internal Revenue Code limits. We match a portion of contributions made by our employees, including executives. We intend for our 401(k) plan to qualify under Section 401(a) and 501(a) of the Code so that contributions by employees to our 401(k) plan, and income earned on those contributions, are not taxable to employees until withdrawn from our 401(k) plan.</w:t>
      </w:r>
    </w:p>
    <w:p>
      <w:pPr>
        <w:spacing w:after="0" w:line="12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124</w:t>
      </w:r>
    </w:p>
    <w:p>
      <w:pPr>
        <w:sectPr>
          <w:pgSz w:w="11900" w:h="16838" w:orient="portrait"/>
          <w:cols w:equalWidth="0" w:num="1">
            <w:col w:w="11200"/>
          </w:cols>
          <w:pgMar w:left="320" w:top="459" w:right="379" w:bottom="1440" w:gutter="0" w:footer="0" w:header="0"/>
        </w:sectPr>
      </w:pPr>
    </w:p>
    <w:bookmarkStart w:id="127" w:name="page128"/>
    <w:bookmarkEnd w:id="1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CERTAIN RELATIONSHIPS, RELATED PARTY TRANSACTIONS, AND OTHER TRANSACTIONS</w:t>
      </w:r>
    </w:p>
    <w:p>
      <w:pPr>
        <w:spacing w:after="0" w:line="229" w:lineRule="exact"/>
        <w:rPr>
          <w:sz w:val="20"/>
          <w:szCs w:val="20"/>
          <w:color w:val="auto"/>
        </w:rPr>
      </w:pPr>
    </w:p>
    <w:p>
      <w:pPr>
        <w:ind w:right="100" w:firstLine="449"/>
        <w:spacing w:after="0" w:line="263" w:lineRule="auto"/>
        <w:rPr>
          <w:sz w:val="20"/>
          <w:szCs w:val="20"/>
          <w:color w:val="auto"/>
        </w:rPr>
      </w:pPr>
      <w:r>
        <w:rPr>
          <w:rFonts w:ascii="Arial" w:cs="Arial" w:eastAsia="Arial" w:hAnsi="Arial"/>
          <w:sz w:val="18"/>
          <w:szCs w:val="18"/>
          <w:color w:val="auto"/>
        </w:rPr>
        <w:t>In addition to the compensation arrangements, including employment, termination of employment, and change in control arrangements, discussed in the sections titled “Management” and “Executive Compensation”, the following is a description of each transaction since January 1, 2015, and each currently proposed transaction in which:</w:t>
      </w:r>
    </w:p>
    <w:p>
      <w:pPr>
        <w:spacing w:after="0" w:line="89" w:lineRule="exact"/>
        <w:rPr>
          <w:sz w:val="20"/>
          <w:szCs w:val="20"/>
          <w:color w:val="auto"/>
        </w:rPr>
      </w:pPr>
    </w:p>
    <w:p>
      <w:pPr>
        <w:ind w:left="880" w:hanging="319"/>
        <w:spacing w:after="0"/>
        <w:tabs>
          <w:tab w:leader="none" w:pos="880" w:val="left"/>
        </w:tabs>
        <w:numPr>
          <w:ilvl w:val="0"/>
          <w:numId w:val="79"/>
        </w:numPr>
        <w:rPr>
          <w:rFonts w:ascii="Arial" w:cs="Arial" w:eastAsia="Arial" w:hAnsi="Arial"/>
          <w:sz w:val="18"/>
          <w:szCs w:val="18"/>
          <w:color w:val="auto"/>
        </w:rPr>
      </w:pPr>
      <w:r>
        <w:rPr>
          <w:rFonts w:ascii="Arial" w:cs="Arial" w:eastAsia="Arial" w:hAnsi="Arial"/>
          <w:sz w:val="18"/>
          <w:szCs w:val="18"/>
          <w:color w:val="auto"/>
        </w:rPr>
        <w:t>we have been or are to be a participant;</w:t>
      </w:r>
    </w:p>
    <w:p>
      <w:pPr>
        <w:spacing w:after="0" w:line="130" w:lineRule="exact"/>
        <w:rPr>
          <w:rFonts w:ascii="Arial" w:cs="Arial" w:eastAsia="Arial" w:hAnsi="Arial"/>
          <w:sz w:val="18"/>
          <w:szCs w:val="18"/>
          <w:color w:val="auto"/>
        </w:rPr>
      </w:pPr>
    </w:p>
    <w:p>
      <w:pPr>
        <w:ind w:left="880" w:hanging="319"/>
        <w:spacing w:after="0"/>
        <w:tabs>
          <w:tab w:leader="none" w:pos="880" w:val="left"/>
        </w:tabs>
        <w:numPr>
          <w:ilvl w:val="0"/>
          <w:numId w:val="79"/>
        </w:numPr>
        <w:rPr>
          <w:rFonts w:ascii="Arial" w:cs="Arial" w:eastAsia="Arial" w:hAnsi="Arial"/>
          <w:sz w:val="18"/>
          <w:szCs w:val="18"/>
          <w:color w:val="auto"/>
        </w:rPr>
      </w:pPr>
      <w:r>
        <w:rPr>
          <w:rFonts w:ascii="Arial" w:cs="Arial" w:eastAsia="Arial" w:hAnsi="Arial"/>
          <w:sz w:val="18"/>
          <w:szCs w:val="18"/>
          <w:color w:val="auto"/>
        </w:rPr>
        <w:t>the amount involved exceeded or exceeds $120,000; and</w:t>
      </w:r>
    </w:p>
    <w:p>
      <w:pPr>
        <w:spacing w:after="0" w:line="130" w:lineRule="exact"/>
        <w:rPr>
          <w:rFonts w:ascii="Arial" w:cs="Arial" w:eastAsia="Arial" w:hAnsi="Arial"/>
          <w:sz w:val="18"/>
          <w:szCs w:val="18"/>
          <w:color w:val="auto"/>
        </w:rPr>
      </w:pPr>
    </w:p>
    <w:p>
      <w:pPr>
        <w:ind w:left="880" w:right="260" w:hanging="319"/>
        <w:spacing w:after="0" w:line="308" w:lineRule="auto"/>
        <w:tabs>
          <w:tab w:leader="none" w:pos="880" w:val="left"/>
        </w:tabs>
        <w:numPr>
          <w:ilvl w:val="0"/>
          <w:numId w:val="79"/>
        </w:numPr>
        <w:rPr>
          <w:rFonts w:ascii="Arial" w:cs="Arial" w:eastAsia="Arial" w:hAnsi="Arial"/>
          <w:sz w:val="17"/>
          <w:szCs w:val="17"/>
          <w:color w:val="auto"/>
        </w:rPr>
      </w:pPr>
      <w:r>
        <w:rPr>
          <w:rFonts w:ascii="Arial" w:cs="Arial" w:eastAsia="Arial" w:hAnsi="Arial"/>
          <w:sz w:val="17"/>
          <w:szCs w:val="17"/>
          <w:color w:val="auto"/>
        </w:rPr>
        <w:t>any of our directors, executive officers, or holders of more than 5% of our outstanding capital stock, or any immediate family member of, or person sharing the household with, any of these individuals or entities, had or will have a direct or indirect material interest.</w:t>
      </w:r>
    </w:p>
    <w:p>
      <w:pPr>
        <w:spacing w:after="0" w:line="2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Amended and Restated Investors’ Rights Agreement</w:t>
      </w:r>
    </w:p>
    <w:p>
      <w:pPr>
        <w:spacing w:after="0" w:line="121" w:lineRule="exact"/>
        <w:rPr>
          <w:sz w:val="20"/>
          <w:szCs w:val="20"/>
          <w:color w:val="auto"/>
        </w:rPr>
      </w:pPr>
    </w:p>
    <w:p>
      <w:pPr>
        <w:ind w:right="100" w:firstLine="449"/>
        <w:spacing w:after="0" w:line="279" w:lineRule="auto"/>
        <w:rPr>
          <w:sz w:val="20"/>
          <w:szCs w:val="20"/>
          <w:color w:val="auto"/>
        </w:rPr>
      </w:pPr>
      <w:r>
        <w:rPr>
          <w:rFonts w:ascii="Arial" w:cs="Arial" w:eastAsia="Arial" w:hAnsi="Arial"/>
          <w:sz w:val="17"/>
          <w:szCs w:val="17"/>
          <w:color w:val="auto"/>
        </w:rPr>
        <w:t>We are party to our Amended and Restated Investors’ Rights Agreement, or IRA, dated as of January 30, 2014, which provides, among other things, that certain holders of our capital stock, including entities affiliated with each of Sequoia Capital, Accel, and T. Rowe Price, be covered by a registration statement that we are otherwise filing. R. Bryan Schreier, a member of our Board of Directors, is affiliated with Sequoia Capital. See the section titled “Description of Capital Stock—Registration Rights” for additional information regarding these registration rights.</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Right of First Refusal</w:t>
      </w:r>
    </w:p>
    <w:p>
      <w:pPr>
        <w:spacing w:after="0" w:line="121" w:lineRule="exact"/>
        <w:rPr>
          <w:sz w:val="20"/>
          <w:szCs w:val="20"/>
          <w:color w:val="auto"/>
        </w:rPr>
      </w:pPr>
    </w:p>
    <w:p>
      <w:pPr>
        <w:ind w:right="260" w:firstLine="449"/>
        <w:spacing w:after="0" w:line="286" w:lineRule="auto"/>
        <w:rPr>
          <w:sz w:val="20"/>
          <w:szCs w:val="20"/>
          <w:color w:val="auto"/>
        </w:rPr>
      </w:pPr>
      <w:r>
        <w:rPr>
          <w:rFonts w:ascii="Arial" w:cs="Arial" w:eastAsia="Arial" w:hAnsi="Arial"/>
          <w:sz w:val="17"/>
          <w:szCs w:val="17"/>
          <w:color w:val="auto"/>
        </w:rPr>
        <w:t>Pursuant to certain of our bylaws, equity compensation plans, and certain agreements with our stockholders, including our Amended and Restated Right of First Refusal and Co-Sale Agreement, dated January 30, 2014, we or our assignees have a right to purchase shares of our capital stock which stockholders propose to sell to other parties. This right will terminate immediately prior to the completion of this offering.</w:t>
      </w: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Amended and Restated Voting and Drag-Along Agreement</w:t>
      </w:r>
    </w:p>
    <w:p>
      <w:pPr>
        <w:spacing w:after="0" w:line="121" w:lineRule="exact"/>
        <w:rPr>
          <w:sz w:val="20"/>
          <w:szCs w:val="20"/>
          <w:color w:val="auto"/>
        </w:rPr>
      </w:pPr>
    </w:p>
    <w:p>
      <w:pPr>
        <w:ind w:firstLine="449"/>
        <w:spacing w:after="0" w:line="275" w:lineRule="auto"/>
        <w:rPr>
          <w:sz w:val="20"/>
          <w:szCs w:val="20"/>
          <w:color w:val="auto"/>
        </w:rPr>
      </w:pPr>
      <w:r>
        <w:rPr>
          <w:rFonts w:ascii="Arial" w:cs="Arial" w:eastAsia="Arial" w:hAnsi="Arial"/>
          <w:sz w:val="17"/>
          <w:szCs w:val="17"/>
          <w:color w:val="auto"/>
        </w:rPr>
        <w:t>We are party to our Amended and Restated Voting and Drag-Along Agreement, or Voting Agreement, dated as of April 21, 2016, under which certain holders of our capital stock, including entities affiliated with each of Sequoia Capital, Accel, and T. Rowe Price, have agreed to vote their shares of our capital stock on certain matters, including with respect to the election of directors. R. Bryan Schreier, a member of our Board of Directors, is affiliated with Sequoia Capital. Immediately prior to the completion of this offering, the Voting Agreement will terminate and none of our stockholders will have any special rights regarding the election or designation of members of our Board of Directors.</w:t>
      </w:r>
    </w:p>
    <w:p>
      <w:pPr>
        <w:spacing w:after="0" w:line="2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Commercial Arrangement</w:t>
      </w:r>
    </w:p>
    <w:p>
      <w:pPr>
        <w:spacing w:after="0" w:line="121" w:lineRule="exact"/>
        <w:rPr>
          <w:sz w:val="20"/>
          <w:szCs w:val="20"/>
          <w:color w:val="auto"/>
        </w:rPr>
      </w:pPr>
    </w:p>
    <w:p>
      <w:pPr>
        <w:ind w:right="280" w:firstLine="449"/>
        <w:spacing w:after="0" w:line="263" w:lineRule="auto"/>
        <w:rPr>
          <w:sz w:val="20"/>
          <w:szCs w:val="20"/>
          <w:color w:val="auto"/>
        </w:rPr>
      </w:pPr>
      <w:r>
        <w:rPr>
          <w:rFonts w:ascii="Arial" w:cs="Arial" w:eastAsia="Arial" w:hAnsi="Arial"/>
          <w:sz w:val="18"/>
          <w:szCs w:val="18"/>
          <w:color w:val="auto"/>
        </w:rPr>
        <w:t>We previously had a commercial relationship with Hewlett-Packard Company, of which Margaret Whitman served as the Chief Executive Officer from September 2011 to November 2015. During 2015, we made payments of $37.3 million for capital leases and commercial products and services provided by the Hewlett-Packard Company.</w:t>
      </w:r>
    </w:p>
    <w:p>
      <w:pPr>
        <w:spacing w:after="0" w:line="184" w:lineRule="exact"/>
        <w:rPr>
          <w:sz w:val="20"/>
          <w:szCs w:val="20"/>
          <w:color w:val="auto"/>
        </w:rPr>
      </w:pPr>
    </w:p>
    <w:p>
      <w:pPr>
        <w:ind w:right="20" w:firstLine="449"/>
        <w:spacing w:after="0" w:line="257" w:lineRule="auto"/>
        <w:rPr>
          <w:sz w:val="20"/>
          <w:szCs w:val="20"/>
          <w:color w:val="auto"/>
        </w:rPr>
      </w:pPr>
      <w:r>
        <w:rPr>
          <w:rFonts w:ascii="Arial" w:cs="Arial" w:eastAsia="Arial" w:hAnsi="Arial"/>
          <w:sz w:val="18"/>
          <w:szCs w:val="18"/>
          <w:color w:val="auto"/>
        </w:rPr>
        <w:t>We also have a commercial relationship with HPE, of which Margaret Whitman has served as Chief Executive Officer since November 2015. These commercial relationships include infrastructure equipment under capital leases, the purchase of commercial products and other services, and a multi-year subscription agreement for access to the Dropbox platform. During 2016, we received payments of $1.0 million for services rendered to HPE. During 2015, 2016, and the first nine months of 2017, we made payments of $10.9 million, $79.7 million, and $63.2 million, respectively, for capital leases and commercial products and services provided by HPE.</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Employment Arrangement</w:t>
      </w:r>
    </w:p>
    <w:p>
      <w:pPr>
        <w:spacing w:after="0" w:line="121" w:lineRule="exact"/>
        <w:rPr>
          <w:sz w:val="20"/>
          <w:szCs w:val="20"/>
          <w:color w:val="auto"/>
        </w:rPr>
      </w:pPr>
    </w:p>
    <w:p>
      <w:pPr>
        <w:ind w:right="60" w:firstLine="449"/>
        <w:spacing w:after="0" w:line="277" w:lineRule="auto"/>
        <w:rPr>
          <w:sz w:val="20"/>
          <w:szCs w:val="20"/>
          <w:color w:val="auto"/>
        </w:rPr>
      </w:pPr>
      <w:r>
        <w:rPr>
          <w:rFonts w:ascii="Arial" w:cs="Arial" w:eastAsia="Arial" w:hAnsi="Arial"/>
          <w:sz w:val="18"/>
          <w:szCs w:val="18"/>
          <w:color w:val="auto"/>
        </w:rPr>
        <w:t>Sheila Vashee, who is the wife of Ajay Vashee, our Chief Financial Officer, was employed by us in a non-executive capacity. Her total compensation received in 2015, 2016, and the first nine months of 2017, which is</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125</w:t>
      </w:r>
    </w:p>
    <w:p>
      <w:pPr>
        <w:sectPr>
          <w:pgSz w:w="11900" w:h="16838" w:orient="portrait"/>
          <w:cols w:equalWidth="0" w:num="1">
            <w:col w:w="11240"/>
          </w:cols>
          <w:pgMar w:left="320" w:top="459" w:right="339" w:bottom="1440" w:gutter="0" w:footer="0" w:header="0"/>
        </w:sectPr>
      </w:pPr>
    </w:p>
    <w:bookmarkStart w:id="128" w:name="page129"/>
    <w:bookmarkEnd w:id="1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right="720"/>
        <w:spacing w:after="0" w:line="342" w:lineRule="auto"/>
        <w:rPr>
          <w:sz w:val="20"/>
          <w:szCs w:val="20"/>
          <w:color w:val="auto"/>
        </w:rPr>
      </w:pPr>
      <w:r>
        <w:rPr>
          <w:rFonts w:ascii="Arial" w:cs="Arial" w:eastAsia="Arial" w:hAnsi="Arial"/>
          <w:sz w:val="16"/>
          <w:szCs w:val="16"/>
          <w:color w:val="auto"/>
        </w:rPr>
        <w:t>comprised of a base salary and bonus, as applicable, was $234,228, $249,064, and $349,888, respectively, and was in line with similar roles at the company. Additionally, we granted Ms. Vashee equity awards covering 69,979 shares of our Class B common stock during this time.</w:t>
      </w: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Dropbox Charitable Foundation</w:t>
      </w:r>
    </w:p>
    <w:p>
      <w:pPr>
        <w:spacing w:after="0" w:line="121" w:lineRule="exact"/>
        <w:rPr>
          <w:sz w:val="20"/>
          <w:szCs w:val="20"/>
          <w:color w:val="auto"/>
        </w:rPr>
      </w:pPr>
    </w:p>
    <w:p>
      <w:pPr>
        <w:ind w:right="40" w:firstLine="449"/>
        <w:spacing w:after="0" w:line="296" w:lineRule="auto"/>
        <w:rPr>
          <w:sz w:val="20"/>
          <w:szCs w:val="20"/>
          <w:color w:val="auto"/>
        </w:rPr>
      </w:pPr>
      <w:r>
        <w:rPr>
          <w:rFonts w:ascii="Arial" w:cs="Arial" w:eastAsia="Arial" w:hAnsi="Arial"/>
          <w:sz w:val="16"/>
          <w:szCs w:val="16"/>
          <w:color w:val="auto"/>
        </w:rPr>
        <w:t>During 2016, two of our controlling stockholders formed the Dropbox Charitable Foundation, a Delaware non-stock corporation, or the Foundation. The primary purpose of the Foundation is to engage in charitable and educational activities within the meaning of Section 501(c)(3) of the Code. The Foundation is governed by a board of directors, a majority of which are independent. Both stockholders made contributions to the Foundation during 2016, comprised entirely of shares of Dropbox common stock. As of December 31, 2016, we had not made any contributions to the Foundation. We have not consolidated the Foundation in the accompanying consolidated financial statements, as we do not have control of the entity.</w:t>
      </w:r>
    </w:p>
    <w:p>
      <w:pPr>
        <w:spacing w:after="0" w:line="161" w:lineRule="exact"/>
        <w:rPr>
          <w:sz w:val="20"/>
          <w:szCs w:val="20"/>
          <w:color w:val="auto"/>
        </w:rPr>
      </w:pPr>
    </w:p>
    <w:p>
      <w:pPr>
        <w:ind w:firstLine="449"/>
        <w:spacing w:after="0" w:line="342" w:lineRule="auto"/>
        <w:rPr>
          <w:sz w:val="20"/>
          <w:szCs w:val="20"/>
          <w:color w:val="auto"/>
        </w:rPr>
      </w:pPr>
      <w:r>
        <w:rPr>
          <w:rFonts w:ascii="Arial" w:cs="Arial" w:eastAsia="Arial" w:hAnsi="Arial"/>
          <w:sz w:val="16"/>
          <w:szCs w:val="16"/>
          <w:color w:val="auto"/>
        </w:rPr>
        <w:t>During the second quarter of 2017, we incurred $9.4 million of expense for a non-cash charitable contribution, whereby we donated Class B common shares to initially fund the Foundation. Additionally, during the first nine months of 2017, we made cash contributions of $823,978 to the Foundation.</w:t>
      </w: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Executive and Director Compensation</w:t>
      </w:r>
    </w:p>
    <w:p>
      <w:pPr>
        <w:spacing w:after="0" w:line="121" w:lineRule="exact"/>
        <w:rPr>
          <w:sz w:val="20"/>
          <w:szCs w:val="20"/>
          <w:color w:val="auto"/>
        </w:rPr>
      </w:pPr>
    </w:p>
    <w:p>
      <w:pPr>
        <w:jc w:val="both"/>
        <w:ind w:right="240" w:firstLine="449"/>
        <w:spacing w:after="0" w:line="263" w:lineRule="auto"/>
        <w:rPr>
          <w:sz w:val="20"/>
          <w:szCs w:val="20"/>
          <w:color w:val="auto"/>
        </w:rPr>
      </w:pPr>
      <w:r>
        <w:rPr>
          <w:rFonts w:ascii="Arial" w:cs="Arial" w:eastAsia="Arial" w:hAnsi="Arial"/>
          <w:sz w:val="18"/>
          <w:szCs w:val="18"/>
          <w:color w:val="auto"/>
        </w:rPr>
        <w:t>We have granted stock options and RSUs to our executive officers and certain of our directors. See the sections titled “Executive Compensation— Outstanding Equity Awards at 2017 Year-End” and “Management—Non-Employee Director Compensation” for a description of these stock options and RSUs.</w:t>
      </w:r>
    </w:p>
    <w:p>
      <w:pPr>
        <w:spacing w:after="0" w:line="184" w:lineRule="exact"/>
        <w:rPr>
          <w:sz w:val="20"/>
          <w:szCs w:val="20"/>
          <w:color w:val="auto"/>
        </w:rPr>
      </w:pPr>
    </w:p>
    <w:p>
      <w:pPr>
        <w:ind w:right="220" w:firstLine="449"/>
        <w:spacing w:after="0" w:line="301" w:lineRule="auto"/>
        <w:rPr>
          <w:sz w:val="20"/>
          <w:szCs w:val="20"/>
          <w:color w:val="auto"/>
        </w:rPr>
      </w:pPr>
      <w:r>
        <w:rPr>
          <w:rFonts w:ascii="Arial" w:cs="Arial" w:eastAsia="Arial" w:hAnsi="Arial"/>
          <w:sz w:val="16"/>
          <w:szCs w:val="16"/>
          <w:color w:val="auto"/>
        </w:rPr>
        <w:t>Other than as described above under this section titled “Certain Relationships and Related Party Transactions,” since January 1, 2015, we have not entered into any transactions, nor are there any currently proposed transactions, between us and a related party where the amount involved exceeds, or would exceed, $120,000, and in which any related person had or will have a direct or indirect material interest. We believe the terms of the transactions described above were comparable to terms we could have obtained in arm’s-length dealings with unrelated third parties.</w:t>
      </w:r>
    </w:p>
    <w:p>
      <w:pPr>
        <w:spacing w:after="0" w:line="157" w:lineRule="exact"/>
        <w:rPr>
          <w:sz w:val="20"/>
          <w:szCs w:val="20"/>
          <w:color w:val="auto"/>
        </w:rPr>
      </w:pPr>
    </w:p>
    <w:p>
      <w:pPr>
        <w:jc w:val="both"/>
        <w:ind w:right="280" w:firstLine="449"/>
        <w:spacing w:after="0" w:line="277" w:lineRule="auto"/>
        <w:rPr>
          <w:sz w:val="20"/>
          <w:szCs w:val="20"/>
          <w:color w:val="auto"/>
        </w:rPr>
      </w:pPr>
      <w:r>
        <w:rPr>
          <w:rFonts w:ascii="Arial" w:cs="Arial" w:eastAsia="Arial" w:hAnsi="Arial"/>
          <w:sz w:val="18"/>
          <w:szCs w:val="18"/>
          <w:color w:val="auto"/>
        </w:rPr>
        <w:t>From time to time, we do business with other companies affiliated with certain holders of our capital stock. We believe that all such arrangements have been entered into in the ordinary course of business and have been conducted on an arm’s-length basis.</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Limitation of Liability and Indemnification of Officers and Directors</w:t>
      </w:r>
    </w:p>
    <w:p>
      <w:pPr>
        <w:spacing w:after="0" w:line="121" w:lineRule="exact"/>
        <w:rPr>
          <w:sz w:val="20"/>
          <w:szCs w:val="20"/>
          <w:color w:val="auto"/>
        </w:rPr>
      </w:pPr>
    </w:p>
    <w:p>
      <w:pPr>
        <w:jc w:val="both"/>
        <w:ind w:right="260" w:firstLine="449"/>
        <w:spacing w:after="0" w:line="259" w:lineRule="auto"/>
        <w:rPr>
          <w:sz w:val="20"/>
          <w:szCs w:val="20"/>
          <w:color w:val="auto"/>
        </w:rPr>
      </w:pPr>
      <w:r>
        <w:rPr>
          <w:rFonts w:ascii="Arial" w:cs="Arial" w:eastAsia="Arial" w:hAnsi="Arial"/>
          <w:sz w:val="18"/>
          <w:szCs w:val="18"/>
          <w:color w:val="auto"/>
        </w:rPr>
        <w:t>We expect to adopt an amended and restated certificate of incorporation, which will become effective immediately prior to the completion of this offering, and which will contain provisions that limit the liability of our directors for monetary damages to the fullest extent permitted by Delaware law. Consequently, our directors will not be personally liable to us or our stockholders for monetary damages for any breach of fiduciary duties as directors, except liability for the following:</w:t>
      </w:r>
    </w:p>
    <w:p>
      <w:pPr>
        <w:spacing w:after="0" w:line="92" w:lineRule="exact"/>
        <w:rPr>
          <w:sz w:val="20"/>
          <w:szCs w:val="20"/>
          <w:color w:val="auto"/>
        </w:rPr>
      </w:pPr>
    </w:p>
    <w:p>
      <w:pPr>
        <w:ind w:left="880" w:hanging="319"/>
        <w:spacing w:after="0"/>
        <w:tabs>
          <w:tab w:leader="none" w:pos="880" w:val="left"/>
        </w:tabs>
        <w:numPr>
          <w:ilvl w:val="0"/>
          <w:numId w:val="80"/>
        </w:numPr>
        <w:rPr>
          <w:rFonts w:ascii="Arial" w:cs="Arial" w:eastAsia="Arial" w:hAnsi="Arial"/>
          <w:sz w:val="18"/>
          <w:szCs w:val="18"/>
          <w:color w:val="auto"/>
        </w:rPr>
      </w:pPr>
      <w:r>
        <w:rPr>
          <w:rFonts w:ascii="Arial" w:cs="Arial" w:eastAsia="Arial" w:hAnsi="Arial"/>
          <w:sz w:val="18"/>
          <w:szCs w:val="18"/>
          <w:color w:val="auto"/>
        </w:rPr>
        <w:t>any breach of their duty of loyalty to our company or our stockholders;</w:t>
      </w:r>
    </w:p>
    <w:p>
      <w:pPr>
        <w:spacing w:after="0" w:line="130" w:lineRule="exact"/>
        <w:rPr>
          <w:rFonts w:ascii="Arial" w:cs="Arial" w:eastAsia="Arial" w:hAnsi="Arial"/>
          <w:sz w:val="18"/>
          <w:szCs w:val="18"/>
          <w:color w:val="auto"/>
        </w:rPr>
      </w:pPr>
    </w:p>
    <w:p>
      <w:pPr>
        <w:ind w:left="880" w:hanging="319"/>
        <w:spacing w:after="0"/>
        <w:tabs>
          <w:tab w:leader="none" w:pos="880" w:val="left"/>
        </w:tabs>
        <w:numPr>
          <w:ilvl w:val="0"/>
          <w:numId w:val="80"/>
        </w:numPr>
        <w:rPr>
          <w:rFonts w:ascii="Arial" w:cs="Arial" w:eastAsia="Arial" w:hAnsi="Arial"/>
          <w:sz w:val="18"/>
          <w:szCs w:val="18"/>
          <w:color w:val="auto"/>
        </w:rPr>
      </w:pPr>
      <w:r>
        <w:rPr>
          <w:rFonts w:ascii="Arial" w:cs="Arial" w:eastAsia="Arial" w:hAnsi="Arial"/>
          <w:sz w:val="18"/>
          <w:szCs w:val="18"/>
          <w:color w:val="auto"/>
        </w:rPr>
        <w:t>any act or omission not in good faith or that involves intentional misconduct or a knowing violation of law;</w:t>
      </w:r>
    </w:p>
    <w:p>
      <w:pPr>
        <w:spacing w:after="0" w:line="130" w:lineRule="exact"/>
        <w:rPr>
          <w:rFonts w:ascii="Arial" w:cs="Arial" w:eastAsia="Arial" w:hAnsi="Arial"/>
          <w:sz w:val="18"/>
          <w:szCs w:val="18"/>
          <w:color w:val="auto"/>
        </w:rPr>
      </w:pPr>
    </w:p>
    <w:p>
      <w:pPr>
        <w:ind w:left="880" w:hanging="319"/>
        <w:spacing w:after="0" w:line="277" w:lineRule="auto"/>
        <w:tabs>
          <w:tab w:leader="none" w:pos="880" w:val="left"/>
        </w:tabs>
        <w:numPr>
          <w:ilvl w:val="0"/>
          <w:numId w:val="80"/>
        </w:numPr>
        <w:rPr>
          <w:rFonts w:ascii="Arial" w:cs="Arial" w:eastAsia="Arial" w:hAnsi="Arial"/>
          <w:sz w:val="18"/>
          <w:szCs w:val="18"/>
          <w:color w:val="auto"/>
        </w:rPr>
      </w:pPr>
      <w:r>
        <w:rPr>
          <w:rFonts w:ascii="Arial" w:cs="Arial" w:eastAsia="Arial" w:hAnsi="Arial"/>
          <w:sz w:val="18"/>
          <w:szCs w:val="18"/>
          <w:color w:val="auto"/>
        </w:rPr>
        <w:t>unlawful payments of dividends or unlawful stock repurchases or redemptions as provided in Section 174 of the Delaware General Corporation Law; or</w:t>
      </w:r>
    </w:p>
    <w:p>
      <w:pPr>
        <w:spacing w:after="0" w:line="75" w:lineRule="exact"/>
        <w:rPr>
          <w:rFonts w:ascii="Arial" w:cs="Arial" w:eastAsia="Arial" w:hAnsi="Arial"/>
          <w:sz w:val="18"/>
          <w:szCs w:val="18"/>
          <w:color w:val="auto"/>
        </w:rPr>
      </w:pPr>
    </w:p>
    <w:p>
      <w:pPr>
        <w:ind w:left="880" w:hanging="319"/>
        <w:spacing w:after="0"/>
        <w:tabs>
          <w:tab w:leader="none" w:pos="880" w:val="left"/>
        </w:tabs>
        <w:numPr>
          <w:ilvl w:val="0"/>
          <w:numId w:val="80"/>
        </w:numPr>
        <w:rPr>
          <w:rFonts w:ascii="Arial" w:cs="Arial" w:eastAsia="Arial" w:hAnsi="Arial"/>
          <w:sz w:val="18"/>
          <w:szCs w:val="18"/>
          <w:color w:val="auto"/>
        </w:rPr>
      </w:pPr>
      <w:r>
        <w:rPr>
          <w:rFonts w:ascii="Arial" w:cs="Arial" w:eastAsia="Arial" w:hAnsi="Arial"/>
          <w:sz w:val="18"/>
          <w:szCs w:val="18"/>
          <w:color w:val="auto"/>
        </w:rPr>
        <w:t>any transaction from which they derived an improper personal benefit.</w:t>
      </w:r>
    </w:p>
    <w:p>
      <w:pPr>
        <w:spacing w:after="0" w:line="225" w:lineRule="exact"/>
        <w:rPr>
          <w:sz w:val="20"/>
          <w:szCs w:val="20"/>
          <w:color w:val="auto"/>
        </w:rPr>
      </w:pPr>
    </w:p>
    <w:p>
      <w:pPr>
        <w:ind w:right="140" w:firstLine="449"/>
        <w:spacing w:after="0" w:line="277" w:lineRule="auto"/>
        <w:rPr>
          <w:sz w:val="20"/>
          <w:szCs w:val="20"/>
          <w:color w:val="auto"/>
        </w:rPr>
      </w:pPr>
      <w:r>
        <w:rPr>
          <w:rFonts w:ascii="Arial" w:cs="Arial" w:eastAsia="Arial" w:hAnsi="Arial"/>
          <w:sz w:val="18"/>
          <w:szCs w:val="18"/>
          <w:color w:val="auto"/>
        </w:rPr>
        <w:t>Any amendment to, or repeal of, these provisions will not eliminate or reduce the effect of these provisions in respect of any act, omission, or claim that occurred or arose prior to that amendment or repeal. If the Delaware</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126</w:t>
      </w:r>
    </w:p>
    <w:p>
      <w:pPr>
        <w:sectPr>
          <w:pgSz w:w="11900" w:h="16838" w:orient="portrait"/>
          <w:cols w:equalWidth="0" w:num="1">
            <w:col w:w="11220"/>
          </w:cols>
          <w:pgMar w:left="320" w:top="459" w:right="359" w:bottom="1440" w:gutter="0" w:footer="0" w:header="0"/>
        </w:sectPr>
      </w:pPr>
    </w:p>
    <w:bookmarkStart w:id="129" w:name="page130"/>
    <w:bookmarkEnd w:id="1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color w:val="auto"/>
        </w:rPr>
        <w:t>General Corporation Law is amended to provide for further limitations on the personal liability of directors of corporations, then the personal liability of our directors will be further limited to the greatest extent permitted by the Delaware General Corporation Law.</w:t>
      </w:r>
    </w:p>
    <w:p>
      <w:pPr>
        <w:spacing w:after="0" w:line="170" w:lineRule="exact"/>
        <w:rPr>
          <w:sz w:val="20"/>
          <w:szCs w:val="20"/>
          <w:color w:val="auto"/>
        </w:rPr>
      </w:pPr>
    </w:p>
    <w:p>
      <w:pPr>
        <w:ind w:firstLine="449"/>
        <w:spacing w:after="0" w:line="290" w:lineRule="auto"/>
        <w:rPr>
          <w:sz w:val="20"/>
          <w:szCs w:val="20"/>
          <w:color w:val="auto"/>
        </w:rPr>
      </w:pPr>
      <w:r>
        <w:rPr>
          <w:rFonts w:ascii="Arial" w:cs="Arial" w:eastAsia="Arial" w:hAnsi="Arial"/>
          <w:sz w:val="16"/>
          <w:szCs w:val="16"/>
          <w:color w:val="auto"/>
        </w:rPr>
        <w:t>In addition, we expect to adopt amended and restated bylaws, which will become effective immediately prior to the completion of this offering, and which will provide that we will indemnify, to the fullest extent permitted by law, any person who is or was a party or is threatened to be made a party to any action, suit, or proceeding by reason of the fact that he or she is or was one of our directors or officers or is or was serving at our request as a director or officer of another corporation, partnership, joint venture, trust, or other enterprise. Our amended and restated bylaws are expected to provide that we may indemnify to the fullest extent permitted by law any person who is or was a party or is threatened to be made a party to any action, suit, or proceeding by reason of the fact that he or she is or was one of our employees or agents or is or was serving at our request as an employee or agent of another corporation, partnership, joint venture, trust, or other enterprise. Our amended and restated bylaws will also provide that we must advance expenses incurred by or on behalf of a director or officer in advance of the final disposition of any action or proceeding, subject to limited exceptions.</w:t>
      </w:r>
    </w:p>
    <w:p>
      <w:pPr>
        <w:spacing w:after="0" w:line="165" w:lineRule="exact"/>
        <w:rPr>
          <w:sz w:val="20"/>
          <w:szCs w:val="20"/>
          <w:color w:val="auto"/>
        </w:rPr>
      </w:pPr>
    </w:p>
    <w:p>
      <w:pPr>
        <w:ind w:right="20" w:firstLine="449"/>
        <w:spacing w:after="0" w:line="296" w:lineRule="auto"/>
        <w:rPr>
          <w:sz w:val="20"/>
          <w:szCs w:val="20"/>
          <w:color w:val="auto"/>
        </w:rPr>
      </w:pPr>
      <w:r>
        <w:rPr>
          <w:rFonts w:ascii="Arial" w:cs="Arial" w:eastAsia="Arial" w:hAnsi="Arial"/>
          <w:sz w:val="16"/>
          <w:szCs w:val="16"/>
          <w:color w:val="auto"/>
        </w:rPr>
        <w:t>Further, we have entered into or will enter into indemnification agreements with each of our directors and executive officers that may be broader than the specific indemnification provisions contained in the Delaware General Corporation Law. These indemnification agreements require us, among other things, to indemnify our directors and executive officers against liabilities that may arise by reason of their status or service. These indemnification agreements also require us to advance all expenses incurred by the directors and executive officers in investigating or defending any such action, suit, or proceeding. We believe that these agreements are necessary to attract and retain qualified individuals to serve as directors and executive officers.</w:t>
      </w:r>
    </w:p>
    <w:p>
      <w:pPr>
        <w:spacing w:after="0" w:line="161" w:lineRule="exact"/>
        <w:rPr>
          <w:sz w:val="20"/>
          <w:szCs w:val="20"/>
          <w:color w:val="auto"/>
        </w:rPr>
      </w:pPr>
    </w:p>
    <w:p>
      <w:pPr>
        <w:ind w:right="60" w:firstLine="449"/>
        <w:spacing w:after="0" w:line="270" w:lineRule="auto"/>
        <w:rPr>
          <w:sz w:val="20"/>
          <w:szCs w:val="20"/>
          <w:color w:val="auto"/>
        </w:rPr>
      </w:pPr>
      <w:r>
        <w:rPr>
          <w:rFonts w:ascii="Arial" w:cs="Arial" w:eastAsia="Arial" w:hAnsi="Arial"/>
          <w:sz w:val="17"/>
          <w:szCs w:val="17"/>
          <w:color w:val="auto"/>
        </w:rPr>
        <w:t>The limitation of liability and indemnification provisions that are expected to be included in our amended and restated certificate of incorporation, amended and restated bylaws, and in indemnification agreements that we have entered into or will enter into with our directors and executive officers may discourage stockholders from bringing a lawsuit against our directors and executive officers for breach of their fiduciary duties. They may also reduce the likelihood of derivative litigation against our directors and executive officers, even though an action, if successful, might benefit us and other stockholders. Further, a stockholder’s investment may be adversely affected to the extent that we pay the costs of settlement and damage awards against directors and executive officers as required by these indemnification provisions. At present, we are not aware of any pending litigation or proceeding involving any person who is or was one of our directors, officers, employees, or other agents or is or was serving at our request as a director, officer, employee, or agent of another corporation, partnership, joint venture, trust, or other enterprise, for which indemnification is sought, and we are not aware of any threatened litigation that may result in claims for indemnification.</w:t>
      </w:r>
    </w:p>
    <w:p>
      <w:pPr>
        <w:spacing w:after="0" w:line="181" w:lineRule="exact"/>
        <w:rPr>
          <w:sz w:val="20"/>
          <w:szCs w:val="20"/>
          <w:color w:val="auto"/>
        </w:rPr>
      </w:pPr>
    </w:p>
    <w:p>
      <w:pPr>
        <w:ind w:right="100" w:firstLine="449"/>
        <w:spacing w:after="0" w:line="259" w:lineRule="auto"/>
        <w:rPr>
          <w:sz w:val="20"/>
          <w:szCs w:val="20"/>
          <w:color w:val="auto"/>
        </w:rPr>
      </w:pPr>
      <w:r>
        <w:rPr>
          <w:rFonts w:ascii="Arial" w:cs="Arial" w:eastAsia="Arial" w:hAnsi="Arial"/>
          <w:sz w:val="18"/>
          <w:szCs w:val="18"/>
          <w:color w:val="auto"/>
        </w:rPr>
        <w:t>We have obtained insurance policies under which, subject to the limitations of the policies, coverage is provided to our directors and executive officers against loss arising from claims made by reason of breach of fiduciary duty or other wrongful acts as a director or executive officer, including claims relating to public securities matters, and to us with respect to payments that may be made by us to these directors and executive officers pursuant to our indemnification obligations or otherwise as a matter of law.</w:t>
      </w:r>
    </w:p>
    <w:p>
      <w:pPr>
        <w:spacing w:after="0" w:line="187" w:lineRule="exact"/>
        <w:rPr>
          <w:sz w:val="20"/>
          <w:szCs w:val="20"/>
          <w:color w:val="auto"/>
        </w:rPr>
      </w:pPr>
    </w:p>
    <w:p>
      <w:pPr>
        <w:ind w:right="100" w:firstLine="449"/>
        <w:spacing w:after="0" w:line="277" w:lineRule="auto"/>
        <w:rPr>
          <w:sz w:val="20"/>
          <w:szCs w:val="20"/>
          <w:color w:val="auto"/>
        </w:rPr>
      </w:pPr>
      <w:r>
        <w:rPr>
          <w:rFonts w:ascii="Arial" w:cs="Arial" w:eastAsia="Arial" w:hAnsi="Arial"/>
          <w:sz w:val="18"/>
          <w:szCs w:val="18"/>
          <w:color w:val="auto"/>
        </w:rPr>
        <w:t>Certain of our non-employee directors may, through their relationships with their employers, be insured and/or indemnified against certain liabilities incurred in their capacity as members of our Board of Directors.</w:t>
      </w:r>
    </w:p>
    <w:p>
      <w:pPr>
        <w:spacing w:after="0" w:line="170" w:lineRule="exact"/>
        <w:rPr>
          <w:sz w:val="20"/>
          <w:szCs w:val="20"/>
          <w:color w:val="auto"/>
        </w:rPr>
      </w:pPr>
    </w:p>
    <w:p>
      <w:pPr>
        <w:ind w:right="340" w:firstLine="449"/>
        <w:spacing w:after="0" w:line="277" w:lineRule="auto"/>
        <w:rPr>
          <w:sz w:val="20"/>
          <w:szCs w:val="20"/>
          <w:color w:val="auto"/>
        </w:rPr>
      </w:pPr>
      <w:r>
        <w:rPr>
          <w:rFonts w:ascii="Arial" w:cs="Arial" w:eastAsia="Arial" w:hAnsi="Arial"/>
          <w:sz w:val="18"/>
          <w:szCs w:val="18"/>
          <w:color w:val="auto"/>
        </w:rPr>
        <w:t>The underwriting agreement will provide for indemnification by the underwriters of us and our officers and directors for certain liabilities arising under the Securities Act or otherwise.</w:t>
      </w:r>
    </w:p>
    <w:p>
      <w:pPr>
        <w:spacing w:after="0" w:line="170" w:lineRule="exact"/>
        <w:rPr>
          <w:sz w:val="20"/>
          <w:szCs w:val="20"/>
          <w:color w:val="auto"/>
        </w:rPr>
      </w:pPr>
    </w:p>
    <w:p>
      <w:pPr>
        <w:jc w:val="both"/>
        <w:ind w:right="160" w:firstLine="449"/>
        <w:spacing w:after="0" w:line="263" w:lineRule="auto"/>
        <w:rPr>
          <w:sz w:val="20"/>
          <w:szCs w:val="20"/>
          <w:color w:val="auto"/>
        </w:rPr>
      </w:pPr>
      <w:r>
        <w:rPr>
          <w:rFonts w:ascii="Arial" w:cs="Arial" w:eastAsia="Arial" w:hAnsi="Arial"/>
          <w:sz w:val="18"/>
          <w:szCs w:val="18"/>
          <w:color w:val="auto"/>
        </w:rPr>
        <w:t>Insofar as indemnification for liabilities arising under the Securities Act may be permitted to directors, officers or persons controlling our company pursuant to the foregoing provisions, we have been informed that, in the opinion of the SEC, such indemnification is against public policy as expressed in the Securities Act and is therefore unenforceable.</w:t>
      </w:r>
    </w:p>
    <w:p>
      <w:pPr>
        <w:spacing w:after="0" w:line="11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127</w:t>
      </w:r>
    </w:p>
    <w:p>
      <w:pPr>
        <w:sectPr>
          <w:pgSz w:w="11900" w:h="16838" w:orient="portrait"/>
          <w:cols w:equalWidth="0" w:num="1">
            <w:col w:w="11240"/>
          </w:cols>
          <w:pgMar w:left="320" w:top="459" w:right="339" w:bottom="1440" w:gutter="0" w:footer="0" w:header="0"/>
        </w:sectPr>
      </w:pPr>
    </w:p>
    <w:bookmarkStart w:id="130" w:name="page131"/>
    <w:bookmarkEnd w:id="1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Policies and Procedures for Related Party Transactions</w:t>
      </w:r>
    </w:p>
    <w:p>
      <w:pPr>
        <w:spacing w:after="0" w:line="121" w:lineRule="exact"/>
        <w:rPr>
          <w:sz w:val="20"/>
          <w:szCs w:val="20"/>
          <w:color w:val="auto"/>
        </w:rPr>
      </w:pPr>
    </w:p>
    <w:p>
      <w:pPr>
        <w:ind w:firstLine="449"/>
        <w:spacing w:after="0" w:line="254" w:lineRule="auto"/>
        <w:rPr>
          <w:sz w:val="20"/>
          <w:szCs w:val="20"/>
          <w:color w:val="auto"/>
        </w:rPr>
      </w:pPr>
      <w:r>
        <w:rPr>
          <w:rFonts w:ascii="Arial" w:cs="Arial" w:eastAsia="Arial" w:hAnsi="Arial"/>
          <w:sz w:val="18"/>
          <w:szCs w:val="18"/>
          <w:color w:val="auto"/>
        </w:rPr>
        <w:t>Following the completion of this offering, our audit committee will have the primary responsibility for reviewing and approving or disapproving “related party transactions,” which are transactions between us and related persons in which the aggregate amount involved exceeds or may be expected to exceed $120,000 and in which a related person has or will have a direct or indirect material interest. Upon completion of this offering, our policy regarding transactions between us and related persons will provide that a related person is defined as a director, executive officer, nominee for director, or greater than 5% beneficial owner of our common stock, in each case since the beginning of the most recently completed year, and any of their immediate family members. Our audit committee charter that will be in effect upon completion of this offering will provide that our audit committee shall review and approve or disapprove any related party transactions.</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128</w:t>
      </w:r>
    </w:p>
    <w:p>
      <w:pPr>
        <w:sectPr>
          <w:pgSz w:w="11900" w:h="16838" w:orient="portrait"/>
          <w:cols w:equalWidth="0" w:num="1">
            <w:col w:w="11240"/>
          </w:cols>
          <w:pgMar w:left="320" w:top="459" w:right="339" w:bottom="1440" w:gutter="0" w:footer="0" w:header="0"/>
        </w:sectPr>
      </w:pPr>
    </w:p>
    <w:bookmarkStart w:id="131" w:name="page132"/>
    <w:bookmarkEnd w:id="1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PRINCIPAL AND SELLING STOCKHOLDERS</w:t>
      </w:r>
    </w:p>
    <w:p>
      <w:pPr>
        <w:spacing w:after="0" w:line="229" w:lineRule="exact"/>
        <w:rPr>
          <w:sz w:val="20"/>
          <w:szCs w:val="20"/>
          <w:color w:val="auto"/>
        </w:rPr>
      </w:pPr>
    </w:p>
    <w:p>
      <w:pPr>
        <w:ind w:firstLine="449"/>
        <w:spacing w:after="0" w:line="263" w:lineRule="auto"/>
        <w:rPr>
          <w:sz w:val="20"/>
          <w:szCs w:val="20"/>
          <w:color w:val="auto"/>
        </w:rPr>
      </w:pPr>
      <w:r>
        <w:rPr>
          <w:rFonts w:ascii="Arial" w:cs="Arial" w:eastAsia="Arial" w:hAnsi="Arial"/>
          <w:sz w:val="18"/>
          <w:szCs w:val="18"/>
          <w:color w:val="auto"/>
        </w:rPr>
        <w:t>The following table sets forth certain information with respect to the beneficial ownership of our capital stock as of September 30, 2017, and as adjusted to reflect the sale of our common stock offered by us and the selling stockholders in this offering assuming no exercise of the underwriters’ option to purchase additional shares of our common stock from us and the selling stockholders, for:</w:t>
      </w:r>
    </w:p>
    <w:p>
      <w:pPr>
        <w:spacing w:after="0" w:line="89" w:lineRule="exact"/>
        <w:rPr>
          <w:sz w:val="20"/>
          <w:szCs w:val="20"/>
          <w:color w:val="auto"/>
        </w:rPr>
      </w:pPr>
    </w:p>
    <w:p>
      <w:pPr>
        <w:ind w:left="880" w:hanging="319"/>
        <w:spacing w:after="0"/>
        <w:tabs>
          <w:tab w:leader="none" w:pos="880" w:val="left"/>
        </w:tabs>
        <w:numPr>
          <w:ilvl w:val="0"/>
          <w:numId w:val="81"/>
        </w:numPr>
        <w:rPr>
          <w:rFonts w:ascii="Arial" w:cs="Arial" w:eastAsia="Arial" w:hAnsi="Arial"/>
          <w:sz w:val="18"/>
          <w:szCs w:val="18"/>
          <w:color w:val="auto"/>
        </w:rPr>
      </w:pPr>
      <w:r>
        <w:rPr>
          <w:rFonts w:ascii="Arial" w:cs="Arial" w:eastAsia="Arial" w:hAnsi="Arial"/>
          <w:sz w:val="18"/>
          <w:szCs w:val="18"/>
          <w:color w:val="auto"/>
        </w:rPr>
        <w:t>each of our named executive officers;</w:t>
      </w:r>
    </w:p>
    <w:p>
      <w:pPr>
        <w:spacing w:after="0" w:line="130" w:lineRule="exact"/>
        <w:rPr>
          <w:rFonts w:ascii="Arial" w:cs="Arial" w:eastAsia="Arial" w:hAnsi="Arial"/>
          <w:sz w:val="18"/>
          <w:szCs w:val="18"/>
          <w:color w:val="auto"/>
        </w:rPr>
      </w:pPr>
    </w:p>
    <w:p>
      <w:pPr>
        <w:ind w:left="880" w:hanging="319"/>
        <w:spacing w:after="0"/>
        <w:tabs>
          <w:tab w:leader="none" w:pos="880" w:val="left"/>
        </w:tabs>
        <w:numPr>
          <w:ilvl w:val="0"/>
          <w:numId w:val="81"/>
        </w:numPr>
        <w:rPr>
          <w:rFonts w:ascii="Arial" w:cs="Arial" w:eastAsia="Arial" w:hAnsi="Arial"/>
          <w:sz w:val="18"/>
          <w:szCs w:val="18"/>
          <w:color w:val="auto"/>
        </w:rPr>
      </w:pPr>
      <w:r>
        <w:rPr>
          <w:rFonts w:ascii="Arial" w:cs="Arial" w:eastAsia="Arial" w:hAnsi="Arial"/>
          <w:sz w:val="18"/>
          <w:szCs w:val="18"/>
          <w:color w:val="auto"/>
        </w:rPr>
        <w:t>each of our directors;</w:t>
      </w:r>
    </w:p>
    <w:p>
      <w:pPr>
        <w:spacing w:after="0" w:line="130" w:lineRule="exact"/>
        <w:rPr>
          <w:rFonts w:ascii="Arial" w:cs="Arial" w:eastAsia="Arial" w:hAnsi="Arial"/>
          <w:sz w:val="18"/>
          <w:szCs w:val="18"/>
          <w:color w:val="auto"/>
        </w:rPr>
      </w:pPr>
    </w:p>
    <w:p>
      <w:pPr>
        <w:ind w:left="880" w:hanging="319"/>
        <w:spacing w:after="0"/>
        <w:tabs>
          <w:tab w:leader="none" w:pos="880" w:val="left"/>
        </w:tabs>
        <w:numPr>
          <w:ilvl w:val="0"/>
          <w:numId w:val="81"/>
        </w:numPr>
        <w:rPr>
          <w:rFonts w:ascii="Arial" w:cs="Arial" w:eastAsia="Arial" w:hAnsi="Arial"/>
          <w:sz w:val="18"/>
          <w:szCs w:val="18"/>
          <w:color w:val="auto"/>
        </w:rPr>
      </w:pPr>
      <w:r>
        <w:rPr>
          <w:rFonts w:ascii="Arial" w:cs="Arial" w:eastAsia="Arial" w:hAnsi="Arial"/>
          <w:sz w:val="18"/>
          <w:szCs w:val="18"/>
          <w:color w:val="auto"/>
        </w:rPr>
        <w:t>all of our current directors and executive officers as a group;</w:t>
      </w:r>
    </w:p>
    <w:p>
      <w:pPr>
        <w:spacing w:after="0" w:line="130" w:lineRule="exact"/>
        <w:rPr>
          <w:rFonts w:ascii="Arial" w:cs="Arial" w:eastAsia="Arial" w:hAnsi="Arial"/>
          <w:sz w:val="18"/>
          <w:szCs w:val="18"/>
          <w:color w:val="auto"/>
        </w:rPr>
      </w:pPr>
    </w:p>
    <w:p>
      <w:pPr>
        <w:ind w:left="880" w:right="420" w:hanging="319"/>
        <w:spacing w:after="0" w:line="277" w:lineRule="auto"/>
        <w:tabs>
          <w:tab w:leader="none" w:pos="880" w:val="left"/>
        </w:tabs>
        <w:numPr>
          <w:ilvl w:val="0"/>
          <w:numId w:val="81"/>
        </w:numPr>
        <w:rPr>
          <w:rFonts w:ascii="Arial" w:cs="Arial" w:eastAsia="Arial" w:hAnsi="Arial"/>
          <w:sz w:val="18"/>
          <w:szCs w:val="18"/>
          <w:color w:val="auto"/>
        </w:rPr>
      </w:pPr>
      <w:r>
        <w:rPr>
          <w:rFonts w:ascii="Arial" w:cs="Arial" w:eastAsia="Arial" w:hAnsi="Arial"/>
          <w:sz w:val="18"/>
          <w:szCs w:val="18"/>
          <w:color w:val="auto"/>
        </w:rPr>
        <w:t>each person known by us to be the beneficial owner of more than 5% of the outstanding shares of each of our Class A common stock and Class B common stock; and</w:t>
      </w:r>
    </w:p>
    <w:p>
      <w:pPr>
        <w:spacing w:after="0" w:line="75" w:lineRule="exact"/>
        <w:rPr>
          <w:rFonts w:ascii="Arial" w:cs="Arial" w:eastAsia="Arial" w:hAnsi="Arial"/>
          <w:sz w:val="18"/>
          <w:szCs w:val="18"/>
          <w:color w:val="auto"/>
        </w:rPr>
      </w:pPr>
    </w:p>
    <w:p>
      <w:pPr>
        <w:ind w:left="880" w:hanging="319"/>
        <w:spacing w:after="0"/>
        <w:tabs>
          <w:tab w:leader="none" w:pos="880" w:val="left"/>
        </w:tabs>
        <w:numPr>
          <w:ilvl w:val="0"/>
          <w:numId w:val="81"/>
        </w:numPr>
        <w:rPr>
          <w:rFonts w:ascii="Arial" w:cs="Arial" w:eastAsia="Arial" w:hAnsi="Arial"/>
          <w:sz w:val="18"/>
          <w:szCs w:val="18"/>
          <w:color w:val="auto"/>
        </w:rPr>
      </w:pPr>
      <w:r>
        <w:rPr>
          <w:rFonts w:ascii="Arial" w:cs="Arial" w:eastAsia="Arial" w:hAnsi="Arial"/>
          <w:sz w:val="18"/>
          <w:szCs w:val="18"/>
          <w:color w:val="auto"/>
        </w:rPr>
        <w:t>all selling stockholders.</w:t>
      </w:r>
    </w:p>
    <w:p>
      <w:pPr>
        <w:spacing w:after="0" w:line="225" w:lineRule="exact"/>
        <w:rPr>
          <w:sz w:val="20"/>
          <w:szCs w:val="20"/>
          <w:color w:val="auto"/>
        </w:rPr>
      </w:pPr>
    </w:p>
    <w:p>
      <w:pPr>
        <w:ind w:right="120" w:firstLine="449"/>
        <w:spacing w:after="0" w:line="301" w:lineRule="auto"/>
        <w:rPr>
          <w:sz w:val="20"/>
          <w:szCs w:val="20"/>
          <w:color w:val="auto"/>
        </w:rPr>
      </w:pPr>
      <w:r>
        <w:rPr>
          <w:rFonts w:ascii="Arial" w:cs="Arial" w:eastAsia="Arial" w:hAnsi="Arial"/>
          <w:sz w:val="16"/>
          <w:szCs w:val="16"/>
          <w:color w:val="auto"/>
        </w:rPr>
        <w:t>We have determined beneficial ownership in accordance with the rules of the SEC, and thus it represents sole or shared voting or investment power with respect to our securities. Unless otherwise indicated below, to our knowledge, the persons and entities named in the table have sole voting and sole investment power with respect to all shares that they beneficially owned, subject to community property laws where applicable. The information does not necessarily indicate beneficial ownership for any other purpose, including for purposes of Sections 13(d) and 13(g) of the Securities Act.</w:t>
      </w:r>
    </w:p>
    <w:p>
      <w:pPr>
        <w:spacing w:after="0" w:line="157" w:lineRule="exact"/>
        <w:rPr>
          <w:sz w:val="20"/>
          <w:szCs w:val="20"/>
          <w:color w:val="auto"/>
        </w:rPr>
      </w:pPr>
    </w:p>
    <w:p>
      <w:pPr>
        <w:jc w:val="both"/>
        <w:ind w:right="240" w:firstLine="449"/>
        <w:spacing w:after="0" w:line="287" w:lineRule="auto"/>
        <w:rPr>
          <w:sz w:val="20"/>
          <w:szCs w:val="20"/>
          <w:color w:val="auto"/>
        </w:rPr>
      </w:pPr>
      <w:r>
        <w:rPr>
          <w:rFonts w:ascii="Arial" w:cs="Arial" w:eastAsia="Arial" w:hAnsi="Arial"/>
          <w:sz w:val="16"/>
          <w:szCs w:val="16"/>
          <w:color w:val="auto"/>
        </w:rPr>
        <w:t>We have based our calculation of the percentage of beneficial ownership prior to this offering on 13,892,885 shares of our Class A common stock (including the Capital Stock Conversions) and 538,851,747 shares of our Class B common stock (including the Capital Stock Conversions and the RSU Settlement) outstanding as of September 30, 2017. We have based our calculation of the percentage of beneficial ownership after this offering on</w:t>
      </w:r>
    </w:p>
    <w:p>
      <w:pPr>
        <w:spacing w:after="0" w:line="2" w:lineRule="exact"/>
        <w:rPr>
          <w:sz w:val="20"/>
          <w:szCs w:val="20"/>
          <w:color w:val="auto"/>
        </w:rPr>
      </w:pPr>
    </w:p>
    <w:p>
      <w:pPr>
        <w:ind w:right="80"/>
        <w:spacing w:after="0" w:line="265" w:lineRule="auto"/>
        <w:rPr>
          <w:sz w:val="20"/>
          <w:szCs w:val="20"/>
          <w:color w:val="auto"/>
        </w:rPr>
      </w:pPr>
      <w:r>
        <w:rPr>
          <w:rFonts w:ascii="Arial" w:cs="Arial" w:eastAsia="Arial" w:hAnsi="Arial"/>
          <w:sz w:val="17"/>
          <w:szCs w:val="17"/>
          <w:color w:val="auto"/>
        </w:rPr>
        <w:t>shares of our Class A common stock issued by us in our initial public offering and shares of Class A common stock outstanding immediately after the completion of this offering, assuming that the underwriters will not exercise their option to purchase up to an additional shares of our Class A</w:t>
      </w:r>
    </w:p>
    <w:p>
      <w:pPr>
        <w:ind w:right="20"/>
        <w:spacing w:after="0" w:line="253" w:lineRule="auto"/>
        <w:rPr>
          <w:sz w:val="20"/>
          <w:szCs w:val="20"/>
          <w:color w:val="auto"/>
        </w:rPr>
      </w:pPr>
      <w:r>
        <w:rPr>
          <w:rFonts w:ascii="Arial" w:cs="Arial" w:eastAsia="Arial" w:hAnsi="Arial"/>
          <w:sz w:val="18"/>
          <w:szCs w:val="18"/>
          <w:color w:val="auto"/>
        </w:rPr>
        <w:t>common stock from us and the selling stockholders in full. We have deemed shares of our common stock subject to stock options that are currently exercisable or exercisable within 60 days of September 30, 2017, or issuable pursuant to RSUs which are subject to vesting and settlement conditions expected to occur within 60 days of September 30, 2017, to be outstanding and to be beneficially owned by the person holding the stock option or RSU for the purpose of computing the percentage ownership of that person. We did not deem these shares outstanding, however, for the purpose of computing the percentage ownership of any other person.</w:t>
      </w:r>
    </w:p>
    <w:p>
      <w:pPr>
        <w:spacing w:after="0" w:line="12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129</w:t>
      </w:r>
    </w:p>
    <w:p>
      <w:pPr>
        <w:sectPr>
          <w:pgSz w:w="11900" w:h="16838" w:orient="portrait"/>
          <w:cols w:equalWidth="0" w:num="1">
            <w:col w:w="11180"/>
          </w:cols>
          <w:pgMar w:left="320" w:top="459" w:right="399" w:bottom="1440" w:gutter="0" w:footer="0" w:header="0"/>
        </w:sectPr>
      </w:pPr>
    </w:p>
    <w:bookmarkStart w:id="132" w:name="page133"/>
    <w:bookmarkEnd w:id="1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right="260" w:firstLine="449"/>
        <w:spacing w:after="0" w:line="277" w:lineRule="auto"/>
        <w:rPr>
          <w:sz w:val="20"/>
          <w:szCs w:val="20"/>
          <w:color w:val="auto"/>
        </w:rPr>
      </w:pPr>
      <w:r>
        <w:rPr>
          <w:rFonts w:ascii="Arial" w:cs="Arial" w:eastAsia="Arial" w:hAnsi="Arial"/>
          <w:sz w:val="18"/>
          <w:szCs w:val="18"/>
          <w:color w:val="auto"/>
        </w:rPr>
        <w:t>Unless otherwise indicated, the address of each beneficial owner listed in the table below is c/o Dropbox, Inc., 333 Brannan Street, San Francisco, California 94107.</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1380" w:type="dxa"/>
            <w:vAlign w:val="bottom"/>
          </w:tcPr>
          <w:p>
            <w:pPr>
              <w:spacing w:after="0"/>
              <w:rPr>
                <w:sz w:val="13"/>
                <w:szCs w:val="13"/>
                <w:color w:val="auto"/>
              </w:rPr>
            </w:pPr>
          </w:p>
        </w:tc>
        <w:tc>
          <w:tcPr>
            <w:tcW w:w="25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80" w:type="dxa"/>
            <w:vAlign w:val="bottom"/>
            <w:gridSpan w:val="2"/>
          </w:tcPr>
          <w:p>
            <w:pPr>
              <w:jc w:val="center"/>
              <w:ind w:right="180"/>
              <w:spacing w:after="0"/>
              <w:rPr>
                <w:sz w:val="20"/>
                <w:szCs w:val="20"/>
                <w:color w:val="auto"/>
              </w:rPr>
            </w:pPr>
            <w:r>
              <w:rPr>
                <w:rFonts w:ascii="Arial" w:cs="Arial" w:eastAsia="Arial" w:hAnsi="Arial"/>
                <w:sz w:val="13"/>
                <w:szCs w:val="13"/>
                <w:b w:val="1"/>
                <w:bCs w:val="1"/>
                <w:color w:val="auto"/>
                <w:w w:val="94"/>
              </w:rPr>
              <w:t>% of</w:t>
            </w:r>
          </w:p>
        </w:tc>
        <w:tc>
          <w:tcPr>
            <w:tcW w:w="1660" w:type="dxa"/>
            <w:vAlign w:val="bottom"/>
            <w:gridSpan w:val="7"/>
            <w:vMerge w:val="restart"/>
          </w:tcPr>
          <w:p>
            <w:pPr>
              <w:jc w:val="center"/>
              <w:spacing w:after="0"/>
              <w:rPr>
                <w:sz w:val="20"/>
                <w:szCs w:val="20"/>
                <w:color w:val="auto"/>
              </w:rPr>
            </w:pPr>
            <w:r>
              <w:rPr>
                <w:rFonts w:ascii="Arial" w:cs="Arial" w:eastAsia="Arial" w:hAnsi="Arial"/>
                <w:sz w:val="13"/>
                <w:szCs w:val="13"/>
                <w:b w:val="1"/>
                <w:bCs w:val="1"/>
                <w:color w:val="auto"/>
                <w:w w:val="86"/>
              </w:rPr>
              <w:t>Shares beneficially</w:t>
            </w:r>
          </w:p>
        </w:tc>
        <w:tc>
          <w:tcPr>
            <w:tcW w:w="1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40" w:type="dxa"/>
            <w:vAlign w:val="bottom"/>
          </w:tcPr>
          <w:p>
            <w:pPr>
              <w:jc w:val="center"/>
              <w:spacing w:after="0"/>
              <w:rPr>
                <w:sz w:val="20"/>
                <w:szCs w:val="20"/>
                <w:color w:val="auto"/>
              </w:rPr>
            </w:pPr>
            <w:r>
              <w:rPr>
                <w:rFonts w:ascii="Arial" w:cs="Arial" w:eastAsia="Arial" w:hAnsi="Arial"/>
                <w:sz w:val="13"/>
                <w:szCs w:val="13"/>
                <w:b w:val="1"/>
                <w:bCs w:val="1"/>
                <w:color w:val="auto"/>
                <w:w w:val="94"/>
              </w:rPr>
              <w:t>% of</w:t>
            </w:r>
          </w:p>
        </w:tc>
        <w:tc>
          <w:tcPr>
            <w:tcW w:w="0" w:type="dxa"/>
            <w:vAlign w:val="bottom"/>
          </w:tcPr>
          <w:p>
            <w:pPr>
              <w:spacing w:after="0"/>
              <w:rPr>
                <w:sz w:val="1"/>
                <w:szCs w:val="1"/>
                <w:color w:val="auto"/>
              </w:rPr>
            </w:pPr>
          </w:p>
        </w:tc>
      </w:tr>
      <w:tr>
        <w:trPr>
          <w:trHeight w:val="68"/>
        </w:trPr>
        <w:tc>
          <w:tcPr>
            <w:tcW w:w="1380" w:type="dxa"/>
            <w:vAlign w:val="bottom"/>
          </w:tcPr>
          <w:p>
            <w:pPr>
              <w:spacing w:after="0"/>
              <w:rPr>
                <w:sz w:val="5"/>
                <w:szCs w:val="5"/>
                <w:color w:val="auto"/>
              </w:rPr>
            </w:pPr>
          </w:p>
        </w:tc>
        <w:tc>
          <w:tcPr>
            <w:tcW w:w="2560" w:type="dxa"/>
            <w:vAlign w:val="bottom"/>
          </w:tcPr>
          <w:p>
            <w:pPr>
              <w:spacing w:after="0"/>
              <w:rPr>
                <w:sz w:val="5"/>
                <w:szCs w:val="5"/>
                <w:color w:val="auto"/>
              </w:rPr>
            </w:pPr>
          </w:p>
        </w:tc>
        <w:tc>
          <w:tcPr>
            <w:tcW w:w="680" w:type="dxa"/>
            <w:vAlign w:val="bottom"/>
          </w:tcPr>
          <w:p>
            <w:pPr>
              <w:spacing w:after="0"/>
              <w:rPr>
                <w:sz w:val="5"/>
                <w:szCs w:val="5"/>
                <w:color w:val="auto"/>
              </w:rPr>
            </w:pPr>
          </w:p>
        </w:tc>
        <w:tc>
          <w:tcPr>
            <w:tcW w:w="100" w:type="dxa"/>
            <w:vAlign w:val="bottom"/>
          </w:tcPr>
          <w:p>
            <w:pPr>
              <w:spacing w:after="0"/>
              <w:rPr>
                <w:sz w:val="5"/>
                <w:szCs w:val="5"/>
                <w:color w:val="auto"/>
              </w:rPr>
            </w:pPr>
          </w:p>
        </w:tc>
        <w:tc>
          <w:tcPr>
            <w:tcW w:w="100" w:type="dxa"/>
            <w:vAlign w:val="bottom"/>
          </w:tcPr>
          <w:p>
            <w:pPr>
              <w:spacing w:after="0"/>
              <w:rPr>
                <w:sz w:val="5"/>
                <w:szCs w:val="5"/>
                <w:color w:val="auto"/>
              </w:rPr>
            </w:pPr>
          </w:p>
        </w:tc>
        <w:tc>
          <w:tcPr>
            <w:tcW w:w="120" w:type="dxa"/>
            <w:vAlign w:val="bottom"/>
          </w:tcPr>
          <w:p>
            <w:pPr>
              <w:spacing w:after="0"/>
              <w:rPr>
                <w:sz w:val="5"/>
                <w:szCs w:val="5"/>
                <w:color w:val="auto"/>
              </w:rPr>
            </w:pPr>
          </w:p>
        </w:tc>
        <w:tc>
          <w:tcPr>
            <w:tcW w:w="200" w:type="dxa"/>
            <w:vAlign w:val="bottom"/>
          </w:tcPr>
          <w:p>
            <w:pPr>
              <w:spacing w:after="0"/>
              <w:rPr>
                <w:sz w:val="5"/>
                <w:szCs w:val="5"/>
                <w:color w:val="auto"/>
              </w:rPr>
            </w:pPr>
          </w:p>
        </w:tc>
        <w:tc>
          <w:tcPr>
            <w:tcW w:w="840" w:type="dxa"/>
            <w:vAlign w:val="bottom"/>
          </w:tcPr>
          <w:p>
            <w:pPr>
              <w:spacing w:after="0"/>
              <w:rPr>
                <w:sz w:val="5"/>
                <w:szCs w:val="5"/>
                <w:color w:val="auto"/>
              </w:rPr>
            </w:pPr>
          </w:p>
        </w:tc>
        <w:tc>
          <w:tcPr>
            <w:tcW w:w="200" w:type="dxa"/>
            <w:vAlign w:val="bottom"/>
          </w:tcPr>
          <w:p>
            <w:pPr>
              <w:spacing w:after="0"/>
              <w:rPr>
                <w:sz w:val="5"/>
                <w:szCs w:val="5"/>
                <w:color w:val="auto"/>
              </w:rPr>
            </w:pPr>
          </w:p>
        </w:tc>
        <w:tc>
          <w:tcPr>
            <w:tcW w:w="140" w:type="dxa"/>
            <w:vAlign w:val="bottom"/>
          </w:tcPr>
          <w:p>
            <w:pPr>
              <w:spacing w:after="0"/>
              <w:rPr>
                <w:sz w:val="5"/>
                <w:szCs w:val="5"/>
                <w:color w:val="auto"/>
              </w:rPr>
            </w:pPr>
          </w:p>
        </w:tc>
        <w:tc>
          <w:tcPr>
            <w:tcW w:w="180" w:type="dxa"/>
            <w:vAlign w:val="bottom"/>
          </w:tcPr>
          <w:p>
            <w:pPr>
              <w:spacing w:after="0"/>
              <w:rPr>
                <w:sz w:val="5"/>
                <w:szCs w:val="5"/>
                <w:color w:val="auto"/>
              </w:rPr>
            </w:pPr>
          </w:p>
        </w:tc>
        <w:tc>
          <w:tcPr>
            <w:tcW w:w="640" w:type="dxa"/>
            <w:vAlign w:val="bottom"/>
          </w:tcPr>
          <w:p>
            <w:pPr>
              <w:spacing w:after="0"/>
              <w:rPr>
                <w:sz w:val="5"/>
                <w:szCs w:val="5"/>
                <w:color w:val="auto"/>
              </w:rPr>
            </w:pPr>
          </w:p>
        </w:tc>
        <w:tc>
          <w:tcPr>
            <w:tcW w:w="200" w:type="dxa"/>
            <w:vAlign w:val="bottom"/>
          </w:tcPr>
          <w:p>
            <w:pPr>
              <w:spacing w:after="0"/>
              <w:rPr>
                <w:sz w:val="5"/>
                <w:szCs w:val="5"/>
                <w:color w:val="auto"/>
              </w:rPr>
            </w:pPr>
          </w:p>
        </w:tc>
        <w:tc>
          <w:tcPr>
            <w:tcW w:w="680" w:type="dxa"/>
            <w:vAlign w:val="bottom"/>
            <w:gridSpan w:val="2"/>
            <w:vMerge w:val="restart"/>
          </w:tcPr>
          <w:p>
            <w:pPr>
              <w:jc w:val="center"/>
              <w:ind w:right="180"/>
              <w:spacing w:after="0" w:line="135" w:lineRule="exact"/>
              <w:rPr>
                <w:sz w:val="20"/>
                <w:szCs w:val="20"/>
                <w:color w:val="auto"/>
              </w:rPr>
            </w:pPr>
            <w:r>
              <w:rPr>
                <w:rFonts w:ascii="Arial" w:cs="Arial" w:eastAsia="Arial" w:hAnsi="Arial"/>
                <w:sz w:val="13"/>
                <w:szCs w:val="13"/>
                <w:b w:val="1"/>
                <w:bCs w:val="1"/>
                <w:color w:val="auto"/>
                <w:w w:val="94"/>
              </w:rPr>
              <w:t>total</w:t>
            </w:r>
          </w:p>
        </w:tc>
        <w:tc>
          <w:tcPr>
            <w:tcW w:w="1660" w:type="dxa"/>
            <w:vAlign w:val="bottom"/>
            <w:gridSpan w:val="7"/>
            <w:vMerge w:val="continue"/>
          </w:tcPr>
          <w:p>
            <w:pPr>
              <w:spacing w:after="0"/>
              <w:rPr>
                <w:sz w:val="5"/>
                <w:szCs w:val="5"/>
                <w:color w:val="auto"/>
              </w:rPr>
            </w:pPr>
          </w:p>
        </w:tc>
        <w:tc>
          <w:tcPr>
            <w:tcW w:w="180" w:type="dxa"/>
            <w:vAlign w:val="bottom"/>
          </w:tcPr>
          <w:p>
            <w:pPr>
              <w:spacing w:after="0"/>
              <w:rPr>
                <w:sz w:val="5"/>
                <w:szCs w:val="5"/>
                <w:color w:val="auto"/>
              </w:rPr>
            </w:pPr>
          </w:p>
        </w:tc>
        <w:tc>
          <w:tcPr>
            <w:tcW w:w="660" w:type="dxa"/>
            <w:vAlign w:val="bottom"/>
          </w:tcPr>
          <w:p>
            <w:pPr>
              <w:spacing w:after="0"/>
              <w:rPr>
                <w:sz w:val="5"/>
                <w:szCs w:val="5"/>
                <w:color w:val="auto"/>
              </w:rPr>
            </w:pPr>
          </w:p>
        </w:tc>
        <w:tc>
          <w:tcPr>
            <w:tcW w:w="180" w:type="dxa"/>
            <w:vAlign w:val="bottom"/>
          </w:tcPr>
          <w:p>
            <w:pPr>
              <w:spacing w:after="0"/>
              <w:rPr>
                <w:sz w:val="5"/>
                <w:szCs w:val="5"/>
                <w:color w:val="auto"/>
              </w:rPr>
            </w:pPr>
          </w:p>
        </w:tc>
        <w:tc>
          <w:tcPr>
            <w:tcW w:w="540" w:type="dxa"/>
            <w:vAlign w:val="bottom"/>
            <w:vMerge w:val="restart"/>
          </w:tcPr>
          <w:p>
            <w:pPr>
              <w:jc w:val="center"/>
              <w:spacing w:after="0" w:line="135" w:lineRule="exact"/>
              <w:rPr>
                <w:sz w:val="20"/>
                <w:szCs w:val="20"/>
                <w:color w:val="auto"/>
              </w:rPr>
            </w:pPr>
            <w:r>
              <w:rPr>
                <w:rFonts w:ascii="Arial" w:cs="Arial" w:eastAsia="Arial" w:hAnsi="Arial"/>
                <w:sz w:val="13"/>
                <w:szCs w:val="13"/>
                <w:b w:val="1"/>
                <w:bCs w:val="1"/>
                <w:color w:val="auto"/>
                <w:w w:val="94"/>
              </w:rPr>
              <w:t>total</w:t>
            </w:r>
          </w:p>
        </w:tc>
        <w:tc>
          <w:tcPr>
            <w:tcW w:w="0" w:type="dxa"/>
            <w:vAlign w:val="bottom"/>
          </w:tcPr>
          <w:p>
            <w:pPr>
              <w:spacing w:after="0"/>
              <w:rPr>
                <w:sz w:val="1"/>
                <w:szCs w:val="1"/>
                <w:color w:val="auto"/>
              </w:rPr>
            </w:pPr>
          </w:p>
        </w:tc>
      </w:tr>
      <w:tr>
        <w:trPr>
          <w:trHeight w:val="68"/>
        </w:trPr>
        <w:tc>
          <w:tcPr>
            <w:tcW w:w="1380" w:type="dxa"/>
            <w:vAlign w:val="bottom"/>
          </w:tcPr>
          <w:p>
            <w:pPr>
              <w:spacing w:after="0"/>
              <w:rPr>
                <w:sz w:val="5"/>
                <w:szCs w:val="5"/>
                <w:color w:val="auto"/>
              </w:rPr>
            </w:pPr>
          </w:p>
        </w:tc>
        <w:tc>
          <w:tcPr>
            <w:tcW w:w="2560" w:type="dxa"/>
            <w:vAlign w:val="bottom"/>
          </w:tcPr>
          <w:p>
            <w:pPr>
              <w:spacing w:after="0"/>
              <w:rPr>
                <w:sz w:val="5"/>
                <w:szCs w:val="5"/>
                <w:color w:val="auto"/>
              </w:rPr>
            </w:pPr>
          </w:p>
        </w:tc>
        <w:tc>
          <w:tcPr>
            <w:tcW w:w="2240" w:type="dxa"/>
            <w:vAlign w:val="bottom"/>
            <w:gridSpan w:val="7"/>
            <w:vMerge w:val="restart"/>
          </w:tcPr>
          <w:p>
            <w:pPr>
              <w:jc w:val="center"/>
              <w:ind w:left="42"/>
              <w:spacing w:after="0" w:line="135" w:lineRule="exact"/>
              <w:rPr>
                <w:sz w:val="20"/>
                <w:szCs w:val="20"/>
                <w:color w:val="auto"/>
              </w:rPr>
            </w:pPr>
            <w:r>
              <w:rPr>
                <w:rFonts w:ascii="Arial" w:cs="Arial" w:eastAsia="Arial" w:hAnsi="Arial"/>
                <w:sz w:val="13"/>
                <w:szCs w:val="13"/>
                <w:b w:val="1"/>
                <w:bCs w:val="1"/>
                <w:color w:val="auto"/>
                <w:w w:val="86"/>
              </w:rPr>
              <w:t>Shares beneficially owned prior to</w:t>
            </w:r>
          </w:p>
        </w:tc>
        <w:tc>
          <w:tcPr>
            <w:tcW w:w="140" w:type="dxa"/>
            <w:vAlign w:val="bottom"/>
          </w:tcPr>
          <w:p>
            <w:pPr>
              <w:spacing w:after="0"/>
              <w:rPr>
                <w:sz w:val="5"/>
                <w:szCs w:val="5"/>
                <w:color w:val="auto"/>
              </w:rPr>
            </w:pPr>
          </w:p>
        </w:tc>
        <w:tc>
          <w:tcPr>
            <w:tcW w:w="180" w:type="dxa"/>
            <w:vAlign w:val="bottom"/>
          </w:tcPr>
          <w:p>
            <w:pPr>
              <w:spacing w:after="0"/>
              <w:rPr>
                <w:sz w:val="5"/>
                <w:szCs w:val="5"/>
                <w:color w:val="auto"/>
              </w:rPr>
            </w:pPr>
          </w:p>
        </w:tc>
        <w:tc>
          <w:tcPr>
            <w:tcW w:w="640" w:type="dxa"/>
            <w:vAlign w:val="bottom"/>
          </w:tcPr>
          <w:p>
            <w:pPr>
              <w:spacing w:after="0"/>
              <w:rPr>
                <w:sz w:val="5"/>
                <w:szCs w:val="5"/>
                <w:color w:val="auto"/>
              </w:rPr>
            </w:pPr>
          </w:p>
        </w:tc>
        <w:tc>
          <w:tcPr>
            <w:tcW w:w="200" w:type="dxa"/>
            <w:vAlign w:val="bottom"/>
          </w:tcPr>
          <w:p>
            <w:pPr>
              <w:spacing w:after="0"/>
              <w:rPr>
                <w:sz w:val="5"/>
                <w:szCs w:val="5"/>
                <w:color w:val="auto"/>
              </w:rPr>
            </w:pPr>
          </w:p>
        </w:tc>
        <w:tc>
          <w:tcPr>
            <w:tcW w:w="680" w:type="dxa"/>
            <w:vAlign w:val="bottom"/>
            <w:gridSpan w:val="2"/>
            <w:vMerge w:val="continue"/>
          </w:tcPr>
          <w:p>
            <w:pPr>
              <w:spacing w:after="0"/>
              <w:rPr>
                <w:sz w:val="5"/>
                <w:szCs w:val="5"/>
                <w:color w:val="auto"/>
              </w:rPr>
            </w:pPr>
          </w:p>
        </w:tc>
        <w:tc>
          <w:tcPr>
            <w:tcW w:w="1660" w:type="dxa"/>
            <w:vAlign w:val="bottom"/>
            <w:gridSpan w:val="7"/>
            <w:vMerge w:val="restart"/>
          </w:tcPr>
          <w:p>
            <w:pPr>
              <w:jc w:val="center"/>
              <w:spacing w:after="0" w:line="135" w:lineRule="exact"/>
              <w:rPr>
                <w:sz w:val="20"/>
                <w:szCs w:val="20"/>
                <w:color w:val="auto"/>
              </w:rPr>
            </w:pPr>
            <w:r>
              <w:rPr>
                <w:rFonts w:ascii="Arial" w:cs="Arial" w:eastAsia="Arial" w:hAnsi="Arial"/>
                <w:sz w:val="13"/>
                <w:szCs w:val="13"/>
                <w:b w:val="1"/>
                <w:bCs w:val="1"/>
                <w:color w:val="auto"/>
                <w:w w:val="86"/>
              </w:rPr>
              <w:t>owned after this</w:t>
            </w:r>
          </w:p>
        </w:tc>
        <w:tc>
          <w:tcPr>
            <w:tcW w:w="180" w:type="dxa"/>
            <w:vAlign w:val="bottom"/>
          </w:tcPr>
          <w:p>
            <w:pPr>
              <w:spacing w:after="0"/>
              <w:rPr>
                <w:sz w:val="5"/>
                <w:szCs w:val="5"/>
                <w:color w:val="auto"/>
              </w:rPr>
            </w:pPr>
          </w:p>
        </w:tc>
        <w:tc>
          <w:tcPr>
            <w:tcW w:w="660" w:type="dxa"/>
            <w:vAlign w:val="bottom"/>
          </w:tcPr>
          <w:p>
            <w:pPr>
              <w:spacing w:after="0"/>
              <w:rPr>
                <w:sz w:val="5"/>
                <w:szCs w:val="5"/>
                <w:color w:val="auto"/>
              </w:rPr>
            </w:pPr>
          </w:p>
        </w:tc>
        <w:tc>
          <w:tcPr>
            <w:tcW w:w="180" w:type="dxa"/>
            <w:vAlign w:val="bottom"/>
          </w:tcPr>
          <w:p>
            <w:pPr>
              <w:spacing w:after="0"/>
              <w:rPr>
                <w:sz w:val="5"/>
                <w:szCs w:val="5"/>
                <w:color w:val="auto"/>
              </w:rPr>
            </w:pPr>
          </w:p>
        </w:tc>
        <w:tc>
          <w:tcPr>
            <w:tcW w:w="54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68"/>
        </w:trPr>
        <w:tc>
          <w:tcPr>
            <w:tcW w:w="1380" w:type="dxa"/>
            <w:vAlign w:val="bottom"/>
          </w:tcPr>
          <w:p>
            <w:pPr>
              <w:spacing w:after="0"/>
              <w:rPr>
                <w:sz w:val="5"/>
                <w:szCs w:val="5"/>
                <w:color w:val="auto"/>
              </w:rPr>
            </w:pPr>
          </w:p>
        </w:tc>
        <w:tc>
          <w:tcPr>
            <w:tcW w:w="2560" w:type="dxa"/>
            <w:vAlign w:val="bottom"/>
          </w:tcPr>
          <w:p>
            <w:pPr>
              <w:spacing w:after="0"/>
              <w:rPr>
                <w:sz w:val="5"/>
                <w:szCs w:val="5"/>
                <w:color w:val="auto"/>
              </w:rPr>
            </w:pPr>
          </w:p>
        </w:tc>
        <w:tc>
          <w:tcPr>
            <w:tcW w:w="2240" w:type="dxa"/>
            <w:vAlign w:val="bottom"/>
            <w:gridSpan w:val="7"/>
            <w:vMerge w:val="continue"/>
          </w:tcPr>
          <w:p>
            <w:pPr>
              <w:spacing w:after="0"/>
              <w:rPr>
                <w:sz w:val="5"/>
                <w:szCs w:val="5"/>
                <w:color w:val="auto"/>
              </w:rPr>
            </w:pPr>
          </w:p>
        </w:tc>
        <w:tc>
          <w:tcPr>
            <w:tcW w:w="140" w:type="dxa"/>
            <w:vAlign w:val="bottom"/>
          </w:tcPr>
          <w:p>
            <w:pPr>
              <w:spacing w:after="0"/>
              <w:rPr>
                <w:sz w:val="5"/>
                <w:szCs w:val="5"/>
                <w:color w:val="auto"/>
              </w:rPr>
            </w:pPr>
          </w:p>
        </w:tc>
        <w:tc>
          <w:tcPr>
            <w:tcW w:w="180" w:type="dxa"/>
            <w:vAlign w:val="bottom"/>
          </w:tcPr>
          <w:p>
            <w:pPr>
              <w:spacing w:after="0"/>
              <w:rPr>
                <w:sz w:val="5"/>
                <w:szCs w:val="5"/>
                <w:color w:val="auto"/>
              </w:rPr>
            </w:pPr>
          </w:p>
        </w:tc>
        <w:tc>
          <w:tcPr>
            <w:tcW w:w="640" w:type="dxa"/>
            <w:vAlign w:val="bottom"/>
          </w:tcPr>
          <w:p>
            <w:pPr>
              <w:spacing w:after="0"/>
              <w:rPr>
                <w:sz w:val="5"/>
                <w:szCs w:val="5"/>
                <w:color w:val="auto"/>
              </w:rPr>
            </w:pPr>
          </w:p>
        </w:tc>
        <w:tc>
          <w:tcPr>
            <w:tcW w:w="200" w:type="dxa"/>
            <w:vAlign w:val="bottom"/>
          </w:tcPr>
          <w:p>
            <w:pPr>
              <w:spacing w:after="0"/>
              <w:rPr>
                <w:sz w:val="5"/>
                <w:szCs w:val="5"/>
                <w:color w:val="auto"/>
              </w:rPr>
            </w:pPr>
          </w:p>
        </w:tc>
        <w:tc>
          <w:tcPr>
            <w:tcW w:w="680" w:type="dxa"/>
            <w:vAlign w:val="bottom"/>
            <w:gridSpan w:val="2"/>
            <w:vMerge w:val="restart"/>
          </w:tcPr>
          <w:p>
            <w:pPr>
              <w:jc w:val="center"/>
              <w:ind w:right="180"/>
              <w:spacing w:after="0" w:line="135" w:lineRule="exact"/>
              <w:rPr>
                <w:sz w:val="20"/>
                <w:szCs w:val="20"/>
                <w:color w:val="auto"/>
              </w:rPr>
            </w:pPr>
            <w:r>
              <w:rPr>
                <w:rFonts w:ascii="Arial" w:cs="Arial" w:eastAsia="Arial" w:hAnsi="Arial"/>
                <w:sz w:val="13"/>
                <w:szCs w:val="13"/>
                <w:b w:val="1"/>
                <w:bCs w:val="1"/>
                <w:color w:val="auto"/>
                <w:w w:val="87"/>
              </w:rPr>
              <w:t>voting</w:t>
            </w:r>
          </w:p>
        </w:tc>
        <w:tc>
          <w:tcPr>
            <w:tcW w:w="1660" w:type="dxa"/>
            <w:vAlign w:val="bottom"/>
            <w:gridSpan w:val="7"/>
            <w:vMerge w:val="continue"/>
          </w:tcPr>
          <w:p>
            <w:pPr>
              <w:spacing w:after="0"/>
              <w:rPr>
                <w:sz w:val="5"/>
                <w:szCs w:val="5"/>
                <w:color w:val="auto"/>
              </w:rPr>
            </w:pPr>
          </w:p>
        </w:tc>
        <w:tc>
          <w:tcPr>
            <w:tcW w:w="180" w:type="dxa"/>
            <w:vAlign w:val="bottom"/>
          </w:tcPr>
          <w:p>
            <w:pPr>
              <w:spacing w:after="0"/>
              <w:rPr>
                <w:sz w:val="5"/>
                <w:szCs w:val="5"/>
                <w:color w:val="auto"/>
              </w:rPr>
            </w:pPr>
          </w:p>
        </w:tc>
        <w:tc>
          <w:tcPr>
            <w:tcW w:w="660" w:type="dxa"/>
            <w:vAlign w:val="bottom"/>
          </w:tcPr>
          <w:p>
            <w:pPr>
              <w:spacing w:after="0"/>
              <w:rPr>
                <w:sz w:val="5"/>
                <w:szCs w:val="5"/>
                <w:color w:val="auto"/>
              </w:rPr>
            </w:pPr>
          </w:p>
        </w:tc>
        <w:tc>
          <w:tcPr>
            <w:tcW w:w="180" w:type="dxa"/>
            <w:vAlign w:val="bottom"/>
          </w:tcPr>
          <w:p>
            <w:pPr>
              <w:spacing w:after="0"/>
              <w:rPr>
                <w:sz w:val="5"/>
                <w:szCs w:val="5"/>
                <w:color w:val="auto"/>
              </w:rPr>
            </w:pPr>
          </w:p>
        </w:tc>
        <w:tc>
          <w:tcPr>
            <w:tcW w:w="540" w:type="dxa"/>
            <w:vAlign w:val="bottom"/>
            <w:vMerge w:val="restart"/>
          </w:tcPr>
          <w:p>
            <w:pPr>
              <w:jc w:val="center"/>
              <w:spacing w:after="0" w:line="135" w:lineRule="exact"/>
              <w:rPr>
                <w:sz w:val="20"/>
                <w:szCs w:val="20"/>
                <w:color w:val="auto"/>
              </w:rPr>
            </w:pPr>
            <w:r>
              <w:rPr>
                <w:rFonts w:ascii="Arial" w:cs="Arial" w:eastAsia="Arial" w:hAnsi="Arial"/>
                <w:sz w:val="13"/>
                <w:szCs w:val="13"/>
                <w:b w:val="1"/>
                <w:bCs w:val="1"/>
                <w:color w:val="auto"/>
                <w:w w:val="87"/>
              </w:rPr>
              <w:t>voting</w:t>
            </w:r>
          </w:p>
        </w:tc>
        <w:tc>
          <w:tcPr>
            <w:tcW w:w="0" w:type="dxa"/>
            <w:vAlign w:val="bottom"/>
          </w:tcPr>
          <w:p>
            <w:pPr>
              <w:spacing w:after="0"/>
              <w:rPr>
                <w:sz w:val="1"/>
                <w:szCs w:val="1"/>
                <w:color w:val="auto"/>
              </w:rPr>
            </w:pPr>
          </w:p>
        </w:tc>
      </w:tr>
      <w:tr>
        <w:trPr>
          <w:trHeight w:val="68"/>
        </w:trPr>
        <w:tc>
          <w:tcPr>
            <w:tcW w:w="1380" w:type="dxa"/>
            <w:vAlign w:val="bottom"/>
          </w:tcPr>
          <w:p>
            <w:pPr>
              <w:spacing w:after="0"/>
              <w:rPr>
                <w:sz w:val="5"/>
                <w:szCs w:val="5"/>
                <w:color w:val="auto"/>
              </w:rPr>
            </w:pPr>
          </w:p>
        </w:tc>
        <w:tc>
          <w:tcPr>
            <w:tcW w:w="2560" w:type="dxa"/>
            <w:vAlign w:val="bottom"/>
          </w:tcPr>
          <w:p>
            <w:pPr>
              <w:spacing w:after="0"/>
              <w:rPr>
                <w:sz w:val="5"/>
                <w:szCs w:val="5"/>
                <w:color w:val="auto"/>
              </w:rPr>
            </w:pPr>
          </w:p>
        </w:tc>
        <w:tc>
          <w:tcPr>
            <w:tcW w:w="680" w:type="dxa"/>
            <w:vAlign w:val="bottom"/>
          </w:tcPr>
          <w:p>
            <w:pPr>
              <w:spacing w:after="0"/>
              <w:rPr>
                <w:sz w:val="5"/>
                <w:szCs w:val="5"/>
                <w:color w:val="auto"/>
              </w:rPr>
            </w:pPr>
          </w:p>
        </w:tc>
        <w:tc>
          <w:tcPr>
            <w:tcW w:w="100" w:type="dxa"/>
            <w:vAlign w:val="bottom"/>
          </w:tcPr>
          <w:p>
            <w:pPr>
              <w:spacing w:after="0"/>
              <w:rPr>
                <w:sz w:val="5"/>
                <w:szCs w:val="5"/>
                <w:color w:val="auto"/>
              </w:rPr>
            </w:pPr>
          </w:p>
        </w:tc>
        <w:tc>
          <w:tcPr>
            <w:tcW w:w="1460" w:type="dxa"/>
            <w:vAlign w:val="bottom"/>
            <w:gridSpan w:val="5"/>
            <w:vMerge w:val="restart"/>
          </w:tcPr>
          <w:p>
            <w:pPr>
              <w:jc w:val="center"/>
              <w:ind w:right="640"/>
              <w:spacing w:after="0"/>
              <w:rPr>
                <w:sz w:val="20"/>
                <w:szCs w:val="20"/>
                <w:color w:val="auto"/>
              </w:rPr>
            </w:pPr>
            <w:r>
              <w:rPr>
                <w:rFonts w:ascii="Arial" w:cs="Arial" w:eastAsia="Arial" w:hAnsi="Arial"/>
                <w:sz w:val="13"/>
                <w:szCs w:val="13"/>
                <w:b w:val="1"/>
                <w:bCs w:val="1"/>
                <w:color w:val="auto"/>
                <w:w w:val="87"/>
              </w:rPr>
              <w:t>this offering</w:t>
            </w:r>
          </w:p>
        </w:tc>
        <w:tc>
          <w:tcPr>
            <w:tcW w:w="140" w:type="dxa"/>
            <w:vAlign w:val="bottom"/>
          </w:tcPr>
          <w:p>
            <w:pPr>
              <w:spacing w:after="0"/>
              <w:rPr>
                <w:sz w:val="5"/>
                <w:szCs w:val="5"/>
                <w:color w:val="auto"/>
              </w:rPr>
            </w:pPr>
          </w:p>
        </w:tc>
        <w:tc>
          <w:tcPr>
            <w:tcW w:w="180" w:type="dxa"/>
            <w:vAlign w:val="bottom"/>
          </w:tcPr>
          <w:p>
            <w:pPr>
              <w:spacing w:after="0"/>
              <w:rPr>
                <w:sz w:val="5"/>
                <w:szCs w:val="5"/>
                <w:color w:val="auto"/>
              </w:rPr>
            </w:pPr>
          </w:p>
        </w:tc>
        <w:tc>
          <w:tcPr>
            <w:tcW w:w="640" w:type="dxa"/>
            <w:vAlign w:val="bottom"/>
          </w:tcPr>
          <w:p>
            <w:pPr>
              <w:spacing w:after="0"/>
              <w:rPr>
                <w:sz w:val="5"/>
                <w:szCs w:val="5"/>
                <w:color w:val="auto"/>
              </w:rPr>
            </w:pPr>
          </w:p>
        </w:tc>
        <w:tc>
          <w:tcPr>
            <w:tcW w:w="200" w:type="dxa"/>
            <w:vAlign w:val="bottom"/>
          </w:tcPr>
          <w:p>
            <w:pPr>
              <w:spacing w:after="0"/>
              <w:rPr>
                <w:sz w:val="5"/>
                <w:szCs w:val="5"/>
                <w:color w:val="auto"/>
              </w:rPr>
            </w:pPr>
          </w:p>
        </w:tc>
        <w:tc>
          <w:tcPr>
            <w:tcW w:w="680" w:type="dxa"/>
            <w:vAlign w:val="bottom"/>
            <w:gridSpan w:val="2"/>
            <w:vMerge w:val="continue"/>
          </w:tcPr>
          <w:p>
            <w:pPr>
              <w:spacing w:after="0"/>
              <w:rPr>
                <w:sz w:val="5"/>
                <w:szCs w:val="5"/>
                <w:color w:val="auto"/>
              </w:rPr>
            </w:pPr>
          </w:p>
        </w:tc>
        <w:tc>
          <w:tcPr>
            <w:tcW w:w="420" w:type="dxa"/>
            <w:vAlign w:val="bottom"/>
          </w:tcPr>
          <w:p>
            <w:pPr>
              <w:spacing w:after="0"/>
              <w:rPr>
                <w:sz w:val="5"/>
                <w:szCs w:val="5"/>
                <w:color w:val="auto"/>
              </w:rPr>
            </w:pPr>
          </w:p>
        </w:tc>
        <w:tc>
          <w:tcPr>
            <w:tcW w:w="180" w:type="dxa"/>
            <w:vAlign w:val="bottom"/>
          </w:tcPr>
          <w:p>
            <w:pPr>
              <w:spacing w:after="0"/>
              <w:rPr>
                <w:sz w:val="5"/>
                <w:szCs w:val="5"/>
                <w:color w:val="auto"/>
              </w:rPr>
            </w:pPr>
          </w:p>
        </w:tc>
        <w:tc>
          <w:tcPr>
            <w:tcW w:w="1060" w:type="dxa"/>
            <w:vAlign w:val="bottom"/>
            <w:gridSpan w:val="5"/>
            <w:vMerge w:val="restart"/>
          </w:tcPr>
          <w:p>
            <w:pPr>
              <w:jc w:val="center"/>
              <w:ind w:right="600"/>
              <w:spacing w:after="0"/>
              <w:rPr>
                <w:sz w:val="20"/>
                <w:szCs w:val="20"/>
                <w:color w:val="auto"/>
              </w:rPr>
            </w:pPr>
            <w:r>
              <w:rPr>
                <w:rFonts w:ascii="Arial" w:cs="Arial" w:eastAsia="Arial" w:hAnsi="Arial"/>
                <w:sz w:val="13"/>
                <w:szCs w:val="13"/>
                <w:b w:val="1"/>
                <w:bCs w:val="1"/>
                <w:color w:val="auto"/>
                <w:w w:val="86"/>
              </w:rPr>
              <w:t>offering</w:t>
            </w:r>
          </w:p>
        </w:tc>
        <w:tc>
          <w:tcPr>
            <w:tcW w:w="180" w:type="dxa"/>
            <w:vAlign w:val="bottom"/>
          </w:tcPr>
          <w:p>
            <w:pPr>
              <w:spacing w:after="0"/>
              <w:rPr>
                <w:sz w:val="5"/>
                <w:szCs w:val="5"/>
                <w:color w:val="auto"/>
              </w:rPr>
            </w:pPr>
          </w:p>
        </w:tc>
        <w:tc>
          <w:tcPr>
            <w:tcW w:w="660" w:type="dxa"/>
            <w:vAlign w:val="bottom"/>
          </w:tcPr>
          <w:p>
            <w:pPr>
              <w:spacing w:after="0"/>
              <w:rPr>
                <w:sz w:val="5"/>
                <w:szCs w:val="5"/>
                <w:color w:val="auto"/>
              </w:rPr>
            </w:pPr>
          </w:p>
        </w:tc>
        <w:tc>
          <w:tcPr>
            <w:tcW w:w="180" w:type="dxa"/>
            <w:vAlign w:val="bottom"/>
          </w:tcPr>
          <w:p>
            <w:pPr>
              <w:spacing w:after="0"/>
              <w:rPr>
                <w:sz w:val="5"/>
                <w:szCs w:val="5"/>
                <w:color w:val="auto"/>
              </w:rPr>
            </w:pPr>
          </w:p>
        </w:tc>
        <w:tc>
          <w:tcPr>
            <w:tcW w:w="54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86"/>
        </w:trPr>
        <w:tc>
          <w:tcPr>
            <w:tcW w:w="1380" w:type="dxa"/>
            <w:vAlign w:val="bottom"/>
          </w:tcPr>
          <w:p>
            <w:pPr>
              <w:spacing w:after="0"/>
              <w:rPr>
                <w:sz w:val="7"/>
                <w:szCs w:val="7"/>
                <w:color w:val="auto"/>
              </w:rPr>
            </w:pPr>
          </w:p>
        </w:tc>
        <w:tc>
          <w:tcPr>
            <w:tcW w:w="2560" w:type="dxa"/>
            <w:vAlign w:val="bottom"/>
          </w:tcPr>
          <w:p>
            <w:pPr>
              <w:spacing w:after="0"/>
              <w:rPr>
                <w:sz w:val="7"/>
                <w:szCs w:val="7"/>
                <w:color w:val="auto"/>
              </w:rPr>
            </w:pPr>
          </w:p>
        </w:tc>
        <w:tc>
          <w:tcPr>
            <w:tcW w:w="680" w:type="dxa"/>
            <w:vAlign w:val="bottom"/>
            <w:tcBorders>
              <w:bottom w:val="single" w:sz="8" w:color="auto"/>
            </w:tcBorders>
          </w:tcPr>
          <w:p>
            <w:pPr>
              <w:spacing w:after="0"/>
              <w:rPr>
                <w:sz w:val="7"/>
                <w:szCs w:val="7"/>
                <w:color w:val="auto"/>
              </w:rPr>
            </w:pPr>
          </w:p>
        </w:tc>
        <w:tc>
          <w:tcPr>
            <w:tcW w:w="100" w:type="dxa"/>
            <w:vAlign w:val="bottom"/>
            <w:tcBorders>
              <w:bottom w:val="single" w:sz="8" w:color="auto"/>
            </w:tcBorders>
          </w:tcPr>
          <w:p>
            <w:pPr>
              <w:spacing w:after="0"/>
              <w:rPr>
                <w:sz w:val="7"/>
                <w:szCs w:val="7"/>
                <w:color w:val="auto"/>
              </w:rPr>
            </w:pPr>
          </w:p>
        </w:tc>
        <w:tc>
          <w:tcPr>
            <w:tcW w:w="1460" w:type="dxa"/>
            <w:vAlign w:val="bottom"/>
            <w:tcBorders>
              <w:bottom w:val="single" w:sz="8" w:color="auto"/>
            </w:tcBorders>
            <w:gridSpan w:val="5"/>
            <w:vMerge w:val="continue"/>
          </w:tcPr>
          <w:p>
            <w:pPr>
              <w:spacing w:after="0"/>
              <w:rPr>
                <w:sz w:val="7"/>
                <w:szCs w:val="7"/>
                <w:color w:val="auto"/>
              </w:rPr>
            </w:pPr>
          </w:p>
        </w:tc>
        <w:tc>
          <w:tcPr>
            <w:tcW w:w="140" w:type="dxa"/>
            <w:vAlign w:val="bottom"/>
            <w:tcBorders>
              <w:bottom w:val="single" w:sz="8" w:color="auto"/>
            </w:tcBorders>
          </w:tcPr>
          <w:p>
            <w:pPr>
              <w:spacing w:after="0"/>
              <w:rPr>
                <w:sz w:val="7"/>
                <w:szCs w:val="7"/>
                <w:color w:val="auto"/>
              </w:rPr>
            </w:pPr>
          </w:p>
        </w:tc>
        <w:tc>
          <w:tcPr>
            <w:tcW w:w="180" w:type="dxa"/>
            <w:vAlign w:val="bottom"/>
          </w:tcPr>
          <w:p>
            <w:pPr>
              <w:spacing w:after="0"/>
              <w:rPr>
                <w:sz w:val="7"/>
                <w:szCs w:val="7"/>
                <w:color w:val="auto"/>
              </w:rPr>
            </w:pPr>
          </w:p>
        </w:tc>
        <w:tc>
          <w:tcPr>
            <w:tcW w:w="640" w:type="dxa"/>
            <w:vAlign w:val="bottom"/>
          </w:tcPr>
          <w:p>
            <w:pPr>
              <w:spacing w:after="0"/>
              <w:rPr>
                <w:sz w:val="7"/>
                <w:szCs w:val="7"/>
                <w:color w:val="auto"/>
              </w:rPr>
            </w:pPr>
          </w:p>
        </w:tc>
        <w:tc>
          <w:tcPr>
            <w:tcW w:w="200" w:type="dxa"/>
            <w:vAlign w:val="bottom"/>
          </w:tcPr>
          <w:p>
            <w:pPr>
              <w:spacing w:after="0"/>
              <w:rPr>
                <w:sz w:val="7"/>
                <w:szCs w:val="7"/>
                <w:color w:val="auto"/>
              </w:rPr>
            </w:pPr>
          </w:p>
        </w:tc>
        <w:tc>
          <w:tcPr>
            <w:tcW w:w="680" w:type="dxa"/>
            <w:vAlign w:val="bottom"/>
            <w:gridSpan w:val="2"/>
            <w:vMerge w:val="restart"/>
          </w:tcPr>
          <w:p>
            <w:pPr>
              <w:jc w:val="center"/>
              <w:ind w:right="180"/>
              <w:spacing w:after="0" w:line="135" w:lineRule="exact"/>
              <w:rPr>
                <w:sz w:val="20"/>
                <w:szCs w:val="20"/>
                <w:color w:val="auto"/>
              </w:rPr>
            </w:pPr>
            <w:r>
              <w:rPr>
                <w:rFonts w:ascii="Arial" w:cs="Arial" w:eastAsia="Arial" w:hAnsi="Arial"/>
                <w:sz w:val="13"/>
                <w:szCs w:val="13"/>
                <w:b w:val="1"/>
                <w:bCs w:val="1"/>
                <w:color w:val="auto"/>
                <w:w w:val="88"/>
              </w:rPr>
              <w:t>power</w:t>
            </w:r>
          </w:p>
        </w:tc>
        <w:tc>
          <w:tcPr>
            <w:tcW w:w="420" w:type="dxa"/>
            <w:vAlign w:val="bottom"/>
            <w:tcBorders>
              <w:bottom w:val="single" w:sz="8" w:color="auto"/>
            </w:tcBorders>
          </w:tcPr>
          <w:p>
            <w:pPr>
              <w:spacing w:after="0"/>
              <w:rPr>
                <w:sz w:val="7"/>
                <w:szCs w:val="7"/>
                <w:color w:val="auto"/>
              </w:rPr>
            </w:pPr>
          </w:p>
        </w:tc>
        <w:tc>
          <w:tcPr>
            <w:tcW w:w="180" w:type="dxa"/>
            <w:vAlign w:val="bottom"/>
            <w:tcBorders>
              <w:bottom w:val="single" w:sz="8" w:color="auto"/>
            </w:tcBorders>
          </w:tcPr>
          <w:p>
            <w:pPr>
              <w:spacing w:after="0"/>
              <w:rPr>
                <w:sz w:val="7"/>
                <w:szCs w:val="7"/>
                <w:color w:val="auto"/>
              </w:rPr>
            </w:pPr>
          </w:p>
        </w:tc>
        <w:tc>
          <w:tcPr>
            <w:tcW w:w="1060" w:type="dxa"/>
            <w:vAlign w:val="bottom"/>
            <w:tcBorders>
              <w:bottom w:val="single" w:sz="8" w:color="auto"/>
            </w:tcBorders>
            <w:gridSpan w:val="5"/>
            <w:vMerge w:val="continue"/>
          </w:tcPr>
          <w:p>
            <w:pPr>
              <w:spacing w:after="0"/>
              <w:rPr>
                <w:sz w:val="7"/>
                <w:szCs w:val="7"/>
                <w:color w:val="auto"/>
              </w:rPr>
            </w:pPr>
          </w:p>
        </w:tc>
        <w:tc>
          <w:tcPr>
            <w:tcW w:w="180" w:type="dxa"/>
            <w:vAlign w:val="bottom"/>
          </w:tcPr>
          <w:p>
            <w:pPr>
              <w:spacing w:after="0"/>
              <w:rPr>
                <w:sz w:val="7"/>
                <w:szCs w:val="7"/>
                <w:color w:val="auto"/>
              </w:rPr>
            </w:pPr>
          </w:p>
        </w:tc>
        <w:tc>
          <w:tcPr>
            <w:tcW w:w="660" w:type="dxa"/>
            <w:vAlign w:val="bottom"/>
          </w:tcPr>
          <w:p>
            <w:pPr>
              <w:spacing w:after="0"/>
              <w:rPr>
                <w:sz w:val="7"/>
                <w:szCs w:val="7"/>
                <w:color w:val="auto"/>
              </w:rPr>
            </w:pPr>
          </w:p>
        </w:tc>
        <w:tc>
          <w:tcPr>
            <w:tcW w:w="180" w:type="dxa"/>
            <w:vAlign w:val="bottom"/>
          </w:tcPr>
          <w:p>
            <w:pPr>
              <w:spacing w:after="0"/>
              <w:rPr>
                <w:sz w:val="7"/>
                <w:szCs w:val="7"/>
                <w:color w:val="auto"/>
              </w:rPr>
            </w:pPr>
          </w:p>
        </w:tc>
        <w:tc>
          <w:tcPr>
            <w:tcW w:w="540" w:type="dxa"/>
            <w:vAlign w:val="bottom"/>
            <w:vMerge w:val="restart"/>
          </w:tcPr>
          <w:p>
            <w:pPr>
              <w:jc w:val="center"/>
              <w:spacing w:after="0" w:line="135" w:lineRule="exact"/>
              <w:rPr>
                <w:sz w:val="20"/>
                <w:szCs w:val="20"/>
                <w:color w:val="auto"/>
              </w:rPr>
            </w:pPr>
            <w:r>
              <w:rPr>
                <w:rFonts w:ascii="Arial" w:cs="Arial" w:eastAsia="Arial" w:hAnsi="Arial"/>
                <w:sz w:val="13"/>
                <w:szCs w:val="13"/>
                <w:b w:val="1"/>
                <w:bCs w:val="1"/>
                <w:color w:val="auto"/>
                <w:w w:val="88"/>
              </w:rPr>
              <w:t>power</w:t>
            </w:r>
          </w:p>
        </w:tc>
        <w:tc>
          <w:tcPr>
            <w:tcW w:w="0" w:type="dxa"/>
            <w:vAlign w:val="bottom"/>
          </w:tcPr>
          <w:p>
            <w:pPr>
              <w:spacing w:after="0"/>
              <w:rPr>
                <w:sz w:val="1"/>
                <w:szCs w:val="1"/>
                <w:color w:val="auto"/>
              </w:rPr>
            </w:pPr>
          </w:p>
        </w:tc>
      </w:tr>
      <w:tr>
        <w:trPr>
          <w:trHeight w:val="29"/>
        </w:trPr>
        <w:tc>
          <w:tcPr>
            <w:tcW w:w="1380" w:type="dxa"/>
            <w:vAlign w:val="bottom"/>
          </w:tcPr>
          <w:p>
            <w:pPr>
              <w:spacing w:after="0"/>
              <w:rPr>
                <w:sz w:val="2"/>
                <w:szCs w:val="2"/>
                <w:color w:val="auto"/>
              </w:rPr>
            </w:pPr>
          </w:p>
        </w:tc>
        <w:tc>
          <w:tcPr>
            <w:tcW w:w="256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80" w:type="dxa"/>
            <w:vAlign w:val="bottom"/>
          </w:tcPr>
          <w:p>
            <w:pPr>
              <w:spacing w:after="0"/>
              <w:rPr>
                <w:sz w:val="2"/>
                <w:szCs w:val="2"/>
                <w:color w:val="auto"/>
              </w:rPr>
            </w:pPr>
          </w:p>
        </w:tc>
        <w:tc>
          <w:tcPr>
            <w:tcW w:w="640" w:type="dxa"/>
            <w:vAlign w:val="bottom"/>
          </w:tcPr>
          <w:p>
            <w:pPr>
              <w:spacing w:after="0"/>
              <w:rPr>
                <w:sz w:val="2"/>
                <w:szCs w:val="2"/>
                <w:color w:val="auto"/>
              </w:rPr>
            </w:pPr>
          </w:p>
        </w:tc>
        <w:tc>
          <w:tcPr>
            <w:tcW w:w="200" w:type="dxa"/>
            <w:vAlign w:val="bottom"/>
          </w:tcPr>
          <w:p>
            <w:pPr>
              <w:spacing w:after="0"/>
              <w:rPr>
                <w:sz w:val="2"/>
                <w:szCs w:val="2"/>
                <w:color w:val="auto"/>
              </w:rPr>
            </w:pPr>
          </w:p>
        </w:tc>
        <w:tc>
          <w:tcPr>
            <w:tcW w:w="680" w:type="dxa"/>
            <w:vAlign w:val="bottom"/>
            <w:gridSpan w:val="2"/>
            <w:vMerge w:val="continue"/>
          </w:tcPr>
          <w:p>
            <w:pPr>
              <w:spacing w:after="0"/>
              <w:rPr>
                <w:sz w:val="2"/>
                <w:szCs w:val="2"/>
                <w:color w:val="auto"/>
              </w:rPr>
            </w:pPr>
          </w:p>
        </w:tc>
        <w:tc>
          <w:tcPr>
            <w:tcW w:w="4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80" w:type="dxa"/>
            <w:vAlign w:val="bottom"/>
          </w:tcPr>
          <w:p>
            <w:pPr>
              <w:spacing w:after="0"/>
              <w:rPr>
                <w:sz w:val="2"/>
                <w:szCs w:val="2"/>
                <w:color w:val="auto"/>
              </w:rPr>
            </w:pPr>
          </w:p>
        </w:tc>
        <w:tc>
          <w:tcPr>
            <w:tcW w:w="4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80" w:type="dxa"/>
            <w:vAlign w:val="bottom"/>
          </w:tcPr>
          <w:p>
            <w:pPr>
              <w:spacing w:after="0"/>
              <w:rPr>
                <w:sz w:val="2"/>
                <w:szCs w:val="2"/>
                <w:color w:val="auto"/>
              </w:rPr>
            </w:pPr>
          </w:p>
        </w:tc>
        <w:tc>
          <w:tcPr>
            <w:tcW w:w="660" w:type="dxa"/>
            <w:vAlign w:val="bottom"/>
          </w:tcPr>
          <w:p>
            <w:pPr>
              <w:spacing w:after="0"/>
              <w:rPr>
                <w:sz w:val="2"/>
                <w:szCs w:val="2"/>
                <w:color w:val="auto"/>
              </w:rPr>
            </w:pPr>
          </w:p>
        </w:tc>
        <w:tc>
          <w:tcPr>
            <w:tcW w:w="180" w:type="dxa"/>
            <w:vAlign w:val="bottom"/>
          </w:tcPr>
          <w:p>
            <w:pPr>
              <w:spacing w:after="0"/>
              <w:rPr>
                <w:sz w:val="2"/>
                <w:szCs w:val="2"/>
                <w:color w:val="auto"/>
              </w:rPr>
            </w:pPr>
          </w:p>
        </w:tc>
        <w:tc>
          <w:tcPr>
            <w:tcW w:w="54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5"/>
        </w:trPr>
        <w:tc>
          <w:tcPr>
            <w:tcW w:w="1380" w:type="dxa"/>
            <w:vAlign w:val="bottom"/>
            <w:vMerge w:val="restart"/>
          </w:tcPr>
          <w:p>
            <w:pPr>
              <w:spacing w:after="0"/>
              <w:rPr>
                <w:sz w:val="20"/>
                <w:szCs w:val="20"/>
                <w:color w:val="auto"/>
              </w:rPr>
            </w:pPr>
            <w:r>
              <w:rPr>
                <w:rFonts w:ascii="Arial" w:cs="Arial" w:eastAsia="Arial" w:hAnsi="Arial"/>
                <w:sz w:val="13"/>
                <w:szCs w:val="13"/>
                <w:b w:val="1"/>
                <w:bCs w:val="1"/>
                <w:color w:val="auto"/>
                <w:w w:val="86"/>
              </w:rPr>
              <w:t>Name of beneficial owner</w:t>
            </w:r>
          </w:p>
        </w:tc>
        <w:tc>
          <w:tcPr>
            <w:tcW w:w="2560" w:type="dxa"/>
            <w:vAlign w:val="bottom"/>
            <w:vMerge w:val="restart"/>
          </w:tcPr>
          <w:p>
            <w:pPr>
              <w:spacing w:after="0"/>
              <w:rPr>
                <w:sz w:val="11"/>
                <w:szCs w:val="11"/>
                <w:color w:val="auto"/>
              </w:rPr>
            </w:pPr>
          </w:p>
        </w:tc>
        <w:tc>
          <w:tcPr>
            <w:tcW w:w="780" w:type="dxa"/>
            <w:vAlign w:val="bottom"/>
            <w:gridSpan w:val="2"/>
          </w:tcPr>
          <w:p>
            <w:pPr>
              <w:jc w:val="right"/>
              <w:ind w:right="240"/>
              <w:spacing w:after="0" w:line="135" w:lineRule="exact"/>
              <w:rPr>
                <w:sz w:val="20"/>
                <w:szCs w:val="20"/>
                <w:color w:val="auto"/>
              </w:rPr>
            </w:pPr>
            <w:r>
              <w:rPr>
                <w:rFonts w:ascii="Arial" w:cs="Arial" w:eastAsia="Arial" w:hAnsi="Arial"/>
                <w:sz w:val="13"/>
                <w:szCs w:val="13"/>
                <w:b w:val="1"/>
                <w:bCs w:val="1"/>
                <w:color w:val="auto"/>
              </w:rPr>
              <w:t>Class A</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40" w:type="dxa"/>
            <w:vAlign w:val="bottom"/>
            <w:gridSpan w:val="2"/>
          </w:tcPr>
          <w:p>
            <w:pPr>
              <w:ind w:left="220"/>
              <w:spacing w:after="0" w:line="135" w:lineRule="exact"/>
              <w:rPr>
                <w:sz w:val="20"/>
                <w:szCs w:val="20"/>
                <w:color w:val="auto"/>
              </w:rPr>
            </w:pPr>
            <w:r>
              <w:rPr>
                <w:rFonts w:ascii="Arial" w:cs="Arial" w:eastAsia="Arial" w:hAnsi="Arial"/>
                <w:sz w:val="13"/>
                <w:szCs w:val="13"/>
                <w:b w:val="1"/>
                <w:bCs w:val="1"/>
                <w:color w:val="auto"/>
              </w:rPr>
              <w:t>Class B</w:t>
            </w:r>
          </w:p>
        </w:tc>
        <w:tc>
          <w:tcPr>
            <w:tcW w:w="1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40" w:type="dxa"/>
            <w:vAlign w:val="bottom"/>
            <w:gridSpan w:val="2"/>
          </w:tcPr>
          <w:p>
            <w:pPr>
              <w:jc w:val="center"/>
              <w:ind w:right="180"/>
              <w:spacing w:after="0" w:line="135" w:lineRule="exact"/>
              <w:rPr>
                <w:sz w:val="20"/>
                <w:szCs w:val="20"/>
                <w:color w:val="auto"/>
              </w:rPr>
            </w:pPr>
            <w:r>
              <w:rPr>
                <w:rFonts w:ascii="Arial" w:cs="Arial" w:eastAsia="Arial" w:hAnsi="Arial"/>
                <w:sz w:val="13"/>
                <w:szCs w:val="13"/>
                <w:b w:val="1"/>
                <w:bCs w:val="1"/>
                <w:color w:val="auto"/>
                <w:w w:val="92"/>
              </w:rPr>
              <w:t>% of total</w:t>
            </w:r>
          </w:p>
        </w:tc>
        <w:tc>
          <w:tcPr>
            <w:tcW w:w="680" w:type="dxa"/>
            <w:vAlign w:val="bottom"/>
            <w:gridSpan w:val="2"/>
          </w:tcPr>
          <w:p>
            <w:pPr>
              <w:jc w:val="center"/>
              <w:ind w:right="180"/>
              <w:spacing w:after="0" w:line="135" w:lineRule="exact"/>
              <w:rPr>
                <w:sz w:val="20"/>
                <w:szCs w:val="20"/>
                <w:color w:val="auto"/>
              </w:rPr>
            </w:pPr>
            <w:r>
              <w:rPr>
                <w:rFonts w:ascii="Arial" w:cs="Arial" w:eastAsia="Arial" w:hAnsi="Arial"/>
                <w:sz w:val="13"/>
                <w:szCs w:val="13"/>
                <w:b w:val="1"/>
                <w:bCs w:val="1"/>
                <w:color w:val="auto"/>
                <w:w w:val="85"/>
              </w:rPr>
              <w:t>before</w:t>
            </w:r>
          </w:p>
        </w:tc>
        <w:tc>
          <w:tcPr>
            <w:tcW w:w="600" w:type="dxa"/>
            <w:vAlign w:val="bottom"/>
            <w:gridSpan w:val="2"/>
          </w:tcPr>
          <w:p>
            <w:pPr>
              <w:jc w:val="center"/>
              <w:ind w:right="180"/>
              <w:spacing w:after="0" w:line="135" w:lineRule="exact"/>
              <w:rPr>
                <w:sz w:val="20"/>
                <w:szCs w:val="20"/>
                <w:color w:val="auto"/>
              </w:rPr>
            </w:pPr>
            <w:r>
              <w:rPr>
                <w:rFonts w:ascii="Arial" w:cs="Arial" w:eastAsia="Arial" w:hAnsi="Arial"/>
                <w:sz w:val="13"/>
                <w:szCs w:val="13"/>
                <w:b w:val="1"/>
                <w:bCs w:val="1"/>
                <w:color w:val="auto"/>
                <w:w w:val="87"/>
              </w:rPr>
              <w:t>Class A</w:t>
            </w:r>
          </w:p>
        </w:tc>
        <w:tc>
          <w:tcPr>
            <w:tcW w:w="1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40" w:type="dxa"/>
            <w:vAlign w:val="bottom"/>
            <w:gridSpan w:val="3"/>
          </w:tcPr>
          <w:p>
            <w:pPr>
              <w:jc w:val="center"/>
              <w:ind w:right="340"/>
              <w:spacing w:after="0" w:line="135" w:lineRule="exact"/>
              <w:rPr>
                <w:sz w:val="20"/>
                <w:szCs w:val="20"/>
                <w:color w:val="auto"/>
              </w:rPr>
            </w:pPr>
            <w:r>
              <w:rPr>
                <w:rFonts w:ascii="Arial" w:cs="Arial" w:eastAsia="Arial" w:hAnsi="Arial"/>
                <w:sz w:val="13"/>
                <w:szCs w:val="13"/>
                <w:b w:val="1"/>
                <w:bCs w:val="1"/>
                <w:color w:val="auto"/>
                <w:w w:val="83"/>
              </w:rPr>
              <w:t>Class B</w:t>
            </w:r>
          </w:p>
        </w:tc>
        <w:tc>
          <w:tcPr>
            <w:tcW w:w="180" w:type="dxa"/>
            <w:vAlign w:val="bottom"/>
          </w:tcPr>
          <w:p>
            <w:pPr>
              <w:spacing w:after="0"/>
              <w:rPr>
                <w:sz w:val="11"/>
                <w:szCs w:val="11"/>
                <w:color w:val="auto"/>
              </w:rPr>
            </w:pPr>
          </w:p>
        </w:tc>
        <w:tc>
          <w:tcPr>
            <w:tcW w:w="840" w:type="dxa"/>
            <w:vAlign w:val="bottom"/>
            <w:gridSpan w:val="2"/>
          </w:tcPr>
          <w:p>
            <w:pPr>
              <w:jc w:val="center"/>
              <w:ind w:right="180"/>
              <w:spacing w:after="0" w:line="135" w:lineRule="exact"/>
              <w:rPr>
                <w:sz w:val="20"/>
                <w:szCs w:val="20"/>
                <w:color w:val="auto"/>
              </w:rPr>
            </w:pPr>
            <w:r>
              <w:rPr>
                <w:rFonts w:ascii="Arial" w:cs="Arial" w:eastAsia="Arial" w:hAnsi="Arial"/>
                <w:sz w:val="13"/>
                <w:szCs w:val="13"/>
                <w:b w:val="1"/>
                <w:bCs w:val="1"/>
                <w:color w:val="auto"/>
                <w:w w:val="92"/>
              </w:rPr>
              <w:t>% of total</w:t>
            </w:r>
          </w:p>
        </w:tc>
        <w:tc>
          <w:tcPr>
            <w:tcW w:w="54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92"/>
              </w:rPr>
              <w:t>after</w:t>
            </w:r>
          </w:p>
        </w:tc>
        <w:tc>
          <w:tcPr>
            <w:tcW w:w="0" w:type="dxa"/>
            <w:vAlign w:val="bottom"/>
          </w:tcPr>
          <w:p>
            <w:pPr>
              <w:spacing w:after="0"/>
              <w:rPr>
                <w:sz w:val="1"/>
                <w:szCs w:val="1"/>
                <w:color w:val="auto"/>
              </w:rPr>
            </w:pPr>
          </w:p>
        </w:tc>
      </w:tr>
      <w:tr>
        <w:trPr>
          <w:trHeight w:val="153"/>
        </w:trPr>
        <w:tc>
          <w:tcPr>
            <w:tcW w:w="1380" w:type="dxa"/>
            <w:vAlign w:val="bottom"/>
            <w:vMerge w:val="continue"/>
          </w:tcPr>
          <w:p>
            <w:pPr>
              <w:spacing w:after="0"/>
              <w:rPr>
                <w:sz w:val="13"/>
                <w:szCs w:val="13"/>
                <w:color w:val="auto"/>
              </w:rPr>
            </w:pPr>
          </w:p>
        </w:tc>
        <w:tc>
          <w:tcPr>
            <w:tcW w:w="2560" w:type="dxa"/>
            <w:vAlign w:val="bottom"/>
            <w:vMerge w:val="continue"/>
          </w:tcPr>
          <w:p>
            <w:pPr>
              <w:spacing w:after="0"/>
              <w:rPr>
                <w:sz w:val="13"/>
                <w:szCs w:val="13"/>
                <w:color w:val="auto"/>
              </w:rPr>
            </w:pPr>
          </w:p>
        </w:tc>
        <w:tc>
          <w:tcPr>
            <w:tcW w:w="680" w:type="dxa"/>
            <w:vAlign w:val="bottom"/>
          </w:tcPr>
          <w:p>
            <w:pPr>
              <w:jc w:val="right"/>
              <w:ind w:right="82"/>
              <w:spacing w:after="0"/>
              <w:rPr>
                <w:sz w:val="20"/>
                <w:szCs w:val="20"/>
                <w:color w:val="auto"/>
              </w:rPr>
            </w:pPr>
            <w:r>
              <w:rPr>
                <w:rFonts w:ascii="Arial" w:cs="Arial" w:eastAsia="Arial" w:hAnsi="Arial"/>
                <w:sz w:val="13"/>
                <w:szCs w:val="13"/>
                <w:b w:val="1"/>
                <w:bCs w:val="1"/>
                <w:color w:val="auto"/>
              </w:rPr>
              <w:t>shares</w:t>
            </w:r>
          </w:p>
        </w:tc>
        <w:tc>
          <w:tcPr>
            <w:tcW w:w="100" w:type="dxa"/>
            <w:vAlign w:val="bottom"/>
          </w:tcPr>
          <w:p>
            <w:pPr>
              <w:spacing w:after="0"/>
              <w:rPr>
                <w:sz w:val="13"/>
                <w:szCs w:val="13"/>
                <w:color w:val="auto"/>
              </w:rPr>
            </w:pPr>
          </w:p>
        </w:tc>
        <w:tc>
          <w:tcPr>
            <w:tcW w:w="220" w:type="dxa"/>
            <w:vAlign w:val="bottom"/>
            <w:gridSpan w:val="2"/>
          </w:tcPr>
          <w:p>
            <w:pPr>
              <w:jc w:val="right"/>
              <w:spacing w:after="0"/>
              <w:rPr>
                <w:sz w:val="20"/>
                <w:szCs w:val="20"/>
                <w:color w:val="auto"/>
              </w:rPr>
            </w:pPr>
            <w:r>
              <w:rPr>
                <w:rFonts w:ascii="Arial" w:cs="Arial" w:eastAsia="Arial" w:hAnsi="Arial"/>
                <w:sz w:val="13"/>
                <w:szCs w:val="13"/>
                <w:b w:val="1"/>
                <w:bCs w:val="1"/>
                <w:color w:val="auto"/>
              </w:rPr>
              <w:t>%</w:t>
            </w:r>
          </w:p>
        </w:tc>
        <w:tc>
          <w:tcPr>
            <w:tcW w:w="200" w:type="dxa"/>
            <w:vAlign w:val="bottom"/>
          </w:tcPr>
          <w:p>
            <w:pPr>
              <w:spacing w:after="0"/>
              <w:rPr>
                <w:sz w:val="13"/>
                <w:szCs w:val="13"/>
                <w:color w:val="auto"/>
              </w:rPr>
            </w:pPr>
          </w:p>
        </w:tc>
        <w:tc>
          <w:tcPr>
            <w:tcW w:w="1040" w:type="dxa"/>
            <w:vAlign w:val="bottom"/>
            <w:gridSpan w:val="2"/>
          </w:tcPr>
          <w:p>
            <w:pPr>
              <w:ind w:left="220"/>
              <w:spacing w:after="0"/>
              <w:rPr>
                <w:sz w:val="20"/>
                <w:szCs w:val="20"/>
                <w:color w:val="auto"/>
              </w:rPr>
            </w:pPr>
            <w:r>
              <w:rPr>
                <w:rFonts w:ascii="Arial" w:cs="Arial" w:eastAsia="Arial" w:hAnsi="Arial"/>
                <w:sz w:val="13"/>
                <w:szCs w:val="13"/>
                <w:b w:val="1"/>
                <w:bCs w:val="1"/>
                <w:color w:val="auto"/>
              </w:rPr>
              <w:t>shares†</w:t>
            </w:r>
          </w:p>
        </w:tc>
        <w:tc>
          <w:tcPr>
            <w:tcW w:w="140" w:type="dxa"/>
            <w:vAlign w:val="bottom"/>
          </w:tcPr>
          <w:p>
            <w:pPr>
              <w:jc w:val="right"/>
              <w:spacing w:after="0"/>
              <w:rPr>
                <w:sz w:val="20"/>
                <w:szCs w:val="20"/>
                <w:color w:val="auto"/>
              </w:rPr>
            </w:pPr>
            <w:r>
              <w:rPr>
                <w:rFonts w:ascii="Arial" w:cs="Arial" w:eastAsia="Arial" w:hAnsi="Arial"/>
                <w:sz w:val="13"/>
                <w:szCs w:val="13"/>
                <w:b w:val="1"/>
                <w:bCs w:val="1"/>
                <w:color w:val="auto"/>
                <w:w w:val="86"/>
              </w:rPr>
              <w:t>%</w:t>
            </w:r>
          </w:p>
        </w:tc>
        <w:tc>
          <w:tcPr>
            <w:tcW w:w="180" w:type="dxa"/>
            <w:vAlign w:val="bottom"/>
          </w:tcPr>
          <w:p>
            <w:pPr>
              <w:spacing w:after="0"/>
              <w:rPr>
                <w:sz w:val="13"/>
                <w:szCs w:val="13"/>
                <w:color w:val="auto"/>
              </w:rPr>
            </w:pPr>
          </w:p>
        </w:tc>
        <w:tc>
          <w:tcPr>
            <w:tcW w:w="840" w:type="dxa"/>
            <w:vAlign w:val="bottom"/>
            <w:gridSpan w:val="2"/>
          </w:tcPr>
          <w:p>
            <w:pPr>
              <w:jc w:val="center"/>
              <w:ind w:right="200"/>
              <w:spacing w:after="0"/>
              <w:rPr>
                <w:sz w:val="20"/>
                <w:szCs w:val="20"/>
                <w:color w:val="auto"/>
              </w:rPr>
            </w:pPr>
            <w:r>
              <w:rPr>
                <w:rFonts w:ascii="Arial" w:cs="Arial" w:eastAsia="Arial" w:hAnsi="Arial"/>
                <w:sz w:val="13"/>
                <w:szCs w:val="13"/>
                <w:b w:val="1"/>
                <w:bCs w:val="1"/>
                <w:color w:val="auto"/>
                <w:w w:val="85"/>
              </w:rPr>
              <w:t>outstanding</w:t>
            </w:r>
          </w:p>
        </w:tc>
        <w:tc>
          <w:tcPr>
            <w:tcW w:w="680" w:type="dxa"/>
            <w:vAlign w:val="bottom"/>
            <w:gridSpan w:val="2"/>
          </w:tcPr>
          <w:p>
            <w:pPr>
              <w:jc w:val="center"/>
              <w:ind w:right="180"/>
              <w:spacing w:after="0"/>
              <w:rPr>
                <w:sz w:val="20"/>
                <w:szCs w:val="20"/>
                <w:color w:val="auto"/>
              </w:rPr>
            </w:pPr>
            <w:r>
              <w:rPr>
                <w:rFonts w:ascii="Arial" w:cs="Arial" w:eastAsia="Arial" w:hAnsi="Arial"/>
                <w:sz w:val="13"/>
                <w:szCs w:val="13"/>
                <w:b w:val="1"/>
                <w:bCs w:val="1"/>
                <w:color w:val="auto"/>
                <w:w w:val="89"/>
              </w:rPr>
              <w:t>offering#</w:t>
            </w:r>
          </w:p>
        </w:tc>
        <w:tc>
          <w:tcPr>
            <w:tcW w:w="600" w:type="dxa"/>
            <w:vAlign w:val="bottom"/>
            <w:gridSpan w:val="2"/>
          </w:tcPr>
          <w:p>
            <w:pPr>
              <w:jc w:val="center"/>
              <w:ind w:right="180"/>
              <w:spacing w:after="0"/>
              <w:rPr>
                <w:sz w:val="20"/>
                <w:szCs w:val="20"/>
                <w:color w:val="auto"/>
              </w:rPr>
            </w:pPr>
            <w:r>
              <w:rPr>
                <w:rFonts w:ascii="Arial" w:cs="Arial" w:eastAsia="Arial" w:hAnsi="Arial"/>
                <w:sz w:val="13"/>
                <w:szCs w:val="13"/>
                <w:b w:val="1"/>
                <w:bCs w:val="1"/>
                <w:color w:val="auto"/>
                <w:w w:val="81"/>
              </w:rPr>
              <w:t>shares</w:t>
            </w:r>
          </w:p>
        </w:tc>
        <w:tc>
          <w:tcPr>
            <w:tcW w:w="1060" w:type="dxa"/>
            <w:vAlign w:val="bottom"/>
            <w:gridSpan w:val="5"/>
          </w:tcPr>
          <w:p>
            <w:pPr>
              <w:jc w:val="center"/>
              <w:ind w:right="20"/>
              <w:spacing w:after="0"/>
              <w:rPr>
                <w:sz w:val="20"/>
                <w:szCs w:val="20"/>
                <w:color w:val="auto"/>
              </w:rPr>
            </w:pPr>
            <w:r>
              <w:rPr>
                <w:rFonts w:ascii="Arial" w:cs="Arial" w:eastAsia="Arial" w:hAnsi="Arial"/>
                <w:sz w:val="13"/>
                <w:szCs w:val="13"/>
                <w:b w:val="1"/>
                <w:bCs w:val="1"/>
                <w:color w:val="auto"/>
              </w:rPr>
              <w:t>%   shares†   %</w:t>
            </w:r>
          </w:p>
        </w:tc>
        <w:tc>
          <w:tcPr>
            <w:tcW w:w="180" w:type="dxa"/>
            <w:vAlign w:val="bottom"/>
          </w:tcPr>
          <w:p>
            <w:pPr>
              <w:spacing w:after="0"/>
              <w:rPr>
                <w:sz w:val="13"/>
                <w:szCs w:val="13"/>
                <w:color w:val="auto"/>
              </w:rPr>
            </w:pPr>
          </w:p>
        </w:tc>
        <w:tc>
          <w:tcPr>
            <w:tcW w:w="840" w:type="dxa"/>
            <w:vAlign w:val="bottom"/>
            <w:gridSpan w:val="2"/>
          </w:tcPr>
          <w:p>
            <w:pPr>
              <w:jc w:val="center"/>
              <w:ind w:right="200"/>
              <w:spacing w:after="0"/>
              <w:rPr>
                <w:sz w:val="20"/>
                <w:szCs w:val="20"/>
                <w:color w:val="auto"/>
              </w:rPr>
            </w:pPr>
            <w:r>
              <w:rPr>
                <w:rFonts w:ascii="Arial" w:cs="Arial" w:eastAsia="Arial" w:hAnsi="Arial"/>
                <w:sz w:val="13"/>
                <w:szCs w:val="13"/>
                <w:b w:val="1"/>
                <w:bCs w:val="1"/>
                <w:color w:val="auto"/>
                <w:w w:val="85"/>
              </w:rPr>
              <w:t>outstanding</w:t>
            </w:r>
          </w:p>
        </w:tc>
        <w:tc>
          <w:tcPr>
            <w:tcW w:w="540" w:type="dxa"/>
            <w:vAlign w:val="bottom"/>
          </w:tcPr>
          <w:p>
            <w:pPr>
              <w:jc w:val="center"/>
              <w:spacing w:after="0"/>
              <w:rPr>
                <w:sz w:val="20"/>
                <w:szCs w:val="20"/>
                <w:color w:val="auto"/>
              </w:rPr>
            </w:pPr>
            <w:r>
              <w:rPr>
                <w:rFonts w:ascii="Arial" w:cs="Arial" w:eastAsia="Arial" w:hAnsi="Arial"/>
                <w:sz w:val="13"/>
                <w:szCs w:val="13"/>
                <w:b w:val="1"/>
                <w:bCs w:val="1"/>
                <w:color w:val="auto"/>
                <w:w w:val="89"/>
              </w:rPr>
              <w:t>offering#</w:t>
            </w:r>
          </w:p>
        </w:tc>
        <w:tc>
          <w:tcPr>
            <w:tcW w:w="0" w:type="dxa"/>
            <w:vAlign w:val="bottom"/>
          </w:tcPr>
          <w:p>
            <w:pPr>
              <w:spacing w:after="0"/>
              <w:rPr>
                <w:sz w:val="1"/>
                <w:szCs w:val="1"/>
                <w:color w:val="auto"/>
              </w:rPr>
            </w:pPr>
          </w:p>
        </w:tc>
      </w:tr>
      <w:tr>
        <w:trPr>
          <w:trHeight w:val="20"/>
        </w:trPr>
        <w:tc>
          <w:tcPr>
            <w:tcW w:w="1380" w:type="dxa"/>
            <w:vAlign w:val="bottom"/>
            <w:shd w:val="clear" w:color="auto" w:fill="000000"/>
          </w:tcPr>
          <w:p>
            <w:pPr>
              <w:spacing w:after="0" w:line="20" w:lineRule="exact"/>
              <w:rPr>
                <w:sz w:val="1"/>
                <w:szCs w:val="1"/>
                <w:color w:val="auto"/>
              </w:rPr>
            </w:pPr>
          </w:p>
        </w:tc>
        <w:tc>
          <w:tcPr>
            <w:tcW w:w="2560" w:type="dxa"/>
            <w:vAlign w:val="bottom"/>
            <w:shd w:val="clear" w:color="auto" w:fill="CCEEFF"/>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540" w:type="dxa"/>
            <w:vAlign w:val="bottom"/>
            <w:tcBorders>
              <w:right w:val="single" w:sz="8" w:color="CCEEFF"/>
            </w:tcBorders>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3940" w:type="dxa"/>
            <w:vAlign w:val="bottom"/>
            <w:gridSpan w:val="2"/>
            <w:shd w:val="clear" w:color="auto" w:fill="CCEEFF"/>
          </w:tcPr>
          <w:p>
            <w:pPr>
              <w:spacing w:after="0" w:line="183" w:lineRule="exact"/>
              <w:rPr>
                <w:sz w:val="20"/>
                <w:szCs w:val="20"/>
                <w:color w:val="auto"/>
              </w:rPr>
            </w:pPr>
            <w:r>
              <w:rPr>
                <w:rFonts w:ascii="Arial" w:cs="Arial" w:eastAsia="Arial" w:hAnsi="Arial"/>
                <w:sz w:val="16"/>
                <w:szCs w:val="16"/>
                <w:b w:val="1"/>
                <w:bCs w:val="1"/>
                <w:color w:val="auto"/>
              </w:rPr>
              <w:t>Named executive officers and directors:</w:t>
            </w:r>
          </w:p>
        </w:tc>
        <w:tc>
          <w:tcPr>
            <w:tcW w:w="6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540" w:type="dxa"/>
            <w:vAlign w:val="bottom"/>
            <w:tcBorders>
              <w:right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3940" w:type="dxa"/>
            <w:vAlign w:val="bottom"/>
            <w:gridSpan w:val="2"/>
          </w:tcPr>
          <w:p>
            <w:pPr>
              <w:spacing w:after="0" w:line="202" w:lineRule="exact"/>
              <w:rPr>
                <w:sz w:val="20"/>
                <w:szCs w:val="20"/>
                <w:color w:val="auto"/>
              </w:rPr>
            </w:pPr>
            <w:r>
              <w:rPr>
                <w:rFonts w:ascii="Arial" w:cs="Arial" w:eastAsia="Arial" w:hAnsi="Arial"/>
                <w:sz w:val="14"/>
                <w:szCs w:val="14"/>
                <w:color w:val="auto"/>
              </w:rPr>
              <w:t>Andrew W. Houston</w:t>
            </w:r>
            <w:r>
              <w:rPr>
                <w:rFonts w:ascii="Arial" w:cs="Arial" w:eastAsia="Arial" w:hAnsi="Arial"/>
                <w:sz w:val="23"/>
                <w:szCs w:val="23"/>
                <w:color w:val="auto"/>
                <w:vertAlign w:val="superscript"/>
              </w:rPr>
              <w:t>(1)</w:t>
            </w:r>
          </w:p>
        </w:tc>
        <w:tc>
          <w:tcPr>
            <w:tcW w:w="7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w w:val="92"/>
              </w:rPr>
              <w:t>127,145,188</w:t>
            </w: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940" w:type="dxa"/>
            <w:vAlign w:val="bottom"/>
            <w:gridSpan w:val="2"/>
            <w:shd w:val="clear" w:color="auto" w:fill="CCEEFF"/>
          </w:tcPr>
          <w:p>
            <w:pPr>
              <w:spacing w:after="0" w:line="202" w:lineRule="exact"/>
              <w:rPr>
                <w:sz w:val="20"/>
                <w:szCs w:val="20"/>
                <w:color w:val="auto"/>
              </w:rPr>
            </w:pPr>
            <w:r>
              <w:rPr>
                <w:rFonts w:ascii="Arial" w:cs="Arial" w:eastAsia="Arial" w:hAnsi="Arial"/>
                <w:sz w:val="14"/>
                <w:szCs w:val="14"/>
                <w:color w:val="auto"/>
              </w:rPr>
              <w:t>Arash Ferdowsi</w:t>
            </w:r>
            <w:r>
              <w:rPr>
                <w:rFonts w:ascii="Arial" w:cs="Arial" w:eastAsia="Arial" w:hAnsi="Arial"/>
                <w:sz w:val="23"/>
                <w:szCs w:val="23"/>
                <w:color w:val="auto"/>
                <w:vertAlign w:val="superscript"/>
              </w:rPr>
              <w:t>(2)</w:t>
            </w:r>
          </w:p>
        </w:tc>
        <w:tc>
          <w:tcPr>
            <w:tcW w:w="78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51,406,082</w:t>
            </w: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540" w:type="dxa"/>
            <w:vAlign w:val="bottom"/>
            <w:tcBorders>
              <w:right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940" w:type="dxa"/>
            <w:vAlign w:val="bottom"/>
            <w:gridSpan w:val="2"/>
          </w:tcPr>
          <w:p>
            <w:pPr>
              <w:spacing w:after="0" w:line="202" w:lineRule="exact"/>
              <w:rPr>
                <w:sz w:val="20"/>
                <w:szCs w:val="20"/>
                <w:color w:val="auto"/>
              </w:rPr>
            </w:pPr>
            <w:r>
              <w:rPr>
                <w:rFonts w:ascii="Arial" w:cs="Arial" w:eastAsia="Arial" w:hAnsi="Arial"/>
                <w:sz w:val="14"/>
                <w:szCs w:val="14"/>
                <w:color w:val="auto"/>
              </w:rPr>
              <w:t>Dennis M. Woodside</w:t>
            </w:r>
            <w:r>
              <w:rPr>
                <w:rFonts w:ascii="Arial" w:cs="Arial" w:eastAsia="Arial" w:hAnsi="Arial"/>
                <w:sz w:val="23"/>
                <w:szCs w:val="23"/>
                <w:color w:val="auto"/>
                <w:vertAlign w:val="superscript"/>
              </w:rPr>
              <w:t>(3)</w:t>
            </w:r>
          </w:p>
        </w:tc>
        <w:tc>
          <w:tcPr>
            <w:tcW w:w="7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2,860,074</w:t>
            </w: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94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Quentin J. Clark</w:t>
            </w:r>
          </w:p>
        </w:tc>
        <w:tc>
          <w:tcPr>
            <w:tcW w:w="78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ind w:left="60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540" w:type="dxa"/>
            <w:vAlign w:val="bottom"/>
            <w:tcBorders>
              <w:right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940" w:type="dxa"/>
            <w:vAlign w:val="bottom"/>
            <w:gridSpan w:val="2"/>
          </w:tcPr>
          <w:p>
            <w:pPr>
              <w:spacing w:after="0" w:line="202" w:lineRule="exact"/>
              <w:rPr>
                <w:sz w:val="20"/>
                <w:szCs w:val="20"/>
                <w:color w:val="auto"/>
              </w:rPr>
            </w:pPr>
            <w:r>
              <w:rPr>
                <w:rFonts w:ascii="Arial" w:cs="Arial" w:eastAsia="Arial" w:hAnsi="Arial"/>
                <w:sz w:val="14"/>
                <w:szCs w:val="14"/>
                <w:color w:val="auto"/>
              </w:rPr>
              <w:t>Paul E. Jacobs</w:t>
            </w:r>
            <w:r>
              <w:rPr>
                <w:rFonts w:ascii="Arial" w:cs="Arial" w:eastAsia="Arial" w:hAnsi="Arial"/>
                <w:sz w:val="23"/>
                <w:szCs w:val="23"/>
                <w:color w:val="auto"/>
                <w:vertAlign w:val="superscript"/>
              </w:rPr>
              <w:t>(4)</w:t>
            </w:r>
          </w:p>
        </w:tc>
        <w:tc>
          <w:tcPr>
            <w:tcW w:w="7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299,067</w:t>
            </w: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940" w:type="dxa"/>
            <w:vAlign w:val="bottom"/>
            <w:gridSpan w:val="2"/>
            <w:shd w:val="clear" w:color="auto" w:fill="CCEEFF"/>
          </w:tcPr>
          <w:p>
            <w:pPr>
              <w:spacing w:after="0" w:line="202" w:lineRule="exact"/>
              <w:rPr>
                <w:sz w:val="20"/>
                <w:szCs w:val="20"/>
                <w:color w:val="auto"/>
              </w:rPr>
            </w:pPr>
            <w:r>
              <w:rPr>
                <w:rFonts w:ascii="Arial" w:cs="Arial" w:eastAsia="Arial" w:hAnsi="Arial"/>
                <w:sz w:val="14"/>
                <w:szCs w:val="14"/>
                <w:color w:val="auto"/>
              </w:rPr>
              <w:t>Robert J. Mylod, Jr.</w:t>
            </w:r>
            <w:r>
              <w:rPr>
                <w:rFonts w:ascii="Arial" w:cs="Arial" w:eastAsia="Arial" w:hAnsi="Arial"/>
                <w:sz w:val="23"/>
                <w:szCs w:val="23"/>
                <w:color w:val="auto"/>
                <w:vertAlign w:val="superscript"/>
              </w:rPr>
              <w:t>(5)</w:t>
            </w: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184,049</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ind w:left="60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540" w:type="dxa"/>
            <w:vAlign w:val="bottom"/>
            <w:tcBorders>
              <w:right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940" w:type="dxa"/>
            <w:vAlign w:val="bottom"/>
            <w:gridSpan w:val="2"/>
          </w:tcPr>
          <w:p>
            <w:pPr>
              <w:spacing w:after="0"/>
              <w:rPr>
                <w:sz w:val="20"/>
                <w:szCs w:val="20"/>
                <w:color w:val="auto"/>
              </w:rPr>
            </w:pPr>
            <w:r>
              <w:rPr>
                <w:rFonts w:ascii="Arial" w:cs="Arial" w:eastAsia="Arial" w:hAnsi="Arial"/>
                <w:sz w:val="16"/>
                <w:szCs w:val="16"/>
                <w:color w:val="auto"/>
              </w:rPr>
              <w:t>Condoleezza Rice</w:t>
            </w:r>
          </w:p>
        </w:tc>
        <w:tc>
          <w:tcPr>
            <w:tcW w:w="7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40" w:type="dxa"/>
            <w:vAlign w:val="bottom"/>
            <w:gridSpan w:val="2"/>
          </w:tcPr>
          <w:p>
            <w:pPr>
              <w:ind w:left="60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940" w:type="dxa"/>
            <w:vAlign w:val="bottom"/>
            <w:gridSpan w:val="2"/>
            <w:shd w:val="clear" w:color="auto" w:fill="CCEEFF"/>
          </w:tcPr>
          <w:p>
            <w:pPr>
              <w:spacing w:after="0" w:line="202" w:lineRule="exact"/>
              <w:rPr>
                <w:sz w:val="20"/>
                <w:szCs w:val="20"/>
                <w:color w:val="auto"/>
              </w:rPr>
            </w:pPr>
            <w:r>
              <w:rPr>
                <w:rFonts w:ascii="Arial" w:cs="Arial" w:eastAsia="Arial" w:hAnsi="Arial"/>
                <w:sz w:val="14"/>
                <w:szCs w:val="14"/>
                <w:color w:val="auto"/>
              </w:rPr>
              <w:t>R. Bryan Schreier</w:t>
            </w:r>
            <w:r>
              <w:rPr>
                <w:rFonts w:ascii="Arial" w:cs="Arial" w:eastAsia="Arial" w:hAnsi="Arial"/>
                <w:sz w:val="23"/>
                <w:szCs w:val="23"/>
                <w:color w:val="auto"/>
                <w:vertAlign w:val="superscript"/>
              </w:rPr>
              <w:t>(6)</w:t>
            </w:r>
          </w:p>
        </w:tc>
        <w:tc>
          <w:tcPr>
            <w:tcW w:w="78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ind w:left="60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540" w:type="dxa"/>
            <w:vAlign w:val="bottom"/>
            <w:tcBorders>
              <w:right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940" w:type="dxa"/>
            <w:vAlign w:val="bottom"/>
            <w:gridSpan w:val="2"/>
          </w:tcPr>
          <w:p>
            <w:pPr>
              <w:spacing w:after="0" w:line="202" w:lineRule="exact"/>
              <w:rPr>
                <w:sz w:val="20"/>
                <w:szCs w:val="20"/>
                <w:color w:val="auto"/>
              </w:rPr>
            </w:pPr>
            <w:r>
              <w:rPr>
                <w:rFonts w:ascii="Arial" w:cs="Arial" w:eastAsia="Arial" w:hAnsi="Arial"/>
                <w:sz w:val="14"/>
                <w:szCs w:val="14"/>
                <w:color w:val="auto"/>
              </w:rPr>
              <w:t>Margaret C. Whitman</w:t>
            </w:r>
            <w:r>
              <w:rPr>
                <w:rFonts w:ascii="Arial" w:cs="Arial" w:eastAsia="Arial" w:hAnsi="Arial"/>
                <w:sz w:val="23"/>
                <w:szCs w:val="23"/>
                <w:color w:val="auto"/>
                <w:vertAlign w:val="superscript"/>
              </w:rPr>
              <w:t>(7)</w:t>
            </w: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394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All executive officers and directors as a group</w:t>
            </w:r>
          </w:p>
        </w:tc>
        <w:tc>
          <w:tcPr>
            <w:tcW w:w="6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540" w:type="dxa"/>
            <w:vAlign w:val="bottom"/>
            <w:tcBorders>
              <w:right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3940" w:type="dxa"/>
            <w:vAlign w:val="bottom"/>
            <w:gridSpan w:val="2"/>
            <w:shd w:val="clear" w:color="auto" w:fill="CCEEFF"/>
          </w:tcPr>
          <w:p>
            <w:pPr>
              <w:ind w:left="180"/>
              <w:spacing w:after="0" w:line="216" w:lineRule="exact"/>
              <w:rPr>
                <w:sz w:val="20"/>
                <w:szCs w:val="20"/>
                <w:color w:val="auto"/>
              </w:rPr>
            </w:pPr>
            <w:r>
              <w:rPr>
                <w:rFonts w:ascii="Arial" w:cs="Arial" w:eastAsia="Arial" w:hAnsi="Arial"/>
                <w:sz w:val="15"/>
                <w:szCs w:val="15"/>
                <w:color w:val="auto"/>
              </w:rPr>
              <w:t>(11 persons)</w:t>
            </w:r>
            <w:r>
              <w:rPr>
                <w:rFonts w:ascii="Arial" w:cs="Arial" w:eastAsia="Arial" w:hAnsi="Arial"/>
                <w:sz w:val="25"/>
                <w:szCs w:val="25"/>
                <w:color w:val="auto"/>
                <w:vertAlign w:val="superscript"/>
              </w:rPr>
              <w:t>(8)</w:t>
            </w: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184,049</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2"/>
              </w:rPr>
              <w:t>182,498,973</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40" w:type="dxa"/>
            <w:vAlign w:val="bottom"/>
            <w:tcBorders>
              <w:right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3940" w:type="dxa"/>
            <w:vAlign w:val="bottom"/>
            <w:gridSpan w:val="2"/>
          </w:tcPr>
          <w:p>
            <w:pPr>
              <w:spacing w:after="0"/>
              <w:rPr>
                <w:sz w:val="20"/>
                <w:szCs w:val="20"/>
                <w:color w:val="auto"/>
              </w:rPr>
            </w:pPr>
            <w:r>
              <w:rPr>
                <w:rFonts w:ascii="Arial" w:cs="Arial" w:eastAsia="Arial" w:hAnsi="Arial"/>
                <w:sz w:val="16"/>
                <w:szCs w:val="16"/>
                <w:b w:val="1"/>
                <w:bCs w:val="1"/>
                <w:color w:val="auto"/>
              </w:rPr>
              <w:t>Greater than 5% stockholders:</w:t>
            </w: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940" w:type="dxa"/>
            <w:vAlign w:val="bottom"/>
            <w:gridSpan w:val="2"/>
            <w:shd w:val="clear" w:color="auto" w:fill="CCEEFF"/>
          </w:tcPr>
          <w:p>
            <w:pPr>
              <w:spacing w:after="0" w:line="202" w:lineRule="exact"/>
              <w:rPr>
                <w:sz w:val="20"/>
                <w:szCs w:val="20"/>
                <w:color w:val="auto"/>
              </w:rPr>
            </w:pPr>
            <w:r>
              <w:rPr>
                <w:rFonts w:ascii="Arial" w:cs="Arial" w:eastAsia="Arial" w:hAnsi="Arial"/>
                <w:sz w:val="14"/>
                <w:szCs w:val="14"/>
                <w:color w:val="auto"/>
              </w:rPr>
              <w:t>Entities affiliated with Sequoia Capital</w:t>
            </w:r>
            <w:r>
              <w:rPr>
                <w:rFonts w:ascii="Arial" w:cs="Arial" w:eastAsia="Arial" w:hAnsi="Arial"/>
                <w:sz w:val="23"/>
                <w:szCs w:val="23"/>
                <w:color w:val="auto"/>
                <w:vertAlign w:val="superscript"/>
              </w:rPr>
              <w:t>(9)</w:t>
            </w:r>
          </w:p>
        </w:tc>
        <w:tc>
          <w:tcPr>
            <w:tcW w:w="78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2"/>
              </w:rPr>
              <w:t>130,757,184</w:t>
            </w: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540" w:type="dxa"/>
            <w:vAlign w:val="bottom"/>
            <w:tcBorders>
              <w:right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940" w:type="dxa"/>
            <w:vAlign w:val="bottom"/>
            <w:gridSpan w:val="2"/>
          </w:tcPr>
          <w:p>
            <w:pPr>
              <w:spacing w:after="0" w:line="202" w:lineRule="exact"/>
              <w:rPr>
                <w:sz w:val="20"/>
                <w:szCs w:val="20"/>
                <w:color w:val="auto"/>
              </w:rPr>
            </w:pPr>
            <w:r>
              <w:rPr>
                <w:rFonts w:ascii="Arial" w:cs="Arial" w:eastAsia="Arial" w:hAnsi="Arial"/>
                <w:sz w:val="14"/>
                <w:szCs w:val="14"/>
                <w:color w:val="auto"/>
              </w:rPr>
              <w:t>Entities affiliated with Accel</w:t>
            </w:r>
            <w:r>
              <w:rPr>
                <w:rFonts w:ascii="Arial" w:cs="Arial" w:eastAsia="Arial" w:hAnsi="Arial"/>
                <w:sz w:val="23"/>
                <w:szCs w:val="23"/>
                <w:color w:val="auto"/>
                <w:vertAlign w:val="superscript"/>
              </w:rPr>
              <w:t>(10)</w:t>
            </w:r>
          </w:p>
        </w:tc>
        <w:tc>
          <w:tcPr>
            <w:tcW w:w="7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28,128,867</w:t>
            </w: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94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Entities affiliated with T. Rowe Price</w:t>
            </w: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w w:val="92"/>
              </w:rPr>
              <w:t>9,009,694</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10,580,662</w:t>
            </w: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540" w:type="dxa"/>
            <w:vAlign w:val="bottom"/>
            <w:tcBorders>
              <w:right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940" w:type="dxa"/>
            <w:vAlign w:val="bottom"/>
            <w:gridSpan w:val="2"/>
          </w:tcPr>
          <w:p>
            <w:pPr>
              <w:spacing w:after="0"/>
              <w:rPr>
                <w:sz w:val="20"/>
                <w:szCs w:val="20"/>
                <w:color w:val="auto"/>
              </w:rPr>
            </w:pPr>
            <w:r>
              <w:rPr>
                <w:rFonts w:ascii="Arial" w:cs="Arial" w:eastAsia="Arial" w:hAnsi="Arial"/>
                <w:sz w:val="16"/>
                <w:szCs w:val="16"/>
                <w:color w:val="auto"/>
              </w:rPr>
              <w:t>Entities affiliated with Cloud Sky</w:t>
            </w:r>
          </w:p>
        </w:tc>
        <w:tc>
          <w:tcPr>
            <w:tcW w:w="780" w:type="dxa"/>
            <w:vAlign w:val="bottom"/>
            <w:gridSpan w:val="2"/>
          </w:tcPr>
          <w:p>
            <w:pPr>
              <w:jc w:val="right"/>
              <w:ind w:right="100"/>
              <w:spacing w:after="0"/>
              <w:rPr>
                <w:sz w:val="20"/>
                <w:szCs w:val="20"/>
                <w:color w:val="auto"/>
              </w:rPr>
            </w:pPr>
            <w:r>
              <w:rPr>
                <w:rFonts w:ascii="Arial" w:cs="Arial" w:eastAsia="Arial" w:hAnsi="Arial"/>
                <w:sz w:val="16"/>
                <w:szCs w:val="16"/>
                <w:color w:val="auto"/>
                <w:w w:val="92"/>
              </w:rPr>
              <w:t>1,047,054</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837,643</w:t>
            </w: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94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Scottish Mortgage Investment Trust</w:t>
            </w: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w w:val="92"/>
              </w:rPr>
              <w:t>1,105,000</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2,173,913</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40" w:type="dxa"/>
            <w:vAlign w:val="bottom"/>
            <w:tcBorders>
              <w:right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1200" cy="825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711200" cy="8255"/>
                    </a:xfrm>
                    <a:prstGeom prst="rect">
                      <a:avLst/>
                    </a:prstGeom>
                    <a:noFill/>
                  </pic:spPr>
                </pic:pic>
              </a:graphicData>
            </a:graphic>
          </wp:anchor>
        </w:drawing>
      </w:r>
    </w:p>
    <w:p>
      <w:pPr>
        <w:spacing w:after="0" w:line="159" w:lineRule="exact"/>
        <w:rPr>
          <w:sz w:val="20"/>
          <w:szCs w:val="20"/>
          <w:color w:val="auto"/>
        </w:rPr>
      </w:pPr>
    </w:p>
    <w:p>
      <w:pPr>
        <w:ind w:left="340" w:right="240" w:hanging="332"/>
        <w:spacing w:after="0" w:line="266" w:lineRule="auto"/>
        <w:tabs>
          <w:tab w:leader="none" w:pos="340" w:val="left"/>
        </w:tabs>
        <w:numPr>
          <w:ilvl w:val="0"/>
          <w:numId w:val="82"/>
        </w:numPr>
        <w:rPr>
          <w:rFonts w:ascii="Arial" w:cs="Arial" w:eastAsia="Arial" w:hAnsi="Arial"/>
          <w:sz w:val="11"/>
          <w:szCs w:val="11"/>
          <w:color w:val="auto"/>
        </w:rPr>
      </w:pPr>
      <w:r>
        <w:rPr>
          <w:rFonts w:ascii="Arial" w:cs="Arial" w:eastAsia="Arial" w:hAnsi="Arial"/>
          <w:sz w:val="16"/>
          <w:szCs w:val="16"/>
          <w:color w:val="auto"/>
        </w:rPr>
        <w:t>The Class B common stock is convertible at any time by the holder into shares of Class A common stock on a share-for-share basis, such that each holder of Class B common stock beneficially owns an equivalent number of Class A common stock.</w:t>
      </w:r>
    </w:p>
    <w:p>
      <w:pPr>
        <w:ind w:left="340" w:hanging="332"/>
        <w:spacing w:after="0" w:line="184" w:lineRule="auto"/>
        <w:tabs>
          <w:tab w:leader="none" w:pos="340" w:val="left"/>
        </w:tabs>
        <w:numPr>
          <w:ilvl w:val="0"/>
          <w:numId w:val="83"/>
        </w:numPr>
        <w:rPr>
          <w:rFonts w:ascii="Arial" w:cs="Arial" w:eastAsia="Arial" w:hAnsi="Arial"/>
          <w:sz w:val="23"/>
          <w:szCs w:val="23"/>
          <w:color w:val="auto"/>
          <w:vertAlign w:val="superscript"/>
        </w:rPr>
      </w:pPr>
      <w:r>
        <w:rPr>
          <w:rFonts w:ascii="Arial" w:cs="Arial" w:eastAsia="Arial" w:hAnsi="Arial"/>
          <w:sz w:val="14"/>
          <w:szCs w:val="14"/>
          <w:color w:val="auto"/>
        </w:rPr>
        <w:t>Percentage total voting power represents voting power with respect to all shares of our Class A common stock and Class B common stock, as a single class. Each</w:t>
      </w:r>
    </w:p>
    <w:p>
      <w:pPr>
        <w:spacing w:after="0" w:line="11" w:lineRule="exact"/>
        <w:rPr>
          <w:sz w:val="20"/>
          <w:szCs w:val="20"/>
          <w:color w:val="auto"/>
        </w:rPr>
      </w:pPr>
    </w:p>
    <w:p>
      <w:pPr>
        <w:ind w:left="340" w:right="40"/>
        <w:spacing w:after="0" w:line="259" w:lineRule="auto"/>
        <w:rPr>
          <w:sz w:val="20"/>
          <w:szCs w:val="20"/>
          <w:color w:val="auto"/>
        </w:rPr>
      </w:pPr>
      <w:r>
        <w:rPr>
          <w:rFonts w:ascii="Arial" w:cs="Arial" w:eastAsia="Arial" w:hAnsi="Arial"/>
          <w:sz w:val="16"/>
          <w:szCs w:val="16"/>
          <w:color w:val="auto"/>
        </w:rPr>
        <w:t>holder of Class B common stock shall be entitled to votes per share of Class B common stock and each holder of Class A common stock shall be entitled to one vote per share of Class A common stock on all matters submitted to our stockholders for a vote. The Class A common stock and Class B common stock vote together as a single class on all matters submitted to a vote of our stockholders, except as may otherwise be required by law.</w:t>
      </w:r>
    </w:p>
    <w:p>
      <w:pPr>
        <w:ind w:left="340" w:hanging="332"/>
        <w:spacing w:after="0" w:line="185" w:lineRule="auto"/>
        <w:tabs>
          <w:tab w:leader="none" w:pos="340" w:val="left"/>
        </w:tabs>
        <w:numPr>
          <w:ilvl w:val="0"/>
          <w:numId w:val="84"/>
        </w:numPr>
        <w:rPr>
          <w:rFonts w:ascii="Arial" w:cs="Arial" w:eastAsia="Arial" w:hAnsi="Arial"/>
          <w:sz w:val="23"/>
          <w:szCs w:val="23"/>
          <w:color w:val="auto"/>
          <w:vertAlign w:val="superscript"/>
        </w:rPr>
      </w:pPr>
      <w:r>
        <w:rPr>
          <w:rFonts w:ascii="Arial" w:cs="Arial" w:eastAsia="Arial" w:hAnsi="Arial"/>
          <w:sz w:val="14"/>
          <w:szCs w:val="14"/>
          <w:color w:val="auto"/>
        </w:rPr>
        <w:t>Represents beneficial ownership of less than one percent (1%) of the outstanding shares of our common stock.</w:t>
      </w:r>
    </w:p>
    <w:p>
      <w:pPr>
        <w:spacing w:after="0" w:line="5" w:lineRule="exact"/>
        <w:rPr>
          <w:sz w:val="20"/>
          <w:szCs w:val="20"/>
          <w:color w:val="auto"/>
        </w:rPr>
      </w:pPr>
    </w:p>
    <w:p>
      <w:pPr>
        <w:jc w:val="both"/>
        <w:ind w:left="340" w:right="460" w:hanging="332"/>
        <w:spacing w:after="0" w:line="246" w:lineRule="auto"/>
        <w:tabs>
          <w:tab w:leader="none" w:pos="340" w:val="left"/>
        </w:tabs>
        <w:numPr>
          <w:ilvl w:val="0"/>
          <w:numId w:val="85"/>
        </w:numPr>
        <w:rPr>
          <w:rFonts w:ascii="Arial" w:cs="Arial" w:eastAsia="Arial" w:hAnsi="Arial"/>
          <w:sz w:val="23"/>
          <w:szCs w:val="23"/>
          <w:color w:val="auto"/>
          <w:vertAlign w:val="superscript"/>
        </w:rPr>
      </w:pPr>
      <w:r>
        <w:rPr>
          <w:rFonts w:ascii="Arial" w:cs="Arial" w:eastAsia="Arial" w:hAnsi="Arial"/>
          <w:sz w:val="14"/>
          <w:szCs w:val="14"/>
          <w:color w:val="auto"/>
        </w:rPr>
        <w:t>Consists of (i) 13,172,325 shares of Class B common stock held by the Houston Remainder Trust dated 12/30/2010, for which Mr. Houston serves as trustee, (ii) 113,222,113 shares of Class B common stock held by the Andrew W. Houston Revocable Trust dated 9/7/2011, for which Mr. Houston serves as trustee, and (iii) 750,750 shares of Class B common stock held by the Houston 2012 Irrevocable Children’s Trust dated 4/12/2012, for which Mr. Houston serves as trustee.</w:t>
      </w:r>
    </w:p>
    <w:p>
      <w:pPr>
        <w:spacing w:after="0" w:line="1" w:lineRule="exact"/>
        <w:rPr>
          <w:rFonts w:ascii="Arial" w:cs="Arial" w:eastAsia="Arial" w:hAnsi="Arial"/>
          <w:sz w:val="23"/>
          <w:szCs w:val="23"/>
          <w:color w:val="auto"/>
          <w:vertAlign w:val="superscript"/>
        </w:rPr>
      </w:pPr>
    </w:p>
    <w:p>
      <w:pPr>
        <w:ind w:left="340" w:right="120" w:hanging="332"/>
        <w:spacing w:after="0" w:line="211" w:lineRule="auto"/>
        <w:tabs>
          <w:tab w:leader="none" w:pos="340" w:val="left"/>
        </w:tabs>
        <w:numPr>
          <w:ilvl w:val="0"/>
          <w:numId w:val="85"/>
        </w:numPr>
        <w:rPr>
          <w:rFonts w:ascii="Arial" w:cs="Arial" w:eastAsia="Arial" w:hAnsi="Arial"/>
          <w:sz w:val="25"/>
          <w:szCs w:val="25"/>
          <w:color w:val="auto"/>
          <w:vertAlign w:val="superscript"/>
        </w:rPr>
      </w:pPr>
      <w:r>
        <w:rPr>
          <w:rFonts w:ascii="Arial" w:cs="Arial" w:eastAsia="Arial" w:hAnsi="Arial"/>
          <w:sz w:val="15"/>
          <w:szCs w:val="15"/>
          <w:color w:val="auto"/>
        </w:rPr>
        <w:t>Consists of (i) 4,351,205 shares of Class B common stock held by the Arash Ferdowsi Remainder Trust dated 3/21/2011, for which Mr. Ferdowsi serves as trustee and (ii) 47,054,877 shares of Class B common stock held by the Arash Ferdowsi Revocable Trust dated 4/20/2012, for which Mr. Ferdowsi serves as trustee.</w:t>
      </w:r>
    </w:p>
    <w:p>
      <w:pPr>
        <w:ind w:left="340" w:right="400" w:hanging="332"/>
        <w:spacing w:after="0" w:line="192" w:lineRule="auto"/>
        <w:tabs>
          <w:tab w:leader="none" w:pos="340" w:val="left"/>
        </w:tabs>
        <w:numPr>
          <w:ilvl w:val="0"/>
          <w:numId w:val="85"/>
        </w:numPr>
        <w:rPr>
          <w:rFonts w:ascii="Arial" w:cs="Arial" w:eastAsia="Arial" w:hAnsi="Arial"/>
          <w:sz w:val="28"/>
          <w:szCs w:val="28"/>
          <w:color w:val="auto"/>
          <w:vertAlign w:val="superscript"/>
        </w:rPr>
      </w:pPr>
      <w:r>
        <w:rPr>
          <w:rFonts w:ascii="Arial" w:cs="Arial" w:eastAsia="Arial" w:hAnsi="Arial"/>
          <w:sz w:val="16"/>
          <w:szCs w:val="16"/>
          <w:color w:val="auto"/>
        </w:rPr>
        <w:t>Consists of (i) 2,655,783 shares of Class B common stock held by Mr. Woodside and (ii) 204,291 shares of Class B common stock underlying RSUs that will vest within 60 days of September 30, 2017.</w:t>
      </w:r>
    </w:p>
    <w:p>
      <w:pPr>
        <w:ind w:left="340" w:right="460" w:hanging="332"/>
        <w:spacing w:after="0" w:line="192" w:lineRule="auto"/>
        <w:tabs>
          <w:tab w:leader="none" w:pos="340" w:val="left"/>
        </w:tabs>
        <w:numPr>
          <w:ilvl w:val="0"/>
          <w:numId w:val="85"/>
        </w:numPr>
        <w:rPr>
          <w:rFonts w:ascii="Arial" w:cs="Arial" w:eastAsia="Arial" w:hAnsi="Arial"/>
          <w:sz w:val="28"/>
          <w:szCs w:val="28"/>
          <w:color w:val="auto"/>
          <w:vertAlign w:val="superscript"/>
        </w:rPr>
      </w:pPr>
      <w:r>
        <w:rPr>
          <w:rFonts w:ascii="Arial" w:cs="Arial" w:eastAsia="Arial" w:hAnsi="Arial"/>
          <w:sz w:val="16"/>
          <w:szCs w:val="16"/>
          <w:color w:val="auto"/>
        </w:rPr>
        <w:t>Consists of (i) 259,067 shares of Class B common stock held by the Paul E. Jacobs Trust dated November 7, 2014, for which Mr. Jacobs serves as trustee and (ii) 40,000 shares of Class B common stock held by Mr. Jacobs.</w:t>
      </w:r>
    </w:p>
    <w:p>
      <w:pPr>
        <w:ind w:left="340" w:right="400" w:hanging="332"/>
        <w:spacing w:after="0" w:line="211" w:lineRule="auto"/>
        <w:tabs>
          <w:tab w:leader="none" w:pos="340" w:val="left"/>
        </w:tabs>
        <w:numPr>
          <w:ilvl w:val="0"/>
          <w:numId w:val="85"/>
        </w:numPr>
        <w:rPr>
          <w:rFonts w:ascii="Arial" w:cs="Arial" w:eastAsia="Arial" w:hAnsi="Arial"/>
          <w:sz w:val="28"/>
          <w:szCs w:val="28"/>
          <w:color w:val="auto"/>
          <w:vertAlign w:val="superscript"/>
        </w:rPr>
      </w:pPr>
      <w:r>
        <w:rPr>
          <w:rFonts w:ascii="Arial" w:cs="Arial" w:eastAsia="Arial" w:hAnsi="Arial"/>
          <w:sz w:val="16"/>
          <w:szCs w:val="16"/>
          <w:color w:val="auto"/>
        </w:rPr>
        <w:t>Consists of 184,049 shares of Class B common stock held by Annox Capital, LLC, or Annox, which will convert into an equivalent number of shares of Class A common stock in connection with the Capital Stock Conversion. Mr. Mylod, a member of our Board of Directors, is the managing member of Annox and has sole voting and investment control over the shares held by Annox.</w:t>
      </w:r>
    </w:p>
    <w:p>
      <w:pPr>
        <w:ind w:left="340" w:hanging="332"/>
        <w:spacing w:after="0" w:line="183" w:lineRule="auto"/>
        <w:tabs>
          <w:tab w:leader="none" w:pos="340" w:val="left"/>
        </w:tabs>
        <w:numPr>
          <w:ilvl w:val="0"/>
          <w:numId w:val="85"/>
        </w:numPr>
        <w:rPr>
          <w:rFonts w:ascii="Arial" w:cs="Arial" w:eastAsia="Arial" w:hAnsi="Arial"/>
          <w:sz w:val="23"/>
          <w:szCs w:val="23"/>
          <w:color w:val="auto"/>
          <w:vertAlign w:val="superscript"/>
        </w:rPr>
      </w:pPr>
      <w:r>
        <w:rPr>
          <w:rFonts w:ascii="Arial" w:cs="Arial" w:eastAsia="Arial" w:hAnsi="Arial"/>
          <w:sz w:val="14"/>
          <w:szCs w:val="14"/>
          <w:color w:val="auto"/>
        </w:rPr>
        <w:t>Excludes shares listed in footnote 9 below, which are held by entities affiliated with Sequoia Capital. Mr. Schreier, one of our directors, is a non-managing member of</w:t>
      </w:r>
    </w:p>
    <w:p>
      <w:pPr>
        <w:spacing w:after="0" w:line="10" w:lineRule="exact"/>
        <w:rPr>
          <w:rFonts w:ascii="Arial" w:cs="Arial" w:eastAsia="Arial" w:hAnsi="Arial"/>
          <w:sz w:val="23"/>
          <w:szCs w:val="23"/>
          <w:color w:val="auto"/>
          <w:vertAlign w:val="superscript"/>
        </w:rPr>
      </w:pPr>
    </w:p>
    <w:p>
      <w:pPr>
        <w:ind w:left="340"/>
        <w:spacing w:after="0"/>
        <w:rPr>
          <w:rFonts w:ascii="Arial" w:cs="Arial" w:eastAsia="Arial" w:hAnsi="Arial"/>
          <w:sz w:val="23"/>
          <w:szCs w:val="23"/>
          <w:color w:val="auto"/>
          <w:vertAlign w:val="superscript"/>
        </w:rPr>
      </w:pPr>
      <w:r>
        <w:rPr>
          <w:rFonts w:ascii="Arial" w:cs="Arial" w:eastAsia="Arial" w:hAnsi="Arial"/>
          <w:sz w:val="16"/>
          <w:szCs w:val="16"/>
          <w:color w:val="auto"/>
        </w:rPr>
        <w:t>SC XII LLC.</w:t>
      </w:r>
    </w:p>
    <w:p>
      <w:pPr>
        <w:spacing w:after="0" w:line="1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130</w:t>
      </w:r>
    </w:p>
    <w:p>
      <w:pPr>
        <w:sectPr>
          <w:pgSz w:w="11900" w:h="16838" w:orient="portrait"/>
          <w:cols w:equalWidth="0" w:num="1">
            <w:col w:w="11240"/>
          </w:cols>
          <w:pgMar w:left="320" w:top="459" w:right="339" w:bottom="1440" w:gutter="0" w:footer="0" w:header="0"/>
        </w:sectPr>
      </w:pPr>
    </w:p>
    <w:bookmarkStart w:id="133" w:name="page134"/>
    <w:bookmarkEnd w:id="1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198" w:lineRule="exact"/>
        <w:rPr>
          <w:sz w:val="20"/>
          <w:szCs w:val="20"/>
          <w:color w:val="auto"/>
        </w:rPr>
      </w:pPr>
    </w:p>
    <w:p>
      <w:pPr>
        <w:ind w:left="340" w:hanging="332"/>
        <w:spacing w:after="0"/>
        <w:tabs>
          <w:tab w:leader="none" w:pos="340" w:val="left"/>
        </w:tabs>
        <w:numPr>
          <w:ilvl w:val="0"/>
          <w:numId w:val="86"/>
        </w:numPr>
        <w:rPr>
          <w:rFonts w:ascii="Arial" w:cs="Arial" w:eastAsia="Arial" w:hAnsi="Arial"/>
          <w:sz w:val="28"/>
          <w:szCs w:val="28"/>
          <w:color w:val="auto"/>
          <w:vertAlign w:val="superscript"/>
        </w:rPr>
      </w:pPr>
      <w:r>
        <w:rPr>
          <w:rFonts w:ascii="Arial" w:cs="Arial" w:eastAsia="Arial" w:hAnsi="Arial"/>
          <w:sz w:val="16"/>
          <w:szCs w:val="16"/>
          <w:color w:val="auto"/>
        </w:rPr>
        <w:t>Margaret Whitman was elected to the Board of Directors in September 2017.</w:t>
      </w:r>
    </w:p>
    <w:p>
      <w:pPr>
        <w:spacing w:after="0" w:line="10" w:lineRule="exact"/>
        <w:rPr>
          <w:rFonts w:ascii="Arial" w:cs="Arial" w:eastAsia="Arial" w:hAnsi="Arial"/>
          <w:sz w:val="28"/>
          <w:szCs w:val="28"/>
          <w:color w:val="auto"/>
          <w:vertAlign w:val="superscript"/>
        </w:rPr>
      </w:pPr>
    </w:p>
    <w:p>
      <w:pPr>
        <w:ind w:left="340" w:right="320" w:hanging="332"/>
        <w:spacing w:after="0" w:line="187" w:lineRule="auto"/>
        <w:tabs>
          <w:tab w:leader="none" w:pos="340" w:val="left"/>
        </w:tabs>
        <w:numPr>
          <w:ilvl w:val="0"/>
          <w:numId w:val="86"/>
        </w:numPr>
        <w:rPr>
          <w:rFonts w:ascii="Arial" w:cs="Arial" w:eastAsia="Arial" w:hAnsi="Arial"/>
          <w:sz w:val="28"/>
          <w:szCs w:val="28"/>
          <w:color w:val="auto"/>
          <w:vertAlign w:val="superscript"/>
        </w:rPr>
      </w:pPr>
      <w:r>
        <w:rPr>
          <w:rFonts w:ascii="Arial" w:cs="Arial" w:eastAsia="Arial" w:hAnsi="Arial"/>
          <w:sz w:val="16"/>
          <w:szCs w:val="16"/>
          <w:color w:val="auto"/>
        </w:rPr>
        <w:t>Consists of (i) 135,200 shares of Class B common stock subject to options that are immediately exercisable within 60 days of September 30, 2017 and (ii) 369,432 shares of Class B common stock underlying RSUs that will vest within 60 days of September 30, 2017.</w:t>
      </w:r>
    </w:p>
    <w:p>
      <w:pPr>
        <w:ind w:left="340" w:right="60" w:hanging="332"/>
        <w:spacing w:after="0" w:line="229" w:lineRule="auto"/>
        <w:tabs>
          <w:tab w:leader="none" w:pos="340" w:val="left"/>
        </w:tabs>
        <w:numPr>
          <w:ilvl w:val="0"/>
          <w:numId w:val="86"/>
        </w:numPr>
        <w:rPr>
          <w:rFonts w:ascii="Arial" w:cs="Arial" w:eastAsia="Arial" w:hAnsi="Arial"/>
          <w:sz w:val="28"/>
          <w:szCs w:val="28"/>
          <w:color w:val="auto"/>
          <w:vertAlign w:val="superscript"/>
        </w:rPr>
      </w:pPr>
      <w:r>
        <w:rPr>
          <w:rFonts w:ascii="Arial" w:cs="Arial" w:eastAsia="Arial" w:hAnsi="Arial"/>
          <w:sz w:val="16"/>
          <w:szCs w:val="16"/>
          <w:color w:val="auto"/>
        </w:rPr>
        <w:t>Consists of (i) 114,268,720 shares of Class B common stock held by Sequoia Capital XII, L.P., or SC XII, (ii) 12,212,722 shares of Class B common stock held by Sequoia Capital XII Principals Fund, LLC, or SC XII PF, and (iii) 4,275,742 shares of Class B common stock held by Sequoia Technology Partners XII, L.P., or STP XII. SC XII Management, LLC, or SC XII LLC, is the general partner of each of SC XII and STP XII, and the managing member of SC XII PF. As a result, and by virtue of the relationships described in this footnote, SC XII LLC may be deemed to share beneficial ownership of the shares held by SC XII, SC XII PF, and STP XII. The address for these entities is 2800 Sand Hill Road #101, Menlo Park, California 94025.</w:t>
      </w:r>
    </w:p>
    <w:p>
      <w:pPr>
        <w:spacing w:after="0" w:line="3" w:lineRule="exact"/>
        <w:rPr>
          <w:rFonts w:ascii="Arial" w:cs="Arial" w:eastAsia="Arial" w:hAnsi="Arial"/>
          <w:sz w:val="28"/>
          <w:szCs w:val="28"/>
          <w:color w:val="auto"/>
          <w:vertAlign w:val="superscript"/>
        </w:rPr>
      </w:pPr>
    </w:p>
    <w:p>
      <w:pPr>
        <w:ind w:left="340" w:hanging="332"/>
        <w:spacing w:after="0" w:line="288" w:lineRule="auto"/>
        <w:tabs>
          <w:tab w:leader="none" w:pos="340" w:val="left"/>
        </w:tabs>
        <w:numPr>
          <w:ilvl w:val="0"/>
          <w:numId w:val="86"/>
        </w:numPr>
        <w:rPr>
          <w:rFonts w:ascii="Arial" w:cs="Arial" w:eastAsia="Arial" w:hAnsi="Arial"/>
          <w:sz w:val="23"/>
          <w:szCs w:val="23"/>
          <w:color w:val="auto"/>
          <w:vertAlign w:val="superscript"/>
        </w:rPr>
      </w:pPr>
      <w:r>
        <w:rPr>
          <w:rFonts w:ascii="Arial" w:cs="Arial" w:eastAsia="Arial" w:hAnsi="Arial"/>
          <w:sz w:val="14"/>
          <w:szCs w:val="14"/>
          <w:color w:val="auto"/>
        </w:rPr>
        <w:t>Consists of (i) 2,453,503 shares of Class B common stock held by Accel Investors 2008 L.L.C., or AI 2008, (ii) 22,159 shares of Class B common stock held by Accel Investors 2010 L.L.C., or AI 2010, (iii) 15,748 shares of Class B common stock held by Accel Investors 2013 L.L.C., or AI 2013, (iv) 148,283 shares of Class B common stock held by Accel XI L.P., or Accel XI, (v) 11,140 shares of Class B common stock held by Accel XI Strategic Partners L.P., or Accel XI Strategic, (vi) 23,683,466 shares of Class B common stock held by Accel X L.P., or Accel X, and (vii) 1,794,568 shares of Class B common stock held by Accel X Strategic Partners L.P., or Accel X Strategic, and together with AI 2008, AI 2010, AI 2013, Accel XI, Accel XI Strategic, and Accel X, the Accel Entities. Accel X Associates L.L.C., or Accel X Associates, is the general partner of Accel X and Accel X Strategic and has the sole voting and investment power. Andrew G. Braccia, Kevin E. Frosy, Sameer K. Gandhi, Ping Li, Tracy L. Sedlock, and Richard P. Wong are the managing members of Accel X Associates, AI 2008, and AI 2010 and share voting and investment powers over such shares. Accel XI Associates L.L.C., or Accel XI Associates, is the general partner of Accel XI and Accel Strategic and has the sole voting and investment power. Andrew G. Braccia, Sameer K. Gandhi, Ping Li, Tracy L. Sedlock, and Richard P. Wong are the managing members of Accel XI Associates and AI 2013 and share voting and investment powers over such shares. The address for these entities and individuals is 428 University Ave., Palo Alto, California 94301.</w:t>
      </w:r>
    </w:p>
    <w:p>
      <w:pPr>
        <w:spacing w:after="0" w:line="10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131</w:t>
      </w:r>
    </w:p>
    <w:p>
      <w:pPr>
        <w:sectPr>
          <w:pgSz w:w="11900" w:h="16838" w:orient="portrait"/>
          <w:cols w:equalWidth="0" w:num="1">
            <w:col w:w="11200"/>
          </w:cols>
          <w:pgMar w:left="320" w:top="459" w:right="379" w:bottom="1440" w:gutter="0" w:footer="0" w:header="0"/>
        </w:sectPr>
      </w:pPr>
    </w:p>
    <w:bookmarkStart w:id="134" w:name="page135"/>
    <w:bookmarkEnd w:id="1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DESCRIPTION OF CAPITAL STOCK</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w:t>
      </w:r>
    </w:p>
    <w:p>
      <w:pPr>
        <w:spacing w:after="0" w:line="121" w:lineRule="exact"/>
        <w:rPr>
          <w:sz w:val="20"/>
          <w:szCs w:val="20"/>
          <w:color w:val="auto"/>
        </w:rPr>
      </w:pPr>
    </w:p>
    <w:p>
      <w:pPr>
        <w:ind w:right="40" w:firstLine="449"/>
        <w:spacing w:after="0" w:line="254" w:lineRule="auto"/>
        <w:rPr>
          <w:sz w:val="20"/>
          <w:szCs w:val="20"/>
          <w:color w:val="auto"/>
        </w:rPr>
      </w:pPr>
      <w:r>
        <w:rPr>
          <w:rFonts w:ascii="Arial" w:cs="Arial" w:eastAsia="Arial" w:hAnsi="Arial"/>
          <w:sz w:val="18"/>
          <w:szCs w:val="18"/>
          <w:color w:val="auto"/>
        </w:rPr>
        <w:t>The following description summarizes certain important terms of our capital stock, as they are expected to be in effect immediately prior to the completion of this offering. We expect to adopt an amended and restated certificate of incorporation and amended and restated bylaws that will become effective immediately prior to the completion of this offering, and this description summarizes the provisions that are expected to be included in such documents. Because it is only a summary, it does not contain all the information that may be important to you. For a complete description of the matters set forth in this section titled “Description of Capital Stock,” you should refer to our amended and restated certificate of incorporation, amended and restated bylaws and amended and restated investors’ rights agreement, which are included as exhibits to the registration statement of which this prospectus forms a part, and to the applicable provisions of Delaware law.</w:t>
      </w:r>
    </w:p>
    <w:p>
      <w:pPr>
        <w:sectPr>
          <w:pgSz w:w="11900" w:h="16838" w:orient="portrait"/>
          <w:cols w:equalWidth="0" w:num="1">
            <w:col w:w="11240"/>
          </w:cols>
          <w:pgMar w:left="320" w:top="459" w:right="339" w:bottom="1440" w:gutter="0" w:footer="0" w:header="0"/>
        </w:sectPr>
      </w:pPr>
    </w:p>
    <w:p>
      <w:pPr>
        <w:spacing w:after="0" w:line="19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Immediately following the completion of this offering, our authorized capital stock will consist of share, of which:</w:t>
      </w:r>
    </w:p>
    <w:p>
      <w:pPr>
        <w:spacing w:after="0" w:line="20" w:lineRule="exact"/>
        <w:rPr>
          <w:sz w:val="20"/>
          <w:szCs w:val="20"/>
          <w:color w:val="auto"/>
        </w:rPr>
      </w:pPr>
      <w:r>
        <w:rPr>
          <w:sz w:val="20"/>
          <w:szCs w:val="20"/>
          <w:color w:val="auto"/>
        </w:rPr>
        <w:br w:type="column"/>
      </w:r>
    </w:p>
    <w:p>
      <w:pPr>
        <w:spacing w:after="0" w:line="175" w:lineRule="exact"/>
        <w:rPr>
          <w:sz w:val="20"/>
          <w:szCs w:val="20"/>
          <w:color w:val="auto"/>
        </w:rPr>
      </w:pPr>
    </w:p>
    <w:p>
      <w:pPr>
        <w:spacing w:after="0"/>
        <w:rPr>
          <w:sz w:val="20"/>
          <w:szCs w:val="20"/>
          <w:color w:val="auto"/>
        </w:rPr>
      </w:pPr>
      <w:r>
        <w:rPr>
          <w:rFonts w:ascii="Arial" w:cs="Arial" w:eastAsia="Arial" w:hAnsi="Arial"/>
          <w:sz w:val="16"/>
          <w:szCs w:val="16"/>
          <w:color w:val="auto"/>
        </w:rPr>
        <w:t>shares of capital stock, $0.00001 par value per</w:t>
      </w:r>
    </w:p>
    <w:p>
      <w:pPr>
        <w:spacing w:after="0" w:line="369" w:lineRule="exact"/>
        <w:rPr>
          <w:sz w:val="20"/>
          <w:szCs w:val="20"/>
          <w:color w:val="auto"/>
        </w:rPr>
      </w:pPr>
    </w:p>
    <w:p>
      <w:pPr>
        <w:sectPr>
          <w:pgSz w:w="11900" w:h="16838" w:orient="portrait"/>
          <w:cols w:equalWidth="0" w:num="2">
            <w:col w:w="7060" w:space="620"/>
            <w:col w:w="3560"/>
          </w:cols>
          <w:pgMar w:left="320" w:top="459" w:right="339" w:bottom="1440" w:gutter="0" w:footer="0" w:header="0"/>
          <w:type w:val="continuous"/>
        </w:sectPr>
      </w:pPr>
    </w:p>
    <w:p>
      <w:pPr>
        <w:ind w:left="560"/>
        <w:spacing w:after="0"/>
        <w:rPr>
          <w:sz w:val="20"/>
          <w:szCs w:val="20"/>
          <w:color w:val="auto"/>
        </w:rPr>
      </w:pPr>
      <w:r>
        <w:rPr>
          <w:rFonts w:ascii="Arial" w:cs="Arial" w:eastAsia="Arial" w:hAnsi="Arial"/>
          <w:sz w:val="17"/>
          <w:szCs w:val="17"/>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5"/>
          <w:szCs w:val="15"/>
          <w:color w:val="auto"/>
        </w:rPr>
        <w:t>shares are designated as Class A common stock;</w:t>
      </w:r>
    </w:p>
    <w:p>
      <w:pPr>
        <w:spacing w:after="0" w:line="164" w:lineRule="exact"/>
        <w:rPr>
          <w:sz w:val="20"/>
          <w:szCs w:val="20"/>
          <w:color w:val="auto"/>
        </w:rPr>
      </w:pPr>
    </w:p>
    <w:p>
      <w:pPr>
        <w:sectPr>
          <w:pgSz w:w="11900" w:h="16838" w:orient="portrait"/>
          <w:cols w:equalWidth="0" w:num="2">
            <w:col w:w="760" w:space="720"/>
            <w:col w:w="9760"/>
          </w:cols>
          <w:pgMar w:left="320" w:top="459" w:right="339" w:bottom="1440" w:gutter="0" w:footer="0" w:header="0"/>
          <w:type w:val="continuous"/>
        </w:sectPr>
      </w:pPr>
    </w:p>
    <w:p>
      <w:pPr>
        <w:ind w:left="560"/>
        <w:spacing w:after="0"/>
        <w:rPr>
          <w:sz w:val="20"/>
          <w:szCs w:val="20"/>
          <w:color w:val="auto"/>
        </w:rPr>
      </w:pPr>
      <w:r>
        <w:rPr>
          <w:rFonts w:ascii="Arial" w:cs="Arial" w:eastAsia="Arial" w:hAnsi="Arial"/>
          <w:sz w:val="17"/>
          <w:szCs w:val="17"/>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5"/>
          <w:szCs w:val="15"/>
          <w:color w:val="auto"/>
        </w:rPr>
        <w:t>share are designated as Class B common stock; and</w:t>
      </w:r>
    </w:p>
    <w:p>
      <w:pPr>
        <w:spacing w:after="0" w:line="164" w:lineRule="exact"/>
        <w:rPr>
          <w:sz w:val="20"/>
          <w:szCs w:val="20"/>
          <w:color w:val="auto"/>
        </w:rPr>
      </w:pPr>
    </w:p>
    <w:p>
      <w:pPr>
        <w:sectPr>
          <w:pgSz w:w="11900" w:h="16838" w:orient="portrait"/>
          <w:cols w:equalWidth="0" w:num="2">
            <w:col w:w="760" w:space="720"/>
            <w:col w:w="9760"/>
          </w:cols>
          <w:pgMar w:left="320" w:top="459" w:right="339" w:bottom="1440" w:gutter="0" w:footer="0" w:header="0"/>
          <w:type w:val="continuous"/>
        </w:sectPr>
      </w:pPr>
    </w:p>
    <w:p>
      <w:pPr>
        <w:ind w:left="560"/>
        <w:spacing w:after="0"/>
        <w:rPr>
          <w:sz w:val="20"/>
          <w:szCs w:val="20"/>
          <w:color w:val="auto"/>
        </w:rPr>
      </w:pPr>
      <w:r>
        <w:rPr>
          <w:rFonts w:ascii="Arial" w:cs="Arial" w:eastAsia="Arial" w:hAnsi="Arial"/>
          <w:sz w:val="17"/>
          <w:szCs w:val="17"/>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5"/>
          <w:szCs w:val="15"/>
          <w:color w:val="auto"/>
        </w:rPr>
        <w:t>shares are designated as preferred stock.</w:t>
      </w:r>
    </w:p>
    <w:p>
      <w:pPr>
        <w:spacing w:after="0" w:line="222" w:lineRule="exact"/>
        <w:rPr>
          <w:sz w:val="20"/>
          <w:szCs w:val="20"/>
          <w:color w:val="auto"/>
        </w:rPr>
      </w:pPr>
    </w:p>
    <w:p>
      <w:pPr>
        <w:sectPr>
          <w:pgSz w:w="11900" w:h="16838" w:orient="portrait"/>
          <w:cols w:equalWidth="0" w:num="2">
            <w:col w:w="760" w:space="720"/>
            <w:col w:w="9760"/>
          </w:cols>
          <w:pgMar w:left="320" w:top="459" w:right="339" w:bottom="1440" w:gutter="0" w:footer="0" w:header="0"/>
          <w:type w:val="continuous"/>
        </w:sectPr>
      </w:pPr>
    </w:p>
    <w:p>
      <w:pPr>
        <w:spacing w:after="0" w:line="37" w:lineRule="exact"/>
        <w:rPr>
          <w:sz w:val="20"/>
          <w:szCs w:val="20"/>
          <w:color w:val="auto"/>
        </w:rPr>
      </w:pPr>
    </w:p>
    <w:p>
      <w:pPr>
        <w:ind w:right="320" w:firstLine="449"/>
        <w:spacing w:after="0" w:line="291" w:lineRule="auto"/>
        <w:rPr>
          <w:sz w:val="20"/>
          <w:szCs w:val="20"/>
          <w:color w:val="auto"/>
        </w:rPr>
      </w:pPr>
      <w:r>
        <w:rPr>
          <w:rFonts w:ascii="Arial" w:cs="Arial" w:eastAsia="Arial" w:hAnsi="Arial"/>
          <w:sz w:val="16"/>
          <w:szCs w:val="16"/>
          <w:color w:val="auto"/>
        </w:rPr>
        <w:t>Assuming the conversion of all outstanding shares of our convertible preferred stock into shares of our Class B common stock, which will occur immediately prior to the completion of this offering, as of September 30, 2017, there were 13,892,885 shares of our Class A common stock outstanding</w:t>
      </w:r>
    </w:p>
    <w:p>
      <w:pPr>
        <w:spacing w:after="0" w:line="253" w:lineRule="auto"/>
        <w:rPr>
          <w:sz w:val="20"/>
          <w:szCs w:val="20"/>
          <w:color w:val="auto"/>
        </w:rPr>
      </w:pPr>
      <w:r>
        <w:rPr>
          <w:rFonts w:ascii="Arial" w:cs="Arial" w:eastAsia="Arial" w:hAnsi="Arial"/>
          <w:sz w:val="18"/>
          <w:szCs w:val="18"/>
          <w:color w:val="auto"/>
        </w:rPr>
        <w:t>(including the Capital Stock Conversions), held by stockholders of record, and 538,851,747 shares of our Class B common stock outstanding (including the Capital Stock Conversions and the RSU Settlement), held by stockholders of record. Pursuant to our amended and restated certificate of incorporation, our Board of Directors will have the authority, without stockholder approval except as required by the listing standards of , to issue additional shares of our capital stock.</w:t>
      </w:r>
    </w:p>
    <w:p>
      <w:pPr>
        <w:spacing w:after="0" w:line="29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Common Stock</w:t>
      </w:r>
    </w:p>
    <w:p>
      <w:pPr>
        <w:spacing w:after="0" w:line="121" w:lineRule="exact"/>
        <w:rPr>
          <w:sz w:val="20"/>
          <w:szCs w:val="20"/>
          <w:color w:val="auto"/>
        </w:rPr>
      </w:pPr>
    </w:p>
    <w:p>
      <w:pPr>
        <w:ind w:right="120" w:firstLine="449"/>
        <w:spacing w:after="0" w:line="277" w:lineRule="auto"/>
        <w:rPr>
          <w:sz w:val="20"/>
          <w:szCs w:val="20"/>
          <w:color w:val="auto"/>
        </w:rPr>
      </w:pPr>
      <w:r>
        <w:rPr>
          <w:rFonts w:ascii="Arial" w:cs="Arial" w:eastAsia="Arial" w:hAnsi="Arial"/>
          <w:sz w:val="18"/>
          <w:szCs w:val="18"/>
          <w:color w:val="auto"/>
        </w:rPr>
        <w:t>We have two classes of authorized common stock, Class A common stock and Class B common stock. The rights of the holders of Class A common stock and Class B common stock are identical, except with respect to voting and conversion.</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Dividend Rights</w:t>
      </w:r>
    </w:p>
    <w:p>
      <w:pPr>
        <w:spacing w:after="0" w:line="121" w:lineRule="exact"/>
        <w:rPr>
          <w:sz w:val="20"/>
          <w:szCs w:val="20"/>
          <w:color w:val="auto"/>
        </w:rPr>
      </w:pPr>
    </w:p>
    <w:p>
      <w:pPr>
        <w:ind w:right="20" w:firstLine="449"/>
        <w:spacing w:after="0" w:line="286" w:lineRule="auto"/>
        <w:rPr>
          <w:sz w:val="20"/>
          <w:szCs w:val="20"/>
          <w:color w:val="auto"/>
        </w:rPr>
      </w:pPr>
      <w:r>
        <w:rPr>
          <w:rFonts w:ascii="Arial" w:cs="Arial" w:eastAsia="Arial" w:hAnsi="Arial"/>
          <w:sz w:val="17"/>
          <w:szCs w:val="17"/>
          <w:color w:val="auto"/>
        </w:rPr>
        <w:t>Subject to preferences that may apply to any shares of preferred stock outstanding at the time, the holders of our common stock are entitled to receive dividends out of funds legally available if our Board of Directors, in its discretion, determines to issue dividends and then only at the times and in the amounts that our Board of Directors may determine. See the section titled “Dividend Policy” for additional information.</w:t>
      </w: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Voting Rights</w:t>
      </w:r>
    </w:p>
    <w:p>
      <w:pPr>
        <w:spacing w:after="0" w:line="121" w:lineRule="exact"/>
        <w:rPr>
          <w:sz w:val="20"/>
          <w:szCs w:val="20"/>
          <w:color w:val="auto"/>
        </w:rPr>
      </w:pPr>
    </w:p>
    <w:p>
      <w:pPr>
        <w:jc w:val="both"/>
        <w:ind w:right="160" w:firstLine="449"/>
        <w:spacing w:after="0" w:line="259" w:lineRule="auto"/>
        <w:rPr>
          <w:sz w:val="20"/>
          <w:szCs w:val="20"/>
          <w:color w:val="auto"/>
        </w:rPr>
      </w:pPr>
      <w:r>
        <w:rPr>
          <w:rFonts w:ascii="Arial" w:cs="Arial" w:eastAsia="Arial" w:hAnsi="Arial"/>
          <w:sz w:val="18"/>
          <w:szCs w:val="18"/>
          <w:color w:val="auto"/>
        </w:rPr>
        <w:t>Holders of our Class B common stock are entitled to votes for each share held and holders of our Class A common stock are entitled to one vote for each share held on all matters submitted to a vote of stockholders. The holders of our Class A common stock and Class B common stock vote together as a single class, unless otherwise required by law. Delaware law could require either holders of our Class A common stock or our Class B common stock to vote separately as a single class in the following circumstances:</w:t>
      </w:r>
    </w:p>
    <w:p>
      <w:pPr>
        <w:spacing w:after="0" w:line="92" w:lineRule="exact"/>
        <w:rPr>
          <w:sz w:val="20"/>
          <w:szCs w:val="20"/>
          <w:color w:val="auto"/>
        </w:rPr>
      </w:pPr>
    </w:p>
    <w:p>
      <w:pPr>
        <w:ind w:left="880" w:right="200" w:hanging="319"/>
        <w:spacing w:after="0" w:line="263" w:lineRule="auto"/>
        <w:tabs>
          <w:tab w:leader="none" w:pos="880" w:val="left"/>
        </w:tabs>
        <w:numPr>
          <w:ilvl w:val="0"/>
          <w:numId w:val="87"/>
        </w:numPr>
        <w:rPr>
          <w:rFonts w:ascii="Arial" w:cs="Arial" w:eastAsia="Arial" w:hAnsi="Arial"/>
          <w:sz w:val="18"/>
          <w:szCs w:val="18"/>
          <w:color w:val="auto"/>
        </w:rPr>
      </w:pPr>
      <w:r>
        <w:rPr>
          <w:rFonts w:ascii="Arial" w:cs="Arial" w:eastAsia="Arial" w:hAnsi="Arial"/>
          <w:sz w:val="18"/>
          <w:szCs w:val="18"/>
          <w:color w:val="auto"/>
        </w:rPr>
        <w:t>if we were to seek to amend our amended and restated certificate of incorporation to increase the authorized number of shares of a class of stock, or to increase or decrease the par value of a class of stock, then that class would be required to vote separately to approve the proposed amendment; and</w:t>
      </w:r>
    </w:p>
    <w:p>
      <w:pPr>
        <w:spacing w:after="0" w:line="11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132</w:t>
      </w:r>
    </w:p>
    <w:p>
      <w:pPr>
        <w:sectPr>
          <w:pgSz w:w="11900" w:h="16838" w:orient="portrait"/>
          <w:cols w:equalWidth="0" w:num="1">
            <w:col w:w="11240"/>
          </w:cols>
          <w:pgMar w:left="320" w:top="459" w:right="339" w:bottom="1440" w:gutter="0" w:footer="0" w:header="0"/>
          <w:type w:val="continuous"/>
        </w:sectPr>
      </w:pPr>
    </w:p>
    <w:bookmarkStart w:id="135" w:name="page136"/>
    <w:bookmarkEnd w:id="13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880" w:hanging="319"/>
        <w:spacing w:after="0" w:line="263" w:lineRule="auto"/>
        <w:tabs>
          <w:tab w:leader="none" w:pos="880" w:val="left"/>
        </w:tabs>
        <w:numPr>
          <w:ilvl w:val="0"/>
          <w:numId w:val="88"/>
        </w:numPr>
        <w:rPr>
          <w:rFonts w:ascii="Arial" w:cs="Arial" w:eastAsia="Arial" w:hAnsi="Arial"/>
          <w:sz w:val="18"/>
          <w:szCs w:val="18"/>
          <w:color w:val="auto"/>
        </w:rPr>
      </w:pPr>
      <w:r>
        <w:rPr>
          <w:rFonts w:ascii="Arial" w:cs="Arial" w:eastAsia="Arial" w:hAnsi="Arial"/>
          <w:sz w:val="18"/>
          <w:szCs w:val="18"/>
          <w:color w:val="auto"/>
        </w:rPr>
        <w:t>if we were to seek to amend our amended and restated certificate of incorporation in a manner that alters or changes the powers, preferences, or special rights of a class of stock in a manner that affected its holders adversely, then that class would be required to vote separately to approve the proposed amendment.</w:t>
      </w:r>
    </w:p>
    <w:p>
      <w:pPr>
        <w:spacing w:after="0" w:line="184" w:lineRule="exact"/>
        <w:rPr>
          <w:sz w:val="20"/>
          <w:szCs w:val="20"/>
          <w:color w:val="auto"/>
        </w:rPr>
      </w:pPr>
    </w:p>
    <w:p>
      <w:pPr>
        <w:ind w:right="160" w:firstLine="449"/>
        <w:spacing w:after="0" w:line="257" w:lineRule="auto"/>
        <w:rPr>
          <w:sz w:val="20"/>
          <w:szCs w:val="20"/>
          <w:color w:val="auto"/>
        </w:rPr>
      </w:pPr>
      <w:r>
        <w:rPr>
          <w:rFonts w:ascii="Arial" w:cs="Arial" w:eastAsia="Arial" w:hAnsi="Arial"/>
          <w:sz w:val="18"/>
          <w:szCs w:val="18"/>
          <w:color w:val="auto"/>
        </w:rPr>
        <w:t>Stockholders do not have the ability to cumulate votes for the election of directors. Our amended and restated certificate of incorporation and amended and restated bylaws that will be in effect at the closing of our initial public offering will provide for a classified Board of Directors consisting of three classes of approximately equal size, each serving staggered three-year terms. Only the directors in one class will be subject to election by a plurality of the votes cast at each annual meeting of stockholders, with the directors in the other classes continuing for the remainder of their respective three year terms.</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 Preemptive or Similar Rights</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Our common stock is not entitled to preemptive rights, and is not subject to conversion, redemption, or sinking fund provisions.</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Right to Receive Liquidation Distributions</w:t>
      </w:r>
    </w:p>
    <w:p>
      <w:pPr>
        <w:spacing w:after="0" w:line="121" w:lineRule="exact"/>
        <w:rPr>
          <w:sz w:val="20"/>
          <w:szCs w:val="20"/>
          <w:color w:val="auto"/>
        </w:rPr>
      </w:pPr>
    </w:p>
    <w:p>
      <w:pPr>
        <w:ind w:right="140" w:firstLine="449"/>
        <w:spacing w:after="0" w:line="259" w:lineRule="auto"/>
        <w:rPr>
          <w:sz w:val="20"/>
          <w:szCs w:val="20"/>
          <w:color w:val="auto"/>
        </w:rPr>
      </w:pPr>
      <w:r>
        <w:rPr>
          <w:rFonts w:ascii="Arial" w:cs="Arial" w:eastAsia="Arial" w:hAnsi="Arial"/>
          <w:sz w:val="18"/>
          <w:szCs w:val="18"/>
          <w:color w:val="auto"/>
        </w:rPr>
        <w:t>If we become subject to a liquidation, dissolution, or winding-up, the assets legally available for distribution to our stockholders would be distributable ratably among the holders of our common stock and any participating preferred stock outstanding at that time, subject to prior satisfaction of all outstanding debt and liabilities and the preferential rights of and the payment of liquidation preferences, if any, on any outstanding shares of preferred stock.</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Conversion of Class B Common Stock</w:t>
      </w:r>
    </w:p>
    <w:p>
      <w:pPr>
        <w:spacing w:after="0" w:line="121" w:lineRule="exact"/>
        <w:rPr>
          <w:sz w:val="20"/>
          <w:szCs w:val="20"/>
          <w:color w:val="auto"/>
        </w:rPr>
      </w:pPr>
    </w:p>
    <w:p>
      <w:pPr>
        <w:ind w:right="20" w:firstLine="449"/>
        <w:spacing w:after="0" w:line="254" w:lineRule="auto"/>
        <w:rPr>
          <w:sz w:val="20"/>
          <w:szCs w:val="20"/>
          <w:color w:val="auto"/>
        </w:rPr>
      </w:pPr>
      <w:r>
        <w:rPr>
          <w:rFonts w:ascii="Arial" w:cs="Arial" w:eastAsia="Arial" w:hAnsi="Arial"/>
          <w:sz w:val="18"/>
          <w:szCs w:val="18"/>
          <w:color w:val="auto"/>
        </w:rPr>
        <w:t>Each share of Class B common stock is convertible at any time at the option of the holder into one share of Class A common stock. Following the completion of this offering, shares of Class B common stock will automatically convert into shares of Class A common stock upon sale or transfer (other than with respect to certain estate planning transfers). In addition, each share of Class B common stock will convert automatically into one share of Class A common stock upon (i) a date on or after the one year anniversary of the closing of our initial public offering that is specified by affirmative vote of the holders of a majority of the then outstanding shares of Class B common stock, (ii) the date on which the outstanding shares of Class B common stock represent less than five percent of the aggregate number of shares of the then outstanding Class A common stock and Class B common stock, or (iii) the death of both of our co-founders.</w:t>
      </w:r>
    </w:p>
    <w:p>
      <w:pPr>
        <w:spacing w:after="0" w:line="195" w:lineRule="exact"/>
        <w:rPr>
          <w:sz w:val="20"/>
          <w:szCs w:val="20"/>
          <w:color w:val="auto"/>
        </w:rPr>
      </w:pPr>
    </w:p>
    <w:p>
      <w:pPr>
        <w:ind w:right="340" w:firstLine="449"/>
        <w:spacing w:after="0" w:line="277" w:lineRule="auto"/>
        <w:rPr>
          <w:sz w:val="20"/>
          <w:szCs w:val="20"/>
          <w:color w:val="auto"/>
        </w:rPr>
      </w:pPr>
      <w:r>
        <w:rPr>
          <w:rFonts w:ascii="Arial" w:cs="Arial" w:eastAsia="Arial" w:hAnsi="Arial"/>
          <w:sz w:val="18"/>
          <w:szCs w:val="18"/>
          <w:color w:val="auto"/>
        </w:rPr>
        <w:t>Additionally, pursuant to transfer agreements with certain of our stockholders, 3,914,934 shares of our Class B common stock will automatically convert into an equivalent number of shares of Class A common stock immediately prior to the completion of this offering.</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Fully Paid and Non-Assessable</w:t>
      </w:r>
    </w:p>
    <w:p>
      <w:pPr>
        <w:spacing w:after="0" w:line="121" w:lineRule="exact"/>
        <w:rPr>
          <w:sz w:val="20"/>
          <w:szCs w:val="20"/>
          <w:color w:val="auto"/>
        </w:rPr>
      </w:pPr>
    </w:p>
    <w:p>
      <w:pPr>
        <w:ind w:right="220" w:firstLine="449"/>
        <w:spacing w:after="0" w:line="277" w:lineRule="auto"/>
        <w:rPr>
          <w:sz w:val="20"/>
          <w:szCs w:val="20"/>
          <w:color w:val="auto"/>
        </w:rPr>
      </w:pPr>
      <w:r>
        <w:rPr>
          <w:rFonts w:ascii="Arial" w:cs="Arial" w:eastAsia="Arial" w:hAnsi="Arial"/>
          <w:sz w:val="18"/>
          <w:szCs w:val="18"/>
          <w:color w:val="auto"/>
        </w:rPr>
        <w:t>In connection with this offering, our legal counsel will opine that the shares of our Class A common stock to be issued in this offering will be fully paid and non-assessable.</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Preferred Stock</w:t>
      </w:r>
    </w:p>
    <w:p>
      <w:pPr>
        <w:spacing w:after="0" w:line="121" w:lineRule="exact"/>
        <w:rPr>
          <w:sz w:val="20"/>
          <w:szCs w:val="20"/>
          <w:color w:val="auto"/>
        </w:rPr>
      </w:pPr>
    </w:p>
    <w:p>
      <w:pPr>
        <w:ind w:right="80" w:firstLine="449"/>
        <w:spacing w:after="0" w:line="311" w:lineRule="auto"/>
        <w:rPr>
          <w:sz w:val="20"/>
          <w:szCs w:val="20"/>
          <w:color w:val="auto"/>
        </w:rPr>
      </w:pPr>
      <w:r>
        <w:rPr>
          <w:rFonts w:ascii="Arial" w:cs="Arial" w:eastAsia="Arial" w:hAnsi="Arial"/>
          <w:sz w:val="16"/>
          <w:szCs w:val="16"/>
          <w:color w:val="auto"/>
        </w:rPr>
        <w:t>Our Board of Directors is authorized, subject to limitations prescribed by Delaware law, to issue preferred stock in one or more series, to establish from time to time the number of shares to be included in each series, and to fix the designation, powers, preferences, and rights of the shares of each series and any of its qualifications, limitations, or restrictions, in each case without further vote or action by our stockholders. Our Board of</w:t>
      </w:r>
    </w:p>
    <w:p>
      <w:pPr>
        <w:spacing w:after="0" w:line="8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133</w:t>
      </w:r>
    </w:p>
    <w:p>
      <w:pPr>
        <w:sectPr>
          <w:pgSz w:w="11900" w:h="16838" w:orient="portrait"/>
          <w:cols w:equalWidth="0" w:num="1">
            <w:col w:w="11220"/>
          </w:cols>
          <w:pgMar w:left="320" w:top="459" w:right="359" w:bottom="1440" w:gutter="0" w:footer="0" w:header="0"/>
        </w:sectPr>
      </w:pPr>
    </w:p>
    <w:bookmarkStart w:id="136" w:name="page137"/>
    <w:bookmarkEnd w:id="13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right="260"/>
        <w:spacing w:after="0" w:line="273" w:lineRule="auto"/>
        <w:rPr>
          <w:sz w:val="20"/>
          <w:szCs w:val="20"/>
          <w:color w:val="auto"/>
        </w:rPr>
      </w:pPr>
      <w:r>
        <w:rPr>
          <w:rFonts w:ascii="Arial" w:cs="Arial" w:eastAsia="Arial" w:hAnsi="Arial"/>
          <w:sz w:val="17"/>
          <w:szCs w:val="17"/>
          <w:color w:val="auto"/>
        </w:rPr>
        <w:t>Directors can also increase or decrease the number of shares of any series of preferred stock, but not below the number of shares of that series then outstanding, without any further vote or action by our stockholders. Our Board of Directors may authorize the issuance of preferred stock with voting or conversion rights that could adversely affect the voting power or other rights of the holders of our common stock. The issuance of preferred stock, while providing flexibility in connection with possible acquisitions and other corporate purposes, could, among other things, have the effect of delaying, deferring, or preventing a change in control of our company and might adversely affect the market price of our common stock and the voting and other rights of the holders of our common stock. We have no current plan to issue any shares of preferred stock.</w:t>
      </w:r>
    </w:p>
    <w:p>
      <w:pPr>
        <w:spacing w:after="0" w:line="2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Options</w:t>
      </w:r>
    </w:p>
    <w:p>
      <w:pPr>
        <w:spacing w:after="0" w:line="121" w:lineRule="exact"/>
        <w:rPr>
          <w:sz w:val="20"/>
          <w:szCs w:val="20"/>
          <w:color w:val="auto"/>
        </w:rPr>
      </w:pPr>
    </w:p>
    <w:p>
      <w:pPr>
        <w:ind w:right="80" w:firstLine="449"/>
        <w:spacing w:after="0" w:line="277" w:lineRule="auto"/>
        <w:rPr>
          <w:sz w:val="20"/>
          <w:szCs w:val="20"/>
          <w:color w:val="auto"/>
        </w:rPr>
      </w:pPr>
      <w:r>
        <w:rPr>
          <w:rFonts w:ascii="Arial" w:cs="Arial" w:eastAsia="Arial" w:hAnsi="Arial"/>
          <w:sz w:val="18"/>
          <w:szCs w:val="18"/>
          <w:color w:val="auto"/>
        </w:rPr>
        <w:t>As of September 30, 2017, we had outstanding options to purchase an aggregate of 7,484,830 shares of our Class B common stock, with a weighted-average exercise price of $7.03 per share, under our equity compensation plans.</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RSUs</w:t>
      </w:r>
    </w:p>
    <w:p>
      <w:pPr>
        <w:spacing w:after="0" w:line="121" w:lineRule="exact"/>
        <w:rPr>
          <w:sz w:val="20"/>
          <w:szCs w:val="20"/>
          <w:color w:val="auto"/>
        </w:rPr>
      </w:pPr>
    </w:p>
    <w:p>
      <w:pPr>
        <w:ind w:firstLine="449"/>
        <w:spacing w:after="0" w:line="284" w:lineRule="auto"/>
        <w:rPr>
          <w:sz w:val="20"/>
          <w:szCs w:val="20"/>
          <w:color w:val="auto"/>
        </w:rPr>
      </w:pPr>
      <w:r>
        <w:rPr>
          <w:rFonts w:ascii="Arial" w:cs="Arial" w:eastAsia="Arial" w:hAnsi="Arial"/>
          <w:sz w:val="16"/>
          <w:szCs w:val="16"/>
          <w:color w:val="auto"/>
        </w:rPr>
        <w:t>As of September 30, 2017, we had outstanding 61,577,921 shares of our Class B common stock subject to RSUs under our 2008 Plan and 22,883,109 shares of our Class A common stock subject to RSUs under our 2008 Plan and 2017 Plan. RSUs granted on and after August 1, 2015, which we refer to as one-tier RSUs, generally vest upon the satisfaction of a service-based vesting condition. The service-based vesting condition generally is satisfied over a four-year period. 25% of the one-tier RSUs vest upon completion of one year of service measured from the vesting commencement date, and as to the balance in successive equal quarterly installments, subject to continued service through each such vesting date. Our RSUs granted prior to August 1, 2015, which we refer to as two-tier RSUs, generally vest upon the satisfaction of both a service-based vesting condition and the Performance Vesting Condition occurring before these two-tier RSUs expire. The service-based vesting condition generally is satisfied over a four-year period. 25% of the two-tier RSUs service-based vesting condition is satisfied upon completion of one year of service measured from the vesting commencement date, and the balance generally vests in successive equal monthly installments prior to the occurrence of the Performance Vesting Condition and in successive equal quarterly installments after the occurrence of the Performance Vesting Condition, but, in all cases, subject to continued service through each applicable vesting date. The Performance Vesting Condition occurs on the earlier of (i) an acquisition or change in control of us or (ii) the earlier of (a) six months after our initial public offering or (b) March 15 of the year following our initial public offering. As a result of the September 2017 RSU Amendment, all RSUs were amended to provide that the quarterly dates for satisfying the service-based vesting condition shall be February 15, May 15, August 15, or November 15, each of which we refer to as a New Quarterly Date. This amendment will result in a partial acceleration of any RSUs that were scheduled to satisfy the service-based vesting condition on a date following a New Quarterly Date but before the next New Quarterly Date, such that these RSUs now will satisfy the service-based vesting condition on the first of those New Quarterly Dates. For one-tier RSUs, this amendment will be effective as of February 15, 2018, and for two-tier RSUs, this amendment will be effective as of the satisfaction of the Performance Vesting Condition. In addition, as a result of the September 2017 RSU Amendment, any two-tier RSUs that are scheduled to satisfy the service-based vesting condition on the first day of any month now will satisfy this condition on the 15th day of the prior month until the date that the Performance Vesting Condition is satisfied. Our Board of Directors intends to accelerate the Performance Vesting Condition associated with the two-tier RSUs to occur upon the effectiveness of the registration statement of which this prospectus forms a part. All other significant terms of the two-tier RSUs will remain unchanged.</w:t>
      </w:r>
    </w:p>
    <w:p>
      <w:pPr>
        <w:spacing w:after="0" w:line="2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Registration Rights</w:t>
      </w:r>
    </w:p>
    <w:p>
      <w:pPr>
        <w:spacing w:after="0" w:line="121" w:lineRule="exact"/>
        <w:rPr>
          <w:sz w:val="20"/>
          <w:szCs w:val="20"/>
          <w:color w:val="auto"/>
        </w:rPr>
      </w:pPr>
    </w:p>
    <w:p>
      <w:pPr>
        <w:jc w:val="both"/>
        <w:ind w:right="260" w:firstLine="449"/>
        <w:spacing w:after="0" w:line="263" w:lineRule="auto"/>
        <w:rPr>
          <w:sz w:val="20"/>
          <w:szCs w:val="20"/>
          <w:color w:val="auto"/>
        </w:rPr>
      </w:pPr>
      <w:r>
        <w:rPr>
          <w:rFonts w:ascii="Arial" w:cs="Arial" w:eastAsia="Arial" w:hAnsi="Arial"/>
          <w:sz w:val="18"/>
          <w:szCs w:val="18"/>
          <w:color w:val="auto"/>
        </w:rPr>
        <w:t>After the completion of this offering, certain holders of our Class B common stock will be entitled to rights with respect to the registration of their shares under the Securities Act. These registration rights are contained in our IRA. We and certain holders of our preferred stock are parties to the IRA. Immediately prior to the</w:t>
      </w:r>
    </w:p>
    <w:p>
      <w:pPr>
        <w:spacing w:after="0" w:line="11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134</w:t>
      </w:r>
    </w:p>
    <w:p>
      <w:pPr>
        <w:sectPr>
          <w:pgSz w:w="11900" w:h="16838" w:orient="portrait"/>
          <w:cols w:equalWidth="0" w:num="1">
            <w:col w:w="11240"/>
          </w:cols>
          <w:pgMar w:left="320" w:top="459" w:right="339" w:bottom="1440" w:gutter="0" w:footer="0" w:header="0"/>
        </w:sectPr>
      </w:pPr>
    </w:p>
    <w:bookmarkStart w:id="137" w:name="page138"/>
    <w:bookmarkEnd w:id="13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right="100"/>
        <w:spacing w:after="0" w:line="288" w:lineRule="auto"/>
        <w:rPr>
          <w:sz w:val="20"/>
          <w:szCs w:val="20"/>
          <w:color w:val="auto"/>
        </w:rPr>
      </w:pPr>
      <w:r>
        <w:rPr>
          <w:rFonts w:ascii="Arial" w:cs="Arial" w:eastAsia="Arial" w:hAnsi="Arial"/>
          <w:sz w:val="16"/>
          <w:szCs w:val="16"/>
          <w:color w:val="auto"/>
        </w:rPr>
        <w:t>completion of this offering, each share of outstanding preferred stock will convert automatically into one share of Class B common stock. The registration rights set forth in the IRA will expire five years following the completion of this offering, or, with respect to any particular stockholder, when such stockholder is able to sell all of its shares on any one day pursuant to Rule 144 of the Securities Act or a similar exemption. We will pay the registration expenses (other than underwriting discounts, selling commissions, and transfer taxes) of the holders of the shares registered pursuant to the registrations described below. In an underwritten offering, the managing underwriter, if any, has the right, subject to specified conditions, to limit the number of shares such holders may include. We expect that our stockholders will waive their rights under the IRA (i) to notice of this offering and (ii) to include their registrable shares in this offering. In addition, in connection with this offering, we expect that each stockholder that has registration rights will agree not to sell or otherwise dispose of any securities without the prior written consent of the company and the underwriters for a period of 180 days after the date of this prospectus, subject to certain terms and conditions and early release of certain holders in specified circumstances. See the section titled “Shares Eligible for Future Sale—Lock-Up and Market Standoff Agreements” for additional information regarding such restrictions.</w:t>
      </w:r>
    </w:p>
    <w:p>
      <w:pPr>
        <w:spacing w:after="0" w:line="2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Demand Registration Rights</w:t>
      </w:r>
    </w:p>
    <w:p>
      <w:pPr>
        <w:spacing w:after="0" w:line="121" w:lineRule="exact"/>
        <w:rPr>
          <w:sz w:val="20"/>
          <w:szCs w:val="20"/>
          <w:color w:val="auto"/>
        </w:rPr>
      </w:pPr>
    </w:p>
    <w:p>
      <w:pPr>
        <w:ind w:left="460"/>
        <w:spacing w:after="0"/>
        <w:tabs>
          <w:tab w:leader="none" w:pos="5180" w:val="left"/>
        </w:tabs>
        <w:rPr>
          <w:sz w:val="20"/>
          <w:szCs w:val="20"/>
          <w:color w:val="auto"/>
        </w:rPr>
      </w:pPr>
      <w:r>
        <w:rPr>
          <w:rFonts w:ascii="Arial" w:cs="Arial" w:eastAsia="Arial" w:hAnsi="Arial"/>
          <w:sz w:val="18"/>
          <w:szCs w:val="18"/>
          <w:color w:val="auto"/>
        </w:rPr>
        <w:t>After the completion of this offering, the holders of up to</w:t>
      </w:r>
      <w:r>
        <w:rPr>
          <w:sz w:val="20"/>
          <w:szCs w:val="20"/>
          <w:color w:val="auto"/>
        </w:rPr>
        <w:tab/>
      </w:r>
      <w:r>
        <w:rPr>
          <w:rFonts w:ascii="Arial" w:cs="Arial" w:eastAsia="Arial" w:hAnsi="Arial"/>
          <w:sz w:val="16"/>
          <w:szCs w:val="16"/>
          <w:color w:val="auto"/>
        </w:rPr>
        <w:t>shares of our Class B common stock will be entitled to certain demand registration</w:t>
      </w:r>
    </w:p>
    <w:p>
      <w:pPr>
        <w:spacing w:after="0" w:line="23" w:lineRule="exact"/>
        <w:rPr>
          <w:sz w:val="20"/>
          <w:szCs w:val="20"/>
          <w:color w:val="auto"/>
        </w:rPr>
      </w:pPr>
    </w:p>
    <w:p>
      <w:pPr>
        <w:ind w:right="80"/>
        <w:spacing w:after="0" w:line="253" w:lineRule="auto"/>
        <w:rPr>
          <w:sz w:val="20"/>
          <w:szCs w:val="20"/>
          <w:color w:val="auto"/>
        </w:rPr>
      </w:pPr>
      <w:r>
        <w:rPr>
          <w:rFonts w:ascii="Arial" w:cs="Arial" w:eastAsia="Arial" w:hAnsi="Arial"/>
          <w:sz w:val="18"/>
          <w:szCs w:val="18"/>
          <w:color w:val="auto"/>
        </w:rPr>
        <w:t>rights. At any time beginning six months after the effective date of this offering, the holders of at least 40% of these shares then outstanding can request that we register the offer and sale of their shares, or such request must cover securities in which the anticipated aggregate public offering price, before payment of underwriting discounts and commissions, is at least $10,000,000. We are obligated to effect only two such registrations. If we determine that it would be seriously detrimental to us and our stockholders to effect such a demand registration, we have the right to defer such registration, not more than once in any 12-month period, for a period of up to 120 days.</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Piggyback Registration Rights</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6"/>
          <w:szCs w:val="16"/>
          <w:color w:val="auto"/>
        </w:rPr>
        <w:t>After the completion of this offering, if we propose to register the offer and sale of our Class A common stock under the Securities Act, in connection</w:t>
      </w:r>
    </w:p>
    <w:p>
      <w:pPr>
        <w:spacing w:after="0" w:line="46" w:lineRule="exact"/>
        <w:rPr>
          <w:sz w:val="20"/>
          <w:szCs w:val="20"/>
          <w:color w:val="auto"/>
        </w:rPr>
      </w:pPr>
    </w:p>
    <w:p>
      <w:pPr>
        <w:ind w:right="20"/>
        <w:spacing w:after="0" w:line="268" w:lineRule="auto"/>
        <w:rPr>
          <w:sz w:val="20"/>
          <w:szCs w:val="20"/>
          <w:color w:val="auto"/>
        </w:rPr>
      </w:pPr>
      <w:r>
        <w:rPr>
          <w:rFonts w:ascii="Arial" w:cs="Arial" w:eastAsia="Arial" w:hAnsi="Arial"/>
          <w:sz w:val="17"/>
          <w:szCs w:val="17"/>
          <w:color w:val="auto"/>
        </w:rPr>
        <w:t>with the public offering of such Class A common stock, the holders of up to shares of our Class B common stock will be entitled to certain “piggyback” registration rights allowing the holders to include their shares in such registration, subject to certain marketing and other limitations. As a result, whenever we propose to file a registration statement under the Securities Act, other than with respect to (1) a registration in which the only Class A common stock being registered is Class A common stock issuable upon conversion of debt securities that are also being registered, (2) a registration related to any employee benefit plan or a corporate reorganization or other transaction covered by Rule 145 promulgated under the Securities Act, or (3) a registration on any registration form which does not permit secondary sales or does not include substantially the same information as would be required to be included in a registration statement covering the public offering of our Class A common stock, the holders of these shares are entitled to notice of the registration and have the right, subject to certain limitations, to include their shares in the registration.</w:t>
      </w:r>
    </w:p>
    <w:p>
      <w:pPr>
        <w:spacing w:after="0" w:line="2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S-3 Registration Rights</w:t>
      </w:r>
    </w:p>
    <w:p>
      <w:pPr>
        <w:spacing w:after="0" w:line="121" w:lineRule="exact"/>
        <w:rPr>
          <w:sz w:val="20"/>
          <w:szCs w:val="20"/>
          <w:color w:val="auto"/>
        </w:rPr>
      </w:pPr>
    </w:p>
    <w:p>
      <w:pPr>
        <w:ind w:left="460"/>
        <w:spacing w:after="0"/>
        <w:tabs>
          <w:tab w:leader="none" w:pos="5180" w:val="left"/>
        </w:tabs>
        <w:rPr>
          <w:sz w:val="20"/>
          <w:szCs w:val="20"/>
          <w:color w:val="auto"/>
        </w:rPr>
      </w:pPr>
      <w:r>
        <w:rPr>
          <w:rFonts w:ascii="Arial" w:cs="Arial" w:eastAsia="Arial" w:hAnsi="Arial"/>
          <w:sz w:val="18"/>
          <w:szCs w:val="18"/>
          <w:color w:val="auto"/>
        </w:rPr>
        <w:t>After the completion of this offering, the holders of up to</w:t>
      </w:r>
      <w:r>
        <w:rPr>
          <w:sz w:val="20"/>
          <w:szCs w:val="20"/>
          <w:color w:val="auto"/>
        </w:rPr>
        <w:tab/>
      </w:r>
      <w:r>
        <w:rPr>
          <w:rFonts w:ascii="Arial" w:cs="Arial" w:eastAsia="Arial" w:hAnsi="Arial"/>
          <w:sz w:val="16"/>
          <w:szCs w:val="16"/>
          <w:color w:val="auto"/>
        </w:rPr>
        <w:t>shares of our Class B common stock will be entitled to certain Form S-3</w:t>
      </w:r>
    </w:p>
    <w:p>
      <w:pPr>
        <w:spacing w:after="0" w:line="23"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registration rights. The holders of at least 40% of these shares then outstanding may make a written request that we register the offer and sale of their shares on a registration statement on Form S-3 if we are eligible to file a registration statement on Form S-3 so long as the request covers securities the anticipated aggregate public offering price of which, before payment of underwriting discounts and commissions, is at least $3,000,000. These stockholders may make an unlimited number of requests for registration on Form S-3; however, we will not be required to effect a registration on Form S-3 if we have effected two such registrations within the 12-month period preceding the date of the request. Additionally, if we determine that it would be seriously detrimental to the Company and our stockholders to effect such a registration, we have the right to defer such registration, not more than once in any 12-month period, for a period of up to 120 days.</w:t>
      </w:r>
    </w:p>
    <w:p>
      <w:pPr>
        <w:spacing w:after="0" w:line="1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135</w:t>
      </w:r>
    </w:p>
    <w:p>
      <w:pPr>
        <w:sectPr>
          <w:pgSz w:w="11900" w:h="16838" w:orient="portrait"/>
          <w:cols w:equalWidth="0" w:num="1">
            <w:col w:w="11220"/>
          </w:cols>
          <w:pgMar w:left="320" w:top="459" w:right="359" w:bottom="1440" w:gutter="0" w:footer="0" w:header="0"/>
        </w:sectPr>
      </w:pPr>
    </w:p>
    <w:bookmarkStart w:id="138" w:name="page139"/>
    <w:bookmarkEnd w:id="13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Anti-Takeover Provisions</w:t>
      </w:r>
    </w:p>
    <w:p>
      <w:pPr>
        <w:spacing w:after="0" w:line="121" w:lineRule="exact"/>
        <w:rPr>
          <w:sz w:val="20"/>
          <w:szCs w:val="20"/>
          <w:color w:val="auto"/>
        </w:rPr>
      </w:pPr>
    </w:p>
    <w:p>
      <w:pPr>
        <w:ind w:right="20" w:firstLine="449"/>
        <w:spacing w:after="0" w:line="275" w:lineRule="auto"/>
        <w:rPr>
          <w:sz w:val="20"/>
          <w:szCs w:val="20"/>
          <w:color w:val="auto"/>
        </w:rPr>
      </w:pPr>
      <w:r>
        <w:rPr>
          <w:rFonts w:ascii="Arial" w:cs="Arial" w:eastAsia="Arial" w:hAnsi="Arial"/>
          <w:sz w:val="17"/>
          <w:szCs w:val="17"/>
          <w:color w:val="auto"/>
        </w:rPr>
        <w:t>Certain provisions of Delaware law, our amended and restated certificate of incorporation, and our amended and restated bylaws, which are summarized below, may have the effect of delaying, deferring, or discouraging another person from acquiring control of us. They are also designed, in part, to encourage persons seeking to acquire control of us to negotiate first with our Board of Directors. We believe that the benefits of increased protection of our potential ability to negotiate with an unfriendly or unsolicited acquirer outweigh the disadvantages of discouraging a proposal to acquire us because negotiation of these proposals could result in an improvement of their terms.</w:t>
      </w:r>
    </w:p>
    <w:p>
      <w:pPr>
        <w:spacing w:after="0" w:line="2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Delaware Law</w:t>
      </w:r>
    </w:p>
    <w:p>
      <w:pPr>
        <w:spacing w:after="0" w:line="121" w:lineRule="exact"/>
        <w:rPr>
          <w:sz w:val="20"/>
          <w:szCs w:val="20"/>
          <w:color w:val="auto"/>
        </w:rPr>
      </w:pPr>
    </w:p>
    <w:p>
      <w:pPr>
        <w:jc w:val="both"/>
        <w:ind w:firstLine="449"/>
        <w:spacing w:after="0" w:line="263" w:lineRule="auto"/>
        <w:rPr>
          <w:sz w:val="20"/>
          <w:szCs w:val="20"/>
          <w:color w:val="auto"/>
        </w:rPr>
      </w:pPr>
      <w:r>
        <w:rPr>
          <w:rFonts w:ascii="Arial" w:cs="Arial" w:eastAsia="Arial" w:hAnsi="Arial"/>
          <w:sz w:val="18"/>
          <w:szCs w:val="18"/>
          <w:color w:val="auto"/>
        </w:rPr>
        <w:t>We will be governed by the provisions of Section 203 of the Delaware General Corporation Law. In general, Section 203 prohibits a public Delaware corporation from engaging in a “business combination” with an “interested stockholder” for a period of three years after the date of the transaction in which the person became an interested stockholder, unless:</w:t>
      </w:r>
    </w:p>
    <w:p>
      <w:pPr>
        <w:spacing w:after="0" w:line="89" w:lineRule="exact"/>
        <w:rPr>
          <w:sz w:val="20"/>
          <w:szCs w:val="20"/>
          <w:color w:val="auto"/>
        </w:rPr>
      </w:pPr>
    </w:p>
    <w:p>
      <w:pPr>
        <w:ind w:left="880" w:hanging="319"/>
        <w:spacing w:after="0"/>
        <w:tabs>
          <w:tab w:leader="none" w:pos="880" w:val="left"/>
        </w:tabs>
        <w:numPr>
          <w:ilvl w:val="0"/>
          <w:numId w:val="89"/>
        </w:numPr>
        <w:rPr>
          <w:rFonts w:ascii="Arial" w:cs="Arial" w:eastAsia="Arial" w:hAnsi="Arial"/>
          <w:sz w:val="18"/>
          <w:szCs w:val="18"/>
          <w:color w:val="auto"/>
        </w:rPr>
      </w:pPr>
      <w:r>
        <w:rPr>
          <w:rFonts w:ascii="Arial" w:cs="Arial" w:eastAsia="Arial" w:hAnsi="Arial"/>
          <w:sz w:val="18"/>
          <w:szCs w:val="18"/>
          <w:color w:val="auto"/>
        </w:rPr>
        <w:t>the transaction was approved by the board of directors prior to the time that the stockholder became an interested stockholder;</w:t>
      </w:r>
    </w:p>
    <w:p>
      <w:pPr>
        <w:spacing w:after="0" w:line="130" w:lineRule="exact"/>
        <w:rPr>
          <w:rFonts w:ascii="Arial" w:cs="Arial" w:eastAsia="Arial" w:hAnsi="Arial"/>
          <w:sz w:val="18"/>
          <w:szCs w:val="18"/>
          <w:color w:val="auto"/>
        </w:rPr>
      </w:pPr>
    </w:p>
    <w:p>
      <w:pPr>
        <w:ind w:left="880" w:right="80" w:hanging="319"/>
        <w:spacing w:after="0" w:line="279" w:lineRule="auto"/>
        <w:tabs>
          <w:tab w:leader="none" w:pos="880" w:val="left"/>
        </w:tabs>
        <w:numPr>
          <w:ilvl w:val="0"/>
          <w:numId w:val="89"/>
        </w:numPr>
        <w:rPr>
          <w:rFonts w:ascii="Arial" w:cs="Arial" w:eastAsia="Arial" w:hAnsi="Arial"/>
          <w:sz w:val="17"/>
          <w:szCs w:val="17"/>
          <w:color w:val="auto"/>
        </w:rPr>
      </w:pPr>
      <w:r>
        <w:rPr>
          <w:rFonts w:ascii="Arial" w:cs="Arial" w:eastAsia="Arial" w:hAnsi="Arial"/>
          <w:sz w:val="17"/>
          <w:szCs w:val="17"/>
          <w:color w:val="auto"/>
        </w:rPr>
        <w:t>upon consummation of the transaction which resulted in the stockholder becoming an interested stockholder, the interested stockholder owned at least 85% of the voting stock of the corporation outstanding at the time the transaction commenced, excluding shares owned by directors who are also officers of the corporation and shares owned by employee stock plans in which employee participants do not have the right to determine confidentially whether shares held subject to the plan will be tendered in a tender or exchange offer; or</w:t>
      </w:r>
    </w:p>
    <w:p>
      <w:pPr>
        <w:spacing w:after="0" w:line="76" w:lineRule="exact"/>
        <w:rPr>
          <w:rFonts w:ascii="Arial" w:cs="Arial" w:eastAsia="Arial" w:hAnsi="Arial"/>
          <w:sz w:val="17"/>
          <w:szCs w:val="17"/>
          <w:color w:val="auto"/>
        </w:rPr>
      </w:pPr>
    </w:p>
    <w:p>
      <w:pPr>
        <w:ind w:left="880" w:hanging="319"/>
        <w:spacing w:after="0" w:line="263" w:lineRule="auto"/>
        <w:tabs>
          <w:tab w:leader="none" w:pos="880" w:val="left"/>
        </w:tabs>
        <w:numPr>
          <w:ilvl w:val="0"/>
          <w:numId w:val="89"/>
        </w:numPr>
        <w:rPr>
          <w:rFonts w:ascii="Arial" w:cs="Arial" w:eastAsia="Arial" w:hAnsi="Arial"/>
          <w:sz w:val="18"/>
          <w:szCs w:val="18"/>
          <w:color w:val="auto"/>
        </w:rPr>
      </w:pPr>
      <w:r>
        <w:rPr>
          <w:rFonts w:ascii="Arial" w:cs="Arial" w:eastAsia="Arial" w:hAnsi="Arial"/>
          <w:sz w:val="18"/>
          <w:szCs w:val="18"/>
          <w:color w:val="auto"/>
        </w:rPr>
        <w:t>at or subsequent to the time the stockholder became an interested stockholder, the business combination was approved by the board of directors and authorized at an annual or special meeting of the stockholders, and not by written consent, by the affirmative vote of at least two-thirds of the outstanding voting stock which is not owned by the interested stockholder.</w:t>
      </w:r>
    </w:p>
    <w:p>
      <w:pPr>
        <w:spacing w:after="0" w:line="184" w:lineRule="exact"/>
        <w:rPr>
          <w:sz w:val="20"/>
          <w:szCs w:val="20"/>
          <w:color w:val="auto"/>
        </w:rPr>
      </w:pPr>
    </w:p>
    <w:p>
      <w:pPr>
        <w:ind w:right="100" w:firstLine="449"/>
        <w:spacing w:after="0" w:line="311" w:lineRule="auto"/>
        <w:rPr>
          <w:sz w:val="20"/>
          <w:szCs w:val="20"/>
          <w:color w:val="auto"/>
        </w:rPr>
      </w:pPr>
      <w:r>
        <w:rPr>
          <w:rFonts w:ascii="Arial" w:cs="Arial" w:eastAsia="Arial" w:hAnsi="Arial"/>
          <w:sz w:val="16"/>
          <w:szCs w:val="16"/>
          <w:color w:val="auto"/>
        </w:rPr>
        <w:t>In general, Section 203 defines a “business combination” to include mergers, asset sales, and other transactions resulting in financial benefit to a stockholder and an “interested stockholder” as a person who, together with affiliates and associates, owns, or, within three years, did own, 15% or more of the corporation’s outstanding voting stock. These provisions may have the effect of delaying, deferring, or preventing changes in control of our company.</w:t>
      </w:r>
    </w:p>
    <w:p>
      <w:pPr>
        <w:spacing w:after="0" w:line="2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Amended and Restated Certificate of Incorporation and Amended and Restated Bylaw Provisions</w:t>
      </w:r>
    </w:p>
    <w:p>
      <w:pPr>
        <w:spacing w:after="0" w:line="121" w:lineRule="exact"/>
        <w:rPr>
          <w:sz w:val="20"/>
          <w:szCs w:val="20"/>
          <w:color w:val="auto"/>
        </w:rPr>
      </w:pPr>
    </w:p>
    <w:p>
      <w:pPr>
        <w:ind w:right="380" w:firstLine="449"/>
        <w:spacing w:after="0" w:line="308" w:lineRule="auto"/>
        <w:rPr>
          <w:sz w:val="20"/>
          <w:szCs w:val="20"/>
          <w:color w:val="auto"/>
        </w:rPr>
      </w:pPr>
      <w:r>
        <w:rPr>
          <w:rFonts w:ascii="Arial" w:cs="Arial" w:eastAsia="Arial" w:hAnsi="Arial"/>
          <w:sz w:val="17"/>
          <w:szCs w:val="17"/>
          <w:color w:val="auto"/>
        </w:rPr>
        <w:t>Our amended and restated certificate of incorporation and our amended and restated bylaws will include a number of provisions that could deter hostile takeovers or delay or prevent changes in control of our Board of Directors or management team, including the following:</w:t>
      </w:r>
    </w:p>
    <w:p>
      <w:pPr>
        <w:spacing w:after="0" w:line="38" w:lineRule="exact"/>
        <w:rPr>
          <w:sz w:val="20"/>
          <w:szCs w:val="20"/>
          <w:color w:val="auto"/>
        </w:rPr>
      </w:pPr>
    </w:p>
    <w:p>
      <w:pPr>
        <w:ind w:right="160" w:firstLine="449"/>
        <w:spacing w:after="0" w:line="259" w:lineRule="auto"/>
        <w:rPr>
          <w:sz w:val="20"/>
          <w:szCs w:val="20"/>
          <w:color w:val="auto"/>
        </w:rPr>
      </w:pPr>
      <w:r>
        <w:rPr>
          <w:rFonts w:ascii="Arial" w:cs="Arial" w:eastAsia="Arial" w:hAnsi="Arial"/>
          <w:sz w:val="18"/>
          <w:szCs w:val="18"/>
          <w:b w:val="1"/>
          <w:bCs w:val="1"/>
          <w:i w:val="1"/>
          <w:iCs w:val="1"/>
          <w:color w:val="auto"/>
        </w:rPr>
        <w:t>Dual class stock</w:t>
      </w:r>
      <w:r>
        <w:rPr>
          <w:rFonts w:ascii="Arial" w:cs="Arial" w:eastAsia="Arial" w:hAnsi="Arial"/>
          <w:sz w:val="18"/>
          <w:szCs w:val="18"/>
          <w:color w:val="auto"/>
        </w:rPr>
        <w:t>. As described above in “—Common Stock—Voting Rights,” our amended and restated certificate of incorporation provides for a</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dual class common stock structure, which will provide our pre-offering investors, which includes our executive officers, employees, directors, and their affiliates, with significant influence over matters requiring stockholder approval, including the election of directors and significant corporate transactions, such as a merger or other sale of our company or its assets.</w:t>
      </w:r>
    </w:p>
    <w:p>
      <w:pPr>
        <w:spacing w:after="0" w:line="187" w:lineRule="exact"/>
        <w:rPr>
          <w:sz w:val="20"/>
          <w:szCs w:val="20"/>
          <w:color w:val="auto"/>
        </w:rPr>
      </w:pPr>
    </w:p>
    <w:p>
      <w:pPr>
        <w:ind w:right="140" w:firstLine="449"/>
        <w:spacing w:after="0" w:line="342" w:lineRule="auto"/>
        <w:rPr>
          <w:sz w:val="20"/>
          <w:szCs w:val="20"/>
          <w:color w:val="auto"/>
        </w:rPr>
      </w:pPr>
      <w:r>
        <w:rPr>
          <w:rFonts w:ascii="Arial" w:cs="Arial" w:eastAsia="Arial" w:hAnsi="Arial"/>
          <w:sz w:val="16"/>
          <w:szCs w:val="16"/>
          <w:b w:val="1"/>
          <w:bCs w:val="1"/>
          <w:i w:val="1"/>
          <w:iCs w:val="1"/>
          <w:color w:val="auto"/>
        </w:rPr>
        <w:t xml:space="preserve">Issuance of undesignated preferred stock. </w:t>
      </w:r>
      <w:r>
        <w:rPr>
          <w:rFonts w:ascii="Arial" w:cs="Arial" w:eastAsia="Arial" w:hAnsi="Arial"/>
          <w:sz w:val="16"/>
          <w:szCs w:val="16"/>
          <w:color w:val="auto"/>
        </w:rPr>
        <w:t>As discussed above under “—Preferred Stock,” our Board of Directors will have the ability to designate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and issue preferred stock with voting or other rights or preferences that could deter hostile takeovers or delay changes in our control or management.</w:t>
      </w:r>
    </w:p>
    <w:p>
      <w:pPr>
        <w:spacing w:after="0" w:line="124" w:lineRule="exact"/>
        <w:rPr>
          <w:sz w:val="20"/>
          <w:szCs w:val="20"/>
          <w:color w:val="auto"/>
        </w:rPr>
      </w:pPr>
    </w:p>
    <w:p>
      <w:pPr>
        <w:ind w:right="20" w:firstLine="449"/>
        <w:spacing w:after="0" w:line="277" w:lineRule="auto"/>
        <w:rPr>
          <w:sz w:val="20"/>
          <w:szCs w:val="20"/>
          <w:color w:val="auto"/>
        </w:rPr>
      </w:pPr>
      <w:r>
        <w:rPr>
          <w:rFonts w:ascii="Arial" w:cs="Arial" w:eastAsia="Arial" w:hAnsi="Arial"/>
          <w:sz w:val="18"/>
          <w:szCs w:val="18"/>
          <w:b w:val="1"/>
          <w:bCs w:val="1"/>
          <w:i w:val="1"/>
          <w:iCs w:val="1"/>
          <w:color w:val="auto"/>
        </w:rPr>
        <w:t>Board of Directors vacancies</w:t>
      </w:r>
      <w:r>
        <w:rPr>
          <w:rFonts w:ascii="Arial" w:cs="Arial" w:eastAsia="Arial" w:hAnsi="Arial"/>
          <w:sz w:val="18"/>
          <w:szCs w:val="18"/>
          <w:color w:val="auto"/>
        </w:rPr>
        <w:t>. Our amended and restated certificate of incorporation and amended and restated bylaws will authorize only our Board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of Directors to fill vacant directorships, including newly created</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136</w:t>
      </w:r>
    </w:p>
    <w:p>
      <w:pPr>
        <w:sectPr>
          <w:pgSz w:w="11900" w:h="16838" w:orient="portrait"/>
          <w:cols w:equalWidth="0" w:num="1">
            <w:col w:w="11220"/>
          </w:cols>
          <w:pgMar w:left="320" w:top="459" w:right="359" w:bottom="1440" w:gutter="0" w:footer="0" w:header="0"/>
        </w:sectPr>
      </w:pPr>
    </w:p>
    <w:bookmarkStart w:id="139" w:name="page140"/>
    <w:bookmarkEnd w:id="13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both"/>
        <w:ind w:right="60"/>
        <w:spacing w:after="0" w:line="259" w:lineRule="auto"/>
        <w:rPr>
          <w:sz w:val="20"/>
          <w:szCs w:val="20"/>
          <w:color w:val="auto"/>
        </w:rPr>
      </w:pPr>
      <w:r>
        <w:rPr>
          <w:rFonts w:ascii="Arial" w:cs="Arial" w:eastAsia="Arial" w:hAnsi="Arial"/>
          <w:sz w:val="18"/>
          <w:szCs w:val="18"/>
          <w:color w:val="auto"/>
        </w:rPr>
        <w:t>seats. In addition, the number of directors constituting our Board of Directors will be permitted to be set only by a resolution adopted by a majority vote of our entire Board of Directors. These provisions would prevent a stockholder from increasing the size of our Board of Directors and then gaining control of our Board of Directors by filling the resulting vacancies with its own nominees. This will make it more difficult to change the composition of our Board of Directors and will promote continuity of management.</w:t>
      </w:r>
    </w:p>
    <w:p>
      <w:pPr>
        <w:spacing w:after="0" w:line="187" w:lineRule="exact"/>
        <w:rPr>
          <w:sz w:val="20"/>
          <w:szCs w:val="20"/>
          <w:color w:val="auto"/>
        </w:rPr>
      </w:pPr>
    </w:p>
    <w:p>
      <w:pPr>
        <w:ind w:firstLine="449"/>
        <w:spacing w:after="0" w:line="259" w:lineRule="auto"/>
        <w:rPr>
          <w:sz w:val="20"/>
          <w:szCs w:val="20"/>
          <w:color w:val="auto"/>
        </w:rPr>
      </w:pPr>
      <w:r>
        <w:rPr>
          <w:rFonts w:ascii="Arial" w:cs="Arial" w:eastAsia="Arial" w:hAnsi="Arial"/>
          <w:sz w:val="18"/>
          <w:szCs w:val="18"/>
          <w:b w:val="1"/>
          <w:bCs w:val="1"/>
          <w:i w:val="1"/>
          <w:iCs w:val="1"/>
          <w:color w:val="auto"/>
        </w:rPr>
        <w:t>Classified Board of Directors</w:t>
      </w:r>
      <w:r>
        <w:rPr>
          <w:rFonts w:ascii="Arial" w:cs="Arial" w:eastAsia="Arial" w:hAnsi="Arial"/>
          <w:sz w:val="18"/>
          <w:szCs w:val="18"/>
          <w:color w:val="auto"/>
        </w:rPr>
        <w:t>. Our amended and restated certificate of incorporation and amended and restated bylaws will provide that our Board of</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Directors is classified into three classes of directors. A third party may be discouraged from making a tender offer or otherwise attempting to obtain control of us as it is more difficult and time consuming for stockholders to replace a majority of the directors on a classified Board of Directors. See the section titled “Management—Classified Board of Directors.”</w:t>
      </w:r>
    </w:p>
    <w:p>
      <w:pPr>
        <w:spacing w:after="0" w:line="187" w:lineRule="exact"/>
        <w:rPr>
          <w:sz w:val="20"/>
          <w:szCs w:val="20"/>
          <w:color w:val="auto"/>
        </w:rPr>
      </w:pPr>
    </w:p>
    <w:p>
      <w:pPr>
        <w:ind w:firstLine="449"/>
        <w:spacing w:after="0" w:line="272" w:lineRule="auto"/>
        <w:rPr>
          <w:sz w:val="20"/>
          <w:szCs w:val="20"/>
          <w:color w:val="auto"/>
        </w:rPr>
      </w:pPr>
      <w:r>
        <w:rPr>
          <w:rFonts w:ascii="Arial" w:cs="Arial" w:eastAsia="Arial" w:hAnsi="Arial"/>
          <w:sz w:val="17"/>
          <w:szCs w:val="17"/>
          <w:b w:val="1"/>
          <w:bCs w:val="1"/>
          <w:i w:val="1"/>
          <w:iCs w:val="1"/>
          <w:color w:val="auto"/>
        </w:rPr>
        <w:t>Stockholder action; special meeting of stockholders</w:t>
      </w:r>
      <w:r>
        <w:rPr>
          <w:rFonts w:ascii="Arial" w:cs="Arial" w:eastAsia="Arial" w:hAnsi="Arial"/>
          <w:sz w:val="17"/>
          <w:szCs w:val="17"/>
          <w:color w:val="auto"/>
        </w:rPr>
        <w:t>. Our amended and restated certificate of incorporation will provide that our stockholders may</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not take action by written consent, but may only take action at annual or special meetings of our stockholders. As a result, a holder controlling a majority of our capital stock would not be able to amend our amended and restated bylaws or remove directors without holding a meeting of our stockholders called in accordance with our amended and restated bylaws. Our amended and restated bylaws will further provide that special meetings of our stockholders may be called only by a majority of our Board of Directors, the Chairman of our Board of Directors, or our Chief Executive Officer, thus prohibiting a stockholder from calling a special meeting. These provisions might delay the ability of our stockholders to force consideration of a proposal or for stockholders controlling a majority of our capital stock to take any action, including the removal of directors.</w:t>
      </w:r>
    </w:p>
    <w:p>
      <w:pPr>
        <w:spacing w:after="0" w:line="177" w:lineRule="exact"/>
        <w:rPr>
          <w:sz w:val="20"/>
          <w:szCs w:val="20"/>
          <w:color w:val="auto"/>
        </w:rPr>
      </w:pPr>
    </w:p>
    <w:p>
      <w:pPr>
        <w:ind w:right="20" w:firstLine="449"/>
        <w:spacing w:after="0" w:line="254" w:lineRule="auto"/>
        <w:rPr>
          <w:sz w:val="20"/>
          <w:szCs w:val="20"/>
          <w:color w:val="auto"/>
        </w:rPr>
      </w:pPr>
      <w:r>
        <w:rPr>
          <w:rFonts w:ascii="Arial" w:cs="Arial" w:eastAsia="Arial" w:hAnsi="Arial"/>
          <w:sz w:val="18"/>
          <w:szCs w:val="18"/>
          <w:b w:val="1"/>
          <w:bCs w:val="1"/>
          <w:i w:val="1"/>
          <w:iCs w:val="1"/>
          <w:color w:val="auto"/>
        </w:rPr>
        <w:t>Advance notice requirements for stockholder proposals and director nominations</w:t>
      </w:r>
      <w:r>
        <w:rPr>
          <w:rFonts w:ascii="Arial" w:cs="Arial" w:eastAsia="Arial" w:hAnsi="Arial"/>
          <w:sz w:val="18"/>
          <w:szCs w:val="18"/>
          <w:color w:val="auto"/>
        </w:rPr>
        <w:t>. Our amended and restated bylaws will provide advance notice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procedures for stockholders seeking to bring business before our annual meeting of stockholders or to nominate candidates for election as directors at our annual meeting of stockholders. Our amended and restated bylaws will also specify certain requirements regarding the form and content of a stockholder’s notice. These provisions might preclude our stockholders from bringing matters before our annual meeting of stockholders or from making nominations for directors at our annual meeting of stockholders if the proper procedures are not followed. We expect that these provisions may also discourage or deter a potential acquirer from conducting a solicitation of proxies to elect the acquirer’s own slate of directors or otherwise attempting to obtain control of our company.</w:t>
      </w:r>
    </w:p>
    <w:p>
      <w:pPr>
        <w:spacing w:after="0" w:line="195" w:lineRule="exact"/>
        <w:rPr>
          <w:sz w:val="20"/>
          <w:szCs w:val="20"/>
          <w:color w:val="auto"/>
        </w:rPr>
      </w:pPr>
    </w:p>
    <w:p>
      <w:pPr>
        <w:ind w:right="140" w:firstLine="449"/>
        <w:spacing w:after="0" w:line="263" w:lineRule="auto"/>
        <w:rPr>
          <w:sz w:val="20"/>
          <w:szCs w:val="20"/>
          <w:color w:val="auto"/>
        </w:rPr>
      </w:pPr>
      <w:r>
        <w:rPr>
          <w:rFonts w:ascii="Arial" w:cs="Arial" w:eastAsia="Arial" w:hAnsi="Arial"/>
          <w:sz w:val="18"/>
          <w:szCs w:val="18"/>
          <w:b w:val="1"/>
          <w:bCs w:val="1"/>
          <w:i w:val="1"/>
          <w:iCs w:val="1"/>
          <w:color w:val="auto"/>
        </w:rPr>
        <w:t>No cumulative voting</w:t>
      </w:r>
      <w:r>
        <w:rPr>
          <w:rFonts w:ascii="Arial" w:cs="Arial" w:eastAsia="Arial" w:hAnsi="Arial"/>
          <w:sz w:val="18"/>
          <w:szCs w:val="18"/>
          <w:color w:val="auto"/>
        </w:rPr>
        <w:t>. The Delaware General Corporation Law provides that stockholders are not entitled to cumulate votes in the election of</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directors unless a corporation’s certificate of incorporation provides otherwise. Our amended and restated certificate of incorporation does not provide for cumulative voting.</w:t>
      </w:r>
    </w:p>
    <w:p>
      <w:pPr>
        <w:spacing w:after="0" w:line="184" w:lineRule="exact"/>
        <w:rPr>
          <w:sz w:val="20"/>
          <w:szCs w:val="20"/>
          <w:color w:val="auto"/>
        </w:rPr>
      </w:pPr>
    </w:p>
    <w:p>
      <w:pPr>
        <w:ind w:right="200" w:firstLine="449"/>
        <w:spacing w:after="0" w:line="277" w:lineRule="auto"/>
        <w:rPr>
          <w:sz w:val="20"/>
          <w:szCs w:val="20"/>
          <w:color w:val="auto"/>
        </w:rPr>
      </w:pPr>
      <w:r>
        <w:rPr>
          <w:rFonts w:ascii="Arial" w:cs="Arial" w:eastAsia="Arial" w:hAnsi="Arial"/>
          <w:sz w:val="18"/>
          <w:szCs w:val="18"/>
          <w:b w:val="1"/>
          <w:bCs w:val="1"/>
          <w:i w:val="1"/>
          <w:iCs w:val="1"/>
          <w:color w:val="auto"/>
        </w:rPr>
        <w:t>Directors removed only for cause</w:t>
      </w:r>
      <w:r>
        <w:rPr>
          <w:rFonts w:ascii="Arial" w:cs="Arial" w:eastAsia="Arial" w:hAnsi="Arial"/>
          <w:sz w:val="18"/>
          <w:szCs w:val="18"/>
          <w:color w:val="auto"/>
        </w:rPr>
        <w:t>. Our amended and restated certificate of incorporation will provide that stockholders may remove directors only</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for cause.</w:t>
      </w:r>
    </w:p>
    <w:p>
      <w:pPr>
        <w:spacing w:after="0" w:line="170" w:lineRule="exact"/>
        <w:rPr>
          <w:sz w:val="20"/>
          <w:szCs w:val="20"/>
          <w:color w:val="auto"/>
        </w:rPr>
      </w:pPr>
    </w:p>
    <w:p>
      <w:pPr>
        <w:ind w:right="40" w:firstLine="449"/>
        <w:spacing w:after="0" w:line="277" w:lineRule="auto"/>
        <w:rPr>
          <w:sz w:val="20"/>
          <w:szCs w:val="20"/>
          <w:color w:val="auto"/>
        </w:rPr>
      </w:pPr>
      <w:r>
        <w:rPr>
          <w:rFonts w:ascii="Arial" w:cs="Arial" w:eastAsia="Arial" w:hAnsi="Arial"/>
          <w:sz w:val="18"/>
          <w:szCs w:val="18"/>
          <w:b w:val="1"/>
          <w:bCs w:val="1"/>
          <w:i w:val="1"/>
          <w:iCs w:val="1"/>
          <w:color w:val="auto"/>
        </w:rPr>
        <w:t>Amendment of charter and bylaws provisions</w:t>
      </w:r>
      <w:r>
        <w:rPr>
          <w:rFonts w:ascii="Arial" w:cs="Arial" w:eastAsia="Arial" w:hAnsi="Arial"/>
          <w:sz w:val="18"/>
          <w:szCs w:val="18"/>
          <w:color w:val="auto"/>
        </w:rPr>
        <w:t>. Any amendment of the above provisions in our amended and restated certificate of incorporation and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Bylaws would require approval by holders of at least two-thirds of the voting power of our then outstanding capital stock.</w:t>
      </w:r>
    </w:p>
    <w:p>
      <w:pPr>
        <w:spacing w:after="0" w:line="170" w:lineRule="exact"/>
        <w:rPr>
          <w:sz w:val="20"/>
          <w:szCs w:val="20"/>
          <w:color w:val="auto"/>
        </w:rPr>
      </w:pPr>
    </w:p>
    <w:p>
      <w:pPr>
        <w:ind w:left="600" w:right="20" w:hanging="135"/>
        <w:spacing w:after="0" w:line="291" w:lineRule="auto"/>
        <w:rPr>
          <w:sz w:val="20"/>
          <w:szCs w:val="20"/>
          <w:color w:val="auto"/>
        </w:rPr>
      </w:pPr>
      <w:r>
        <w:rPr>
          <w:rFonts w:ascii="Arial" w:cs="Arial" w:eastAsia="Arial" w:hAnsi="Arial"/>
          <w:sz w:val="16"/>
          <w:szCs w:val="16"/>
          <w:b w:val="1"/>
          <w:bCs w:val="1"/>
          <w:i w:val="1"/>
          <w:iCs w:val="1"/>
          <w:color w:val="auto"/>
        </w:rPr>
        <w:t>Issuance of undesignated preferred stock</w:t>
      </w:r>
      <w:r>
        <w:rPr>
          <w:rFonts w:ascii="Arial" w:cs="Arial" w:eastAsia="Arial" w:hAnsi="Arial"/>
          <w:sz w:val="16"/>
          <w:szCs w:val="16"/>
          <w:color w:val="auto"/>
        </w:rPr>
        <w:t>. Our Board of Directors will have the authority, without further action by our stockholders, to issue up to</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shares of undesignated preferred stock with rights and preferences, including voting rights, designated from time to time by our Board of Directors.</w:t>
      </w:r>
    </w:p>
    <w:p>
      <w:pPr>
        <w:ind w:right="40"/>
        <w:spacing w:after="0" w:line="260" w:lineRule="auto"/>
        <w:rPr>
          <w:sz w:val="20"/>
          <w:szCs w:val="20"/>
          <w:color w:val="auto"/>
        </w:rPr>
      </w:pPr>
      <w:r>
        <w:rPr>
          <w:rFonts w:ascii="Arial" w:cs="Arial" w:eastAsia="Arial" w:hAnsi="Arial"/>
          <w:sz w:val="18"/>
          <w:szCs w:val="18"/>
          <w:color w:val="auto"/>
        </w:rPr>
        <w:t>The existence of authorized but unissued shares of preferred stock would enable our Board of Directors to render more difficult or to discourage an attempt to obtain control of us by means of a merger, tender offer, proxy contest, or other means.</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137</w:t>
      </w:r>
    </w:p>
    <w:p>
      <w:pPr>
        <w:sectPr>
          <w:pgSz w:w="11900" w:h="16838" w:orient="portrait"/>
          <w:cols w:equalWidth="0" w:num="1">
            <w:col w:w="11220"/>
          </w:cols>
          <w:pgMar w:left="320" w:top="459" w:right="359" w:bottom="1440" w:gutter="0" w:footer="0" w:header="0"/>
        </w:sectPr>
      </w:pPr>
    </w:p>
    <w:bookmarkStart w:id="140" w:name="page141"/>
    <w:bookmarkEnd w:id="14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Exclusive Forum</w:t>
      </w:r>
    </w:p>
    <w:p>
      <w:pPr>
        <w:spacing w:after="0" w:line="121" w:lineRule="exact"/>
        <w:rPr>
          <w:sz w:val="20"/>
          <w:szCs w:val="20"/>
          <w:color w:val="auto"/>
        </w:rPr>
      </w:pPr>
    </w:p>
    <w:p>
      <w:pPr>
        <w:ind w:firstLine="449"/>
        <w:spacing w:after="0" w:line="269" w:lineRule="auto"/>
        <w:rPr>
          <w:sz w:val="20"/>
          <w:szCs w:val="20"/>
          <w:color w:val="auto"/>
        </w:rPr>
      </w:pPr>
      <w:r>
        <w:rPr>
          <w:rFonts w:ascii="Arial" w:cs="Arial" w:eastAsia="Arial" w:hAnsi="Arial"/>
          <w:sz w:val="17"/>
          <w:szCs w:val="17"/>
          <w:color w:val="auto"/>
        </w:rPr>
        <w:t>Our amended and restated bylaws will provide that, unless we consent in writing to the selection of an alternative forum, the sole and exclusive forum for (1) any derivative action or proceeding brought on our behalf, (2) any action asserting a claim of breach of a fiduciary duty owed by any of our directors, officers, or other employees to us or our stockholders, (3) any action asserting a claim against the company or any director or officer of the company arising pursuant to any provision of the Delaware General Corporation Law, or (4) any other action asserting a claim that is governed by the internal affairs doctrine shall be a state or federal court located within the State of Delaware, in all cases subject to the court’s having jurisdiction over indispensable parties named as defendants. Any person or entity purchasing or otherwise acquiring any interest in our shares of capital stock shall be deemed to have notice of and consented to this provision. Although we believe these provisions benefit us by providing increased consistency in the application of Delaware law for the specified types of actions and proceedings, the provisions may have the effect of discouraging lawsuits against us or our directors and officers. Our amended and restated bylaws will also provide that the federal district courts of the United States will be the exclusive forum for resolving any complaint asserting a cause of action arising under the Securities Act.</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Transfer Agent and Registrar</w:t>
      </w:r>
    </w:p>
    <w:p>
      <w:pPr>
        <w:sectPr>
          <w:pgSz w:w="11900" w:h="16838" w:orient="portrait"/>
          <w:cols w:equalWidth="0" w:num="1">
            <w:col w:w="11240"/>
          </w:cols>
          <w:pgMar w:left="320" w:top="459" w:right="339" w:bottom="1440" w:gutter="0" w:footer="0" w:header="0"/>
        </w:sectPr>
      </w:pPr>
    </w:p>
    <w:p>
      <w:pPr>
        <w:spacing w:after="0" w:line="121" w:lineRule="exact"/>
        <w:rPr>
          <w:sz w:val="20"/>
          <w:szCs w:val="20"/>
          <w:color w:val="auto"/>
        </w:rPr>
      </w:pPr>
    </w:p>
    <w:p>
      <w:pPr>
        <w:ind w:firstLine="449"/>
        <w:spacing w:after="0" w:line="277" w:lineRule="auto"/>
        <w:rPr>
          <w:sz w:val="20"/>
          <w:szCs w:val="20"/>
          <w:color w:val="auto"/>
        </w:rPr>
      </w:pPr>
      <w:r>
        <w:rPr>
          <w:rFonts w:ascii="Arial" w:cs="Arial" w:eastAsia="Arial" w:hAnsi="Arial"/>
          <w:sz w:val="18"/>
          <w:szCs w:val="18"/>
          <w:color w:val="auto"/>
        </w:rPr>
        <w:t>Upon completion of this offering, the transfer agent and registrar for our Class A common stock will be address is .</w:t>
      </w:r>
    </w:p>
    <w:p>
      <w:pPr>
        <w:spacing w:after="0" w:line="20" w:lineRule="exact"/>
        <w:rPr>
          <w:sz w:val="20"/>
          <w:szCs w:val="20"/>
          <w:color w:val="auto"/>
        </w:rPr>
      </w:pPr>
      <w:r>
        <w:rPr>
          <w:sz w:val="20"/>
          <w:szCs w:val="20"/>
          <w:color w:val="auto"/>
        </w:rPr>
        <w:br w:type="column"/>
      </w:r>
    </w:p>
    <w:p>
      <w:pPr>
        <w:spacing w:after="0" w:line="101" w:lineRule="exact"/>
        <w:rPr>
          <w:sz w:val="20"/>
          <w:szCs w:val="20"/>
          <w:color w:val="auto"/>
        </w:rPr>
      </w:pPr>
    </w:p>
    <w:p>
      <w:pPr>
        <w:spacing w:after="0"/>
        <w:rPr>
          <w:sz w:val="20"/>
          <w:szCs w:val="20"/>
          <w:color w:val="auto"/>
        </w:rPr>
      </w:pPr>
      <w:r>
        <w:rPr>
          <w:rFonts w:ascii="Arial" w:cs="Arial" w:eastAsia="Arial" w:hAnsi="Arial"/>
          <w:sz w:val="16"/>
          <w:szCs w:val="16"/>
          <w:color w:val="auto"/>
        </w:rPr>
        <w:t>. The transfer agent and registrar’s</w:t>
      </w:r>
    </w:p>
    <w:p>
      <w:pPr>
        <w:spacing w:after="0" w:line="493" w:lineRule="exact"/>
        <w:rPr>
          <w:sz w:val="20"/>
          <w:szCs w:val="20"/>
          <w:color w:val="auto"/>
        </w:rPr>
      </w:pPr>
    </w:p>
    <w:p>
      <w:pPr>
        <w:sectPr>
          <w:pgSz w:w="11900" w:h="16838" w:orient="portrait"/>
          <w:cols w:equalWidth="0" w:num="2">
            <w:col w:w="7900" w:space="580"/>
            <w:col w:w="2760"/>
          </w:cols>
          <w:pgMar w:left="320" w:top="459" w:right="339" w:bottom="1440" w:gutter="0" w:footer="0" w:header="0"/>
          <w:type w:val="continuous"/>
        </w:sectPr>
      </w:pPr>
    </w:p>
    <w:p>
      <w:pPr>
        <w:spacing w:after="0" w:line="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Limitations of Liability and Indemnification</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6"/>
          <w:szCs w:val="16"/>
          <w:color w:val="auto"/>
        </w:rPr>
        <w:t>See the section titled “Certain Relationships and Related Party Transactions—Limitation of Liability and Indemnification of Officers and Directors.”</w:t>
      </w:r>
    </w:p>
    <w:p>
      <w:pPr>
        <w:spacing w:after="0" w:line="3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Listing</w:t>
      </w:r>
    </w:p>
    <w:p>
      <w:pPr>
        <w:spacing w:after="0" w:line="121" w:lineRule="exact"/>
        <w:rPr>
          <w:sz w:val="20"/>
          <w:szCs w:val="20"/>
          <w:color w:val="auto"/>
        </w:rPr>
      </w:pPr>
    </w:p>
    <w:p>
      <w:pPr>
        <w:ind w:left="460"/>
        <w:spacing w:after="0"/>
        <w:tabs>
          <w:tab w:leader="none" w:pos="5840" w:val="left"/>
        </w:tabs>
        <w:rPr>
          <w:sz w:val="20"/>
          <w:szCs w:val="20"/>
          <w:color w:val="auto"/>
        </w:rPr>
      </w:pPr>
      <w:r>
        <w:rPr>
          <w:rFonts w:ascii="Arial" w:cs="Arial" w:eastAsia="Arial" w:hAnsi="Arial"/>
          <w:sz w:val="18"/>
          <w:szCs w:val="18"/>
          <w:color w:val="auto"/>
        </w:rPr>
        <w:t>We intend to apply for the listing of our Class A common stock on</w:t>
      </w:r>
      <w:r>
        <w:rPr>
          <w:sz w:val="20"/>
          <w:szCs w:val="20"/>
          <w:color w:val="auto"/>
        </w:rPr>
        <w:tab/>
      </w:r>
      <w:r>
        <w:rPr>
          <w:rFonts w:ascii="Arial" w:cs="Arial" w:eastAsia="Arial" w:hAnsi="Arial"/>
          <w:sz w:val="17"/>
          <w:szCs w:val="17"/>
          <w:color w:val="auto"/>
        </w:rPr>
        <w:t>under the symbol “DBX”.</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138</w:t>
      </w:r>
    </w:p>
    <w:p>
      <w:pPr>
        <w:sectPr>
          <w:pgSz w:w="11900" w:h="16838" w:orient="portrait"/>
          <w:cols w:equalWidth="0" w:num="1">
            <w:col w:w="11240"/>
          </w:cols>
          <w:pgMar w:left="320" w:top="459" w:right="339" w:bottom="1440" w:gutter="0" w:footer="0" w:header="0"/>
          <w:type w:val="continuous"/>
        </w:sectPr>
      </w:pPr>
    </w:p>
    <w:bookmarkStart w:id="141" w:name="page142"/>
    <w:bookmarkEnd w:id="14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SHARES ELIGIBLE FOR FUTURE SALE</w:t>
      </w:r>
    </w:p>
    <w:p>
      <w:pPr>
        <w:spacing w:after="0" w:line="229" w:lineRule="exact"/>
        <w:rPr>
          <w:sz w:val="20"/>
          <w:szCs w:val="20"/>
          <w:color w:val="auto"/>
        </w:rPr>
      </w:pPr>
    </w:p>
    <w:p>
      <w:pPr>
        <w:ind w:right="120" w:firstLine="449"/>
        <w:spacing w:after="0" w:line="272" w:lineRule="auto"/>
        <w:rPr>
          <w:sz w:val="20"/>
          <w:szCs w:val="20"/>
          <w:color w:val="auto"/>
        </w:rPr>
      </w:pPr>
      <w:r>
        <w:rPr>
          <w:rFonts w:ascii="Arial" w:cs="Arial" w:eastAsia="Arial" w:hAnsi="Arial"/>
          <w:sz w:val="17"/>
          <w:szCs w:val="17"/>
          <w:color w:val="auto"/>
        </w:rPr>
        <w:t>Prior to this offering, there has been no public market for our Class A common stock, and we cannot predict the effect, if any, that market sales of shares of our Class A common stock or the availability of shares of our Class A common stock for sale will have on the market price of our Class A common stock prevailing from time to time. Future sales of our common stock in the public market, or the availability of such shares for sale in the public market, could adversely affect market prices prevailing from time to time. As described below, only a limited number of shares of our Class A common stock will be available for sale shortly after this offering due to contractual and legal restrictions on resale. Nevertheless, sales of our Class A common stock in the public market after such restrictions lapse, or the perception that those sales may occur, could adversely affect the prevailing market price at such time and our ability to raise equity capital in the future.</w:t>
      </w:r>
    </w:p>
    <w:p>
      <w:pPr>
        <w:spacing w:after="0" w:line="177" w:lineRule="exact"/>
        <w:rPr>
          <w:sz w:val="20"/>
          <w:szCs w:val="20"/>
          <w:color w:val="auto"/>
        </w:rPr>
      </w:pPr>
    </w:p>
    <w:p>
      <w:pPr>
        <w:ind w:left="460"/>
        <w:spacing w:after="0"/>
        <w:rPr>
          <w:sz w:val="20"/>
          <w:szCs w:val="20"/>
          <w:color w:val="auto"/>
        </w:rPr>
      </w:pPr>
      <w:r>
        <w:rPr>
          <w:rFonts w:ascii="Arial" w:cs="Arial" w:eastAsia="Arial" w:hAnsi="Arial"/>
          <w:sz w:val="16"/>
          <w:szCs w:val="16"/>
          <w:color w:val="auto"/>
        </w:rPr>
        <w:t>Following the completion of this offering, based on the number of shares of our capital stock outstanding as of September 30, 2017, we will have a</w:t>
      </w:r>
    </w:p>
    <w:p>
      <w:pPr>
        <w:spacing w:after="0" w:line="46" w:lineRule="exact"/>
        <w:rPr>
          <w:sz w:val="20"/>
          <w:szCs w:val="20"/>
          <w:color w:val="auto"/>
        </w:rPr>
      </w:pPr>
    </w:p>
    <w:p>
      <w:pPr>
        <w:spacing w:after="0" w:line="250" w:lineRule="auto"/>
        <w:rPr>
          <w:sz w:val="20"/>
          <w:szCs w:val="20"/>
          <w:color w:val="auto"/>
        </w:rPr>
      </w:pPr>
      <w:r>
        <w:rPr>
          <w:rFonts w:ascii="Arial" w:cs="Arial" w:eastAsia="Arial" w:hAnsi="Arial"/>
          <w:sz w:val="18"/>
          <w:szCs w:val="18"/>
          <w:color w:val="auto"/>
        </w:rPr>
        <w:t>total of shares of our Class A common stock outstanding and shares of our Class B common stock outstanding. Of these outstanding shares, all shares of our Class A common stock sold in this offering will be freely tradable, except that any shares purchased in this offering by our</w:t>
      </w:r>
    </w:p>
    <w:p>
      <w:pPr>
        <w:spacing w:after="0" w:line="1" w:lineRule="exact"/>
        <w:rPr>
          <w:sz w:val="20"/>
          <w:szCs w:val="20"/>
          <w:color w:val="auto"/>
        </w:rPr>
      </w:pPr>
    </w:p>
    <w:p>
      <w:pPr>
        <w:ind w:right="120"/>
        <w:spacing w:after="0" w:line="260" w:lineRule="auto"/>
        <w:rPr>
          <w:sz w:val="20"/>
          <w:szCs w:val="20"/>
          <w:color w:val="auto"/>
        </w:rPr>
      </w:pPr>
      <w:r>
        <w:rPr>
          <w:rFonts w:ascii="Arial" w:cs="Arial" w:eastAsia="Arial" w:hAnsi="Arial"/>
          <w:sz w:val="18"/>
          <w:szCs w:val="18"/>
          <w:color w:val="auto"/>
        </w:rPr>
        <w:t>affiliates, as that term is defined in Rule 144 under the Securities Act, would only be able to be sold in compliance with the Rule 144 limitations described below.</w:t>
      </w:r>
    </w:p>
    <w:p>
      <w:pPr>
        <w:spacing w:after="0" w:line="185" w:lineRule="exact"/>
        <w:rPr>
          <w:sz w:val="20"/>
          <w:szCs w:val="20"/>
          <w:color w:val="auto"/>
        </w:rPr>
      </w:pPr>
    </w:p>
    <w:p>
      <w:pPr>
        <w:ind w:right="380" w:firstLine="449"/>
        <w:spacing w:after="0" w:line="296" w:lineRule="auto"/>
        <w:rPr>
          <w:sz w:val="20"/>
          <w:szCs w:val="20"/>
          <w:color w:val="auto"/>
        </w:rPr>
      </w:pPr>
      <w:r>
        <w:rPr>
          <w:rFonts w:ascii="Arial" w:cs="Arial" w:eastAsia="Arial" w:hAnsi="Arial"/>
          <w:sz w:val="16"/>
          <w:szCs w:val="16"/>
          <w:color w:val="auto"/>
        </w:rPr>
        <w:t>The remaining outstanding shares of our common stock will be deemed “restricted securities” as defined in Rule 144 under the Securities Act. Restricted securities may be sold in the public market only if they are registered under the Securities Act or if they qualify for an exemption from registration under Rule 144 or Rule 701 under the Securities Act, which rules are summarized below. As a result of the lock-up and market standoff agreements described below and the provisions of our IRA described under the section titled “Description of Capital Stock—Registration Rights,” and subject to the provisions of Rule 144 or Rule 701, shares of our Class A common stock will be available for sale in the public market as follows:</w:t>
      </w:r>
    </w:p>
    <w:p>
      <w:pPr>
        <w:sectPr>
          <w:pgSz w:w="11900" w:h="16838" w:orient="portrait"/>
          <w:cols w:equalWidth="0" w:num="1">
            <w:col w:w="11240"/>
          </w:cols>
          <w:pgMar w:left="320" w:top="459" w:right="339" w:bottom="1440" w:gutter="0" w:footer="0" w:header="0"/>
        </w:sectPr>
      </w:pPr>
    </w:p>
    <w:p>
      <w:pPr>
        <w:spacing w:after="0" w:line="67" w:lineRule="exact"/>
        <w:rPr>
          <w:sz w:val="20"/>
          <w:szCs w:val="20"/>
          <w:color w:val="auto"/>
        </w:rPr>
      </w:pPr>
    </w:p>
    <w:p>
      <w:pPr>
        <w:ind w:left="560"/>
        <w:spacing w:after="0"/>
        <w:rPr>
          <w:sz w:val="20"/>
          <w:szCs w:val="20"/>
          <w:color w:val="auto"/>
        </w:rPr>
      </w:pPr>
      <w:r>
        <w:rPr>
          <w:rFonts w:ascii="Arial" w:cs="Arial" w:eastAsia="Arial" w:hAnsi="Arial"/>
          <w:sz w:val="17"/>
          <w:szCs w:val="17"/>
          <w:color w:val="auto"/>
        </w:rPr>
        <w:t>•</w:t>
      </w:r>
    </w:p>
    <w:p>
      <w:pPr>
        <w:spacing w:after="0" w:line="20" w:lineRule="exact"/>
        <w:rPr>
          <w:sz w:val="20"/>
          <w:szCs w:val="20"/>
          <w:color w:val="auto"/>
        </w:rPr>
      </w:pPr>
      <w:r>
        <w:rPr>
          <w:sz w:val="20"/>
          <w:szCs w:val="20"/>
          <w:color w:val="auto"/>
        </w:rPr>
        <w:br w:type="column"/>
      </w:r>
    </w:p>
    <w:p>
      <w:pPr>
        <w:spacing w:after="0" w:line="47" w:lineRule="exact"/>
        <w:rPr>
          <w:sz w:val="20"/>
          <w:szCs w:val="20"/>
          <w:color w:val="auto"/>
        </w:rPr>
      </w:pPr>
    </w:p>
    <w:p>
      <w:pPr>
        <w:spacing w:after="0" w:line="308" w:lineRule="auto"/>
        <w:rPr>
          <w:sz w:val="20"/>
          <w:szCs w:val="20"/>
          <w:color w:val="auto"/>
        </w:rPr>
      </w:pPr>
      <w:r>
        <w:rPr>
          <w:rFonts w:ascii="Arial" w:cs="Arial" w:eastAsia="Arial" w:hAnsi="Arial"/>
          <w:sz w:val="17"/>
          <w:szCs w:val="17"/>
          <w:color w:val="auto"/>
        </w:rPr>
        <w:t>beginning on the date of this prospectus, all sale in the public market; and</w:t>
      </w:r>
    </w:p>
    <w:p>
      <w:pPr>
        <w:spacing w:after="0" w:line="20" w:lineRule="exact"/>
        <w:rPr>
          <w:sz w:val="20"/>
          <w:szCs w:val="20"/>
          <w:color w:val="auto"/>
        </w:rPr>
      </w:pPr>
      <w:r>
        <w:rPr>
          <w:sz w:val="20"/>
          <w:szCs w:val="20"/>
          <w:color w:val="auto"/>
        </w:rPr>
        <w:br w:type="column"/>
      </w:r>
    </w:p>
    <w:p>
      <w:pPr>
        <w:spacing w:after="0" w:line="47" w:lineRule="exact"/>
        <w:rPr>
          <w:sz w:val="20"/>
          <w:szCs w:val="20"/>
          <w:color w:val="auto"/>
        </w:rPr>
      </w:pPr>
    </w:p>
    <w:p>
      <w:pPr>
        <w:spacing w:after="0"/>
        <w:rPr>
          <w:sz w:val="20"/>
          <w:szCs w:val="20"/>
          <w:color w:val="auto"/>
        </w:rPr>
      </w:pPr>
      <w:r>
        <w:rPr>
          <w:rFonts w:ascii="Arial" w:cs="Arial" w:eastAsia="Arial" w:hAnsi="Arial"/>
          <w:sz w:val="16"/>
          <w:szCs w:val="16"/>
          <w:color w:val="auto"/>
        </w:rPr>
        <w:t>shares of our Class A common stock sold in this offering will be immediately available for</w:t>
      </w:r>
    </w:p>
    <w:p>
      <w:pPr>
        <w:spacing w:after="0" w:line="369" w:lineRule="exact"/>
        <w:rPr>
          <w:sz w:val="20"/>
          <w:szCs w:val="20"/>
          <w:color w:val="auto"/>
        </w:rPr>
      </w:pPr>
    </w:p>
    <w:p>
      <w:pPr>
        <w:sectPr>
          <w:pgSz w:w="11900" w:h="16838" w:orient="portrait"/>
          <w:cols w:equalWidth="0" w:num="3">
            <w:col w:w="620" w:space="260"/>
            <w:col w:w="3140" w:space="640"/>
            <w:col w:w="6580"/>
          </w:cols>
          <w:pgMar w:left="320" w:top="459" w:right="339" w:bottom="1440" w:gutter="0" w:footer="0" w:header="0"/>
          <w:type w:val="continuous"/>
        </w:sectPr>
      </w:pPr>
    </w:p>
    <w:p>
      <w:pPr>
        <w:ind w:left="880" w:hanging="319"/>
        <w:spacing w:after="0"/>
        <w:tabs>
          <w:tab w:leader="none" w:pos="880" w:val="left"/>
        </w:tabs>
        <w:numPr>
          <w:ilvl w:val="0"/>
          <w:numId w:val="90"/>
        </w:numPr>
        <w:rPr>
          <w:rFonts w:ascii="Arial" w:cs="Arial" w:eastAsia="Arial" w:hAnsi="Arial"/>
          <w:sz w:val="16"/>
          <w:szCs w:val="16"/>
          <w:color w:val="auto"/>
        </w:rPr>
      </w:pPr>
      <w:r>
        <w:rPr>
          <w:rFonts w:ascii="Arial" w:cs="Arial" w:eastAsia="Arial" w:hAnsi="Arial"/>
          <w:sz w:val="16"/>
          <w:szCs w:val="16"/>
          <w:color w:val="auto"/>
        </w:rPr>
        <w:t>beginning 181 days after the date of this prospectus (subject to the terms of the lock-up and market standoff agreements described below)</w:t>
      </w:r>
    </w:p>
    <w:p>
      <w:pPr>
        <w:sectPr>
          <w:pgSz w:w="11900" w:h="16838" w:orient="portrait"/>
          <w:cols w:equalWidth="0" w:num="1">
            <w:col w:w="11240"/>
          </w:cols>
          <w:pgMar w:left="320" w:top="459" w:right="339" w:bottom="1440" w:gutter="0" w:footer="0" w:header="0"/>
          <w:type w:val="continuous"/>
        </w:sectPr>
      </w:pPr>
    </w:p>
    <w:p>
      <w:pPr>
        <w:spacing w:after="0" w:line="46" w:lineRule="exact"/>
        <w:rPr>
          <w:sz w:val="20"/>
          <w:szCs w:val="20"/>
          <w:color w:val="auto"/>
        </w:rPr>
      </w:pPr>
    </w:p>
    <w:p>
      <w:pPr>
        <w:ind w:left="880" w:right="60" w:firstLine="585"/>
        <w:spacing w:after="0" w:line="260" w:lineRule="auto"/>
        <w:rPr>
          <w:sz w:val="20"/>
          <w:szCs w:val="20"/>
          <w:color w:val="auto"/>
        </w:rPr>
      </w:pPr>
      <w:r>
        <w:rPr>
          <w:rFonts w:ascii="Arial" w:cs="Arial" w:eastAsia="Arial" w:hAnsi="Arial"/>
          <w:sz w:val="18"/>
          <w:szCs w:val="18"/>
          <w:color w:val="auto"/>
        </w:rPr>
        <w:t>additional shares will become eligible for sale in the public market, of which shares will be held by affiliates and subject to the volume and other restrictions of Rule 144, as described below.</w:t>
      </w:r>
    </w:p>
    <w:p>
      <w:pPr>
        <w:sectPr>
          <w:pgSz w:w="11900" w:h="16838" w:orient="portrait"/>
          <w:cols w:equalWidth="0" w:num="1">
            <w:col w:w="11240"/>
          </w:cols>
          <w:pgMar w:left="320" w:top="459" w:right="339" w:bottom="1440" w:gutter="0" w:footer="0" w:header="0"/>
          <w:type w:val="continuous"/>
        </w:sectPr>
      </w:pP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Lock-Up and Market Standoff Agreements</w:t>
      </w:r>
    </w:p>
    <w:p>
      <w:pPr>
        <w:spacing w:after="0" w:line="121" w:lineRule="exact"/>
        <w:rPr>
          <w:sz w:val="20"/>
          <w:szCs w:val="20"/>
          <w:color w:val="auto"/>
        </w:rPr>
      </w:pPr>
    </w:p>
    <w:p>
      <w:pPr>
        <w:ind w:right="100" w:firstLine="449"/>
        <w:spacing w:after="0" w:line="269" w:lineRule="auto"/>
        <w:rPr>
          <w:sz w:val="20"/>
          <w:szCs w:val="20"/>
          <w:color w:val="auto"/>
        </w:rPr>
      </w:pPr>
      <w:r>
        <w:rPr>
          <w:rFonts w:ascii="Arial" w:cs="Arial" w:eastAsia="Arial" w:hAnsi="Arial"/>
          <w:sz w:val="17"/>
          <w:szCs w:val="17"/>
          <w:color w:val="auto"/>
        </w:rPr>
        <w:t>Our executive officers, directors, and certain other holders of our capital stock and securities convertible into or exchangeable for our capital stock have agreed or will agree that, subject to certain exceptions, for a period of 180 days after the date of this prospectus, or lock-up period, we and they will not, without the prior written consent of Goldman Sachs &amp; Co. LLC and J.P. Morgan Securities LLC, dispose of or hedge any shares or any securities convertible into or exchangeable for shares of our capital stock; provided that if (i) at least 120 days have elapsed since the date of this prospectus, (ii) we have publicly released our earnings results for the quarterly period during which this offering occurred, and (iii) such lock-up period is scheduled to end during or within five trading days prior to a broadly applicable period during which trading in our securities would not be permitted under our insider trading policy, or a blackout period, such lock-up period will end ten trading days prior to the commencement of such blackout period. Goldman Sachs &amp; Co. LLC and J.P. Morgan Securities LLC may, in their discretion, release any of the securities subject to these lock-up agreements at any time. In addition, our executive officers, directors, and holders of our capital stock and securities convertible into or exchangeable for our capital stock have entered into market standoff agreements with us under which they have agreed that, subject to certain exceptions, for a period of 180 days after the date of this prospectus, they will not, without our prior written consent, dispose of or hedge any shares or any securities convertible into or exchangeable for shares of our common stock.</w:t>
      </w:r>
    </w:p>
    <w:p>
      <w:pPr>
        <w:spacing w:after="0" w:line="1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139</w:t>
      </w:r>
    </w:p>
    <w:p>
      <w:pPr>
        <w:sectPr>
          <w:pgSz w:w="11900" w:h="16838" w:orient="portrait"/>
          <w:cols w:equalWidth="0" w:num="1">
            <w:col w:w="11240"/>
          </w:cols>
          <w:pgMar w:left="320" w:top="459" w:right="339" w:bottom="1440" w:gutter="0" w:footer="0" w:header="0"/>
          <w:type w:val="continuous"/>
        </w:sectPr>
      </w:pPr>
    </w:p>
    <w:bookmarkStart w:id="142" w:name="page143"/>
    <w:bookmarkEnd w:id="14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right="20" w:firstLine="449"/>
        <w:spacing w:after="0" w:line="285" w:lineRule="auto"/>
        <w:rPr>
          <w:sz w:val="20"/>
          <w:szCs w:val="20"/>
          <w:color w:val="auto"/>
        </w:rPr>
      </w:pPr>
      <w:r>
        <w:rPr>
          <w:rFonts w:ascii="Arial" w:cs="Arial" w:eastAsia="Arial" w:hAnsi="Arial"/>
          <w:sz w:val="16"/>
          <w:szCs w:val="16"/>
          <w:color w:val="auto"/>
        </w:rPr>
        <w:t>In addition, we will enter into a lock-up agreement with the underwriters under which we will agree not to sell any of our stock for 180 days following the date of this prospectus, subject to certain exceptions including, but not limited to, our issuance of shares of common stock or certain other securities in connection with our acquisition of the securities, business, technology, property, or other assets of another person or entity or pursuant to an employee benefit plan that we assumed in connection with such acquisition, or our joint ventures, commercial relationships and other strategic transactions, provided that the aggregate number of shares of Class A common stock (including with respect to securities to be granted pursuant to any assumed</w:t>
      </w:r>
    </w:p>
    <w:p>
      <w:pPr>
        <w:spacing w:after="0" w:line="2" w:lineRule="exact"/>
        <w:rPr>
          <w:sz w:val="20"/>
          <w:szCs w:val="20"/>
          <w:color w:val="auto"/>
        </w:rPr>
      </w:pPr>
    </w:p>
    <w:p>
      <w:pPr>
        <w:ind w:right="280"/>
        <w:spacing w:after="0" w:line="253" w:lineRule="auto"/>
        <w:rPr>
          <w:sz w:val="20"/>
          <w:szCs w:val="20"/>
          <w:color w:val="auto"/>
        </w:rPr>
      </w:pPr>
      <w:r>
        <w:rPr>
          <w:rFonts w:ascii="Arial" w:cs="Arial" w:eastAsia="Arial" w:hAnsi="Arial"/>
          <w:sz w:val="18"/>
          <w:szCs w:val="18"/>
          <w:color w:val="auto"/>
        </w:rPr>
        <w:t>employee benefit plans covered by a registration statement on Form S-8) issued pursuant to this exception will not exceed % of the total number of shares of Class A common stock outstanding immediately following this offering, and provided that each recipient executes and delivers a lock-up agreement with substantially the same restrictions to which our executive officers, directors, and certain other holders of our capital stock and securities convertible into or exchangeable for our capital stock are subject.</w:t>
      </w:r>
    </w:p>
    <w:p>
      <w:pPr>
        <w:spacing w:after="0" w:line="29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Rule 144</w:t>
      </w:r>
    </w:p>
    <w:p>
      <w:pPr>
        <w:spacing w:after="0" w:line="121" w:lineRule="exact"/>
        <w:rPr>
          <w:sz w:val="20"/>
          <w:szCs w:val="20"/>
          <w:color w:val="auto"/>
        </w:rPr>
      </w:pPr>
    </w:p>
    <w:p>
      <w:pPr>
        <w:ind w:firstLine="449"/>
        <w:spacing w:after="0" w:line="254" w:lineRule="auto"/>
        <w:rPr>
          <w:sz w:val="20"/>
          <w:szCs w:val="20"/>
          <w:color w:val="auto"/>
        </w:rPr>
      </w:pPr>
      <w:r>
        <w:rPr>
          <w:rFonts w:ascii="Arial" w:cs="Arial" w:eastAsia="Arial" w:hAnsi="Arial"/>
          <w:sz w:val="18"/>
          <w:szCs w:val="18"/>
          <w:color w:val="auto"/>
        </w:rPr>
        <w:t>In general, Rule 144 provides that once we have been subject to the public company reporting requirements of Section 13 or Section 15(d) of the Exchange Act for at least 90 days, a person who is not deemed to have been one of our affiliates for purposes of the Securities Act at any time during the 90 days preceding a sale and who has beneficially owned the shares of our Class A common stock proposed to be sold for at least six months is entitled to sell those shares without complying with the manner of sale, volume limitation, or notice provisions of Rule 144, subject to compliance with the public information requirements of Rule 144. If such a person has beneficially owned the shares proposed to be sold for at least one year, including the holding period of any prior owner other than our affiliates, then that person would be entitled to sell those shares without complying with any of the requirements of Rule 144.</w:t>
      </w:r>
    </w:p>
    <w:p>
      <w:pPr>
        <w:spacing w:after="0" w:line="195" w:lineRule="exact"/>
        <w:rPr>
          <w:sz w:val="20"/>
          <w:szCs w:val="20"/>
          <w:color w:val="auto"/>
        </w:rPr>
      </w:pPr>
    </w:p>
    <w:p>
      <w:pPr>
        <w:ind w:right="200" w:firstLine="449"/>
        <w:spacing w:after="0" w:line="263" w:lineRule="auto"/>
        <w:rPr>
          <w:sz w:val="20"/>
          <w:szCs w:val="20"/>
          <w:color w:val="auto"/>
        </w:rPr>
      </w:pPr>
      <w:r>
        <w:rPr>
          <w:rFonts w:ascii="Arial" w:cs="Arial" w:eastAsia="Arial" w:hAnsi="Arial"/>
          <w:sz w:val="18"/>
          <w:szCs w:val="18"/>
          <w:color w:val="auto"/>
        </w:rPr>
        <w:t>In general, Rule 144 provides that our affiliates or persons selling shares of our Class A common stock on behalf of our affiliates are entitled to sell upon expiration of the market standoff agreements and lock-up agreements described above, within any three-month period, a number of shares of our Class A common stock that does not exceed the greater of:</w:t>
      </w:r>
    </w:p>
    <w:p>
      <w:pPr>
        <w:sectPr>
          <w:pgSz w:w="11900" w:h="16838" w:orient="portrait"/>
          <w:cols w:equalWidth="0" w:num="1">
            <w:col w:w="11240"/>
          </w:cols>
          <w:pgMar w:left="320" w:top="459" w:right="339" w:bottom="1440" w:gutter="0" w:footer="0" w:header="0"/>
        </w:sectPr>
      </w:pPr>
    </w:p>
    <w:p>
      <w:pPr>
        <w:spacing w:after="0" w:line="89" w:lineRule="exact"/>
        <w:rPr>
          <w:sz w:val="20"/>
          <w:szCs w:val="20"/>
          <w:color w:val="auto"/>
        </w:rPr>
      </w:pPr>
    </w:p>
    <w:p>
      <w:pPr>
        <w:ind w:left="560"/>
        <w:spacing w:after="0"/>
        <w:rPr>
          <w:sz w:val="20"/>
          <w:szCs w:val="20"/>
          <w:color w:val="auto"/>
        </w:rPr>
      </w:pPr>
      <w:r>
        <w:rPr>
          <w:rFonts w:ascii="Arial" w:cs="Arial" w:eastAsia="Arial" w:hAnsi="Arial"/>
          <w:sz w:val="17"/>
          <w:szCs w:val="17"/>
          <w:color w:val="auto"/>
        </w:rPr>
        <w:t>•</w:t>
      </w:r>
    </w:p>
    <w:p>
      <w:pPr>
        <w:spacing w:after="0" w:line="20" w:lineRule="exact"/>
        <w:rPr>
          <w:sz w:val="20"/>
          <w:szCs w:val="20"/>
          <w:color w:val="auto"/>
        </w:rPr>
      </w:pPr>
      <w:r>
        <w:rPr>
          <w:sz w:val="20"/>
          <w:szCs w:val="20"/>
          <w:color w:val="auto"/>
        </w:rPr>
        <w:br w:type="column"/>
      </w:r>
    </w:p>
    <w:p>
      <w:pPr>
        <w:spacing w:after="0" w:line="6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1% of the number of shares of our Class A common stock then outstanding, which will equal of this offering; or</w:t>
      </w:r>
    </w:p>
    <w:p>
      <w:pPr>
        <w:spacing w:after="0" w:line="20" w:lineRule="exact"/>
        <w:rPr>
          <w:sz w:val="20"/>
          <w:szCs w:val="20"/>
          <w:color w:val="auto"/>
        </w:rPr>
      </w:pPr>
      <w:r>
        <w:rPr>
          <w:sz w:val="20"/>
          <w:szCs w:val="20"/>
          <w:color w:val="auto"/>
        </w:rPr>
        <w:br w:type="column"/>
      </w:r>
    </w:p>
    <w:p>
      <w:pPr>
        <w:spacing w:after="0" w:line="69" w:lineRule="exact"/>
        <w:rPr>
          <w:sz w:val="20"/>
          <w:szCs w:val="20"/>
          <w:color w:val="auto"/>
        </w:rPr>
      </w:pPr>
    </w:p>
    <w:p>
      <w:pPr>
        <w:spacing w:after="0"/>
        <w:rPr>
          <w:sz w:val="20"/>
          <w:szCs w:val="20"/>
          <w:color w:val="auto"/>
        </w:rPr>
      </w:pPr>
      <w:r>
        <w:rPr>
          <w:rFonts w:ascii="Arial" w:cs="Arial" w:eastAsia="Arial" w:hAnsi="Arial"/>
          <w:sz w:val="16"/>
          <w:szCs w:val="16"/>
          <w:color w:val="auto"/>
        </w:rPr>
        <w:t>shares immediately after the completion</w:t>
      </w:r>
    </w:p>
    <w:p>
      <w:pPr>
        <w:spacing w:after="0" w:line="369" w:lineRule="exact"/>
        <w:rPr>
          <w:sz w:val="20"/>
          <w:szCs w:val="20"/>
          <w:color w:val="auto"/>
        </w:rPr>
      </w:pPr>
    </w:p>
    <w:p>
      <w:pPr>
        <w:sectPr>
          <w:pgSz w:w="11900" w:h="16838" w:orient="portrait"/>
          <w:cols w:equalWidth="0" w:num="3">
            <w:col w:w="620" w:space="260"/>
            <w:col w:w="6700" w:space="620"/>
            <w:col w:w="3040"/>
          </w:cols>
          <w:pgMar w:left="320" w:top="459" w:right="339" w:bottom="1440" w:gutter="0" w:footer="0" w:header="0"/>
          <w:type w:val="continuous"/>
        </w:sectPr>
      </w:pPr>
    </w:p>
    <w:p>
      <w:pPr>
        <w:ind w:left="880" w:right="140" w:hanging="319"/>
        <w:spacing w:after="0" w:line="277" w:lineRule="auto"/>
        <w:tabs>
          <w:tab w:leader="none" w:pos="880" w:val="left"/>
        </w:tabs>
        <w:numPr>
          <w:ilvl w:val="0"/>
          <w:numId w:val="91"/>
        </w:numPr>
        <w:rPr>
          <w:rFonts w:ascii="Arial" w:cs="Arial" w:eastAsia="Arial" w:hAnsi="Arial"/>
          <w:sz w:val="18"/>
          <w:szCs w:val="18"/>
          <w:color w:val="auto"/>
        </w:rPr>
      </w:pPr>
      <w:r>
        <w:rPr>
          <w:rFonts w:ascii="Arial" w:cs="Arial" w:eastAsia="Arial" w:hAnsi="Arial"/>
          <w:sz w:val="18"/>
          <w:szCs w:val="18"/>
          <w:color w:val="auto"/>
        </w:rPr>
        <w:t>the average weekly trading volume of our Class A common stock during the four calendar weeks preceding the filing of a notice on Form 144 with respect to that sale.</w:t>
      </w:r>
    </w:p>
    <w:p>
      <w:pPr>
        <w:spacing w:after="0" w:line="170" w:lineRule="exact"/>
        <w:rPr>
          <w:sz w:val="20"/>
          <w:szCs w:val="20"/>
          <w:color w:val="auto"/>
        </w:rPr>
      </w:pPr>
    </w:p>
    <w:p>
      <w:pPr>
        <w:ind w:right="80" w:firstLine="449"/>
        <w:spacing w:after="0" w:line="342" w:lineRule="auto"/>
        <w:rPr>
          <w:sz w:val="20"/>
          <w:szCs w:val="20"/>
          <w:color w:val="auto"/>
        </w:rPr>
      </w:pPr>
      <w:r>
        <w:rPr>
          <w:rFonts w:ascii="Arial" w:cs="Arial" w:eastAsia="Arial" w:hAnsi="Arial"/>
          <w:sz w:val="16"/>
          <w:szCs w:val="16"/>
          <w:color w:val="auto"/>
        </w:rPr>
        <w:t>Sales of Class A common stock made in reliance upon Rule 144 by our affiliates or persons selling shares of our Class A common stock on behalf of our affiliates are also subject to certain manner of sale provisions and notice requirements and to the availability of current public information about us.</w:t>
      </w: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Rule 701</w:t>
      </w:r>
    </w:p>
    <w:p>
      <w:pPr>
        <w:spacing w:after="0" w:line="121" w:lineRule="exact"/>
        <w:rPr>
          <w:sz w:val="20"/>
          <w:szCs w:val="20"/>
          <w:color w:val="auto"/>
        </w:rPr>
      </w:pPr>
    </w:p>
    <w:p>
      <w:pPr>
        <w:ind w:right="80" w:firstLine="449"/>
        <w:spacing w:after="0" w:line="296" w:lineRule="auto"/>
        <w:rPr>
          <w:sz w:val="20"/>
          <w:szCs w:val="20"/>
          <w:color w:val="auto"/>
        </w:rPr>
      </w:pPr>
      <w:r>
        <w:rPr>
          <w:rFonts w:ascii="Arial" w:cs="Arial" w:eastAsia="Arial" w:hAnsi="Arial"/>
          <w:sz w:val="16"/>
          <w:szCs w:val="16"/>
          <w:color w:val="auto"/>
        </w:rPr>
        <w:t>Rule 701 generally allows a stockholder who purchased shares of our capital stock pursuant to a written compensatory plan or contract and who is not deemed to have been an affiliate of our company during the immediately preceding 90 days to sell these shares in reliance upon Rule 144, but without being required to comply with the public information, holding period, volume limitation, or notice provisions of Rule 144. Rule 701 also permits affiliates of our company to sell their Rule 701 shares under Rule 144 without complying with the holding period requirements of Rule 144. All holders of Rule 701 shares, however, are required to wait until 90 days after the date of this prospectus before selling those shares pursuant to Rule 701.</w:t>
      </w:r>
    </w:p>
    <w:p>
      <w:pPr>
        <w:spacing w:after="0" w:line="2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Registration Rights</w:t>
      </w:r>
    </w:p>
    <w:p>
      <w:pPr>
        <w:sectPr>
          <w:pgSz w:w="11900" w:h="16838" w:orient="portrait"/>
          <w:cols w:equalWidth="0" w:num="1">
            <w:col w:w="11240"/>
          </w:cols>
          <w:pgMar w:left="320" w:top="459" w:right="339" w:bottom="1440" w:gutter="0" w:footer="0" w:header="0"/>
          <w:type w:val="continuous"/>
        </w:sectPr>
      </w:pPr>
    </w:p>
    <w:p>
      <w:pPr>
        <w:spacing w:after="0" w:line="121" w:lineRule="exact"/>
        <w:rPr>
          <w:sz w:val="20"/>
          <w:szCs w:val="20"/>
          <w:color w:val="auto"/>
        </w:rPr>
      </w:pPr>
    </w:p>
    <w:p>
      <w:pPr>
        <w:ind w:firstLine="449"/>
        <w:spacing w:after="0" w:line="308" w:lineRule="auto"/>
        <w:rPr>
          <w:sz w:val="20"/>
          <w:szCs w:val="20"/>
          <w:color w:val="auto"/>
        </w:rPr>
      </w:pPr>
      <w:r>
        <w:rPr>
          <w:rFonts w:ascii="Arial" w:cs="Arial" w:eastAsia="Arial" w:hAnsi="Arial"/>
          <w:sz w:val="17"/>
          <w:szCs w:val="17"/>
          <w:color w:val="auto"/>
        </w:rPr>
        <w:t>Pursuant to our IRA, after the completion of this offering, the holders of up to will be entitled to certain rights with respect to the registration of the offer</w:t>
      </w:r>
    </w:p>
    <w:p>
      <w:pPr>
        <w:spacing w:after="0" w:line="20" w:lineRule="exact"/>
        <w:rPr>
          <w:sz w:val="20"/>
          <w:szCs w:val="20"/>
          <w:color w:val="auto"/>
        </w:rPr>
      </w:pPr>
      <w:r>
        <w:rPr>
          <w:sz w:val="20"/>
          <w:szCs w:val="20"/>
          <w:color w:val="auto"/>
        </w:rPr>
        <w:br w:type="column"/>
      </w:r>
    </w:p>
    <w:p>
      <w:pPr>
        <w:spacing w:after="0" w:line="101" w:lineRule="exact"/>
        <w:rPr>
          <w:sz w:val="20"/>
          <w:szCs w:val="20"/>
          <w:color w:val="auto"/>
        </w:rPr>
      </w:pPr>
    </w:p>
    <w:p>
      <w:pPr>
        <w:spacing w:after="0"/>
        <w:rPr>
          <w:sz w:val="20"/>
          <w:szCs w:val="20"/>
          <w:color w:val="auto"/>
        </w:rPr>
      </w:pPr>
      <w:r>
        <w:rPr>
          <w:rFonts w:ascii="Arial" w:cs="Arial" w:eastAsia="Arial" w:hAnsi="Arial"/>
          <w:sz w:val="16"/>
          <w:szCs w:val="16"/>
          <w:color w:val="auto"/>
        </w:rPr>
        <w:t>shares of our Class B common stock, or certain transferees,</w:t>
      </w:r>
    </w:p>
    <w:p>
      <w:pPr>
        <w:spacing w:after="0" w:line="396" w:lineRule="exact"/>
        <w:rPr>
          <w:sz w:val="20"/>
          <w:szCs w:val="20"/>
          <w:color w:val="auto"/>
        </w:rPr>
      </w:pPr>
    </w:p>
    <w:p>
      <w:pPr>
        <w:sectPr>
          <w:pgSz w:w="11900" w:h="16838" w:orient="portrait"/>
          <w:cols w:equalWidth="0" w:num="2">
            <w:col w:w="6060" w:space="640"/>
            <w:col w:w="4540"/>
          </w:cols>
          <w:pgMar w:left="320" w:top="459" w:right="339" w:bottom="1440" w:gutter="0" w:footer="0" w:header="0"/>
          <w:type w:val="continuous"/>
        </w:sectPr>
      </w:pPr>
    </w:p>
    <w:p>
      <w:pPr>
        <w:jc w:val="center"/>
        <w:spacing w:after="0"/>
        <w:rPr>
          <w:sz w:val="20"/>
          <w:szCs w:val="20"/>
          <w:color w:val="auto"/>
        </w:rPr>
      </w:pPr>
      <w:r>
        <w:rPr>
          <w:rFonts w:ascii="Arial" w:cs="Arial" w:eastAsia="Arial" w:hAnsi="Arial"/>
          <w:sz w:val="16"/>
          <w:szCs w:val="16"/>
          <w:color w:val="auto"/>
        </w:rPr>
        <w:t>140</w:t>
      </w:r>
    </w:p>
    <w:p>
      <w:pPr>
        <w:sectPr>
          <w:pgSz w:w="11900" w:h="16838" w:orient="portrait"/>
          <w:cols w:equalWidth="0" w:num="1">
            <w:col w:w="11240"/>
          </w:cols>
          <w:pgMar w:left="320" w:top="459" w:right="339" w:bottom="1440" w:gutter="0" w:footer="0" w:header="0"/>
          <w:type w:val="continuous"/>
        </w:sectPr>
      </w:pPr>
    </w:p>
    <w:bookmarkStart w:id="143" w:name="page144"/>
    <w:bookmarkEnd w:id="14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right="60"/>
        <w:spacing w:after="0" w:line="279" w:lineRule="auto"/>
        <w:rPr>
          <w:sz w:val="20"/>
          <w:szCs w:val="20"/>
          <w:color w:val="auto"/>
        </w:rPr>
      </w:pPr>
      <w:r>
        <w:rPr>
          <w:rFonts w:ascii="Arial" w:cs="Arial" w:eastAsia="Arial" w:hAnsi="Arial"/>
          <w:sz w:val="17"/>
          <w:szCs w:val="17"/>
          <w:color w:val="auto"/>
        </w:rPr>
        <w:t>and sale of those shares, as converted into an equivalent number of shares of our Class A common stock upon such offer and sale, under the Securities Act. See the section titled “Description of Capital Stock—Registration Rights” for a description of these registration rights. If the offer and sale of these shares of our Class A common stock are registered, the shares will be freely tradable without restriction under the Securities Act, subject to the Rule 144 limitations applicable to affiliates, and a large number of shares may be sold into the public market.</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Registration Statement</w:t>
      </w:r>
    </w:p>
    <w:p>
      <w:pPr>
        <w:spacing w:after="0" w:line="121" w:lineRule="exact"/>
        <w:rPr>
          <w:sz w:val="20"/>
          <w:szCs w:val="20"/>
          <w:color w:val="auto"/>
        </w:rPr>
      </w:pPr>
    </w:p>
    <w:p>
      <w:pPr>
        <w:ind w:firstLine="449"/>
        <w:spacing w:after="0" w:line="255" w:lineRule="auto"/>
        <w:rPr>
          <w:sz w:val="20"/>
          <w:szCs w:val="20"/>
          <w:color w:val="auto"/>
        </w:rPr>
      </w:pPr>
      <w:r>
        <w:rPr>
          <w:rFonts w:ascii="Arial" w:cs="Arial" w:eastAsia="Arial" w:hAnsi="Arial"/>
          <w:sz w:val="18"/>
          <w:szCs w:val="18"/>
          <w:color w:val="auto"/>
        </w:rPr>
        <w:t>We intend to file a registration statement on Form S-8 under the Securities Act promptly after the completion of this offering to register shares of our common stock subject to RSUs and options outstanding, as well as reserved for future issuance, under our equity compensation plans. The registration statement on Form S-8 is expected to become effective immediately upon filing, and shares of our common stock covered by the registration statement will then become eligible for sale in the public market, subject to the Rule 144 limitations applicable to affiliates, vesting restrictions, and any applicable market standoff agreements and lock-up agreements. See the section titled “Executive Compensation—Employee Benefit and Stock Plans” for a description of our equity compensation plans.</w:t>
      </w:r>
    </w:p>
    <w:p>
      <w:pPr>
        <w:spacing w:after="0" w:line="12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141</w:t>
      </w:r>
    </w:p>
    <w:p>
      <w:pPr>
        <w:sectPr>
          <w:pgSz w:w="11900" w:h="16838" w:orient="portrait"/>
          <w:cols w:equalWidth="0" w:num="1">
            <w:col w:w="11220"/>
          </w:cols>
          <w:pgMar w:left="320" w:top="459" w:right="359" w:bottom="1440" w:gutter="0" w:footer="0" w:header="0"/>
        </w:sectPr>
      </w:pPr>
    </w:p>
    <w:bookmarkStart w:id="144" w:name="page145"/>
    <w:bookmarkEnd w:id="14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MATERIAL U.S. FEDERAL INCOME TAX CONSEQUENCES TO NON-U.S. HOLDERS OF OUR CLASS A COMMON STOCK</w:t>
      </w:r>
    </w:p>
    <w:p>
      <w:pPr>
        <w:spacing w:after="0" w:line="229" w:lineRule="exact"/>
        <w:rPr>
          <w:sz w:val="20"/>
          <w:szCs w:val="20"/>
          <w:color w:val="auto"/>
        </w:rPr>
      </w:pPr>
    </w:p>
    <w:p>
      <w:pPr>
        <w:ind w:right="60" w:firstLine="449"/>
        <w:spacing w:after="0" w:line="272" w:lineRule="auto"/>
        <w:rPr>
          <w:sz w:val="20"/>
          <w:szCs w:val="20"/>
          <w:color w:val="auto"/>
        </w:rPr>
      </w:pPr>
      <w:r>
        <w:rPr>
          <w:rFonts w:ascii="Arial" w:cs="Arial" w:eastAsia="Arial" w:hAnsi="Arial"/>
          <w:sz w:val="17"/>
          <w:szCs w:val="17"/>
          <w:color w:val="auto"/>
        </w:rPr>
        <w:t>The following is a summary of the material U.S. federal income tax consequences to certain non-U.S. holders (as defined below) of the ownership and disposition of our Class A common stock but does not purport to be a complete analysis of all the potential tax considerations relating thereto. This summary is based upon the provisions of the Internal Revenue Code of 1986, as amended, or the Code, Treasury Regulations promulgated thereunder, administrative rulings, and judicial decisions, all as of the date hereof. These authorities may be changed, possibly retroactively, so as to result in U.S. federal income tax consequences different from those set forth below. No ruling from the Internal Revenue Service, or the IRS, has been, or will be, sought with respect to the tax consequences discussed herein, and there can be no assurance that the IRS will not take a position contrary to the tax consequences discussed below or that any position taken by the IRS would not be sustained.</w:t>
      </w:r>
    </w:p>
    <w:p>
      <w:pPr>
        <w:spacing w:after="0" w:line="177" w:lineRule="exact"/>
        <w:rPr>
          <w:sz w:val="20"/>
          <w:szCs w:val="20"/>
          <w:color w:val="auto"/>
        </w:rPr>
      </w:pPr>
    </w:p>
    <w:p>
      <w:pPr>
        <w:ind w:right="140" w:firstLine="449"/>
        <w:spacing w:after="0" w:line="259" w:lineRule="auto"/>
        <w:rPr>
          <w:sz w:val="20"/>
          <w:szCs w:val="20"/>
          <w:color w:val="auto"/>
        </w:rPr>
      </w:pPr>
      <w:r>
        <w:rPr>
          <w:rFonts w:ascii="Arial" w:cs="Arial" w:eastAsia="Arial" w:hAnsi="Arial"/>
          <w:sz w:val="18"/>
          <w:szCs w:val="18"/>
          <w:color w:val="auto"/>
        </w:rPr>
        <w:t>This summary does not address the tax considerations arising under the laws of any non-U.S., state, or local jurisdiction, or under U.S. federal gift and estate tax laws, except to the limited extent set forth below. In addition, this discussion does not address the application of the Medicare contribution tax on net investment income or any tax considerations applicable to a non-U.S. holder’s particular circumstances or non-U.S. holders that may be subject to special tax rules, including, without limitation:</w:t>
      </w:r>
    </w:p>
    <w:p>
      <w:pPr>
        <w:spacing w:after="0" w:line="92" w:lineRule="exact"/>
        <w:rPr>
          <w:sz w:val="20"/>
          <w:szCs w:val="20"/>
          <w:color w:val="auto"/>
        </w:rPr>
      </w:pPr>
    </w:p>
    <w:p>
      <w:pPr>
        <w:ind w:left="880" w:right="200" w:hanging="319"/>
        <w:spacing w:after="0" w:line="277" w:lineRule="auto"/>
        <w:tabs>
          <w:tab w:leader="none" w:pos="880" w:val="left"/>
        </w:tabs>
        <w:numPr>
          <w:ilvl w:val="0"/>
          <w:numId w:val="92"/>
        </w:numPr>
        <w:rPr>
          <w:rFonts w:ascii="Arial" w:cs="Arial" w:eastAsia="Arial" w:hAnsi="Arial"/>
          <w:sz w:val="18"/>
          <w:szCs w:val="18"/>
          <w:color w:val="auto"/>
        </w:rPr>
      </w:pPr>
      <w:r>
        <w:rPr>
          <w:rFonts w:ascii="Arial" w:cs="Arial" w:eastAsia="Arial" w:hAnsi="Arial"/>
          <w:sz w:val="18"/>
          <w:szCs w:val="18"/>
          <w:color w:val="auto"/>
        </w:rPr>
        <w:t>banks, insurance companies or other financial institutions (except to the extent specifically set forth below), regulated investment companies, or real estate investment trusts;</w:t>
      </w:r>
    </w:p>
    <w:p>
      <w:pPr>
        <w:spacing w:after="0" w:line="75" w:lineRule="exact"/>
        <w:rPr>
          <w:rFonts w:ascii="Arial" w:cs="Arial" w:eastAsia="Arial" w:hAnsi="Arial"/>
          <w:sz w:val="18"/>
          <w:szCs w:val="18"/>
          <w:color w:val="auto"/>
        </w:rPr>
      </w:pPr>
    </w:p>
    <w:p>
      <w:pPr>
        <w:ind w:left="880" w:hanging="319"/>
        <w:spacing w:after="0"/>
        <w:tabs>
          <w:tab w:leader="none" w:pos="880" w:val="left"/>
        </w:tabs>
        <w:numPr>
          <w:ilvl w:val="0"/>
          <w:numId w:val="92"/>
        </w:numPr>
        <w:rPr>
          <w:rFonts w:ascii="Arial" w:cs="Arial" w:eastAsia="Arial" w:hAnsi="Arial"/>
          <w:sz w:val="18"/>
          <w:szCs w:val="18"/>
          <w:color w:val="auto"/>
        </w:rPr>
      </w:pPr>
      <w:r>
        <w:rPr>
          <w:rFonts w:ascii="Arial" w:cs="Arial" w:eastAsia="Arial" w:hAnsi="Arial"/>
          <w:sz w:val="18"/>
          <w:szCs w:val="18"/>
          <w:color w:val="auto"/>
        </w:rPr>
        <w:t>persons subject to the alternative minimum tax;</w:t>
      </w:r>
    </w:p>
    <w:p>
      <w:pPr>
        <w:spacing w:after="0" w:line="130" w:lineRule="exact"/>
        <w:rPr>
          <w:rFonts w:ascii="Arial" w:cs="Arial" w:eastAsia="Arial" w:hAnsi="Arial"/>
          <w:sz w:val="18"/>
          <w:szCs w:val="18"/>
          <w:color w:val="auto"/>
        </w:rPr>
      </w:pPr>
    </w:p>
    <w:p>
      <w:pPr>
        <w:ind w:left="880" w:hanging="319"/>
        <w:spacing w:after="0"/>
        <w:tabs>
          <w:tab w:leader="none" w:pos="880" w:val="left"/>
        </w:tabs>
        <w:numPr>
          <w:ilvl w:val="0"/>
          <w:numId w:val="92"/>
        </w:numPr>
        <w:rPr>
          <w:rFonts w:ascii="Arial" w:cs="Arial" w:eastAsia="Arial" w:hAnsi="Arial"/>
          <w:sz w:val="18"/>
          <w:szCs w:val="18"/>
          <w:color w:val="auto"/>
        </w:rPr>
      </w:pPr>
      <w:r>
        <w:rPr>
          <w:rFonts w:ascii="Arial" w:cs="Arial" w:eastAsia="Arial" w:hAnsi="Arial"/>
          <w:sz w:val="18"/>
          <w:szCs w:val="18"/>
          <w:color w:val="auto"/>
        </w:rPr>
        <w:t>tax-exempt organizations or governmental organizations;</w:t>
      </w:r>
    </w:p>
    <w:p>
      <w:pPr>
        <w:spacing w:after="0" w:line="130" w:lineRule="exact"/>
        <w:rPr>
          <w:rFonts w:ascii="Arial" w:cs="Arial" w:eastAsia="Arial" w:hAnsi="Arial"/>
          <w:sz w:val="18"/>
          <w:szCs w:val="18"/>
          <w:color w:val="auto"/>
        </w:rPr>
      </w:pPr>
    </w:p>
    <w:p>
      <w:pPr>
        <w:ind w:left="880" w:right="160" w:hanging="319"/>
        <w:spacing w:after="0" w:line="277" w:lineRule="auto"/>
        <w:tabs>
          <w:tab w:leader="none" w:pos="880" w:val="left"/>
        </w:tabs>
        <w:numPr>
          <w:ilvl w:val="0"/>
          <w:numId w:val="92"/>
        </w:numPr>
        <w:rPr>
          <w:rFonts w:ascii="Arial" w:cs="Arial" w:eastAsia="Arial" w:hAnsi="Arial"/>
          <w:sz w:val="18"/>
          <w:szCs w:val="18"/>
          <w:color w:val="auto"/>
        </w:rPr>
      </w:pPr>
      <w:r>
        <w:rPr>
          <w:rFonts w:ascii="Arial" w:cs="Arial" w:eastAsia="Arial" w:hAnsi="Arial"/>
          <w:sz w:val="18"/>
          <w:szCs w:val="18"/>
          <w:color w:val="auto"/>
        </w:rPr>
        <w:t>controlled foreign corporations, passive foreign investment companies, or corporations that accumulate earnings to avoid U.S. federal income tax;</w:t>
      </w:r>
    </w:p>
    <w:p>
      <w:pPr>
        <w:spacing w:after="0" w:line="75" w:lineRule="exact"/>
        <w:rPr>
          <w:rFonts w:ascii="Arial" w:cs="Arial" w:eastAsia="Arial" w:hAnsi="Arial"/>
          <w:sz w:val="18"/>
          <w:szCs w:val="18"/>
          <w:color w:val="auto"/>
        </w:rPr>
      </w:pPr>
    </w:p>
    <w:p>
      <w:pPr>
        <w:ind w:left="880" w:hanging="319"/>
        <w:spacing w:after="0"/>
        <w:tabs>
          <w:tab w:leader="none" w:pos="880" w:val="left"/>
        </w:tabs>
        <w:numPr>
          <w:ilvl w:val="0"/>
          <w:numId w:val="92"/>
        </w:numPr>
        <w:rPr>
          <w:rFonts w:ascii="Arial" w:cs="Arial" w:eastAsia="Arial" w:hAnsi="Arial"/>
          <w:sz w:val="18"/>
          <w:szCs w:val="18"/>
          <w:color w:val="auto"/>
        </w:rPr>
      </w:pPr>
      <w:r>
        <w:rPr>
          <w:rFonts w:ascii="Arial" w:cs="Arial" w:eastAsia="Arial" w:hAnsi="Arial"/>
          <w:sz w:val="18"/>
          <w:szCs w:val="18"/>
          <w:color w:val="auto"/>
        </w:rPr>
        <w:t>brokers or dealers in securities or currencies;</w:t>
      </w:r>
    </w:p>
    <w:p>
      <w:pPr>
        <w:spacing w:after="0" w:line="130" w:lineRule="exact"/>
        <w:rPr>
          <w:rFonts w:ascii="Arial" w:cs="Arial" w:eastAsia="Arial" w:hAnsi="Arial"/>
          <w:sz w:val="18"/>
          <w:szCs w:val="18"/>
          <w:color w:val="auto"/>
        </w:rPr>
      </w:pPr>
    </w:p>
    <w:p>
      <w:pPr>
        <w:ind w:left="880" w:hanging="319"/>
        <w:spacing w:after="0"/>
        <w:tabs>
          <w:tab w:leader="none" w:pos="880" w:val="left"/>
        </w:tabs>
        <w:numPr>
          <w:ilvl w:val="0"/>
          <w:numId w:val="92"/>
        </w:numPr>
        <w:rPr>
          <w:rFonts w:ascii="Arial" w:cs="Arial" w:eastAsia="Arial" w:hAnsi="Arial"/>
          <w:sz w:val="18"/>
          <w:szCs w:val="18"/>
          <w:color w:val="auto"/>
        </w:rPr>
      </w:pPr>
      <w:r>
        <w:rPr>
          <w:rFonts w:ascii="Arial" w:cs="Arial" w:eastAsia="Arial" w:hAnsi="Arial"/>
          <w:sz w:val="18"/>
          <w:szCs w:val="18"/>
          <w:color w:val="auto"/>
        </w:rPr>
        <w:t>traders in securities or other persons that elect to use a mark-to-market method of accounting for their holdings in our stock;</w:t>
      </w:r>
    </w:p>
    <w:p>
      <w:pPr>
        <w:spacing w:after="0" w:line="130" w:lineRule="exact"/>
        <w:rPr>
          <w:rFonts w:ascii="Arial" w:cs="Arial" w:eastAsia="Arial" w:hAnsi="Arial"/>
          <w:sz w:val="18"/>
          <w:szCs w:val="18"/>
          <w:color w:val="auto"/>
        </w:rPr>
      </w:pPr>
    </w:p>
    <w:p>
      <w:pPr>
        <w:ind w:left="880" w:hanging="319"/>
        <w:spacing w:after="0"/>
        <w:tabs>
          <w:tab w:leader="none" w:pos="880" w:val="left"/>
        </w:tabs>
        <w:numPr>
          <w:ilvl w:val="0"/>
          <w:numId w:val="92"/>
        </w:numPr>
        <w:rPr>
          <w:rFonts w:ascii="Arial" w:cs="Arial" w:eastAsia="Arial" w:hAnsi="Arial"/>
          <w:sz w:val="18"/>
          <w:szCs w:val="18"/>
          <w:color w:val="auto"/>
        </w:rPr>
      </w:pPr>
      <w:r>
        <w:rPr>
          <w:rFonts w:ascii="Arial" w:cs="Arial" w:eastAsia="Arial" w:hAnsi="Arial"/>
          <w:sz w:val="18"/>
          <w:szCs w:val="18"/>
          <w:color w:val="auto"/>
        </w:rPr>
        <w:t>U.S. expatriates or certain former citizens or long-term residents of the United States;</w:t>
      </w:r>
    </w:p>
    <w:p>
      <w:pPr>
        <w:spacing w:after="0" w:line="130" w:lineRule="exact"/>
        <w:rPr>
          <w:rFonts w:ascii="Arial" w:cs="Arial" w:eastAsia="Arial" w:hAnsi="Arial"/>
          <w:sz w:val="18"/>
          <w:szCs w:val="18"/>
          <w:color w:val="auto"/>
        </w:rPr>
      </w:pPr>
    </w:p>
    <w:p>
      <w:pPr>
        <w:ind w:left="880" w:hanging="319"/>
        <w:spacing w:after="0"/>
        <w:tabs>
          <w:tab w:leader="none" w:pos="880" w:val="left"/>
        </w:tabs>
        <w:numPr>
          <w:ilvl w:val="0"/>
          <w:numId w:val="92"/>
        </w:numPr>
        <w:rPr>
          <w:rFonts w:ascii="Arial" w:cs="Arial" w:eastAsia="Arial" w:hAnsi="Arial"/>
          <w:sz w:val="16"/>
          <w:szCs w:val="16"/>
          <w:color w:val="auto"/>
        </w:rPr>
      </w:pPr>
      <w:r>
        <w:rPr>
          <w:rFonts w:ascii="Arial" w:cs="Arial" w:eastAsia="Arial" w:hAnsi="Arial"/>
          <w:sz w:val="16"/>
          <w:szCs w:val="16"/>
          <w:color w:val="auto"/>
        </w:rPr>
        <w:t>partnerships or entities classified as partnerships for U.S. federal income tax purposes or other pass-through entities (and investors therein);</w:t>
      </w:r>
    </w:p>
    <w:p>
      <w:pPr>
        <w:spacing w:after="0" w:line="153" w:lineRule="exact"/>
        <w:rPr>
          <w:rFonts w:ascii="Arial" w:cs="Arial" w:eastAsia="Arial" w:hAnsi="Arial"/>
          <w:sz w:val="16"/>
          <w:szCs w:val="16"/>
          <w:color w:val="auto"/>
        </w:rPr>
      </w:pPr>
    </w:p>
    <w:p>
      <w:pPr>
        <w:ind w:left="880" w:hanging="319"/>
        <w:spacing w:after="0" w:line="277" w:lineRule="auto"/>
        <w:tabs>
          <w:tab w:leader="none" w:pos="880" w:val="left"/>
        </w:tabs>
        <w:numPr>
          <w:ilvl w:val="0"/>
          <w:numId w:val="92"/>
        </w:numPr>
        <w:rPr>
          <w:rFonts w:ascii="Arial" w:cs="Arial" w:eastAsia="Arial" w:hAnsi="Arial"/>
          <w:sz w:val="18"/>
          <w:szCs w:val="18"/>
          <w:color w:val="auto"/>
        </w:rPr>
      </w:pPr>
      <w:r>
        <w:rPr>
          <w:rFonts w:ascii="Arial" w:cs="Arial" w:eastAsia="Arial" w:hAnsi="Arial"/>
          <w:sz w:val="18"/>
          <w:szCs w:val="18"/>
          <w:color w:val="auto"/>
        </w:rPr>
        <w:t>persons who hold our Class A common stock as a position in a hedging transaction, “straddle,” “conversion transaction,” or other risk reduction transaction or integrated investment;</w:t>
      </w:r>
    </w:p>
    <w:p>
      <w:pPr>
        <w:spacing w:after="0" w:line="75" w:lineRule="exact"/>
        <w:rPr>
          <w:rFonts w:ascii="Arial" w:cs="Arial" w:eastAsia="Arial" w:hAnsi="Arial"/>
          <w:sz w:val="18"/>
          <w:szCs w:val="18"/>
          <w:color w:val="auto"/>
        </w:rPr>
      </w:pPr>
    </w:p>
    <w:p>
      <w:pPr>
        <w:ind w:left="880" w:hanging="319"/>
        <w:spacing w:after="0"/>
        <w:tabs>
          <w:tab w:leader="none" w:pos="880" w:val="left"/>
        </w:tabs>
        <w:numPr>
          <w:ilvl w:val="0"/>
          <w:numId w:val="92"/>
        </w:numPr>
        <w:rPr>
          <w:rFonts w:ascii="Arial" w:cs="Arial" w:eastAsia="Arial" w:hAnsi="Arial"/>
          <w:sz w:val="16"/>
          <w:szCs w:val="16"/>
          <w:color w:val="auto"/>
        </w:rPr>
      </w:pPr>
      <w:r>
        <w:rPr>
          <w:rFonts w:ascii="Arial" w:cs="Arial" w:eastAsia="Arial" w:hAnsi="Arial"/>
          <w:sz w:val="16"/>
          <w:szCs w:val="16"/>
          <w:color w:val="auto"/>
        </w:rPr>
        <w:t>persons who hold or receive our Class A common stock pursuant to the exercise of any employee stock option or otherwise as compensation;</w:t>
      </w:r>
    </w:p>
    <w:p>
      <w:pPr>
        <w:spacing w:after="0" w:line="153" w:lineRule="exact"/>
        <w:rPr>
          <w:rFonts w:ascii="Arial" w:cs="Arial" w:eastAsia="Arial" w:hAnsi="Arial"/>
          <w:sz w:val="16"/>
          <w:szCs w:val="16"/>
          <w:color w:val="auto"/>
        </w:rPr>
      </w:pPr>
    </w:p>
    <w:p>
      <w:pPr>
        <w:ind w:left="880" w:hanging="319"/>
        <w:spacing w:after="0"/>
        <w:tabs>
          <w:tab w:leader="none" w:pos="880" w:val="left"/>
        </w:tabs>
        <w:numPr>
          <w:ilvl w:val="0"/>
          <w:numId w:val="92"/>
        </w:numPr>
        <w:rPr>
          <w:rFonts w:ascii="Arial" w:cs="Arial" w:eastAsia="Arial" w:hAnsi="Arial"/>
          <w:sz w:val="18"/>
          <w:szCs w:val="18"/>
          <w:color w:val="auto"/>
        </w:rPr>
      </w:pPr>
      <w:r>
        <w:rPr>
          <w:rFonts w:ascii="Arial" w:cs="Arial" w:eastAsia="Arial" w:hAnsi="Arial"/>
          <w:sz w:val="18"/>
          <w:szCs w:val="18"/>
          <w:color w:val="auto"/>
        </w:rPr>
        <w:t>persons who do not hold our Class A common stock as a capital asset within the meaning of Section 1221 of the Code;</w:t>
      </w:r>
    </w:p>
    <w:p>
      <w:pPr>
        <w:spacing w:after="0" w:line="130" w:lineRule="exact"/>
        <w:rPr>
          <w:rFonts w:ascii="Arial" w:cs="Arial" w:eastAsia="Arial" w:hAnsi="Arial"/>
          <w:sz w:val="18"/>
          <w:szCs w:val="18"/>
          <w:color w:val="auto"/>
        </w:rPr>
      </w:pPr>
    </w:p>
    <w:p>
      <w:pPr>
        <w:ind w:left="880" w:hanging="319"/>
        <w:spacing w:after="0"/>
        <w:tabs>
          <w:tab w:leader="none" w:pos="880" w:val="left"/>
        </w:tabs>
        <w:numPr>
          <w:ilvl w:val="0"/>
          <w:numId w:val="92"/>
        </w:numPr>
        <w:rPr>
          <w:rFonts w:ascii="Arial" w:cs="Arial" w:eastAsia="Arial" w:hAnsi="Arial"/>
          <w:sz w:val="18"/>
          <w:szCs w:val="18"/>
          <w:color w:val="auto"/>
        </w:rPr>
      </w:pPr>
      <w:r>
        <w:rPr>
          <w:rFonts w:ascii="Arial" w:cs="Arial" w:eastAsia="Arial" w:hAnsi="Arial"/>
          <w:sz w:val="18"/>
          <w:szCs w:val="18"/>
          <w:color w:val="auto"/>
        </w:rPr>
        <w:t>persons deemed to sell our Class A common stock under the constructive sale provisions of the Code;</w:t>
      </w:r>
    </w:p>
    <w:p>
      <w:pPr>
        <w:spacing w:after="0" w:line="130" w:lineRule="exact"/>
        <w:rPr>
          <w:rFonts w:ascii="Arial" w:cs="Arial" w:eastAsia="Arial" w:hAnsi="Arial"/>
          <w:sz w:val="18"/>
          <w:szCs w:val="18"/>
          <w:color w:val="auto"/>
        </w:rPr>
      </w:pPr>
    </w:p>
    <w:p>
      <w:pPr>
        <w:ind w:left="880" w:right="580" w:hanging="319"/>
        <w:spacing w:after="0" w:line="277" w:lineRule="auto"/>
        <w:tabs>
          <w:tab w:leader="none" w:pos="880" w:val="left"/>
        </w:tabs>
        <w:numPr>
          <w:ilvl w:val="0"/>
          <w:numId w:val="92"/>
        </w:numPr>
        <w:rPr>
          <w:rFonts w:ascii="Arial" w:cs="Arial" w:eastAsia="Arial" w:hAnsi="Arial"/>
          <w:sz w:val="18"/>
          <w:szCs w:val="18"/>
          <w:color w:val="auto"/>
        </w:rPr>
      </w:pPr>
      <w:r>
        <w:rPr>
          <w:rFonts w:ascii="Arial" w:cs="Arial" w:eastAsia="Arial" w:hAnsi="Arial"/>
          <w:sz w:val="18"/>
          <w:szCs w:val="18"/>
          <w:color w:val="auto"/>
        </w:rPr>
        <w:t>persons that own, or are deemed to own, more than five percent of our Class A common stock (except to the extent specifically set forth below); or</w:t>
      </w:r>
    </w:p>
    <w:p>
      <w:pPr>
        <w:spacing w:after="0" w:line="75" w:lineRule="exact"/>
        <w:rPr>
          <w:rFonts w:ascii="Arial" w:cs="Arial" w:eastAsia="Arial" w:hAnsi="Arial"/>
          <w:sz w:val="18"/>
          <w:szCs w:val="18"/>
          <w:color w:val="auto"/>
        </w:rPr>
      </w:pPr>
    </w:p>
    <w:p>
      <w:pPr>
        <w:ind w:left="880" w:hanging="319"/>
        <w:spacing w:after="0"/>
        <w:tabs>
          <w:tab w:leader="none" w:pos="880" w:val="left"/>
        </w:tabs>
        <w:numPr>
          <w:ilvl w:val="0"/>
          <w:numId w:val="92"/>
        </w:numPr>
        <w:rPr>
          <w:rFonts w:ascii="Arial" w:cs="Arial" w:eastAsia="Arial" w:hAnsi="Arial"/>
          <w:sz w:val="18"/>
          <w:szCs w:val="18"/>
          <w:color w:val="auto"/>
        </w:rPr>
      </w:pPr>
      <w:r>
        <w:rPr>
          <w:rFonts w:ascii="Arial" w:cs="Arial" w:eastAsia="Arial" w:hAnsi="Arial"/>
          <w:sz w:val="18"/>
          <w:szCs w:val="18"/>
          <w:color w:val="auto"/>
        </w:rPr>
        <w:t>persons that own, or are deemed to own, our Class B common stock.</w:t>
      </w:r>
    </w:p>
    <w:p>
      <w:pPr>
        <w:spacing w:after="0" w:line="225" w:lineRule="exact"/>
        <w:rPr>
          <w:sz w:val="20"/>
          <w:szCs w:val="20"/>
          <w:color w:val="auto"/>
        </w:rPr>
      </w:pPr>
    </w:p>
    <w:p>
      <w:pPr>
        <w:ind w:right="240" w:firstLine="449"/>
        <w:spacing w:after="0" w:line="263" w:lineRule="auto"/>
        <w:rPr>
          <w:sz w:val="20"/>
          <w:szCs w:val="20"/>
          <w:color w:val="auto"/>
        </w:rPr>
      </w:pPr>
      <w:r>
        <w:rPr>
          <w:rFonts w:ascii="Arial" w:cs="Arial" w:eastAsia="Arial" w:hAnsi="Arial"/>
          <w:sz w:val="18"/>
          <w:szCs w:val="18"/>
          <w:color w:val="auto"/>
        </w:rPr>
        <w:t>In addition, if a partnership or entity classified as a partnership for U.S. federal income tax purposes holds our Class A common stock, the tax treatment of a partner generally will depend on the status of the partner and upon the activities of the partnership. Accordingly, partnerships that hold our Class A common stock, and partners in such partnerships, should consult their tax advisors.</w:t>
      </w:r>
    </w:p>
    <w:p>
      <w:pPr>
        <w:spacing w:after="0" w:line="1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142</w:t>
      </w:r>
    </w:p>
    <w:p>
      <w:pPr>
        <w:sectPr>
          <w:pgSz w:w="11900" w:h="16838" w:orient="portrait"/>
          <w:cols w:equalWidth="0" w:num="1">
            <w:col w:w="11240"/>
          </w:cols>
          <w:pgMar w:left="320" w:top="459" w:right="339" w:bottom="1440" w:gutter="0" w:footer="0" w:header="0"/>
        </w:sectPr>
      </w:pPr>
    </w:p>
    <w:bookmarkStart w:id="145" w:name="page146"/>
    <w:bookmarkEnd w:id="14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right="160" w:firstLine="449"/>
        <w:spacing w:after="0" w:line="289" w:lineRule="auto"/>
        <w:rPr>
          <w:sz w:val="20"/>
          <w:szCs w:val="20"/>
          <w:color w:val="auto"/>
        </w:rPr>
      </w:pPr>
      <w:r>
        <w:rPr>
          <w:rFonts w:ascii="Arial" w:cs="Arial" w:eastAsia="Arial" w:hAnsi="Arial"/>
          <w:sz w:val="17"/>
          <w:szCs w:val="17"/>
          <w:b w:val="1"/>
          <w:bCs w:val="1"/>
          <w:color w:val="auto"/>
        </w:rPr>
        <w:t>You are urged to consult your tax advisor with respect to the application of the U.S. federal income tax laws to your particular situation, as well as any tax consequences of the acquisition, ownership, and disposition of our common stock arising under the U.S. federal estate or gift tax rules, under the laws of any state, local, non-U.S., or other taxing jurisdiction, or under any applicable tax treaty.</w:t>
      </w:r>
    </w:p>
    <w:p>
      <w:pPr>
        <w:spacing w:after="0" w:line="2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Non-U.S. Holder Defined</w:t>
      </w:r>
    </w:p>
    <w:p>
      <w:pPr>
        <w:spacing w:after="0" w:line="121" w:lineRule="exact"/>
        <w:rPr>
          <w:sz w:val="20"/>
          <w:szCs w:val="20"/>
          <w:color w:val="auto"/>
        </w:rPr>
      </w:pPr>
    </w:p>
    <w:p>
      <w:pPr>
        <w:ind w:right="80" w:firstLine="449"/>
        <w:spacing w:after="0" w:line="277" w:lineRule="auto"/>
        <w:rPr>
          <w:sz w:val="20"/>
          <w:szCs w:val="20"/>
          <w:color w:val="auto"/>
        </w:rPr>
      </w:pPr>
      <w:r>
        <w:rPr>
          <w:rFonts w:ascii="Arial" w:cs="Arial" w:eastAsia="Arial" w:hAnsi="Arial"/>
          <w:sz w:val="18"/>
          <w:szCs w:val="18"/>
          <w:color w:val="auto"/>
        </w:rPr>
        <w:t>For purposes of this discussion, you are a non-U.S. holder if you are a holder of our common stock that is not a partnership (or entity or arrangement treated as a partnership for U.S. federal income tax purposes) and is not any of the following:</w:t>
      </w:r>
    </w:p>
    <w:p>
      <w:pPr>
        <w:spacing w:after="0" w:line="76" w:lineRule="exact"/>
        <w:rPr>
          <w:sz w:val="20"/>
          <w:szCs w:val="20"/>
          <w:color w:val="auto"/>
        </w:rPr>
      </w:pPr>
    </w:p>
    <w:p>
      <w:pPr>
        <w:ind w:left="880" w:hanging="319"/>
        <w:spacing w:after="0"/>
        <w:tabs>
          <w:tab w:leader="none" w:pos="880" w:val="left"/>
        </w:tabs>
        <w:numPr>
          <w:ilvl w:val="0"/>
          <w:numId w:val="93"/>
        </w:numPr>
        <w:rPr>
          <w:rFonts w:ascii="Arial" w:cs="Arial" w:eastAsia="Arial" w:hAnsi="Arial"/>
          <w:sz w:val="18"/>
          <w:szCs w:val="18"/>
          <w:color w:val="auto"/>
        </w:rPr>
      </w:pPr>
      <w:r>
        <w:rPr>
          <w:rFonts w:ascii="Arial" w:cs="Arial" w:eastAsia="Arial" w:hAnsi="Arial"/>
          <w:sz w:val="18"/>
          <w:szCs w:val="18"/>
          <w:color w:val="auto"/>
        </w:rPr>
        <w:t>an individual who is a citizen or resident of the United States (for U.S. federal income tax purposes);</w:t>
      </w:r>
    </w:p>
    <w:p>
      <w:pPr>
        <w:spacing w:after="0" w:line="130" w:lineRule="exact"/>
        <w:rPr>
          <w:rFonts w:ascii="Arial" w:cs="Arial" w:eastAsia="Arial" w:hAnsi="Arial"/>
          <w:sz w:val="18"/>
          <w:szCs w:val="18"/>
          <w:color w:val="auto"/>
        </w:rPr>
      </w:pPr>
    </w:p>
    <w:p>
      <w:pPr>
        <w:ind w:left="880" w:right="360" w:hanging="319"/>
        <w:spacing w:after="0" w:line="277" w:lineRule="auto"/>
        <w:tabs>
          <w:tab w:leader="none" w:pos="880" w:val="left"/>
        </w:tabs>
        <w:numPr>
          <w:ilvl w:val="0"/>
          <w:numId w:val="93"/>
        </w:numPr>
        <w:rPr>
          <w:rFonts w:ascii="Arial" w:cs="Arial" w:eastAsia="Arial" w:hAnsi="Arial"/>
          <w:sz w:val="18"/>
          <w:szCs w:val="18"/>
          <w:color w:val="auto"/>
        </w:rPr>
      </w:pPr>
      <w:r>
        <w:rPr>
          <w:rFonts w:ascii="Arial" w:cs="Arial" w:eastAsia="Arial" w:hAnsi="Arial"/>
          <w:sz w:val="18"/>
          <w:szCs w:val="18"/>
          <w:color w:val="auto"/>
        </w:rPr>
        <w:t>a corporation or other entity taxable as a corporation created or organized in the United States or under the laws of the United States or any political subdivision thereof or other entity treated as such for U.S. federal income tax purposes;</w:t>
      </w:r>
    </w:p>
    <w:p>
      <w:pPr>
        <w:spacing w:after="0" w:line="75" w:lineRule="exact"/>
        <w:rPr>
          <w:rFonts w:ascii="Arial" w:cs="Arial" w:eastAsia="Arial" w:hAnsi="Arial"/>
          <w:sz w:val="18"/>
          <w:szCs w:val="18"/>
          <w:color w:val="auto"/>
        </w:rPr>
      </w:pPr>
    </w:p>
    <w:p>
      <w:pPr>
        <w:ind w:left="880" w:hanging="319"/>
        <w:spacing w:after="0"/>
        <w:tabs>
          <w:tab w:leader="none" w:pos="880" w:val="left"/>
        </w:tabs>
        <w:numPr>
          <w:ilvl w:val="0"/>
          <w:numId w:val="93"/>
        </w:numPr>
        <w:rPr>
          <w:rFonts w:ascii="Arial" w:cs="Arial" w:eastAsia="Arial" w:hAnsi="Arial"/>
          <w:sz w:val="18"/>
          <w:szCs w:val="18"/>
          <w:color w:val="auto"/>
        </w:rPr>
      </w:pPr>
      <w:r>
        <w:rPr>
          <w:rFonts w:ascii="Arial" w:cs="Arial" w:eastAsia="Arial" w:hAnsi="Arial"/>
          <w:sz w:val="18"/>
          <w:szCs w:val="18"/>
          <w:color w:val="auto"/>
        </w:rPr>
        <w:t>an estate whose income is subject to U.S. federal income tax regardless of its source; or</w:t>
      </w:r>
    </w:p>
    <w:p>
      <w:pPr>
        <w:spacing w:after="0" w:line="130" w:lineRule="exact"/>
        <w:rPr>
          <w:rFonts w:ascii="Arial" w:cs="Arial" w:eastAsia="Arial" w:hAnsi="Arial"/>
          <w:sz w:val="18"/>
          <w:szCs w:val="18"/>
          <w:color w:val="auto"/>
        </w:rPr>
      </w:pPr>
    </w:p>
    <w:p>
      <w:pPr>
        <w:jc w:val="both"/>
        <w:ind w:left="880" w:right="380" w:hanging="319"/>
        <w:spacing w:after="0" w:line="263" w:lineRule="auto"/>
        <w:tabs>
          <w:tab w:leader="none" w:pos="880" w:val="left"/>
        </w:tabs>
        <w:numPr>
          <w:ilvl w:val="0"/>
          <w:numId w:val="93"/>
        </w:numPr>
        <w:rPr>
          <w:rFonts w:ascii="Arial" w:cs="Arial" w:eastAsia="Arial" w:hAnsi="Arial"/>
          <w:sz w:val="18"/>
          <w:szCs w:val="18"/>
          <w:color w:val="auto"/>
        </w:rPr>
      </w:pPr>
      <w:r>
        <w:rPr>
          <w:rFonts w:ascii="Arial" w:cs="Arial" w:eastAsia="Arial" w:hAnsi="Arial"/>
          <w:sz w:val="18"/>
          <w:szCs w:val="18"/>
          <w:color w:val="auto"/>
        </w:rPr>
        <w:t>a trust (x) whose administration is subject to the primary supervision of a U.S. court and which has one or more “U.S. persons” (within the meaning of Section 7701(a)(3) of the Code) who have the authority to control all substantial decisions of the trust or (y) which has made a valid election to be treated as a U.S. person.</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Distributions</w:t>
      </w:r>
    </w:p>
    <w:p>
      <w:pPr>
        <w:spacing w:after="0" w:line="121" w:lineRule="exact"/>
        <w:rPr>
          <w:sz w:val="20"/>
          <w:szCs w:val="20"/>
          <w:color w:val="auto"/>
        </w:rPr>
      </w:pPr>
    </w:p>
    <w:p>
      <w:pPr>
        <w:ind w:firstLine="449"/>
        <w:spacing w:after="0" w:line="255" w:lineRule="auto"/>
        <w:rPr>
          <w:sz w:val="20"/>
          <w:szCs w:val="20"/>
          <w:color w:val="auto"/>
        </w:rPr>
      </w:pPr>
      <w:r>
        <w:rPr>
          <w:rFonts w:ascii="Arial" w:cs="Arial" w:eastAsia="Arial" w:hAnsi="Arial"/>
          <w:sz w:val="18"/>
          <w:szCs w:val="18"/>
          <w:color w:val="auto"/>
        </w:rPr>
        <w:t>As described in the section titled “Dividend Policy,” we have never declared or paid cash dividends on our capital stock and do not anticipate paying any dividends on our capital stock in the foreseeable future. However, if we do make distributions on our Class A common stock, those payments will constitute dividends for U.S. tax purposes to the extent paid from our current or accumulated earnings and profits, as determined under U.S. federal income tax principles. To the extent those distributions exceed both our current and our accumulated earnings and profits, they will constitute a return of capital and will first reduce your basis in our Class A common stock, but not below zero, and then will be treated as gain from the sale of stock as described below under “—Gain on Disposition of Our Class A Common Stock.”</w:t>
      </w:r>
    </w:p>
    <w:p>
      <w:pPr>
        <w:spacing w:after="0" w:line="192" w:lineRule="exact"/>
        <w:rPr>
          <w:sz w:val="20"/>
          <w:szCs w:val="20"/>
          <w:color w:val="auto"/>
        </w:rPr>
      </w:pPr>
    </w:p>
    <w:p>
      <w:pPr>
        <w:ind w:right="80" w:firstLine="449"/>
        <w:spacing w:after="0" w:line="269" w:lineRule="auto"/>
        <w:rPr>
          <w:sz w:val="20"/>
          <w:szCs w:val="20"/>
          <w:color w:val="auto"/>
        </w:rPr>
      </w:pPr>
      <w:r>
        <w:rPr>
          <w:rFonts w:ascii="Arial" w:cs="Arial" w:eastAsia="Arial" w:hAnsi="Arial"/>
          <w:sz w:val="17"/>
          <w:szCs w:val="17"/>
          <w:color w:val="auto"/>
        </w:rPr>
        <w:t>Except as otherwise described below in the discussions of effectively connected income (in the next paragraph), backup withholding and FATCA, any dividend paid to you generally will be subject to U.S. withholding tax either at a rate of 30% of the gross amount of the dividend or such lower rate as may be specified by an applicable income tax treaty. In order to receive a reduced treaty rate, you must provide us with an IRS Form W-8BEN, IRS Form W-8BEN-E, or other appropriate version of IRS Form W-8, including any required attachments and your taxpayer identification number, certifying qualification for the reduced rate; additionally you will be required to update such Forms and certifications from time to time as required by law. A non-U.S. holder of shares of our Class A common stock eligible for a reduced rate of U.S. withholding tax pursuant to an income tax treaty may obtain a refund of any excess amounts withheld by timely filing an appropriate claim for refund with the IRS. If the non-U.S. holder holds the stock through a financial institution or other agent acting on the non-U.S. holder’s behalf, the non-U.S. holder will be required to provide appropriate documentation to the agent, which then will be required to provide certification to us or our paying agent, either directly or through other intermediaries. Non-U.S. holders should consult their tax advisors regarding their entitlement to benefits under an applicable income tax treaty.</w:t>
      </w:r>
    </w:p>
    <w:p>
      <w:pPr>
        <w:spacing w:after="0" w:line="185" w:lineRule="exact"/>
        <w:rPr>
          <w:sz w:val="20"/>
          <w:szCs w:val="20"/>
          <w:color w:val="auto"/>
        </w:rPr>
      </w:pPr>
    </w:p>
    <w:p>
      <w:pPr>
        <w:jc w:val="both"/>
        <w:ind w:right="20" w:firstLine="449"/>
        <w:spacing w:after="0" w:line="311" w:lineRule="auto"/>
        <w:rPr>
          <w:sz w:val="20"/>
          <w:szCs w:val="20"/>
          <w:color w:val="auto"/>
        </w:rPr>
      </w:pPr>
      <w:r>
        <w:rPr>
          <w:rFonts w:ascii="Arial" w:cs="Arial" w:eastAsia="Arial" w:hAnsi="Arial"/>
          <w:sz w:val="16"/>
          <w:szCs w:val="16"/>
          <w:color w:val="auto"/>
        </w:rPr>
        <w:t>Dividends received by you that are effectively connected with your conduct of a U.S. trade or business (and, if required by an applicable income tax treaty, attributable to a permanent establishment maintained by you in the United States) are generally exempt from such withholding tax. In order to obtain this exemption, you must provide us with an IRS Form W-8ECI or other applicable IRS Form W-8, including any required attachments</w:t>
      </w:r>
    </w:p>
    <w:p>
      <w:pPr>
        <w:spacing w:after="0" w:line="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143</w:t>
      </w:r>
    </w:p>
    <w:p>
      <w:pPr>
        <w:sectPr>
          <w:pgSz w:w="11900" w:h="16838" w:orient="portrait"/>
          <w:cols w:equalWidth="0" w:num="1">
            <w:col w:w="11240"/>
          </w:cols>
          <w:pgMar w:left="320" w:top="459" w:right="339" w:bottom="1440" w:gutter="0" w:footer="0" w:header="0"/>
        </w:sectPr>
      </w:pPr>
    </w:p>
    <w:bookmarkStart w:id="146" w:name="page147"/>
    <w:bookmarkEnd w:id="14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and your taxpayer identification number; additionally you will be required to update such forms and certifications from time to time as required by law. Such effectively connected dividends, although not subject to withholding tax, are includable on your U.S. income tax return and generally taxed to you at the same graduated rates applicable to U.S. persons, net of certain deductions and credits. If you are a corporate non-U.S. holder, dividends you receive that are effectively connected with your conduct of a U.S. trade or business may also be subject to a branch profits tax at a rate of 30% or such lower rate as may be specified by an applicable income tax treaty. You should consult your tax advisor regarding any applicable tax treaties that may provide for different rules.</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Gain on Disposition of Our Class A Common Stock</w:t>
      </w:r>
    </w:p>
    <w:p>
      <w:pPr>
        <w:spacing w:after="0" w:line="121" w:lineRule="exact"/>
        <w:rPr>
          <w:sz w:val="20"/>
          <w:szCs w:val="20"/>
          <w:color w:val="auto"/>
        </w:rPr>
      </w:pPr>
    </w:p>
    <w:p>
      <w:pPr>
        <w:ind w:right="100" w:firstLine="449"/>
        <w:spacing w:after="0" w:line="277" w:lineRule="auto"/>
        <w:rPr>
          <w:sz w:val="20"/>
          <w:szCs w:val="20"/>
          <w:color w:val="auto"/>
        </w:rPr>
      </w:pPr>
      <w:r>
        <w:rPr>
          <w:rFonts w:ascii="Arial" w:cs="Arial" w:eastAsia="Arial" w:hAnsi="Arial"/>
          <w:sz w:val="18"/>
          <w:szCs w:val="18"/>
          <w:color w:val="auto"/>
        </w:rPr>
        <w:t>Except as otherwise described below in the discussions of backup withholding and FATCA, you generally will not be subject to U.S. federal income tax on any gain realized upon the sale or other disposition of our Class A common stock unless:</w:t>
      </w:r>
    </w:p>
    <w:p>
      <w:pPr>
        <w:spacing w:after="0" w:line="76" w:lineRule="exact"/>
        <w:rPr>
          <w:sz w:val="20"/>
          <w:szCs w:val="20"/>
          <w:color w:val="auto"/>
        </w:rPr>
      </w:pPr>
    </w:p>
    <w:p>
      <w:pPr>
        <w:ind w:left="880" w:right="180" w:hanging="319"/>
        <w:spacing w:after="0" w:line="277" w:lineRule="auto"/>
        <w:tabs>
          <w:tab w:leader="none" w:pos="880" w:val="left"/>
        </w:tabs>
        <w:numPr>
          <w:ilvl w:val="0"/>
          <w:numId w:val="94"/>
        </w:numPr>
        <w:rPr>
          <w:rFonts w:ascii="Arial" w:cs="Arial" w:eastAsia="Arial" w:hAnsi="Arial"/>
          <w:sz w:val="18"/>
          <w:szCs w:val="18"/>
          <w:color w:val="auto"/>
        </w:rPr>
      </w:pPr>
      <w:r>
        <w:rPr>
          <w:rFonts w:ascii="Arial" w:cs="Arial" w:eastAsia="Arial" w:hAnsi="Arial"/>
          <w:sz w:val="18"/>
          <w:szCs w:val="18"/>
          <w:color w:val="auto"/>
        </w:rPr>
        <w:t>the gain is effectively connected with your conduct of a U.S. trade or business (and, if required by an applicable income tax treaty, the gain is attributable to a permanent establishment maintained by you in the United States);</w:t>
      </w:r>
    </w:p>
    <w:p>
      <w:pPr>
        <w:spacing w:after="0" w:line="75" w:lineRule="exact"/>
        <w:rPr>
          <w:rFonts w:ascii="Arial" w:cs="Arial" w:eastAsia="Arial" w:hAnsi="Arial"/>
          <w:sz w:val="18"/>
          <w:szCs w:val="18"/>
          <w:color w:val="auto"/>
        </w:rPr>
      </w:pPr>
    </w:p>
    <w:p>
      <w:pPr>
        <w:ind w:left="880" w:right="400" w:hanging="319"/>
        <w:spacing w:after="0" w:line="277" w:lineRule="auto"/>
        <w:tabs>
          <w:tab w:leader="none" w:pos="880" w:val="left"/>
        </w:tabs>
        <w:numPr>
          <w:ilvl w:val="0"/>
          <w:numId w:val="94"/>
        </w:numPr>
        <w:rPr>
          <w:rFonts w:ascii="Arial" w:cs="Arial" w:eastAsia="Arial" w:hAnsi="Arial"/>
          <w:sz w:val="18"/>
          <w:szCs w:val="18"/>
          <w:color w:val="auto"/>
        </w:rPr>
      </w:pPr>
      <w:r>
        <w:rPr>
          <w:rFonts w:ascii="Arial" w:cs="Arial" w:eastAsia="Arial" w:hAnsi="Arial"/>
          <w:sz w:val="18"/>
          <w:szCs w:val="18"/>
          <w:color w:val="auto"/>
        </w:rPr>
        <w:t>you are a non-resident alien individual who is present in the United States for a period or periods aggregating 183 days or more during the calendar year in which the sale or disposition occurs, and other conditions are met; or</w:t>
      </w:r>
    </w:p>
    <w:p>
      <w:pPr>
        <w:spacing w:after="0" w:line="75" w:lineRule="exact"/>
        <w:rPr>
          <w:rFonts w:ascii="Arial" w:cs="Arial" w:eastAsia="Arial" w:hAnsi="Arial"/>
          <w:sz w:val="18"/>
          <w:szCs w:val="18"/>
          <w:color w:val="auto"/>
        </w:rPr>
      </w:pPr>
    </w:p>
    <w:p>
      <w:pPr>
        <w:ind w:left="880" w:right="40" w:hanging="319"/>
        <w:spacing w:after="0" w:line="257" w:lineRule="auto"/>
        <w:tabs>
          <w:tab w:leader="none" w:pos="880" w:val="left"/>
        </w:tabs>
        <w:numPr>
          <w:ilvl w:val="0"/>
          <w:numId w:val="94"/>
        </w:numPr>
        <w:rPr>
          <w:rFonts w:ascii="Arial" w:cs="Arial" w:eastAsia="Arial" w:hAnsi="Arial"/>
          <w:sz w:val="18"/>
          <w:szCs w:val="18"/>
          <w:color w:val="auto"/>
        </w:rPr>
      </w:pPr>
      <w:r>
        <w:rPr>
          <w:rFonts w:ascii="Arial" w:cs="Arial" w:eastAsia="Arial" w:hAnsi="Arial"/>
          <w:sz w:val="18"/>
          <w:szCs w:val="18"/>
          <w:color w:val="auto"/>
        </w:rPr>
        <w:t>our Class A common stock constitutes a United States real property interest by reason of our status as a “United States real property holding corporation,” or USRPHC, for U.S. federal income tax purposes at any time within the shorter of the five-year period preceding your disposition of, or your holding period for, our Class A common stock, and, in the case where shares of our Class A common stock are regularly traded on an established securities market, you own, or are treated as owning, more than 5% of our Class A common stock at any time during the foregoing period.</w:t>
      </w:r>
    </w:p>
    <w:p>
      <w:pPr>
        <w:spacing w:after="0" w:line="188" w:lineRule="exact"/>
        <w:rPr>
          <w:sz w:val="20"/>
          <w:szCs w:val="20"/>
          <w:color w:val="auto"/>
        </w:rPr>
      </w:pPr>
    </w:p>
    <w:p>
      <w:pPr>
        <w:ind w:right="40" w:firstLine="449"/>
        <w:spacing w:after="0" w:line="269" w:lineRule="auto"/>
        <w:rPr>
          <w:sz w:val="20"/>
          <w:szCs w:val="20"/>
          <w:color w:val="auto"/>
        </w:rPr>
      </w:pPr>
      <w:r>
        <w:rPr>
          <w:rFonts w:ascii="Arial" w:cs="Arial" w:eastAsia="Arial" w:hAnsi="Arial"/>
          <w:sz w:val="17"/>
          <w:szCs w:val="17"/>
          <w:color w:val="auto"/>
        </w:rPr>
        <w:t>Generally, a corporation is a “United States real property holding corporation” if the fair market value of its United States real property interests equals or exceeds 50% of the sum of the fair market value of its worldwide real property interests and its other assets used or held for use in a trade or business (all as determined for United States federal income tax purposes). We believe that we are not currently and will not become a USRPHC for U.S. federal income tax purposes, and the remainder of this discussion assumes this is the case. However, because the determination of whether we are a USRPHC depends on the fair market value of our U.S. real property relative to the fair market value of our other business assets, there can be no assurance that we will not become a USRPHC in the future. Even if we become a USRPHC, however, as long as our Class A common stock is regularly traded on an established securities market, such Class A common stock will be treated as U.S. real property interests only if you actually or constructively hold more than 5% of such regularly traded Class A common stock at any time during the shorter of the five-year period preceding your disposition of, or your holding period for, our Class A common stock. No assurance can be provided that our Class A common stock will be regularly traded on an established securities market at all times for purposes of the rules described above.</w:t>
      </w:r>
    </w:p>
    <w:p>
      <w:pPr>
        <w:spacing w:after="0" w:line="185" w:lineRule="exact"/>
        <w:rPr>
          <w:sz w:val="20"/>
          <w:szCs w:val="20"/>
          <w:color w:val="auto"/>
        </w:rPr>
      </w:pPr>
    </w:p>
    <w:p>
      <w:pPr>
        <w:ind w:firstLine="449"/>
        <w:spacing w:after="0" w:line="293" w:lineRule="auto"/>
        <w:rPr>
          <w:sz w:val="20"/>
          <w:szCs w:val="20"/>
          <w:color w:val="auto"/>
        </w:rPr>
      </w:pPr>
      <w:r>
        <w:rPr>
          <w:rFonts w:ascii="Arial" w:cs="Arial" w:eastAsia="Arial" w:hAnsi="Arial"/>
          <w:sz w:val="16"/>
          <w:szCs w:val="16"/>
          <w:color w:val="auto"/>
        </w:rPr>
        <w:t>If you are a non-U.S. holder described in the first bullet above, you will generally be required to pay tax on the net gain derived from the sale under regular graduated U.S. federal income tax rates (and a corporate non-U.S. holder described in the first bullet above also may be subject to the branch profits tax at a 30% rate), unless otherwise provided by an applicable income tax treaty. If you are a non-U.S. holder described in the second bullet above, you will generally be required to pay a flat 30% tax (or such lower rate specified by an applicable income tax treaty) on the gain derived from the sale, which gain may be offset by U.S. source capital losses for the year (provided you have timely filed U.S. federal income tax returns with respect to such losses). You should consult your tax advisor with respect to whether any applicable income tax or other treaties may provide for different rules.</w:t>
      </w:r>
    </w:p>
    <w:p>
      <w:pPr>
        <w:spacing w:after="0" w:line="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144</w:t>
      </w:r>
    </w:p>
    <w:p>
      <w:pPr>
        <w:sectPr>
          <w:pgSz w:w="11900" w:h="16838" w:orient="portrait"/>
          <w:cols w:equalWidth="0" w:num="1">
            <w:col w:w="11220"/>
          </w:cols>
          <w:pgMar w:left="320" w:top="459" w:right="359" w:bottom="1440" w:gutter="0" w:footer="0" w:header="0"/>
        </w:sectPr>
      </w:pPr>
    </w:p>
    <w:bookmarkStart w:id="147" w:name="page148"/>
    <w:bookmarkEnd w:id="14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Federal Estate Tax</w:t>
      </w:r>
    </w:p>
    <w:p>
      <w:pPr>
        <w:spacing w:after="0" w:line="121" w:lineRule="exact"/>
        <w:rPr>
          <w:sz w:val="20"/>
          <w:szCs w:val="20"/>
          <w:color w:val="auto"/>
        </w:rPr>
      </w:pPr>
    </w:p>
    <w:p>
      <w:pPr>
        <w:jc w:val="both"/>
        <w:ind w:right="400" w:firstLine="449"/>
        <w:spacing w:after="0" w:line="263" w:lineRule="auto"/>
        <w:rPr>
          <w:sz w:val="20"/>
          <w:szCs w:val="20"/>
          <w:color w:val="auto"/>
        </w:rPr>
      </w:pPr>
      <w:r>
        <w:rPr>
          <w:rFonts w:ascii="Arial" w:cs="Arial" w:eastAsia="Arial" w:hAnsi="Arial"/>
          <w:sz w:val="18"/>
          <w:szCs w:val="18"/>
          <w:color w:val="auto"/>
        </w:rPr>
        <w:t>Our Class A common stock beneficially owned by an individual who is not a citizen or resident of the United States (as defined for U.S. federal estate tax purposes) at the time of their death will generally be includable in the decedent’s gross estate for U.S. federal estate tax purposes, unless an applicable estate tax treaty provides otherwise.</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Backup Withholding and Information Reporting</w:t>
      </w:r>
    </w:p>
    <w:p>
      <w:pPr>
        <w:spacing w:after="0" w:line="121" w:lineRule="exact"/>
        <w:rPr>
          <w:sz w:val="20"/>
          <w:szCs w:val="20"/>
          <w:color w:val="auto"/>
        </w:rPr>
      </w:pPr>
    </w:p>
    <w:p>
      <w:pPr>
        <w:ind w:firstLine="449"/>
        <w:spacing w:after="0" w:line="263" w:lineRule="auto"/>
        <w:rPr>
          <w:sz w:val="20"/>
          <w:szCs w:val="20"/>
          <w:color w:val="auto"/>
        </w:rPr>
      </w:pPr>
      <w:r>
        <w:rPr>
          <w:rFonts w:ascii="Arial" w:cs="Arial" w:eastAsia="Arial" w:hAnsi="Arial"/>
          <w:sz w:val="18"/>
          <w:szCs w:val="18"/>
          <w:color w:val="auto"/>
        </w:rPr>
        <w:t>Generally, we must report annually to the IRS the amount of dividends paid to you, your name and address, and the amount of tax withheld, if any. A similar report will be sent to you. Pursuant to applicable income tax treaties or other agreements, the IRS may make these reports available to tax authorities in your country of residence.</w:t>
      </w:r>
    </w:p>
    <w:p>
      <w:pPr>
        <w:spacing w:after="0" w:line="184" w:lineRule="exact"/>
        <w:rPr>
          <w:sz w:val="20"/>
          <w:szCs w:val="20"/>
          <w:color w:val="auto"/>
        </w:rPr>
      </w:pPr>
    </w:p>
    <w:p>
      <w:pPr>
        <w:ind w:right="100" w:firstLine="449"/>
        <w:spacing w:after="0" w:line="279" w:lineRule="auto"/>
        <w:rPr>
          <w:sz w:val="20"/>
          <w:szCs w:val="20"/>
          <w:color w:val="auto"/>
        </w:rPr>
      </w:pPr>
      <w:r>
        <w:rPr>
          <w:rFonts w:ascii="Arial" w:cs="Arial" w:eastAsia="Arial" w:hAnsi="Arial"/>
          <w:sz w:val="17"/>
          <w:szCs w:val="17"/>
          <w:color w:val="auto"/>
        </w:rPr>
        <w:t>Payments of dividends or of proceeds on the disposition of stock made to you may be subject to information reporting and backup withholding at a current rate of 28% unless you establish an exemption, for example, by properly certifying your non-U.S. status on an IRS Form W-8BEN, IRS Form W-8BEN-E, or another appropriate version of IRS Form W-8. Notwithstanding the foregoing, backup withholding and information reporting may apply if either we our paying agent has actual knowledge, or reason to know, that you are a United States person as defined under the Code.</w:t>
      </w:r>
    </w:p>
    <w:p>
      <w:pPr>
        <w:spacing w:after="0" w:line="171" w:lineRule="exact"/>
        <w:rPr>
          <w:sz w:val="20"/>
          <w:szCs w:val="20"/>
          <w:color w:val="auto"/>
        </w:rPr>
      </w:pPr>
    </w:p>
    <w:p>
      <w:pPr>
        <w:jc w:val="both"/>
        <w:ind w:right="40" w:firstLine="449"/>
        <w:spacing w:after="0" w:line="263" w:lineRule="auto"/>
        <w:rPr>
          <w:sz w:val="20"/>
          <w:szCs w:val="20"/>
          <w:color w:val="auto"/>
        </w:rPr>
      </w:pPr>
      <w:r>
        <w:rPr>
          <w:rFonts w:ascii="Arial" w:cs="Arial" w:eastAsia="Arial" w:hAnsi="Arial"/>
          <w:sz w:val="18"/>
          <w:szCs w:val="18"/>
          <w:color w:val="auto"/>
        </w:rPr>
        <w:t>Backup withholding is not an additional tax; rather, the U.S. federal income tax liability of persons subject to backup withholding will be reduced by the amount of tax withheld. If withholding results in an overpayment of taxes, a refund or credit may generally be obtained from the IRS, provided that the required information is furnished to the IRS in a timely manner.</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FATCA</w:t>
      </w:r>
    </w:p>
    <w:p>
      <w:pPr>
        <w:spacing w:after="0" w:line="121" w:lineRule="exact"/>
        <w:rPr>
          <w:sz w:val="20"/>
          <w:szCs w:val="20"/>
          <w:color w:val="auto"/>
        </w:rPr>
      </w:pPr>
    </w:p>
    <w:p>
      <w:pPr>
        <w:ind w:right="20" w:firstLine="449"/>
        <w:spacing w:after="0" w:line="286" w:lineRule="auto"/>
        <w:rPr>
          <w:sz w:val="20"/>
          <w:szCs w:val="20"/>
          <w:color w:val="auto"/>
        </w:rPr>
      </w:pPr>
      <w:r>
        <w:rPr>
          <w:rFonts w:ascii="Arial" w:cs="Arial" w:eastAsia="Arial" w:hAnsi="Arial"/>
          <w:sz w:val="16"/>
          <w:szCs w:val="16"/>
          <w:color w:val="auto"/>
        </w:rPr>
        <w:t>The Foreign Account Tax Compliance Act and the rules and regulations promulgated thereunder, or collectively, FATCA, generally impose withholding tax at a rate of 30% on dividends on and gross proceeds from the sale or other disposition of our Class A common stock paid to “foreign financial institutions” (as specially defined under these rules), unless such institution enters into an agreement with the U.S. government to withhold on certain payments and to collect and provide to the U.S. tax authorities substantial information regarding the U.S. account holders of such institution (which includes certain equity and debt holders of such institution, as well as certain account holders that are foreign entities with U.S. owners) or otherwise establishes an exemption. FATCA also generally imposes a U.S. federal withholding tax of 30% on dividends on and gross proceeds from the sale or other disposition of our Class A common stock paid to a “non-financial foreign entities” (as specially defined under these rules) unless such entity provides the withholding agent with a certification identifying certain substantial direct and indirect U.S. owners of the entity, certifies that there are none, or otherwise establishes and certifies to an exemption. The withholding provisions under FATCA generally apply to dividends on our Class A common stock, and under current transition rules, are expected to apply with respect to the gross proceeds from the sale or other disposition of our Class A common stock on or after January 1, 2019. An intergovernmental agreement between the United States and your country of tax residence may modify the requirements described in this paragraph. If a dividend payment is both subject to withholding under FATCA and subject to the withholding tax discussed above under “— Distributions,” the withholding under FATCA may be credited against, and therefore reduce, such other withholding tax. Non-U.S. holders should consult their own tax advisors regarding the possible implications of FATCA on their investment in our Class A common stock.</w:t>
      </w:r>
    </w:p>
    <w:p>
      <w:pPr>
        <w:spacing w:after="0" w:line="167" w:lineRule="exact"/>
        <w:rPr>
          <w:sz w:val="20"/>
          <w:szCs w:val="20"/>
          <w:color w:val="auto"/>
        </w:rPr>
      </w:pPr>
    </w:p>
    <w:p>
      <w:pPr>
        <w:ind w:right="100" w:firstLine="449"/>
        <w:spacing w:after="0" w:line="386" w:lineRule="auto"/>
        <w:rPr>
          <w:sz w:val="20"/>
          <w:szCs w:val="20"/>
          <w:color w:val="auto"/>
        </w:rPr>
      </w:pPr>
      <w:r>
        <w:rPr>
          <w:rFonts w:ascii="Arial" w:cs="Arial" w:eastAsia="Arial" w:hAnsi="Arial"/>
          <w:sz w:val="15"/>
          <w:szCs w:val="15"/>
          <w:b w:val="1"/>
          <w:bCs w:val="1"/>
          <w:color w:val="auto"/>
        </w:rPr>
        <w:t>Each prospective investor should consult its own tax advisor regarding the particular U.S. federal, state, and local, and non-U.S. tax consequences of purchasing, holding, and disposing of our common stock, including the consequences of any proposed change in applicable laws.</w:t>
      </w:r>
    </w:p>
    <w:p>
      <w:pPr>
        <w:spacing w:after="0" w:line="3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145</w:t>
      </w:r>
    </w:p>
    <w:p>
      <w:pPr>
        <w:sectPr>
          <w:pgSz w:w="11900" w:h="16838" w:orient="portrait"/>
          <w:cols w:equalWidth="0" w:num="1">
            <w:col w:w="11200"/>
          </w:cols>
          <w:pgMar w:left="320" w:top="459" w:right="379" w:bottom="1440" w:gutter="0" w:footer="0" w:header="0"/>
        </w:sectPr>
      </w:pPr>
    </w:p>
    <w:bookmarkStart w:id="148" w:name="page149"/>
    <w:bookmarkEnd w:id="14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UNDERWRITING (CONFLICTS OF INTEREST)</w:t>
      </w:r>
    </w:p>
    <w:p>
      <w:pPr>
        <w:spacing w:after="0" w:line="229" w:lineRule="exact"/>
        <w:rPr>
          <w:sz w:val="20"/>
          <w:szCs w:val="20"/>
          <w:color w:val="auto"/>
        </w:rPr>
      </w:pPr>
    </w:p>
    <w:p>
      <w:pPr>
        <w:ind w:left="460"/>
        <w:spacing w:after="0"/>
        <w:rPr>
          <w:sz w:val="20"/>
          <w:szCs w:val="20"/>
          <w:color w:val="auto"/>
        </w:rPr>
      </w:pPr>
      <w:r>
        <w:rPr>
          <w:rFonts w:ascii="Arial" w:cs="Arial" w:eastAsia="Arial" w:hAnsi="Arial"/>
          <w:sz w:val="16"/>
          <w:szCs w:val="16"/>
          <w:color w:val="auto"/>
        </w:rPr>
        <w:t>We, the selling stockholders and the underwriters named below will enter into an underwriting agreement with respect to the shares being offered.</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Subject to certain conditions, each underwriter will severally agree to purchase the number of shares indicated in the following table. Goldman Sachs &amp; Co.</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LLC and J.P. Morgan Securities LLC are the representatives of the underwriters.</w:t>
      </w:r>
    </w:p>
    <w:p>
      <w:pPr>
        <w:spacing w:after="0" w:line="233" w:lineRule="exact"/>
        <w:rPr>
          <w:sz w:val="20"/>
          <w:szCs w:val="20"/>
          <w:color w:val="auto"/>
        </w:rPr>
      </w:pPr>
    </w:p>
    <w:p>
      <w:pPr>
        <w:ind w:left="1360"/>
        <w:spacing w:after="0"/>
        <w:tabs>
          <w:tab w:leader="none" w:pos="8800" w:val="left"/>
        </w:tabs>
        <w:rPr>
          <w:sz w:val="20"/>
          <w:szCs w:val="20"/>
          <w:color w:val="auto"/>
        </w:rPr>
      </w:pPr>
      <w:r>
        <w:rPr>
          <w:rFonts w:ascii="Arial" w:cs="Arial" w:eastAsia="Arial" w:hAnsi="Arial"/>
          <w:sz w:val="14"/>
          <w:szCs w:val="14"/>
          <w:u w:val="single" w:color="auto"/>
          <w:color w:val="auto"/>
        </w:rPr>
        <w:t>Underwriters</w:t>
      </w:r>
      <w:r>
        <w:rPr>
          <w:sz w:val="20"/>
          <w:szCs w:val="20"/>
          <w:color w:val="auto"/>
        </w:rPr>
        <w:tab/>
      </w:r>
      <w:r>
        <w:rPr>
          <w:rFonts w:ascii="Arial" w:cs="Arial" w:eastAsia="Arial" w:hAnsi="Arial"/>
          <w:sz w:val="14"/>
          <w:szCs w:val="14"/>
          <w:u w:val="single" w:color="auto"/>
          <w:color w:val="auto"/>
        </w:rPr>
        <w:t>Number of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862330</wp:posOffset>
            </wp:positionH>
            <wp:positionV relativeFrom="paragraph">
              <wp:posOffset>12700</wp:posOffset>
            </wp:positionV>
            <wp:extent cx="5417820" cy="137160"/>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5417820" cy="137160"/>
                    </a:xfrm>
                    <a:prstGeom prst="rect">
                      <a:avLst/>
                    </a:prstGeom>
                    <a:noFill/>
                  </pic:spPr>
                </pic:pic>
              </a:graphicData>
            </a:graphic>
          </wp:anchor>
        </w:drawing>
      </w:r>
    </w:p>
    <w:p>
      <w:pPr>
        <w:spacing w:after="0" w:line="1" w:lineRule="exact"/>
        <w:rPr>
          <w:sz w:val="20"/>
          <w:szCs w:val="20"/>
          <w:color w:val="auto"/>
        </w:rPr>
      </w:pPr>
    </w:p>
    <w:p>
      <w:pPr>
        <w:ind w:left="1360"/>
        <w:spacing w:after="0"/>
        <w:rPr>
          <w:sz w:val="20"/>
          <w:szCs w:val="20"/>
          <w:color w:val="auto"/>
        </w:rPr>
      </w:pPr>
      <w:r>
        <w:rPr>
          <w:rFonts w:ascii="Arial" w:cs="Arial" w:eastAsia="Arial" w:hAnsi="Arial"/>
          <w:sz w:val="18"/>
          <w:szCs w:val="18"/>
          <w:color w:val="auto"/>
        </w:rPr>
        <w:t>Goldman Sachs &amp; Co. LLC</w:t>
      </w:r>
    </w:p>
    <w:p>
      <w:pPr>
        <w:spacing w:after="0" w:line="7" w:lineRule="exact"/>
        <w:rPr>
          <w:sz w:val="20"/>
          <w:szCs w:val="20"/>
          <w:color w:val="auto"/>
        </w:rPr>
      </w:pPr>
    </w:p>
    <w:p>
      <w:pPr>
        <w:ind w:left="1360"/>
        <w:spacing w:after="0"/>
        <w:rPr>
          <w:sz w:val="20"/>
          <w:szCs w:val="20"/>
          <w:color w:val="auto"/>
        </w:rPr>
      </w:pPr>
      <w:r>
        <w:rPr>
          <w:rFonts w:ascii="Arial" w:cs="Arial" w:eastAsia="Arial" w:hAnsi="Arial"/>
          <w:sz w:val="18"/>
          <w:szCs w:val="18"/>
          <w:color w:val="auto"/>
        </w:rPr>
        <w:t>J.P. Morgan Securities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862330</wp:posOffset>
            </wp:positionH>
            <wp:positionV relativeFrom="paragraph">
              <wp:posOffset>5715</wp:posOffset>
            </wp:positionV>
            <wp:extent cx="5417820" cy="14541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5417820" cy="145415"/>
                    </a:xfrm>
                    <a:prstGeom prst="rect">
                      <a:avLst/>
                    </a:prstGeom>
                    <a:noFill/>
                  </pic:spPr>
                </pic:pic>
              </a:graphicData>
            </a:graphic>
          </wp:anchor>
        </w:drawing>
      </w:r>
    </w:p>
    <w:p>
      <w:pPr>
        <w:spacing w:after="0" w:line="218" w:lineRule="exact"/>
        <w:rPr>
          <w:sz w:val="20"/>
          <w:szCs w:val="20"/>
          <w:color w:val="auto"/>
        </w:rPr>
      </w:pPr>
    </w:p>
    <w:p>
      <w:pPr>
        <w:ind w:left="1720"/>
        <w:spacing w:after="0"/>
        <w:rPr>
          <w:sz w:val="20"/>
          <w:szCs w:val="20"/>
          <w:color w:val="auto"/>
        </w:rPr>
      </w:pPr>
      <w:r>
        <w:rPr>
          <w:rFonts w:ascii="Arial" w:cs="Arial" w:eastAsia="Arial" w:hAnsi="Arial"/>
          <w:sz w:val="18"/>
          <w:szCs w:val="18"/>
          <w:color w:val="auto"/>
        </w:rPr>
        <w:t>Total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5602605</wp:posOffset>
            </wp:positionH>
            <wp:positionV relativeFrom="paragraph">
              <wp:posOffset>14605</wp:posOffset>
            </wp:positionV>
            <wp:extent cx="651510" cy="8890"/>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651510" cy="8890"/>
                    </a:xfrm>
                    <a:prstGeom prst="rect">
                      <a:avLst/>
                    </a:prstGeom>
                    <a:noFill/>
                  </pic:spPr>
                </pic:pic>
              </a:graphicData>
            </a:graphic>
          </wp:anchor>
        </w:drawing>
        <w:drawing>
          <wp:anchor simplePos="0" relativeHeight="251657728" behindDoc="1" locked="0" layoutInCell="0" allowOverlap="1">
            <wp:simplePos x="0" y="0"/>
            <wp:positionH relativeFrom="column">
              <wp:posOffset>5602605</wp:posOffset>
            </wp:positionH>
            <wp:positionV relativeFrom="paragraph">
              <wp:posOffset>31750</wp:posOffset>
            </wp:positionV>
            <wp:extent cx="651510" cy="825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651510" cy="8255"/>
                    </a:xfrm>
                    <a:prstGeom prst="rect">
                      <a:avLst/>
                    </a:prstGeom>
                    <a:noFill/>
                  </pic:spPr>
                </pic:pic>
              </a:graphicData>
            </a:graphic>
          </wp:anchor>
        </w:drawing>
      </w:r>
    </w:p>
    <w:p>
      <w:pPr>
        <w:spacing w:after="0" w:line="259" w:lineRule="exact"/>
        <w:rPr>
          <w:sz w:val="20"/>
          <w:szCs w:val="20"/>
          <w:color w:val="auto"/>
        </w:rPr>
      </w:pPr>
    </w:p>
    <w:p>
      <w:pPr>
        <w:ind w:right="220" w:firstLine="449"/>
        <w:spacing w:after="0" w:line="277" w:lineRule="auto"/>
        <w:rPr>
          <w:sz w:val="20"/>
          <w:szCs w:val="20"/>
          <w:color w:val="auto"/>
        </w:rPr>
      </w:pPr>
      <w:r>
        <w:rPr>
          <w:rFonts w:ascii="Arial" w:cs="Arial" w:eastAsia="Arial" w:hAnsi="Arial"/>
          <w:sz w:val="18"/>
          <w:szCs w:val="18"/>
          <w:color w:val="auto"/>
        </w:rPr>
        <w:t>The underwriters will be committed to take and pay for all of the shares being offered, if any are taken, other than the shares covered by the option described below, unless and until this option is exercised.</w:t>
      </w:r>
    </w:p>
    <w:p>
      <w:pPr>
        <w:spacing w:after="0" w:line="170" w:lineRule="exact"/>
        <w:rPr>
          <w:sz w:val="20"/>
          <w:szCs w:val="20"/>
          <w:color w:val="auto"/>
        </w:rPr>
      </w:pPr>
    </w:p>
    <w:p>
      <w:pPr>
        <w:ind w:right="40" w:firstLine="449"/>
        <w:spacing w:after="0" w:line="311" w:lineRule="auto"/>
        <w:rPr>
          <w:sz w:val="20"/>
          <w:szCs w:val="20"/>
          <w:color w:val="auto"/>
        </w:rPr>
      </w:pPr>
      <w:r>
        <w:rPr>
          <w:rFonts w:ascii="Arial" w:cs="Arial" w:eastAsia="Arial" w:hAnsi="Arial"/>
          <w:sz w:val="16"/>
          <w:szCs w:val="16"/>
          <w:color w:val="auto"/>
        </w:rPr>
        <w:t>The underwriters will have an option to buy up to an additional shares from us and the selling stockholders to cover sales by the underwriters of a greater number of shares than the total number set forth in the table above. They may exercise that option for 30 days. If any shares are purchased pursuant to this option, the underwriters will severally purchase shares in approximately the same proportion as set forth in the table above.</w:t>
      </w:r>
    </w:p>
    <w:p>
      <w:pPr>
        <w:spacing w:after="0" w:line="149" w:lineRule="exact"/>
        <w:rPr>
          <w:sz w:val="20"/>
          <w:szCs w:val="20"/>
          <w:color w:val="auto"/>
        </w:rPr>
      </w:pPr>
    </w:p>
    <w:p>
      <w:pPr>
        <w:ind w:left="460"/>
        <w:spacing w:after="0"/>
        <w:rPr>
          <w:sz w:val="20"/>
          <w:szCs w:val="20"/>
          <w:color w:val="auto"/>
        </w:rPr>
      </w:pPr>
      <w:r>
        <w:rPr>
          <w:rFonts w:ascii="Arial" w:cs="Arial" w:eastAsia="Arial" w:hAnsi="Arial"/>
          <w:sz w:val="17"/>
          <w:szCs w:val="17"/>
          <w:color w:val="auto"/>
        </w:rPr>
        <w:t>The following tables show the per share and total underwriting discounts and commissions to be paid to the underwriters by us and the selling</w:t>
      </w:r>
    </w:p>
    <w:p>
      <w:pPr>
        <w:spacing w:after="0" w:line="3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8960" w:type="dxa"/>
            <w:vAlign w:val="bottom"/>
            <w:gridSpan w:val="9"/>
          </w:tcPr>
          <w:p>
            <w:pPr>
              <w:spacing w:after="0"/>
              <w:rPr>
                <w:sz w:val="20"/>
                <w:szCs w:val="20"/>
                <w:color w:val="auto"/>
              </w:rPr>
            </w:pPr>
            <w:r>
              <w:rPr>
                <w:rFonts w:ascii="Arial" w:cs="Arial" w:eastAsia="Arial" w:hAnsi="Arial"/>
                <w:sz w:val="18"/>
                <w:szCs w:val="18"/>
                <w:color w:val="auto"/>
                <w:w w:val="91"/>
              </w:rPr>
              <w:t>stockholders. Such amounts are shown assuming both no exercise and full exercise of the underwriters’ option to purchase</w:t>
            </w:r>
          </w:p>
        </w:tc>
        <w:tc>
          <w:tcPr>
            <w:tcW w:w="140" w:type="dxa"/>
            <w:vAlign w:val="bottom"/>
          </w:tcPr>
          <w:p>
            <w:pPr>
              <w:spacing w:after="0"/>
              <w:rPr>
                <w:sz w:val="20"/>
                <w:szCs w:val="20"/>
                <w:color w:val="auto"/>
              </w:rPr>
            </w:pPr>
          </w:p>
        </w:tc>
        <w:tc>
          <w:tcPr>
            <w:tcW w:w="1620" w:type="dxa"/>
            <w:vAlign w:val="bottom"/>
            <w:gridSpan w:val="2"/>
          </w:tcPr>
          <w:p>
            <w:pPr>
              <w:ind w:left="360"/>
              <w:spacing w:after="0"/>
              <w:rPr>
                <w:sz w:val="20"/>
                <w:szCs w:val="20"/>
                <w:color w:val="auto"/>
              </w:rPr>
            </w:pPr>
            <w:r>
              <w:rPr>
                <w:rFonts w:ascii="Arial" w:cs="Arial" w:eastAsia="Arial" w:hAnsi="Arial"/>
                <w:sz w:val="18"/>
                <w:szCs w:val="18"/>
                <w:color w:val="auto"/>
                <w:w w:val="87"/>
              </w:rPr>
              <w:t>additional shares.</w:t>
            </w:r>
          </w:p>
        </w:tc>
      </w:tr>
      <w:tr>
        <w:trPr>
          <w:trHeight w:val="485"/>
        </w:trPr>
        <w:tc>
          <w:tcPr>
            <w:tcW w:w="1360" w:type="dxa"/>
            <w:vAlign w:val="bottom"/>
          </w:tcPr>
          <w:p>
            <w:pPr>
              <w:spacing w:after="0"/>
              <w:rPr>
                <w:sz w:val="24"/>
                <w:szCs w:val="24"/>
                <w:color w:val="auto"/>
              </w:rPr>
            </w:pPr>
          </w:p>
        </w:tc>
        <w:tc>
          <w:tcPr>
            <w:tcW w:w="19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3720" w:type="dxa"/>
            <w:vAlign w:val="bottom"/>
            <w:gridSpan w:val="5"/>
          </w:tcPr>
          <w:p>
            <w:pPr>
              <w:jc w:val="center"/>
              <w:ind w:right="2960"/>
              <w:spacing w:after="0"/>
              <w:rPr>
                <w:sz w:val="20"/>
                <w:szCs w:val="20"/>
                <w:color w:val="auto"/>
              </w:rPr>
            </w:pPr>
            <w:r>
              <w:rPr>
                <w:rFonts w:ascii="Arial" w:cs="Arial" w:eastAsia="Arial" w:hAnsi="Arial"/>
                <w:sz w:val="18"/>
                <w:szCs w:val="18"/>
                <w:color w:val="auto"/>
                <w:w w:val="90"/>
              </w:rPr>
              <w:t>Paid by us</w:t>
            </w:r>
          </w:p>
        </w:tc>
        <w:tc>
          <w:tcPr>
            <w:tcW w:w="1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840" w:type="dxa"/>
            <w:vAlign w:val="bottom"/>
          </w:tcPr>
          <w:p>
            <w:pPr>
              <w:spacing w:after="0"/>
              <w:rPr>
                <w:sz w:val="24"/>
                <w:szCs w:val="24"/>
                <w:color w:val="auto"/>
              </w:rPr>
            </w:pPr>
          </w:p>
        </w:tc>
      </w:tr>
      <w:tr>
        <w:trPr>
          <w:trHeight w:val="412"/>
        </w:trPr>
        <w:tc>
          <w:tcPr>
            <w:tcW w:w="1360" w:type="dxa"/>
            <w:vAlign w:val="bottom"/>
          </w:tcPr>
          <w:p>
            <w:pPr>
              <w:spacing w:after="0"/>
              <w:rPr>
                <w:sz w:val="24"/>
                <w:szCs w:val="24"/>
                <w:color w:val="auto"/>
              </w:rPr>
            </w:pPr>
          </w:p>
        </w:tc>
        <w:tc>
          <w:tcPr>
            <w:tcW w:w="19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60" w:type="dxa"/>
            <w:vAlign w:val="bottom"/>
            <w:tcBorders>
              <w:top w:val="single" w:sz="8" w:color="auto"/>
            </w:tcBorders>
          </w:tcPr>
          <w:p>
            <w:pPr>
              <w:spacing w:after="0"/>
              <w:rPr>
                <w:sz w:val="24"/>
                <w:szCs w:val="24"/>
                <w:color w:val="auto"/>
              </w:rPr>
            </w:pPr>
          </w:p>
        </w:tc>
        <w:tc>
          <w:tcPr>
            <w:tcW w:w="7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0" w:type="dxa"/>
            <w:vAlign w:val="bottom"/>
            <w:gridSpan w:val="2"/>
          </w:tcPr>
          <w:p>
            <w:pPr>
              <w:spacing w:after="0"/>
              <w:rPr>
                <w:sz w:val="20"/>
                <w:szCs w:val="20"/>
                <w:color w:val="auto"/>
              </w:rPr>
            </w:pPr>
            <w:r>
              <w:rPr>
                <w:rFonts w:ascii="Arial" w:cs="Arial" w:eastAsia="Arial" w:hAnsi="Arial"/>
                <w:sz w:val="14"/>
                <w:szCs w:val="14"/>
                <w:color w:val="auto"/>
              </w:rPr>
              <w:t>No exercise</w:t>
            </w:r>
          </w:p>
        </w:tc>
        <w:tc>
          <w:tcPr>
            <w:tcW w:w="140" w:type="dxa"/>
            <w:vAlign w:val="bottom"/>
          </w:tcPr>
          <w:p>
            <w:pPr>
              <w:spacing w:after="0"/>
              <w:rPr>
                <w:sz w:val="24"/>
                <w:szCs w:val="24"/>
                <w:color w:val="auto"/>
              </w:rPr>
            </w:pPr>
          </w:p>
        </w:tc>
        <w:tc>
          <w:tcPr>
            <w:tcW w:w="1620" w:type="dxa"/>
            <w:vAlign w:val="bottom"/>
            <w:gridSpan w:val="2"/>
          </w:tcPr>
          <w:p>
            <w:pPr>
              <w:spacing w:after="0"/>
              <w:rPr>
                <w:sz w:val="20"/>
                <w:szCs w:val="20"/>
                <w:color w:val="auto"/>
              </w:rPr>
            </w:pPr>
            <w:r>
              <w:rPr>
                <w:rFonts w:ascii="Arial" w:cs="Arial" w:eastAsia="Arial" w:hAnsi="Arial"/>
                <w:sz w:val="14"/>
                <w:szCs w:val="14"/>
                <w:color w:val="auto"/>
              </w:rPr>
              <w:t>Full exercise</w:t>
            </w:r>
          </w:p>
        </w:tc>
      </w:tr>
      <w:tr>
        <w:trPr>
          <w:trHeight w:val="209"/>
        </w:trPr>
        <w:tc>
          <w:tcPr>
            <w:tcW w:w="1360" w:type="dxa"/>
            <w:vAlign w:val="bottom"/>
          </w:tcPr>
          <w:p>
            <w:pPr>
              <w:spacing w:after="0"/>
              <w:rPr>
                <w:sz w:val="18"/>
                <w:szCs w:val="18"/>
                <w:color w:val="auto"/>
              </w:rPr>
            </w:pPr>
          </w:p>
        </w:tc>
        <w:tc>
          <w:tcPr>
            <w:tcW w:w="19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Per share</w:t>
            </w:r>
          </w:p>
        </w:tc>
        <w:tc>
          <w:tcPr>
            <w:tcW w:w="1220" w:type="dxa"/>
            <w:vAlign w:val="bottom"/>
            <w:tcBorders>
              <w:top w:val="single" w:sz="8" w:color="CCEEFF"/>
            </w:tcBorders>
            <w:shd w:val="clear" w:color="auto" w:fill="CCEEFF"/>
          </w:tcPr>
          <w:p>
            <w:pPr>
              <w:spacing w:after="0"/>
              <w:rPr>
                <w:sz w:val="18"/>
                <w:szCs w:val="18"/>
                <w:color w:val="auto"/>
              </w:rPr>
            </w:pPr>
          </w:p>
        </w:tc>
        <w:tc>
          <w:tcPr>
            <w:tcW w:w="760" w:type="dxa"/>
            <w:vAlign w:val="bottom"/>
            <w:tcBorders>
              <w:top w:val="single" w:sz="8" w:color="CCEEFF"/>
            </w:tcBorders>
            <w:shd w:val="clear" w:color="auto" w:fill="CCEEFF"/>
          </w:tcPr>
          <w:p>
            <w:pPr>
              <w:spacing w:after="0"/>
              <w:rPr>
                <w:sz w:val="18"/>
                <w:szCs w:val="18"/>
                <w:color w:val="auto"/>
              </w:rPr>
            </w:pPr>
          </w:p>
        </w:tc>
        <w:tc>
          <w:tcPr>
            <w:tcW w:w="760" w:type="dxa"/>
            <w:vAlign w:val="bottom"/>
            <w:tcBorders>
              <w:top w:val="single" w:sz="8" w:color="CCEEFF"/>
            </w:tcBorders>
            <w:shd w:val="clear" w:color="auto" w:fill="CCEEFF"/>
          </w:tcPr>
          <w:p>
            <w:pPr>
              <w:spacing w:after="0"/>
              <w:rPr>
                <w:sz w:val="18"/>
                <w:szCs w:val="18"/>
                <w:color w:val="auto"/>
              </w:rPr>
            </w:pPr>
          </w:p>
        </w:tc>
        <w:tc>
          <w:tcPr>
            <w:tcW w:w="760" w:type="dxa"/>
            <w:vAlign w:val="bottom"/>
            <w:tcBorders>
              <w:top w:val="single" w:sz="8" w:color="CCEEFF"/>
            </w:tcBorders>
            <w:shd w:val="clear" w:color="auto" w:fill="CCEEFF"/>
          </w:tcPr>
          <w:p>
            <w:pPr>
              <w:spacing w:after="0"/>
              <w:rPr>
                <w:sz w:val="18"/>
                <w:szCs w:val="18"/>
                <w:color w:val="auto"/>
              </w:rPr>
            </w:pPr>
          </w:p>
        </w:tc>
        <w:tc>
          <w:tcPr>
            <w:tcW w:w="100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5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780" w:type="dxa"/>
            <w:vAlign w:val="bottom"/>
            <w:tcBorders>
              <w:top w:val="single" w:sz="8" w:color="auto"/>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w:t>
            </w:r>
          </w:p>
        </w:tc>
        <w:tc>
          <w:tcPr>
            <w:tcW w:w="840" w:type="dxa"/>
            <w:vAlign w:val="bottom"/>
          </w:tcPr>
          <w:p>
            <w:pPr>
              <w:spacing w:after="0"/>
              <w:rPr>
                <w:sz w:val="18"/>
                <w:szCs w:val="18"/>
                <w:color w:val="auto"/>
              </w:rPr>
            </w:pPr>
          </w:p>
        </w:tc>
      </w:tr>
      <w:tr>
        <w:trPr>
          <w:trHeight w:val="230"/>
        </w:trPr>
        <w:tc>
          <w:tcPr>
            <w:tcW w:w="1360" w:type="dxa"/>
            <w:vAlign w:val="bottom"/>
          </w:tcPr>
          <w:p>
            <w:pPr>
              <w:spacing w:after="0"/>
              <w:rPr>
                <w:sz w:val="20"/>
                <w:szCs w:val="20"/>
                <w:color w:val="auto"/>
              </w:rPr>
            </w:pPr>
          </w:p>
        </w:tc>
        <w:tc>
          <w:tcPr>
            <w:tcW w:w="1900" w:type="dxa"/>
            <w:vAlign w:val="bottom"/>
          </w:tcPr>
          <w:p>
            <w:pPr>
              <w:spacing w:after="0"/>
              <w:rPr>
                <w:sz w:val="20"/>
                <w:szCs w:val="20"/>
                <w:color w:val="auto"/>
              </w:rPr>
            </w:pPr>
            <w:r>
              <w:rPr>
                <w:rFonts w:ascii="Arial" w:cs="Arial" w:eastAsia="Arial" w:hAnsi="Arial"/>
                <w:sz w:val="18"/>
                <w:szCs w:val="18"/>
                <w:color w:val="auto"/>
              </w:rPr>
              <w:t>Total</w:t>
            </w:r>
          </w:p>
        </w:tc>
        <w:tc>
          <w:tcPr>
            <w:tcW w:w="5180" w:type="dxa"/>
            <w:vAlign w:val="bottom"/>
            <w:gridSpan w:val="6"/>
          </w:tcPr>
          <w:p>
            <w:pPr>
              <w:ind w:left="4500"/>
              <w:spacing w:after="0"/>
              <w:rPr>
                <w:sz w:val="20"/>
                <w:szCs w:val="20"/>
                <w:color w:val="auto"/>
              </w:rPr>
            </w:pPr>
            <w:r>
              <w:rPr>
                <w:rFonts w:ascii="Arial" w:cs="Arial" w:eastAsia="Arial" w:hAnsi="Arial"/>
                <w:sz w:val="18"/>
                <w:szCs w:val="18"/>
                <w:color w:val="auto"/>
              </w:rPr>
              <w:t>$</w:t>
            </w:r>
          </w:p>
        </w:tc>
        <w:tc>
          <w:tcPr>
            <w:tcW w:w="520" w:type="dxa"/>
            <w:vAlign w:val="bottom"/>
          </w:tcPr>
          <w:p>
            <w:pPr>
              <w:spacing w:after="0"/>
              <w:rPr>
                <w:sz w:val="20"/>
                <w:szCs w:val="20"/>
                <w:color w:val="auto"/>
              </w:rPr>
            </w:pPr>
          </w:p>
        </w:tc>
        <w:tc>
          <w:tcPr>
            <w:tcW w:w="920" w:type="dxa"/>
            <w:vAlign w:val="bottom"/>
            <w:gridSpan w:val="2"/>
          </w:tcPr>
          <w:p>
            <w:pPr>
              <w:ind w:left="140"/>
              <w:spacing w:after="0"/>
              <w:rPr>
                <w:sz w:val="20"/>
                <w:szCs w:val="20"/>
                <w:color w:val="auto"/>
              </w:rPr>
            </w:pPr>
            <w:r>
              <w:rPr>
                <w:rFonts w:ascii="Arial" w:cs="Arial" w:eastAsia="Arial" w:hAnsi="Arial"/>
                <w:sz w:val="18"/>
                <w:szCs w:val="18"/>
                <w:color w:val="auto"/>
              </w:rPr>
              <w:t>$</w:t>
            </w:r>
          </w:p>
        </w:tc>
        <w:tc>
          <w:tcPr>
            <w:tcW w:w="840" w:type="dxa"/>
            <w:vAlign w:val="bottom"/>
          </w:tcPr>
          <w:p>
            <w:pPr>
              <w:spacing w:after="0"/>
              <w:rPr>
                <w:sz w:val="20"/>
                <w:szCs w:val="20"/>
                <w:color w:val="auto"/>
              </w:rPr>
            </w:pPr>
          </w:p>
        </w:tc>
      </w:tr>
      <w:tr>
        <w:trPr>
          <w:trHeight w:val="485"/>
        </w:trPr>
        <w:tc>
          <w:tcPr>
            <w:tcW w:w="1360" w:type="dxa"/>
            <w:vAlign w:val="bottom"/>
          </w:tcPr>
          <w:p>
            <w:pPr>
              <w:spacing w:after="0"/>
              <w:rPr>
                <w:sz w:val="24"/>
                <w:szCs w:val="24"/>
                <w:color w:val="auto"/>
              </w:rPr>
            </w:pPr>
          </w:p>
        </w:tc>
        <w:tc>
          <w:tcPr>
            <w:tcW w:w="1900" w:type="dxa"/>
            <w:vAlign w:val="bottom"/>
          </w:tcPr>
          <w:p>
            <w:pPr>
              <w:spacing w:after="0"/>
              <w:rPr>
                <w:sz w:val="24"/>
                <w:szCs w:val="24"/>
                <w:color w:val="auto"/>
              </w:rPr>
            </w:pPr>
          </w:p>
        </w:tc>
        <w:tc>
          <w:tcPr>
            <w:tcW w:w="5700" w:type="dxa"/>
            <w:vAlign w:val="bottom"/>
            <w:gridSpan w:val="7"/>
          </w:tcPr>
          <w:p>
            <w:pPr>
              <w:jc w:val="center"/>
              <w:ind w:right="980"/>
              <w:spacing w:after="0"/>
              <w:rPr>
                <w:sz w:val="20"/>
                <w:szCs w:val="20"/>
                <w:color w:val="auto"/>
              </w:rPr>
            </w:pPr>
            <w:r>
              <w:rPr>
                <w:rFonts w:ascii="Arial" w:cs="Arial" w:eastAsia="Arial" w:hAnsi="Arial"/>
                <w:sz w:val="18"/>
                <w:szCs w:val="18"/>
                <w:color w:val="auto"/>
                <w:w w:val="90"/>
              </w:rPr>
              <w:t>Paid by the selling stockholders</w:t>
            </w:r>
          </w:p>
        </w:tc>
        <w:tc>
          <w:tcPr>
            <w:tcW w:w="1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840" w:type="dxa"/>
            <w:vAlign w:val="bottom"/>
          </w:tcPr>
          <w:p>
            <w:pPr>
              <w:spacing w:after="0"/>
              <w:rPr>
                <w:sz w:val="24"/>
                <w:szCs w:val="24"/>
                <w:color w:val="auto"/>
              </w:rPr>
            </w:pPr>
          </w:p>
        </w:tc>
      </w:tr>
      <w:tr>
        <w:trPr>
          <w:trHeight w:val="412"/>
        </w:trPr>
        <w:tc>
          <w:tcPr>
            <w:tcW w:w="1360" w:type="dxa"/>
            <w:vAlign w:val="bottom"/>
          </w:tcPr>
          <w:p>
            <w:pPr>
              <w:spacing w:after="0"/>
              <w:rPr>
                <w:sz w:val="24"/>
                <w:szCs w:val="24"/>
                <w:color w:val="auto"/>
              </w:rPr>
            </w:pPr>
          </w:p>
        </w:tc>
        <w:tc>
          <w:tcPr>
            <w:tcW w:w="19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760" w:type="dxa"/>
            <w:vAlign w:val="bottom"/>
            <w:tcBorders>
              <w:top w:val="single" w:sz="8" w:color="auto"/>
            </w:tcBorders>
          </w:tcPr>
          <w:p>
            <w:pPr>
              <w:spacing w:after="0"/>
              <w:rPr>
                <w:sz w:val="24"/>
                <w:szCs w:val="24"/>
                <w:color w:val="auto"/>
              </w:rPr>
            </w:pPr>
          </w:p>
        </w:tc>
        <w:tc>
          <w:tcPr>
            <w:tcW w:w="760" w:type="dxa"/>
            <w:vAlign w:val="bottom"/>
            <w:tcBorders>
              <w:top w:val="single" w:sz="8" w:color="auto"/>
            </w:tcBorders>
          </w:tcPr>
          <w:p>
            <w:pPr>
              <w:spacing w:after="0"/>
              <w:rPr>
                <w:sz w:val="24"/>
                <w:szCs w:val="24"/>
                <w:color w:val="auto"/>
              </w:rPr>
            </w:pPr>
          </w:p>
        </w:tc>
        <w:tc>
          <w:tcPr>
            <w:tcW w:w="760" w:type="dxa"/>
            <w:vAlign w:val="bottom"/>
            <w:tcBorders>
              <w:top w:val="single" w:sz="8" w:color="auto"/>
            </w:tcBorders>
          </w:tcPr>
          <w:p>
            <w:pPr>
              <w:spacing w:after="0"/>
              <w:rPr>
                <w:sz w:val="24"/>
                <w:szCs w:val="24"/>
                <w:color w:val="auto"/>
              </w:rPr>
            </w:pPr>
          </w:p>
        </w:tc>
        <w:tc>
          <w:tcPr>
            <w:tcW w:w="1000" w:type="dxa"/>
            <w:vAlign w:val="bottom"/>
          </w:tcPr>
          <w:p>
            <w:pPr>
              <w:spacing w:after="0"/>
              <w:rPr>
                <w:sz w:val="24"/>
                <w:szCs w:val="24"/>
                <w:color w:val="auto"/>
              </w:rPr>
            </w:pPr>
          </w:p>
        </w:tc>
        <w:tc>
          <w:tcPr>
            <w:tcW w:w="1200" w:type="dxa"/>
            <w:vAlign w:val="bottom"/>
            <w:gridSpan w:val="2"/>
          </w:tcPr>
          <w:p>
            <w:pPr>
              <w:spacing w:after="0"/>
              <w:rPr>
                <w:sz w:val="20"/>
                <w:szCs w:val="20"/>
                <w:color w:val="auto"/>
              </w:rPr>
            </w:pPr>
            <w:r>
              <w:rPr>
                <w:rFonts w:ascii="Arial" w:cs="Arial" w:eastAsia="Arial" w:hAnsi="Arial"/>
                <w:sz w:val="14"/>
                <w:szCs w:val="14"/>
                <w:color w:val="auto"/>
              </w:rPr>
              <w:t>No exercise</w:t>
            </w:r>
          </w:p>
        </w:tc>
        <w:tc>
          <w:tcPr>
            <w:tcW w:w="140" w:type="dxa"/>
            <w:vAlign w:val="bottom"/>
          </w:tcPr>
          <w:p>
            <w:pPr>
              <w:spacing w:after="0"/>
              <w:rPr>
                <w:sz w:val="24"/>
                <w:szCs w:val="24"/>
                <w:color w:val="auto"/>
              </w:rPr>
            </w:pPr>
          </w:p>
        </w:tc>
        <w:tc>
          <w:tcPr>
            <w:tcW w:w="1620" w:type="dxa"/>
            <w:vAlign w:val="bottom"/>
            <w:gridSpan w:val="2"/>
          </w:tcPr>
          <w:p>
            <w:pPr>
              <w:spacing w:after="0"/>
              <w:rPr>
                <w:sz w:val="20"/>
                <w:szCs w:val="20"/>
                <w:color w:val="auto"/>
              </w:rPr>
            </w:pPr>
            <w:r>
              <w:rPr>
                <w:rFonts w:ascii="Arial" w:cs="Arial" w:eastAsia="Arial" w:hAnsi="Arial"/>
                <w:sz w:val="14"/>
                <w:szCs w:val="14"/>
                <w:color w:val="auto"/>
              </w:rPr>
              <w:t>Full exercise</w:t>
            </w:r>
          </w:p>
        </w:tc>
      </w:tr>
      <w:tr>
        <w:trPr>
          <w:trHeight w:val="210"/>
        </w:trPr>
        <w:tc>
          <w:tcPr>
            <w:tcW w:w="1360" w:type="dxa"/>
            <w:vAlign w:val="bottom"/>
          </w:tcPr>
          <w:p>
            <w:pPr>
              <w:spacing w:after="0"/>
              <w:rPr>
                <w:sz w:val="18"/>
                <w:szCs w:val="18"/>
                <w:color w:val="auto"/>
              </w:rPr>
            </w:pPr>
          </w:p>
        </w:tc>
        <w:tc>
          <w:tcPr>
            <w:tcW w:w="19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Per share</w:t>
            </w:r>
          </w:p>
        </w:tc>
        <w:tc>
          <w:tcPr>
            <w:tcW w:w="1220" w:type="dxa"/>
            <w:vAlign w:val="bottom"/>
            <w:tcBorders>
              <w:top w:val="single" w:sz="8" w:color="CCEEFF"/>
            </w:tcBorders>
            <w:shd w:val="clear" w:color="auto" w:fill="CCEEFF"/>
          </w:tcPr>
          <w:p>
            <w:pPr>
              <w:spacing w:after="0"/>
              <w:rPr>
                <w:sz w:val="18"/>
                <w:szCs w:val="18"/>
                <w:color w:val="auto"/>
              </w:rPr>
            </w:pPr>
          </w:p>
        </w:tc>
        <w:tc>
          <w:tcPr>
            <w:tcW w:w="760" w:type="dxa"/>
            <w:vAlign w:val="bottom"/>
            <w:tcBorders>
              <w:top w:val="single" w:sz="8" w:color="CCEEFF"/>
            </w:tcBorders>
            <w:shd w:val="clear" w:color="auto" w:fill="CCEEFF"/>
          </w:tcPr>
          <w:p>
            <w:pPr>
              <w:spacing w:after="0"/>
              <w:rPr>
                <w:sz w:val="18"/>
                <w:szCs w:val="18"/>
                <w:color w:val="auto"/>
              </w:rPr>
            </w:pPr>
          </w:p>
        </w:tc>
        <w:tc>
          <w:tcPr>
            <w:tcW w:w="760" w:type="dxa"/>
            <w:vAlign w:val="bottom"/>
            <w:tcBorders>
              <w:top w:val="single" w:sz="8" w:color="CCEEFF"/>
            </w:tcBorders>
            <w:shd w:val="clear" w:color="auto" w:fill="CCEEFF"/>
          </w:tcPr>
          <w:p>
            <w:pPr>
              <w:spacing w:after="0"/>
              <w:rPr>
                <w:sz w:val="18"/>
                <w:szCs w:val="18"/>
                <w:color w:val="auto"/>
              </w:rPr>
            </w:pPr>
          </w:p>
        </w:tc>
        <w:tc>
          <w:tcPr>
            <w:tcW w:w="760" w:type="dxa"/>
            <w:vAlign w:val="bottom"/>
            <w:tcBorders>
              <w:top w:val="single" w:sz="8" w:color="CCEEFF"/>
            </w:tcBorders>
            <w:shd w:val="clear" w:color="auto" w:fill="CCEEFF"/>
          </w:tcPr>
          <w:p>
            <w:pPr>
              <w:spacing w:after="0"/>
              <w:rPr>
                <w:sz w:val="18"/>
                <w:szCs w:val="18"/>
                <w:color w:val="auto"/>
              </w:rPr>
            </w:pPr>
          </w:p>
        </w:tc>
        <w:tc>
          <w:tcPr>
            <w:tcW w:w="100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5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780" w:type="dxa"/>
            <w:vAlign w:val="bottom"/>
            <w:tcBorders>
              <w:top w:val="single" w:sz="8" w:color="auto"/>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w:t>
            </w:r>
          </w:p>
        </w:tc>
        <w:tc>
          <w:tcPr>
            <w:tcW w:w="840" w:type="dxa"/>
            <w:vAlign w:val="bottom"/>
          </w:tcPr>
          <w:p>
            <w:pPr>
              <w:spacing w:after="0"/>
              <w:rPr>
                <w:sz w:val="18"/>
                <w:szCs w:val="18"/>
                <w:color w:val="auto"/>
              </w:rPr>
            </w:pPr>
          </w:p>
        </w:tc>
      </w:tr>
      <w:tr>
        <w:trPr>
          <w:trHeight w:val="230"/>
        </w:trPr>
        <w:tc>
          <w:tcPr>
            <w:tcW w:w="1360" w:type="dxa"/>
            <w:vAlign w:val="bottom"/>
          </w:tcPr>
          <w:p>
            <w:pPr>
              <w:spacing w:after="0"/>
              <w:rPr>
                <w:sz w:val="20"/>
                <w:szCs w:val="20"/>
                <w:color w:val="auto"/>
              </w:rPr>
            </w:pPr>
          </w:p>
        </w:tc>
        <w:tc>
          <w:tcPr>
            <w:tcW w:w="1900" w:type="dxa"/>
            <w:vAlign w:val="bottom"/>
          </w:tcPr>
          <w:p>
            <w:pPr>
              <w:spacing w:after="0"/>
              <w:rPr>
                <w:sz w:val="20"/>
                <w:szCs w:val="20"/>
                <w:color w:val="auto"/>
              </w:rPr>
            </w:pPr>
            <w:r>
              <w:rPr>
                <w:rFonts w:ascii="Arial" w:cs="Arial" w:eastAsia="Arial" w:hAnsi="Arial"/>
                <w:sz w:val="18"/>
                <w:szCs w:val="18"/>
                <w:color w:val="auto"/>
              </w:rPr>
              <w:t>Total</w:t>
            </w:r>
          </w:p>
        </w:tc>
        <w:tc>
          <w:tcPr>
            <w:tcW w:w="5180" w:type="dxa"/>
            <w:vAlign w:val="bottom"/>
            <w:gridSpan w:val="6"/>
          </w:tcPr>
          <w:p>
            <w:pPr>
              <w:ind w:left="4500"/>
              <w:spacing w:after="0"/>
              <w:rPr>
                <w:sz w:val="20"/>
                <w:szCs w:val="20"/>
                <w:color w:val="auto"/>
              </w:rPr>
            </w:pPr>
            <w:r>
              <w:rPr>
                <w:rFonts w:ascii="Arial" w:cs="Arial" w:eastAsia="Arial" w:hAnsi="Arial"/>
                <w:sz w:val="18"/>
                <w:szCs w:val="18"/>
                <w:color w:val="auto"/>
              </w:rPr>
              <w:t>$</w:t>
            </w:r>
          </w:p>
        </w:tc>
        <w:tc>
          <w:tcPr>
            <w:tcW w:w="520" w:type="dxa"/>
            <w:vAlign w:val="bottom"/>
          </w:tcPr>
          <w:p>
            <w:pPr>
              <w:spacing w:after="0"/>
              <w:rPr>
                <w:sz w:val="20"/>
                <w:szCs w:val="20"/>
                <w:color w:val="auto"/>
              </w:rPr>
            </w:pPr>
          </w:p>
        </w:tc>
        <w:tc>
          <w:tcPr>
            <w:tcW w:w="920" w:type="dxa"/>
            <w:vAlign w:val="bottom"/>
            <w:gridSpan w:val="2"/>
          </w:tcPr>
          <w:p>
            <w:pPr>
              <w:ind w:left="140"/>
              <w:spacing w:after="0"/>
              <w:rPr>
                <w:sz w:val="20"/>
                <w:szCs w:val="20"/>
                <w:color w:val="auto"/>
              </w:rPr>
            </w:pPr>
            <w:r>
              <w:rPr>
                <w:rFonts w:ascii="Arial" w:cs="Arial" w:eastAsia="Arial" w:hAnsi="Arial"/>
                <w:sz w:val="18"/>
                <w:szCs w:val="18"/>
                <w:color w:val="auto"/>
              </w:rPr>
              <w:t>$</w:t>
            </w:r>
          </w:p>
        </w:tc>
        <w:tc>
          <w:tcPr>
            <w:tcW w:w="840" w:type="dxa"/>
            <w:vAlign w:val="bottom"/>
          </w:tcPr>
          <w:p>
            <w:pPr>
              <w:spacing w:after="0"/>
              <w:rPr>
                <w:sz w:val="20"/>
                <w:szCs w:val="20"/>
                <w:color w:val="auto"/>
              </w:rPr>
            </w:pPr>
          </w:p>
        </w:tc>
      </w:tr>
    </w:tbl>
    <w:p>
      <w:pPr>
        <w:spacing w:after="0" w:line="187" w:lineRule="exact"/>
        <w:rPr>
          <w:sz w:val="20"/>
          <w:szCs w:val="20"/>
          <w:color w:val="auto"/>
        </w:rPr>
      </w:pPr>
    </w:p>
    <w:p>
      <w:pPr>
        <w:ind w:left="460"/>
        <w:spacing w:after="0"/>
        <w:rPr>
          <w:sz w:val="20"/>
          <w:szCs w:val="20"/>
          <w:color w:val="auto"/>
        </w:rPr>
      </w:pPr>
      <w:r>
        <w:rPr>
          <w:rFonts w:ascii="Arial" w:cs="Arial" w:eastAsia="Arial" w:hAnsi="Arial"/>
          <w:sz w:val="16"/>
          <w:szCs w:val="16"/>
          <w:color w:val="auto"/>
        </w:rPr>
        <w:t>Shares sold by the underwriters to the public will initially be offered at the initial public offering price set forth on the cover of this prospectus. Any</w:t>
      </w:r>
    </w:p>
    <w:p>
      <w:pPr>
        <w:spacing w:after="0" w:line="46" w:lineRule="exact"/>
        <w:rPr>
          <w:sz w:val="20"/>
          <w:szCs w:val="20"/>
          <w:color w:val="auto"/>
        </w:rPr>
      </w:pPr>
    </w:p>
    <w:p>
      <w:pPr>
        <w:ind w:right="100"/>
        <w:spacing w:after="0" w:line="255" w:lineRule="auto"/>
        <w:rPr>
          <w:sz w:val="20"/>
          <w:szCs w:val="20"/>
          <w:color w:val="auto"/>
        </w:rPr>
      </w:pPr>
      <w:r>
        <w:rPr>
          <w:rFonts w:ascii="Arial" w:cs="Arial" w:eastAsia="Arial" w:hAnsi="Arial"/>
          <w:sz w:val="18"/>
          <w:szCs w:val="18"/>
          <w:color w:val="auto"/>
        </w:rPr>
        <w:t>shares sold by the underwriters to securities dealers may be sold at a discount of up to $ per share from the initial public offering price. After the initial offering of the shares, the representatives may change the offering price and the other selling terms. The offering of the shares by the underwriters is subject to receipt and acceptance and subject to the underwriters’ right to reject any order in whole or in part.</w:t>
      </w:r>
    </w:p>
    <w:p>
      <w:pPr>
        <w:spacing w:after="0" w:line="190" w:lineRule="exact"/>
        <w:rPr>
          <w:sz w:val="20"/>
          <w:szCs w:val="20"/>
          <w:color w:val="auto"/>
        </w:rPr>
      </w:pPr>
    </w:p>
    <w:p>
      <w:pPr>
        <w:ind w:right="240" w:firstLine="449"/>
        <w:spacing w:after="0" w:line="259" w:lineRule="auto"/>
        <w:rPr>
          <w:sz w:val="20"/>
          <w:szCs w:val="20"/>
          <w:color w:val="auto"/>
        </w:rPr>
      </w:pPr>
      <w:r>
        <w:rPr>
          <w:rFonts w:ascii="Arial" w:cs="Arial" w:eastAsia="Arial" w:hAnsi="Arial"/>
          <w:sz w:val="18"/>
          <w:szCs w:val="18"/>
          <w:color w:val="auto"/>
        </w:rPr>
        <w:t>Our executive officers, directors, and certain other holders of our capital stock and securities convertible into or exchangeable for our capital stock have agreed or will agree that, subject to certain exceptions, for a period of 180 days after the date of this prospectus, or lock-up period, they will not, without the prior written consent of Goldman Sachs &amp; Co. LLC and J.P. Morgan Securities LLC, dispose of or hedge any shares or any securities convertible into or exchangeable for shares of our capital stock; provided that if (i) at least 120 days</w:t>
      </w:r>
    </w:p>
    <w:p>
      <w:pPr>
        <w:spacing w:after="0" w:line="1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146</w:t>
      </w:r>
    </w:p>
    <w:p>
      <w:pPr>
        <w:sectPr>
          <w:pgSz w:w="11900" w:h="16838" w:orient="portrait"/>
          <w:cols w:equalWidth="0" w:num="1">
            <w:col w:w="11240"/>
          </w:cols>
          <w:pgMar w:left="320" w:top="459" w:right="339" w:bottom="1440" w:gutter="0" w:footer="0" w:header="0"/>
        </w:sectPr>
      </w:pPr>
    </w:p>
    <w:bookmarkStart w:id="149" w:name="page150"/>
    <w:bookmarkEnd w:id="14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have elapsed since the date of this prospectus, (ii) we have publicly released our earnings results for the quarterly period during which this offering occurred, and (iii) such lock-up period is scheduled to end during or within five trading days prior to a blackout period, such lock-up period will end ten trading days prior to the commencement of such blackout period. In addition, we will enter into a lock-up agreement with the underwriters under which we will agree not to sell any of our stock for 180 days following the date of this prospectus, subject to certain exceptions including, but not limited to, our issuance of shares of common stock or certain other securities in connection with our acquisition of the securities, business, technology, property, or other assets of another person or entity or pursuant to an employee benefit plan that we assumed in connection with such acquisition, or our joint ventures, commercial relationships, and other strategic transactions, provided that the aggregate number of shares of Class A common stock (including with respect to securities to be granted pursuant to any assumed employee benefit plans covered by a registration statement on Form S-8) issued pursuant to this exception will not exceed % of the total number of shares of Class A common stock outstanding immediately following this offering, and provided that each recipient executes and delivers a lock-up agreement with substantially the same restrictions to which our executive officers, directors, and certain holders of our capital stock and securities convertible into or exchangeable for our capital stock are subject. Goldman Sachs &amp; Co. LLC and J.P. Morgan Securities LLC may, in their discretion, release any of the securities subject to these lock-up agreements at any time. See “Shares Available for Future Sale” for a discussion of certain transfer restrictions, including market standoff agreements between us and each of our executive officers, directors, and holders of our capital stock and securities convertible into or exchangeable for our capital stock.</w:t>
      </w:r>
    </w:p>
    <w:p>
      <w:pPr>
        <w:spacing w:after="0" w:line="171" w:lineRule="exact"/>
        <w:rPr>
          <w:sz w:val="20"/>
          <w:szCs w:val="20"/>
          <w:color w:val="auto"/>
        </w:rPr>
      </w:pPr>
    </w:p>
    <w:p>
      <w:pPr>
        <w:ind w:right="540" w:firstLine="449"/>
        <w:spacing w:after="0" w:line="301" w:lineRule="auto"/>
        <w:rPr>
          <w:sz w:val="20"/>
          <w:szCs w:val="20"/>
          <w:color w:val="auto"/>
        </w:rPr>
      </w:pPr>
      <w:r>
        <w:rPr>
          <w:rFonts w:ascii="Arial" w:cs="Arial" w:eastAsia="Arial" w:hAnsi="Arial"/>
          <w:sz w:val="16"/>
          <w:szCs w:val="16"/>
          <w:color w:val="auto"/>
        </w:rPr>
        <w:t>Prior to the offering, there has been no public market for the shares. The initial public offering price has been negotiated among us, the selling stockholders, and the representatives. Among the factors to be considered in determining the initial public offering price of the shares, in addition to prevailing market conditions, will be our historical performance, estimates of our business potential and earnings prospects, an assessment of our management, and the consideration of the above factors in relation to market valuation of companies in related businesses.</w:t>
      </w:r>
    </w:p>
    <w:p>
      <w:pPr>
        <w:spacing w:after="0" w:line="157" w:lineRule="exact"/>
        <w:rPr>
          <w:sz w:val="20"/>
          <w:szCs w:val="20"/>
          <w:color w:val="auto"/>
        </w:rPr>
      </w:pPr>
    </w:p>
    <w:p>
      <w:pPr>
        <w:ind w:left="460"/>
        <w:spacing w:after="0"/>
        <w:tabs>
          <w:tab w:leader="none" w:pos="6240" w:val="left"/>
        </w:tabs>
        <w:rPr>
          <w:sz w:val="20"/>
          <w:szCs w:val="20"/>
          <w:color w:val="auto"/>
        </w:rPr>
      </w:pPr>
      <w:r>
        <w:rPr>
          <w:rFonts w:ascii="Arial" w:cs="Arial" w:eastAsia="Arial" w:hAnsi="Arial"/>
          <w:sz w:val="18"/>
          <w:szCs w:val="18"/>
          <w:color w:val="auto"/>
        </w:rPr>
        <w:t>We intend to file an application to list our Class A common stock on the</w:t>
      </w:r>
      <w:r>
        <w:rPr>
          <w:sz w:val="20"/>
          <w:szCs w:val="20"/>
          <w:color w:val="auto"/>
        </w:rPr>
        <w:tab/>
      </w:r>
      <w:r>
        <w:rPr>
          <w:rFonts w:ascii="Arial" w:cs="Arial" w:eastAsia="Arial" w:hAnsi="Arial"/>
          <w:sz w:val="17"/>
          <w:szCs w:val="17"/>
          <w:color w:val="auto"/>
        </w:rPr>
        <w:t>under the symbol “DBX”.</w:t>
      </w:r>
    </w:p>
    <w:p>
      <w:pPr>
        <w:spacing w:after="0" w:line="225" w:lineRule="exact"/>
        <w:rPr>
          <w:sz w:val="20"/>
          <w:szCs w:val="20"/>
          <w:color w:val="auto"/>
        </w:rPr>
      </w:pPr>
    </w:p>
    <w:p>
      <w:pPr>
        <w:ind w:right="60" w:firstLine="449"/>
        <w:spacing w:after="0" w:line="268" w:lineRule="auto"/>
        <w:rPr>
          <w:sz w:val="20"/>
          <w:szCs w:val="20"/>
          <w:color w:val="auto"/>
        </w:rPr>
      </w:pPr>
      <w:r>
        <w:rPr>
          <w:rFonts w:ascii="Arial" w:cs="Arial" w:eastAsia="Arial" w:hAnsi="Arial"/>
          <w:sz w:val="17"/>
          <w:szCs w:val="17"/>
          <w:color w:val="auto"/>
        </w:rPr>
        <w:t>In connection with the offering, the underwriters may purchase and sell shares of Class A common stock in the open market. These transactions may include short sales, stabilizing transactions, and purchases to cover positions created by short sales. Short sales involve the sale by the underwriters of a greater number of shares than they are required to purchase in the offering, and a short position represents the amount of such sales that have not been covered by subsequent purchases. A “covered short position” is a short position that is not greater than the amount of additional shares for which the underwriters’ option described above may be exercised. The underwriters may cover any covered short position by either exercising their option to purchase additional shares or purchasing shares in the open market. In determining the source of shares to cover the covered short position, the underwriters will consider, among other things, the price of shares available for purchase in the open market as compared to the price at which they may purchase additional shares pursuant to the option described above. “Naked” short sales are any short sales that create a short position greater than the amount of additional shares for which the option described above may be exercised. The underwriters must cover any such naked short position by purchasing shares in the open market. A naked short position is more likely to be created if the underwriters are concerned that there may be downward pressure on the price of the Class A common stock in the open market after pricing that could adversely affect investors who purchase in the offering. Stabilizing transactions consist of various bids for or purchases of common stock made by the underwriters in the open market prior to the completion of the offering.</w:t>
      </w:r>
    </w:p>
    <w:p>
      <w:pPr>
        <w:spacing w:after="0" w:line="186" w:lineRule="exact"/>
        <w:rPr>
          <w:sz w:val="20"/>
          <w:szCs w:val="20"/>
          <w:color w:val="auto"/>
        </w:rPr>
      </w:pPr>
    </w:p>
    <w:p>
      <w:pPr>
        <w:jc w:val="both"/>
        <w:ind w:right="160" w:firstLine="449"/>
        <w:spacing w:after="0" w:line="263" w:lineRule="auto"/>
        <w:rPr>
          <w:sz w:val="20"/>
          <w:szCs w:val="20"/>
          <w:color w:val="auto"/>
        </w:rPr>
      </w:pPr>
      <w:r>
        <w:rPr>
          <w:rFonts w:ascii="Arial" w:cs="Arial" w:eastAsia="Arial" w:hAnsi="Arial"/>
          <w:sz w:val="18"/>
          <w:szCs w:val="18"/>
          <w:color w:val="auto"/>
        </w:rPr>
        <w:t>The underwriters may also impose a penalty bid. This occurs when a particular underwriter repays to the underwriters a portion of the underwriting discount received by it because the representatives have repurchased shares sold by or for the account of such underwriter in stabilizing or short covering transactions.</w:t>
      </w:r>
    </w:p>
    <w:p>
      <w:pPr>
        <w:spacing w:after="0" w:line="184" w:lineRule="exact"/>
        <w:rPr>
          <w:sz w:val="20"/>
          <w:szCs w:val="20"/>
          <w:color w:val="auto"/>
        </w:rPr>
      </w:pPr>
    </w:p>
    <w:p>
      <w:pPr>
        <w:jc w:val="both"/>
        <w:ind w:right="140" w:firstLine="449"/>
        <w:spacing w:after="0" w:line="277" w:lineRule="auto"/>
        <w:rPr>
          <w:sz w:val="20"/>
          <w:szCs w:val="20"/>
          <w:color w:val="auto"/>
        </w:rPr>
      </w:pPr>
      <w:r>
        <w:rPr>
          <w:rFonts w:ascii="Arial" w:cs="Arial" w:eastAsia="Arial" w:hAnsi="Arial"/>
          <w:sz w:val="18"/>
          <w:szCs w:val="18"/>
          <w:color w:val="auto"/>
        </w:rPr>
        <w:t>Purchases to cover a short position and stabilizing transactions, as well as other purchases by the underwriters for their own accounts, may have the effect of preventing or retarding a decline in the market price</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147</w:t>
      </w:r>
    </w:p>
    <w:p>
      <w:pPr>
        <w:sectPr>
          <w:pgSz w:w="11900" w:h="16838" w:orient="portrait"/>
          <w:cols w:equalWidth="0" w:num="1">
            <w:col w:w="11220"/>
          </w:cols>
          <w:pgMar w:left="320" w:top="459" w:right="359" w:bottom="1440" w:gutter="0" w:footer="0" w:header="0"/>
        </w:sectPr>
      </w:pPr>
    </w:p>
    <w:bookmarkStart w:id="150" w:name="page151"/>
    <w:bookmarkEnd w:id="15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right="40"/>
        <w:spacing w:after="0" w:line="291" w:lineRule="auto"/>
        <w:rPr>
          <w:sz w:val="20"/>
          <w:szCs w:val="20"/>
          <w:color w:val="auto"/>
        </w:rPr>
      </w:pPr>
      <w:r>
        <w:rPr>
          <w:rFonts w:ascii="Arial" w:cs="Arial" w:eastAsia="Arial" w:hAnsi="Arial"/>
          <w:sz w:val="16"/>
          <w:szCs w:val="16"/>
          <w:color w:val="auto"/>
        </w:rPr>
        <w:t>of our stock, and together with the imposition of the penalty bid, may stabilize, maintain, or otherwise affect the market price of the common stock. As a result, the price of our Class A common stock may be higher than the price that otherwise might exist in the open market. The underwriters are not required</w:t>
      </w:r>
    </w:p>
    <w:p>
      <w:pPr>
        <w:ind w:right="120"/>
        <w:spacing w:after="0" w:line="260" w:lineRule="auto"/>
        <w:rPr>
          <w:sz w:val="20"/>
          <w:szCs w:val="20"/>
          <w:color w:val="auto"/>
        </w:rPr>
      </w:pPr>
      <w:r>
        <w:rPr>
          <w:rFonts w:ascii="Arial" w:cs="Arial" w:eastAsia="Arial" w:hAnsi="Arial"/>
          <w:sz w:val="18"/>
          <w:szCs w:val="18"/>
          <w:color w:val="auto"/>
        </w:rPr>
        <w:t>to engage in these activities and may end any of these activities at any time. These transactions may be effected on , in the over-the-counter market or otherwise</w:t>
      </w:r>
    </w:p>
    <w:p>
      <w:pPr>
        <w:spacing w:after="0" w:line="185"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underwriters do not expect sales to discretionary accounts to exceed five percent of the total number of shares of Class A common stock offered.</w:t>
      </w:r>
    </w:p>
    <w:p>
      <w:pPr>
        <w:spacing w:after="0" w:line="248" w:lineRule="exact"/>
        <w:rPr>
          <w:sz w:val="20"/>
          <w:szCs w:val="20"/>
          <w:color w:val="auto"/>
        </w:rPr>
      </w:pPr>
    </w:p>
    <w:p>
      <w:pPr>
        <w:ind w:left="460"/>
        <w:spacing w:after="0"/>
        <w:rPr>
          <w:sz w:val="20"/>
          <w:szCs w:val="20"/>
          <w:color w:val="auto"/>
        </w:rPr>
      </w:pPr>
      <w:r>
        <w:rPr>
          <w:rFonts w:ascii="Arial" w:cs="Arial" w:eastAsia="Arial" w:hAnsi="Arial"/>
          <w:sz w:val="16"/>
          <w:szCs w:val="16"/>
          <w:color w:val="auto"/>
        </w:rPr>
        <w:t>We and the selling stockholders estimate that their share of the total expenses of the offering, excluding underwriting discounts and commissions,</w:t>
      </w:r>
    </w:p>
    <w:p>
      <w:pPr>
        <w:spacing w:after="0" w:line="46" w:lineRule="exact"/>
        <w:rPr>
          <w:sz w:val="20"/>
          <w:szCs w:val="20"/>
          <w:color w:val="auto"/>
        </w:rPr>
      </w:pPr>
    </w:p>
    <w:p>
      <w:pPr>
        <w:spacing w:after="0"/>
        <w:tabs>
          <w:tab w:leader="none" w:pos="2240" w:val="left"/>
        </w:tabs>
        <w:rPr>
          <w:sz w:val="20"/>
          <w:szCs w:val="20"/>
          <w:color w:val="auto"/>
        </w:rPr>
      </w:pPr>
      <w:r>
        <w:rPr>
          <w:rFonts w:ascii="Arial" w:cs="Arial" w:eastAsia="Arial" w:hAnsi="Arial"/>
          <w:sz w:val="18"/>
          <w:szCs w:val="18"/>
          <w:color w:val="auto"/>
        </w:rPr>
        <w:t>will be approximately $</w:t>
      </w:r>
      <w:r>
        <w:rPr>
          <w:sz w:val="20"/>
          <w:szCs w:val="20"/>
          <w:color w:val="auto"/>
        </w:rPr>
        <w:tab/>
      </w:r>
      <w:r>
        <w:rPr>
          <w:rFonts w:ascii="Arial" w:cs="Arial" w:eastAsia="Arial" w:hAnsi="Arial"/>
          <w:sz w:val="13"/>
          <w:szCs w:val="13"/>
          <w:color w:val="auto"/>
        </w:rPr>
        <w:t>.</w:t>
      </w:r>
    </w:p>
    <w:p>
      <w:pPr>
        <w:spacing w:after="0" w:line="211" w:lineRule="exact"/>
        <w:rPr>
          <w:sz w:val="20"/>
          <w:szCs w:val="20"/>
          <w:color w:val="auto"/>
        </w:rPr>
      </w:pPr>
    </w:p>
    <w:p>
      <w:pPr>
        <w:ind w:right="80" w:firstLine="449"/>
        <w:spacing w:after="0" w:line="291" w:lineRule="auto"/>
        <w:rPr>
          <w:sz w:val="20"/>
          <w:szCs w:val="20"/>
          <w:color w:val="auto"/>
        </w:rPr>
      </w:pPr>
      <w:r>
        <w:rPr>
          <w:rFonts w:ascii="Arial" w:cs="Arial" w:eastAsia="Arial" w:hAnsi="Arial"/>
          <w:sz w:val="16"/>
          <w:szCs w:val="16"/>
          <w:color w:val="auto"/>
        </w:rPr>
        <w:t>We and the selling stockholders have agreed to indemnify the several underwriters against certain liabilities, including liabilities under the Securities Act of 1933. In addition, we and the selling stockholders have agreed to reimburse the underwriters for certain expenses in connection with this offering in</w:t>
      </w:r>
    </w:p>
    <w:p>
      <w:pPr>
        <w:spacing w:after="0"/>
        <w:tabs>
          <w:tab w:leader="none" w:pos="1880" w:val="left"/>
        </w:tabs>
        <w:rPr>
          <w:sz w:val="20"/>
          <w:szCs w:val="20"/>
          <w:color w:val="auto"/>
        </w:rPr>
      </w:pPr>
      <w:r>
        <w:rPr>
          <w:rFonts w:ascii="Arial" w:cs="Arial" w:eastAsia="Arial" w:hAnsi="Arial"/>
          <w:sz w:val="18"/>
          <w:szCs w:val="18"/>
          <w:color w:val="auto"/>
        </w:rPr>
        <w:t>the amount up to $</w:t>
      </w:r>
      <w:r>
        <w:rPr>
          <w:sz w:val="20"/>
          <w:szCs w:val="20"/>
          <w:color w:val="auto"/>
        </w:rPr>
        <w:tab/>
      </w:r>
      <w:r>
        <w:rPr>
          <w:rFonts w:ascii="Arial" w:cs="Arial" w:eastAsia="Arial" w:hAnsi="Arial"/>
          <w:sz w:val="13"/>
          <w:szCs w:val="13"/>
          <w:color w:val="auto"/>
        </w:rPr>
        <w:t>.</w:t>
      </w:r>
    </w:p>
    <w:p>
      <w:pPr>
        <w:spacing w:after="0" w:line="211" w:lineRule="exact"/>
        <w:rPr>
          <w:sz w:val="20"/>
          <w:szCs w:val="20"/>
          <w:color w:val="auto"/>
        </w:rPr>
      </w:pPr>
    </w:p>
    <w:p>
      <w:pPr>
        <w:ind w:firstLine="449"/>
        <w:spacing w:after="0" w:line="254" w:lineRule="auto"/>
        <w:rPr>
          <w:sz w:val="20"/>
          <w:szCs w:val="20"/>
          <w:color w:val="auto"/>
        </w:rPr>
      </w:pPr>
      <w:r>
        <w:rPr>
          <w:rFonts w:ascii="Arial" w:cs="Arial" w:eastAsia="Arial" w:hAnsi="Arial"/>
          <w:sz w:val="18"/>
          <w:szCs w:val="18"/>
          <w:color w:val="auto"/>
        </w:rPr>
        <w:t>The underwriters and their respective affiliates are full service financial institutions engaged in various activities, which may include sales and trading, commercial and investment banking, advisory, investment management, investment research, principal investment, hedging, market making, brokerage, and other financial and non-financial activities and services. Certain of the underwriters and their respective affiliates have provided, and may in the future provide, a variety of these services to the issuer and to persons and entities with relationships with the issuer, for which they received or will receive customary fees and expenses. In 2014, we entered into a revolving credit agreement with affiliates of Goldman Sachs &amp; Co. LLC and J.P. Morgan Securities LLC, under which these underwriters and their respective affiliates have been, and may be in the future, paid customary fees. For additional information on our revolving credit facility, see the section titled “Management’s Discussion and Analysis of Financial Condition and Results of Operations —Liquidity and Capital Resources.”</w:t>
      </w:r>
    </w:p>
    <w:p>
      <w:pPr>
        <w:spacing w:after="0" w:line="192" w:lineRule="exact"/>
        <w:rPr>
          <w:sz w:val="20"/>
          <w:szCs w:val="20"/>
          <w:color w:val="auto"/>
        </w:rPr>
      </w:pPr>
    </w:p>
    <w:p>
      <w:pPr>
        <w:jc w:val="both"/>
        <w:ind w:right="340" w:firstLine="449"/>
        <w:spacing w:after="0" w:line="263" w:lineRule="auto"/>
        <w:rPr>
          <w:sz w:val="20"/>
          <w:szCs w:val="20"/>
          <w:color w:val="auto"/>
        </w:rPr>
      </w:pPr>
      <w:r>
        <w:rPr>
          <w:rFonts w:ascii="Arial" w:cs="Arial" w:eastAsia="Arial" w:hAnsi="Arial"/>
          <w:sz w:val="18"/>
          <w:szCs w:val="18"/>
          <w:color w:val="auto"/>
        </w:rPr>
        <w:t>In September 2011, affiliates of Goldman Sachs &amp; Co. LLC, one of the underwriters, purchased an aggregate of 2,755,799 shares of our Series B Preferred Stock, all of which shares will automatically convert into an aggregate of 2,755,799 shares of Class B common stock in connection with this offering.</w:t>
      </w:r>
    </w:p>
    <w:p>
      <w:pPr>
        <w:spacing w:after="0" w:line="184" w:lineRule="exact"/>
        <w:rPr>
          <w:sz w:val="20"/>
          <w:szCs w:val="20"/>
          <w:color w:val="auto"/>
        </w:rPr>
      </w:pPr>
    </w:p>
    <w:p>
      <w:pPr>
        <w:ind w:right="20" w:firstLine="449"/>
        <w:spacing w:after="0" w:line="291" w:lineRule="auto"/>
        <w:rPr>
          <w:sz w:val="20"/>
          <w:szCs w:val="20"/>
          <w:color w:val="auto"/>
        </w:rPr>
      </w:pPr>
      <w:r>
        <w:rPr>
          <w:rFonts w:ascii="Arial" w:cs="Arial" w:eastAsia="Arial" w:hAnsi="Arial"/>
          <w:sz w:val="16"/>
          <w:szCs w:val="16"/>
          <w:color w:val="auto"/>
        </w:rPr>
        <w:t>In the ordinary course of their various business activities, the underwriters and their respective affiliates, officers, directors, and employees may purchase, sell, or hold a broad array of investments and actively trade securities, derivatives, loans, commodities, currencies, credit default swaps, and other financial instruments for their own account and for the accounts of their customers, and such investment and trading activities may involve or relate to assets, securities, and/or instruments of the issuer (directly, as collateral securing other obligations or otherwise), and/or persons and entities with relationships with the issuer. The underwriters and their respective affiliates may also communicate independent investment recommendations, market color or trading ideas and/or publish or express independent research views in respect of such assets, securities, or instruments and may at any time hold, or recommend to clients that they should acquire, long, and/or short positions in such assets, securities and instruments.</w:t>
      </w:r>
    </w:p>
    <w:p>
      <w:pPr>
        <w:spacing w:after="0" w:line="166" w:lineRule="exact"/>
        <w:rPr>
          <w:sz w:val="20"/>
          <w:szCs w:val="20"/>
          <w:color w:val="auto"/>
        </w:rPr>
      </w:pPr>
    </w:p>
    <w:p>
      <w:pPr>
        <w:ind w:left="460"/>
        <w:spacing w:after="0"/>
        <w:rPr>
          <w:sz w:val="20"/>
          <w:szCs w:val="20"/>
          <w:color w:val="auto"/>
        </w:rPr>
      </w:pPr>
      <w:r>
        <w:rPr>
          <w:rFonts w:ascii="Arial" w:cs="Arial" w:eastAsia="Arial" w:hAnsi="Arial"/>
          <w:sz w:val="16"/>
          <w:szCs w:val="16"/>
          <w:color w:val="auto"/>
        </w:rPr>
        <w:t>Affiliates of Goldman Sachs &amp; Co. LLC and J.P. Morgan Securities LLC, an underwriter in this offering, will receive at least 5% of the net proceeds</w:t>
      </w:r>
    </w:p>
    <w:p>
      <w:pPr>
        <w:spacing w:after="0" w:line="46" w:lineRule="exact"/>
        <w:rPr>
          <w:sz w:val="20"/>
          <w:szCs w:val="20"/>
          <w:color w:val="auto"/>
        </w:rPr>
      </w:pPr>
    </w:p>
    <w:p>
      <w:pPr>
        <w:jc w:val="both"/>
        <w:ind w:right="160"/>
        <w:spacing w:after="0" w:line="281" w:lineRule="auto"/>
        <w:rPr>
          <w:sz w:val="20"/>
          <w:szCs w:val="20"/>
          <w:color w:val="auto"/>
        </w:rPr>
      </w:pPr>
      <w:r>
        <w:rPr>
          <w:rFonts w:ascii="Arial" w:cs="Arial" w:eastAsia="Arial" w:hAnsi="Arial"/>
          <w:sz w:val="16"/>
          <w:szCs w:val="16"/>
          <w:color w:val="auto"/>
        </w:rPr>
        <w:t>of this offering in connection with the repayment of $ that is expected to be outstanding immediately prior to the completion of this offering under our revolving credit facility. See “Use of Proceeds.” Accordingly, this offering is being made in compliance with the requirements of FINRA Rule 5121. This rule requires, among other things, that a “qualified independent underwriter” has participated in the preparation of, and has exercised the usual</w:t>
      </w:r>
    </w:p>
    <w:p>
      <w:pPr>
        <w:spacing w:after="0" w:line="2" w:lineRule="exact"/>
        <w:rPr>
          <w:sz w:val="20"/>
          <w:szCs w:val="20"/>
          <w:color w:val="auto"/>
        </w:rPr>
      </w:pPr>
    </w:p>
    <w:p>
      <w:pPr>
        <w:ind w:right="120"/>
        <w:spacing w:after="0" w:line="255" w:lineRule="auto"/>
        <w:rPr>
          <w:sz w:val="20"/>
          <w:szCs w:val="20"/>
          <w:color w:val="auto"/>
        </w:rPr>
      </w:pPr>
      <w:r>
        <w:rPr>
          <w:rFonts w:ascii="Arial" w:cs="Arial" w:eastAsia="Arial" w:hAnsi="Arial"/>
          <w:sz w:val="18"/>
          <w:szCs w:val="18"/>
          <w:color w:val="auto"/>
        </w:rPr>
        <w:t>standards of “due diligence” with respect to, the registration statement. has agreed to act as qualified independent underwriter for this offering and to undertake the legal responsibilities and liabilities of an underwriter under the Securities Act. will not receive any additional fees for serving as qualified independent underwriter in connection with this offering. We</w:t>
      </w:r>
    </w:p>
    <w:p>
      <w:pPr>
        <w:spacing w:after="0" w:line="12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148</w:t>
      </w:r>
    </w:p>
    <w:p>
      <w:pPr>
        <w:sectPr>
          <w:pgSz w:w="11900" w:h="16838" w:orient="portrait"/>
          <w:cols w:equalWidth="0" w:num="1">
            <w:col w:w="11240"/>
          </w:cols>
          <w:pgMar w:left="320" w:top="459" w:right="339" w:bottom="1440" w:gutter="0" w:footer="0" w:header="0"/>
        </w:sectPr>
      </w:pPr>
    </w:p>
    <w:bookmarkStart w:id="151" w:name="page152"/>
    <w:bookmarkEnd w:id="15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spacing w:after="0"/>
        <w:tabs>
          <w:tab w:leader="none" w:pos="2460" w:val="left"/>
        </w:tabs>
        <w:rPr>
          <w:sz w:val="20"/>
          <w:szCs w:val="20"/>
          <w:color w:val="auto"/>
        </w:rPr>
      </w:pPr>
      <w:r>
        <w:rPr>
          <w:rFonts w:ascii="Arial" w:cs="Arial" w:eastAsia="Arial" w:hAnsi="Arial"/>
          <w:sz w:val="18"/>
          <w:szCs w:val="18"/>
          <w:color w:val="auto"/>
        </w:rPr>
        <w:t>have agreed to indemnify</w:t>
      </w:r>
      <w:r>
        <w:rPr>
          <w:sz w:val="20"/>
          <w:szCs w:val="20"/>
          <w:color w:val="auto"/>
        </w:rPr>
        <w:tab/>
      </w:r>
      <w:r>
        <w:rPr>
          <w:rFonts w:ascii="Arial" w:cs="Arial" w:eastAsia="Arial" w:hAnsi="Arial"/>
          <w:sz w:val="16"/>
          <w:szCs w:val="16"/>
          <w:color w:val="auto"/>
        </w:rPr>
        <w:t>against liabilities incurred in connection with acting as qualified independent underwriter, including liabilities under the</w:t>
      </w:r>
    </w:p>
    <w:p>
      <w:pPr>
        <w:spacing w:after="0" w:line="23" w:lineRule="exact"/>
        <w:rPr>
          <w:sz w:val="20"/>
          <w:szCs w:val="20"/>
          <w:color w:val="auto"/>
        </w:rPr>
      </w:pPr>
    </w:p>
    <w:p>
      <w:pPr>
        <w:ind w:right="480"/>
        <w:spacing w:after="0" w:line="260" w:lineRule="auto"/>
        <w:rPr>
          <w:sz w:val="20"/>
          <w:szCs w:val="20"/>
          <w:color w:val="auto"/>
        </w:rPr>
      </w:pPr>
      <w:r>
        <w:rPr>
          <w:rFonts w:ascii="Arial" w:cs="Arial" w:eastAsia="Arial" w:hAnsi="Arial"/>
          <w:sz w:val="18"/>
          <w:szCs w:val="18"/>
          <w:color w:val="auto"/>
        </w:rPr>
        <w:t>Securities Act. Pursuant to FINRA Rule 5121, Goldman Sachs &amp; Co. LLC and J.P. Morgan Securities LLC will not confirm sales of securities to any account over which it exercises discretionary authority without the prior written approval of the customer.</w:t>
      </w:r>
    </w:p>
    <w:p>
      <w:pPr>
        <w:spacing w:after="0" w:line="293"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European Economic Area</w:t>
      </w:r>
    </w:p>
    <w:p>
      <w:pPr>
        <w:spacing w:after="0" w:line="117" w:lineRule="exact"/>
        <w:rPr>
          <w:sz w:val="20"/>
          <w:szCs w:val="20"/>
          <w:color w:val="auto"/>
        </w:rPr>
      </w:pPr>
    </w:p>
    <w:p>
      <w:pPr>
        <w:ind w:right="40" w:firstLine="449"/>
        <w:spacing w:after="0" w:line="311" w:lineRule="auto"/>
        <w:rPr>
          <w:sz w:val="20"/>
          <w:szCs w:val="20"/>
          <w:color w:val="auto"/>
        </w:rPr>
      </w:pPr>
      <w:r>
        <w:rPr>
          <w:rFonts w:ascii="Arial" w:cs="Arial" w:eastAsia="Arial" w:hAnsi="Arial"/>
          <w:sz w:val="16"/>
          <w:szCs w:val="16"/>
          <w:color w:val="auto"/>
        </w:rPr>
        <w:t>In relation to each Member State of the European Economic Area which has implemented the Prospectus Directive (each, a Relevant Member State), with effect from and including the date on which the Prospectus Directive is implemented in that Relevant Member State, no offer of shares of Class A common stock which are the subject of the offering contemplated by this prospectus may be made to the public in that Relevant Member State other than:</w:t>
      </w:r>
    </w:p>
    <w:p>
      <w:pPr>
        <w:spacing w:after="0" w:line="54" w:lineRule="exact"/>
        <w:rPr>
          <w:sz w:val="20"/>
          <w:szCs w:val="20"/>
          <w:color w:val="auto"/>
        </w:rPr>
      </w:pPr>
    </w:p>
    <w:p>
      <w:pPr>
        <w:ind w:left="900" w:hanging="447"/>
        <w:spacing w:after="0"/>
        <w:tabs>
          <w:tab w:leader="none" w:pos="900" w:val="left"/>
        </w:tabs>
        <w:numPr>
          <w:ilvl w:val="0"/>
          <w:numId w:val="95"/>
        </w:numPr>
        <w:rPr>
          <w:rFonts w:ascii="Arial" w:cs="Arial" w:eastAsia="Arial" w:hAnsi="Arial"/>
          <w:sz w:val="18"/>
          <w:szCs w:val="18"/>
          <w:color w:val="auto"/>
        </w:rPr>
      </w:pPr>
      <w:r>
        <w:rPr>
          <w:rFonts w:ascii="Arial" w:cs="Arial" w:eastAsia="Arial" w:hAnsi="Arial"/>
          <w:sz w:val="18"/>
          <w:szCs w:val="18"/>
          <w:color w:val="auto"/>
        </w:rPr>
        <w:t>to any legal entity which is a “qualified investor” as defined in the Prospectus Directive;</w:t>
      </w:r>
    </w:p>
    <w:p>
      <w:pPr>
        <w:spacing w:after="0" w:line="130" w:lineRule="exact"/>
        <w:rPr>
          <w:rFonts w:ascii="Arial" w:cs="Arial" w:eastAsia="Arial" w:hAnsi="Arial"/>
          <w:sz w:val="18"/>
          <w:szCs w:val="18"/>
          <w:color w:val="auto"/>
        </w:rPr>
      </w:pPr>
    </w:p>
    <w:p>
      <w:pPr>
        <w:ind w:left="900" w:right="40" w:hanging="447"/>
        <w:spacing w:after="0" w:line="277" w:lineRule="auto"/>
        <w:tabs>
          <w:tab w:leader="none" w:pos="900" w:val="left"/>
        </w:tabs>
        <w:numPr>
          <w:ilvl w:val="0"/>
          <w:numId w:val="95"/>
        </w:numPr>
        <w:rPr>
          <w:rFonts w:ascii="Arial" w:cs="Arial" w:eastAsia="Arial" w:hAnsi="Arial"/>
          <w:sz w:val="18"/>
          <w:szCs w:val="18"/>
          <w:color w:val="auto"/>
        </w:rPr>
      </w:pPr>
      <w:r>
        <w:rPr>
          <w:rFonts w:ascii="Arial" w:cs="Arial" w:eastAsia="Arial" w:hAnsi="Arial"/>
          <w:sz w:val="18"/>
          <w:szCs w:val="18"/>
          <w:color w:val="auto"/>
        </w:rPr>
        <w:t>to fewer than 150 natural or legal persons (other than “qualified investors” as defined in the Prospectus Directive), per Relevant Member State, subject to obtaining the prior consent of the underwriters; or</w:t>
      </w:r>
    </w:p>
    <w:p>
      <w:pPr>
        <w:spacing w:after="0" w:line="75" w:lineRule="exact"/>
        <w:rPr>
          <w:rFonts w:ascii="Arial" w:cs="Arial" w:eastAsia="Arial" w:hAnsi="Arial"/>
          <w:sz w:val="18"/>
          <w:szCs w:val="18"/>
          <w:color w:val="auto"/>
        </w:rPr>
      </w:pPr>
    </w:p>
    <w:p>
      <w:pPr>
        <w:ind w:left="900" w:hanging="447"/>
        <w:spacing w:after="0"/>
        <w:tabs>
          <w:tab w:leader="none" w:pos="900" w:val="left"/>
        </w:tabs>
        <w:numPr>
          <w:ilvl w:val="0"/>
          <w:numId w:val="95"/>
        </w:numPr>
        <w:rPr>
          <w:rFonts w:ascii="Arial" w:cs="Arial" w:eastAsia="Arial" w:hAnsi="Arial"/>
          <w:sz w:val="18"/>
          <w:szCs w:val="18"/>
          <w:color w:val="auto"/>
        </w:rPr>
      </w:pPr>
      <w:r>
        <w:rPr>
          <w:rFonts w:ascii="Arial" w:cs="Arial" w:eastAsia="Arial" w:hAnsi="Arial"/>
          <w:sz w:val="18"/>
          <w:szCs w:val="18"/>
          <w:color w:val="auto"/>
        </w:rPr>
        <w:t>in any other circumstances falling within Article 3(2) of the Prospectus Directive,</w:t>
      </w:r>
    </w:p>
    <w:p>
      <w:pPr>
        <w:spacing w:after="0" w:line="225" w:lineRule="exact"/>
        <w:rPr>
          <w:sz w:val="20"/>
          <w:szCs w:val="20"/>
          <w:color w:val="auto"/>
        </w:rPr>
      </w:pPr>
    </w:p>
    <w:p>
      <w:pPr>
        <w:ind w:right="160"/>
        <w:spacing w:after="0" w:line="257" w:lineRule="auto"/>
        <w:rPr>
          <w:sz w:val="20"/>
          <w:szCs w:val="20"/>
          <w:color w:val="auto"/>
        </w:rPr>
      </w:pPr>
      <w:r>
        <w:rPr>
          <w:rFonts w:ascii="Arial" w:cs="Arial" w:eastAsia="Arial" w:hAnsi="Arial"/>
          <w:sz w:val="18"/>
          <w:szCs w:val="18"/>
          <w:color w:val="auto"/>
        </w:rPr>
        <w:t>provided that no such offer of shares of our Class A common stock shall result in a requirement for us or any underwriter to publish a prospectus pursuant to Article 3 of the Prospectus Directive or a supplemental prospectus pursuant to Article 16 of the Prospectus Directive and each person who initially acquires any shares of our Class A common stock or to whom any offer is made will be deemed to have represented, warranted, and agreed to and with each of the underwriters and us that it is a “qualified investor” within the meaning of the law in that Relevant Member State implementing Article 2(1)(e) of the Prospectus Directive.</w:t>
      </w:r>
    </w:p>
    <w:p>
      <w:pPr>
        <w:spacing w:after="0" w:line="188" w:lineRule="exact"/>
        <w:rPr>
          <w:sz w:val="20"/>
          <w:szCs w:val="20"/>
          <w:color w:val="auto"/>
        </w:rPr>
      </w:pPr>
    </w:p>
    <w:p>
      <w:pPr>
        <w:ind w:firstLine="449"/>
        <w:spacing w:after="0" w:line="255" w:lineRule="auto"/>
        <w:rPr>
          <w:sz w:val="20"/>
          <w:szCs w:val="20"/>
          <w:color w:val="auto"/>
        </w:rPr>
      </w:pPr>
      <w:r>
        <w:rPr>
          <w:rFonts w:ascii="Arial" w:cs="Arial" w:eastAsia="Arial" w:hAnsi="Arial"/>
          <w:sz w:val="18"/>
          <w:szCs w:val="18"/>
          <w:color w:val="auto"/>
        </w:rPr>
        <w:t>For the purposes of this provision, the expression an “offer of shares to the public” in relation to any shares of our Class A common stock in any Relevant Member State means the communication in any form and by any means of sufficient information on the terms of the offer and the shares of our Class A common stock to be offered so as to enable an investor to decide to purchase or subscribe for the shares of our Class A common stock, as the same may be varied in that Relevant Member State by any measure implementing the Prospectus Directive in that Relevant Member State. The expression “Prospectus Directive” means Directive 2003/71/EC (as amended, including by Directive 2010/73/EU), and includes any relevant implementing measure in the Relevant Member State.</w:t>
      </w:r>
    </w:p>
    <w:p>
      <w:pPr>
        <w:spacing w:after="0" w:line="300"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United Kingdom</w:t>
      </w:r>
    </w:p>
    <w:p>
      <w:pPr>
        <w:spacing w:after="0" w:line="117" w:lineRule="exact"/>
        <w:rPr>
          <w:sz w:val="20"/>
          <w:szCs w:val="20"/>
          <w:color w:val="auto"/>
        </w:rPr>
      </w:pPr>
    </w:p>
    <w:p>
      <w:pPr>
        <w:ind w:right="20" w:firstLine="449"/>
        <w:spacing w:after="0" w:line="290" w:lineRule="auto"/>
        <w:rPr>
          <w:sz w:val="20"/>
          <w:szCs w:val="20"/>
          <w:color w:val="auto"/>
        </w:rPr>
      </w:pPr>
      <w:r>
        <w:rPr>
          <w:rFonts w:ascii="Arial" w:cs="Arial" w:eastAsia="Arial" w:hAnsi="Arial"/>
          <w:sz w:val="16"/>
          <w:szCs w:val="16"/>
          <w:color w:val="auto"/>
        </w:rPr>
        <w:t>In the United Kingdom, this prospectus in relation to the shares of Class A common stock described herein is being directed only at persons who are “qualified investors” (as defined in the Prospectus Directive) who are (i) persons having professional experience in matters relating to investments falling within Article 19(5) of the Financial Services and Markets Act 2000 Order 2005, or (ii) high net worth entities falling within Article 49(2)(a) to (d) of the Order, or (iii) persons to whom it would otherwise be lawful to distribute it, all such persons together being referred to as “Relevant Persons.” The shares of Class A common stock described herein are only available to, and any invitation, offer, or agreement to subscribe, purchase, or otherwise acquire such shares of Class A common stock will be engaged in only with, Relevant Persons. This prospectus and its contents are confidential and should not be distributed, published, or reproduced (in whole or in part), or disclosed by any recipients to any other person in the United Kingdom. Any person in the United Kingdom that is not a Relevant Person should not act or rely on this prospectus or its contents.</w:t>
      </w:r>
    </w:p>
    <w:p>
      <w:pPr>
        <w:spacing w:after="0" w:line="273"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Canada</w:t>
      </w:r>
    </w:p>
    <w:p>
      <w:pPr>
        <w:spacing w:after="0" w:line="117" w:lineRule="exact"/>
        <w:rPr>
          <w:sz w:val="20"/>
          <w:szCs w:val="20"/>
          <w:color w:val="auto"/>
        </w:rPr>
      </w:pPr>
    </w:p>
    <w:p>
      <w:pPr>
        <w:ind w:right="640" w:firstLine="449"/>
        <w:spacing w:after="0" w:line="277" w:lineRule="auto"/>
        <w:rPr>
          <w:sz w:val="20"/>
          <w:szCs w:val="20"/>
          <w:color w:val="auto"/>
        </w:rPr>
      </w:pPr>
      <w:r>
        <w:rPr>
          <w:rFonts w:ascii="Arial" w:cs="Arial" w:eastAsia="Arial" w:hAnsi="Arial"/>
          <w:sz w:val="18"/>
          <w:szCs w:val="18"/>
          <w:color w:val="auto"/>
        </w:rPr>
        <w:t>The shares of Class A common stock may be sold in Canada only to purchasers purchasing, or deemed to be purchasing, as principal that are accredited investors, as defined in National Instrument 45-106 Prospectus</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149</w:t>
      </w:r>
    </w:p>
    <w:p>
      <w:pPr>
        <w:sectPr>
          <w:pgSz w:w="11900" w:h="16838" w:orient="portrait"/>
          <w:cols w:equalWidth="0" w:num="1">
            <w:col w:w="11240"/>
          </w:cols>
          <w:pgMar w:left="320" w:top="459" w:right="339" w:bottom="1440" w:gutter="0" w:footer="0" w:header="0"/>
        </w:sectPr>
      </w:pPr>
    </w:p>
    <w:bookmarkStart w:id="152" w:name="page153"/>
    <w:bookmarkEnd w:id="15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right="200"/>
        <w:spacing w:after="0" w:line="263" w:lineRule="auto"/>
        <w:rPr>
          <w:sz w:val="20"/>
          <w:szCs w:val="20"/>
          <w:color w:val="auto"/>
        </w:rPr>
      </w:pPr>
      <w:r>
        <w:rPr>
          <w:rFonts w:ascii="Arial" w:cs="Arial" w:eastAsia="Arial" w:hAnsi="Arial"/>
          <w:sz w:val="18"/>
          <w:szCs w:val="18"/>
          <w:color w:val="auto"/>
        </w:rPr>
        <w:t>Exemptions or subsection 73.3(1) of the Securities Act (Ontario), and are permitted clients, as defined in National Instrument 31-103 Registration Requirements, Exemptions, and Ongoing Registrant Obligations. Any resale of the shares of Class A common stock must be made in accordance with an exemption form, or in a transaction not subject to, the prospectus requirements of applicable securities laws.</w:t>
      </w:r>
    </w:p>
    <w:p>
      <w:pPr>
        <w:spacing w:after="0" w:line="184" w:lineRule="exact"/>
        <w:rPr>
          <w:sz w:val="20"/>
          <w:szCs w:val="20"/>
          <w:color w:val="auto"/>
        </w:rPr>
      </w:pPr>
    </w:p>
    <w:p>
      <w:pPr>
        <w:ind w:right="80" w:firstLine="449"/>
        <w:spacing w:after="0" w:line="279" w:lineRule="auto"/>
        <w:rPr>
          <w:sz w:val="20"/>
          <w:szCs w:val="20"/>
          <w:color w:val="auto"/>
        </w:rPr>
      </w:pPr>
      <w:r>
        <w:rPr>
          <w:rFonts w:ascii="Arial" w:cs="Arial" w:eastAsia="Arial" w:hAnsi="Arial"/>
          <w:sz w:val="17"/>
          <w:szCs w:val="17"/>
          <w:color w:val="auto"/>
        </w:rPr>
        <w:t>Securities legislation in certain provinces or territories of Canada may provide a purchaser with remedies for rescission or damages if this offering memorandum (including any amendment thereto) contains a misrepresentation, provided that the remedies for rescission or damages are exercised by the purchaser within the time limit prescribed by the securities legislation of the purchaser’s province or territory. The purchaser should refer to any applicable provisions of the securities legislation of the purchaser’s province or territory of these rights or consult with a legal advisor.</w:t>
      </w:r>
    </w:p>
    <w:p>
      <w:pPr>
        <w:spacing w:after="0" w:line="171" w:lineRule="exact"/>
        <w:rPr>
          <w:sz w:val="20"/>
          <w:szCs w:val="20"/>
          <w:color w:val="auto"/>
        </w:rPr>
      </w:pPr>
    </w:p>
    <w:p>
      <w:pPr>
        <w:ind w:right="280" w:firstLine="449"/>
        <w:spacing w:after="0" w:line="277" w:lineRule="auto"/>
        <w:rPr>
          <w:sz w:val="20"/>
          <w:szCs w:val="20"/>
          <w:color w:val="auto"/>
        </w:rPr>
      </w:pPr>
      <w:r>
        <w:rPr>
          <w:rFonts w:ascii="Arial" w:cs="Arial" w:eastAsia="Arial" w:hAnsi="Arial"/>
          <w:sz w:val="18"/>
          <w:szCs w:val="18"/>
          <w:color w:val="auto"/>
        </w:rPr>
        <w:t>Pursuant to section 3A.3 of National Instrument 33-105 Underwriting Conflicts (NI 33-105), the underwriters are not required to comply with the disclosure requirements of NI 33-105 regarding underwriter conflicts of interest in connection with this offering.</w:t>
      </w:r>
    </w:p>
    <w:p>
      <w:pPr>
        <w:spacing w:after="0" w:line="278"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Hong Kong</w:t>
      </w:r>
    </w:p>
    <w:p>
      <w:pPr>
        <w:spacing w:after="0" w:line="117" w:lineRule="exact"/>
        <w:rPr>
          <w:sz w:val="20"/>
          <w:szCs w:val="20"/>
          <w:color w:val="auto"/>
        </w:rPr>
      </w:pPr>
    </w:p>
    <w:p>
      <w:pPr>
        <w:ind w:right="60" w:firstLine="449"/>
        <w:spacing w:after="0" w:line="269" w:lineRule="auto"/>
        <w:rPr>
          <w:sz w:val="20"/>
          <w:szCs w:val="20"/>
          <w:color w:val="auto"/>
        </w:rPr>
      </w:pPr>
      <w:r>
        <w:rPr>
          <w:rFonts w:ascii="Arial" w:cs="Arial" w:eastAsia="Arial" w:hAnsi="Arial"/>
          <w:sz w:val="17"/>
          <w:szCs w:val="17"/>
          <w:color w:val="auto"/>
        </w:rPr>
        <w:t>The shares of Class A common stock may not be offered or sold in Hong Kong by means of any document other than (i) in circumstances which do not constitute an offer to the public within the meaning of the Companies (Winding Up and Miscellaneous Provisions) Ordinance (Cap. 32 of the Laws of Hong Kong), or Companies (Winding Up and Miscellaneous Provisions) Ordinance, or which do not constitute an invitation to the public within the meaning of the Securities and Futures Ordinance (Cap. 571 of the Laws of Hong Kong), or Securities and Futures Ordinance, or (ii) to “professional investors” as defined in the Securities and Futures Ordinance and any rules made thereunder, or (iii) in other circumstances which do not result in the document being a “prospectus” as defined in the Companies (Winding Up and Miscellaneous Provisions) Ordinance, and no advertisement, invitation, or document relating to the shares of Class A common stock may be issued or may be in the possession of any person for the purpose of issue (in each case whether in Hong Kong or elsewhere), which is directed at, or the contents of which are likely to be accessed or read by, the public in Hong Kong (except if permitted to do so under the laws of Hong Kong) other than with respect to shares of Class A common stock which are or are intended to be disposed of only to persons outside Hong Kong or only to “professional investors” in Hong Kong within the meaning of the Securities and Futures Ordinance and any rules made thereunder.</w:t>
      </w:r>
    </w:p>
    <w:p>
      <w:pPr>
        <w:spacing w:after="0" w:line="290"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Singapore</w:t>
      </w:r>
    </w:p>
    <w:p>
      <w:pPr>
        <w:spacing w:after="0" w:line="117" w:lineRule="exact"/>
        <w:rPr>
          <w:sz w:val="20"/>
          <w:szCs w:val="20"/>
          <w:color w:val="auto"/>
        </w:rPr>
      </w:pPr>
    </w:p>
    <w:p>
      <w:pPr>
        <w:ind w:right="240" w:firstLine="449"/>
        <w:spacing w:after="0" w:line="293" w:lineRule="auto"/>
        <w:rPr>
          <w:sz w:val="20"/>
          <w:szCs w:val="20"/>
          <w:color w:val="auto"/>
        </w:rPr>
      </w:pPr>
      <w:r>
        <w:rPr>
          <w:rFonts w:ascii="Arial" w:cs="Arial" w:eastAsia="Arial" w:hAnsi="Arial"/>
          <w:sz w:val="16"/>
          <w:szCs w:val="16"/>
          <w:color w:val="auto"/>
        </w:rPr>
        <w:t>This prospectus has not been registered as a prospectus with the Monetary Authority of Singapore. Accordingly, this prospectus and any other document or material in connection with the offer or sale, or invitation for subscription or purchase, of the shares of Class A common stock may not be circulated or distributed, nor may the shares of Class A common stock be offered or sold or be made the subject of an invitation for subscription or purchase, whether directly or indirectly, to persons in Singapore other than (i) to an institutional investor under Section 274 of the Securities and Futures Act, Chapter 289 of Singapore, or the SFA, (ii) to a relevant person, or any person pursuant to Section 275(1A), and in accordance with the conditions, specified in Section 275 of the SFA, or (iii) otherwise pursuant to, and in accordance with the conditions of, any other applicable provision of the SFA.</w:t>
      </w:r>
    </w:p>
    <w:p>
      <w:pPr>
        <w:spacing w:after="0" w:line="164" w:lineRule="exact"/>
        <w:rPr>
          <w:sz w:val="20"/>
          <w:szCs w:val="20"/>
          <w:color w:val="auto"/>
        </w:rPr>
      </w:pPr>
    </w:p>
    <w:p>
      <w:pPr>
        <w:ind w:firstLine="449"/>
        <w:spacing w:after="0" w:line="257" w:lineRule="auto"/>
        <w:rPr>
          <w:sz w:val="20"/>
          <w:szCs w:val="20"/>
          <w:color w:val="auto"/>
        </w:rPr>
      </w:pPr>
      <w:r>
        <w:rPr>
          <w:rFonts w:ascii="Arial" w:cs="Arial" w:eastAsia="Arial" w:hAnsi="Arial"/>
          <w:sz w:val="18"/>
          <w:szCs w:val="18"/>
          <w:color w:val="auto"/>
        </w:rPr>
        <w:t>Where the shares of Class A common stock are subscribed or purchased under Section 275 by a relevant person which is: (a) a corporation (which is not an accredited investor) the sole business of which is to hold investments and the entire share capital of which is owned by one or more individuals, each of whom is an accredited investor; or (b) a trust (where the trustee is not an accredited investor) whose sole purpose is to hold investments and each beneficiary is an accredited investor, shares, debentures, and units of shares and debentures of that corporation or the beneficiaries’ rights and interest in that trust shall not be transferable for six months</w:t>
      </w:r>
    </w:p>
    <w:p>
      <w:pPr>
        <w:spacing w:after="0" w:line="12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150</w:t>
      </w:r>
    </w:p>
    <w:p>
      <w:pPr>
        <w:sectPr>
          <w:pgSz w:w="11900" w:h="16838" w:orient="portrait"/>
          <w:cols w:equalWidth="0" w:num="1">
            <w:col w:w="11220"/>
          </w:cols>
          <w:pgMar w:left="320" w:top="459" w:right="359" w:bottom="1440" w:gutter="0" w:footer="0" w:header="0"/>
        </w:sectPr>
      </w:pPr>
    </w:p>
    <w:bookmarkStart w:id="153" w:name="page154"/>
    <w:bookmarkEnd w:id="15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right="80"/>
        <w:spacing w:after="0" w:line="263" w:lineRule="auto"/>
        <w:rPr>
          <w:sz w:val="20"/>
          <w:szCs w:val="20"/>
          <w:color w:val="auto"/>
        </w:rPr>
      </w:pPr>
      <w:r>
        <w:rPr>
          <w:rFonts w:ascii="Arial" w:cs="Arial" w:eastAsia="Arial" w:hAnsi="Arial"/>
          <w:sz w:val="18"/>
          <w:szCs w:val="18"/>
          <w:color w:val="auto"/>
        </w:rPr>
        <w:t>after that corporation or that trust has acquired the shares of Class A common stock under Section 275 except: (1) to an institutional investor under Section 274 of the SFA or to a relevant person, or any person pursuant to Section 275(1A), and in accordance with the conditions, specified in Section 275 of the SFA; (2) where no consideration is given for the transfer; or (3) by operation of law.</w:t>
      </w:r>
    </w:p>
    <w:p>
      <w:pPr>
        <w:spacing w:after="0" w:line="292"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Japan</w:t>
      </w:r>
    </w:p>
    <w:p>
      <w:pPr>
        <w:spacing w:after="0" w:line="117" w:lineRule="exact"/>
        <w:rPr>
          <w:sz w:val="20"/>
          <w:szCs w:val="20"/>
          <w:color w:val="auto"/>
        </w:rPr>
      </w:pPr>
    </w:p>
    <w:p>
      <w:pPr>
        <w:ind w:right="20" w:firstLine="449"/>
        <w:spacing w:after="0" w:line="296" w:lineRule="auto"/>
        <w:rPr>
          <w:sz w:val="20"/>
          <w:szCs w:val="20"/>
          <w:color w:val="auto"/>
        </w:rPr>
      </w:pPr>
      <w:r>
        <w:rPr>
          <w:rFonts w:ascii="Arial" w:cs="Arial" w:eastAsia="Arial" w:hAnsi="Arial"/>
          <w:sz w:val="16"/>
          <w:szCs w:val="16"/>
          <w:color w:val="auto"/>
        </w:rPr>
        <w:t>The securities have not been and will not be registered under the Financial Instruments and Exchange Law of Japan, or the Financial Instruments and Exchange Law, and the securities may not be offered or sold, directly or indirectly, in Japan or to, or for the benefit of, any resident of Japan (which term as used herein means any person resident in Japan, including any corporation or other entity organized under the laws of Japan), or to others for re-offering or resale, directly or indirectly, in Japan or to a resident of Japan, except pursuant to an exemption from the registration requirements of, and otherwise in compliance with, the Financial Instruments and Exchange Law and any other applicable laws, regulations, and ministerial guidelines of Japan.</w:t>
      </w:r>
    </w:p>
    <w:p>
      <w:pPr>
        <w:spacing w:after="0" w:line="269"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Switzerland</w:t>
      </w:r>
    </w:p>
    <w:p>
      <w:pPr>
        <w:spacing w:after="0" w:line="117" w:lineRule="exact"/>
        <w:rPr>
          <w:sz w:val="20"/>
          <w:szCs w:val="20"/>
          <w:color w:val="auto"/>
        </w:rPr>
      </w:pPr>
    </w:p>
    <w:p>
      <w:pPr>
        <w:ind w:firstLine="449"/>
        <w:spacing w:after="0" w:line="273" w:lineRule="auto"/>
        <w:rPr>
          <w:sz w:val="20"/>
          <w:szCs w:val="20"/>
          <w:color w:val="auto"/>
        </w:rPr>
      </w:pPr>
      <w:r>
        <w:rPr>
          <w:rFonts w:ascii="Arial" w:cs="Arial" w:eastAsia="Arial" w:hAnsi="Arial"/>
          <w:sz w:val="17"/>
          <w:szCs w:val="17"/>
          <w:color w:val="auto"/>
        </w:rPr>
        <w:t>The shares of Class A common stock may not be publicly offered in Switzerland and will not be listed on the SIX Swiss Exchange, or SIX, or on any other stock exchange or regulated trading facility in Switzerland. This document does not constitute a prospectus within the meaning of, and has been prepared without regard to the disclosure standards for issuance prospectuses under art. 652a or art. 1156 of the Swiss Code of Obligations or the disclosure standards for listing prospectuses under art. 27 ff. of the SIX Listing Rules or the listing rules of any other stock exchange or regulated trading facility in Switzerland. Neither this document nor any other offering or marketing material relating to the shares of Class A common stock or the offering may be publicly distributed or otherwise made publicly available in Switzerland.</w:t>
      </w:r>
    </w:p>
    <w:p>
      <w:pPr>
        <w:spacing w:after="0" w:line="178" w:lineRule="exact"/>
        <w:rPr>
          <w:sz w:val="20"/>
          <w:szCs w:val="20"/>
          <w:color w:val="auto"/>
        </w:rPr>
      </w:pPr>
    </w:p>
    <w:p>
      <w:pPr>
        <w:ind w:right="20" w:firstLine="449"/>
        <w:spacing w:after="0" w:line="296" w:lineRule="auto"/>
        <w:rPr>
          <w:sz w:val="20"/>
          <w:szCs w:val="20"/>
          <w:color w:val="auto"/>
        </w:rPr>
      </w:pPr>
      <w:r>
        <w:rPr>
          <w:rFonts w:ascii="Arial" w:cs="Arial" w:eastAsia="Arial" w:hAnsi="Arial"/>
          <w:sz w:val="16"/>
          <w:szCs w:val="16"/>
          <w:color w:val="auto"/>
        </w:rPr>
        <w:t>Neither this document nor any other offering or marketing material relating to the offering, the Company, or the shares of Class A common stock have been or will be filed with or approved by any Swiss regulatory authority. In particular, this document will not be filed with, and the offer of shares of Class A common stock will not be supervised by, the Swiss Financial Market Supervisory Authority FINMA, or FINMA, and the offer of shares of Class A common stock has not been and will not be authorized under the Swiss Federal Act on Collective Investment Schemes, or CISA. The investor protection afforded to acquirers of interests in collective investment schemes under the CISA does not extend to acquirers of the shares of Class A common stock.</w:t>
      </w:r>
    </w:p>
    <w:p>
      <w:pPr>
        <w:spacing w:after="0" w:line="269"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Dubai International Financial Centre</w:t>
      </w:r>
    </w:p>
    <w:p>
      <w:pPr>
        <w:spacing w:after="0" w:line="117" w:lineRule="exact"/>
        <w:rPr>
          <w:sz w:val="20"/>
          <w:szCs w:val="20"/>
          <w:color w:val="auto"/>
        </w:rPr>
      </w:pPr>
    </w:p>
    <w:p>
      <w:pPr>
        <w:ind w:right="40" w:firstLine="449"/>
        <w:spacing w:after="0" w:line="293" w:lineRule="auto"/>
        <w:rPr>
          <w:sz w:val="20"/>
          <w:szCs w:val="20"/>
          <w:color w:val="auto"/>
        </w:rPr>
      </w:pPr>
      <w:r>
        <w:rPr>
          <w:rFonts w:ascii="Arial" w:cs="Arial" w:eastAsia="Arial" w:hAnsi="Arial"/>
          <w:sz w:val="16"/>
          <w:szCs w:val="16"/>
          <w:color w:val="auto"/>
        </w:rPr>
        <w:t>This document relates to an Exempt Offer in accordance with the Markets Rules 2012 of the Dubai Financial Services Authority, or DFSA. This document is intended for distribution only to persons of a type specified in the Markets Rules 2012 of the DFSA. It must not be delivered to, or relied on by, any other person. The DFSA has no responsibility for reviewing or verifying any documents in connection with Exempt Offers. The DFSA has not approved this prospectus supplement nor taken steps to verify the information set forth herein and has no responsibility for this document. The securities to which this document relates may be illiquid and/or subject to restrictions on their resale. Prospective purchasers of the securities offered should conduct their own due diligence on the securities. If you do not understand the contents of this document you should consult an authorized financial advisor.</w:t>
      </w:r>
    </w:p>
    <w:p>
      <w:pPr>
        <w:spacing w:after="0" w:line="164" w:lineRule="exact"/>
        <w:rPr>
          <w:sz w:val="20"/>
          <w:szCs w:val="20"/>
          <w:color w:val="auto"/>
        </w:rPr>
      </w:pPr>
    </w:p>
    <w:p>
      <w:pPr>
        <w:ind w:right="20" w:firstLine="449"/>
        <w:spacing w:after="0" w:line="286" w:lineRule="auto"/>
        <w:rPr>
          <w:sz w:val="20"/>
          <w:szCs w:val="20"/>
          <w:color w:val="auto"/>
        </w:rPr>
      </w:pPr>
      <w:r>
        <w:rPr>
          <w:rFonts w:ascii="Arial" w:cs="Arial" w:eastAsia="Arial" w:hAnsi="Arial"/>
          <w:sz w:val="17"/>
          <w:szCs w:val="17"/>
          <w:color w:val="auto"/>
        </w:rPr>
        <w:t>In relation to its use in the Dubai International Financial Centre, or DIFC, this document is strictly private and confidential and is being distributed to a limited number of investors and must not be provided to any person other than the original recipient, and may not be reproduced or used for any other purpose. The interests in the securities may not be offered or sold, directly or indirectly, to the public in the DIFC.</w:t>
      </w:r>
    </w:p>
    <w:p>
      <w:pPr>
        <w:spacing w:after="0" w:line="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151</w:t>
      </w:r>
    </w:p>
    <w:p>
      <w:pPr>
        <w:sectPr>
          <w:pgSz w:w="11900" w:h="16838" w:orient="portrait"/>
          <w:cols w:equalWidth="0" w:num="1">
            <w:col w:w="11220"/>
          </w:cols>
          <w:pgMar w:left="320" w:top="459" w:right="359" w:bottom="1440" w:gutter="0" w:footer="0" w:header="0"/>
        </w:sectPr>
      </w:pPr>
    </w:p>
    <w:bookmarkStart w:id="154" w:name="page155"/>
    <w:bookmarkEnd w:id="15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United Arab Emirates</w:t>
      </w:r>
    </w:p>
    <w:p>
      <w:pPr>
        <w:spacing w:after="0" w:line="117" w:lineRule="exact"/>
        <w:rPr>
          <w:sz w:val="20"/>
          <w:szCs w:val="20"/>
          <w:color w:val="auto"/>
        </w:rPr>
      </w:pPr>
    </w:p>
    <w:p>
      <w:pPr>
        <w:ind w:right="220" w:firstLine="449"/>
        <w:spacing w:after="0" w:line="296" w:lineRule="auto"/>
        <w:rPr>
          <w:sz w:val="20"/>
          <w:szCs w:val="20"/>
          <w:color w:val="auto"/>
        </w:rPr>
      </w:pPr>
      <w:r>
        <w:rPr>
          <w:rFonts w:ascii="Arial" w:cs="Arial" w:eastAsia="Arial" w:hAnsi="Arial"/>
          <w:sz w:val="16"/>
          <w:szCs w:val="16"/>
          <w:color w:val="auto"/>
        </w:rPr>
        <w:t>The shares of Class A common stock have not been, and are not being, publicly offered, sold, promoted, or advertised in the United Arab Emirates (including the Dubai International Financial Centre) other than in compliance with the laws of the United Arab Emirates (and the Dubai International Financial Centre) governing the issue, offering and sale of securities. Further, this prospectus does not constitute a public offer of securities in the United Arab Emirates (including the Dubai International Financial Centre) and is not intended to be a public offer. This prospectus has not been approved by or filed with the Central Bank of the United Arab Emirates, the Securities and Commodities Authority, or the Dubai Financial Services Authority.</w:t>
      </w:r>
    </w:p>
    <w:p>
      <w:pPr>
        <w:spacing w:after="0" w:line="269"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Australia</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This prospectus:</w:t>
      </w:r>
    </w:p>
    <w:p>
      <w:pPr>
        <w:spacing w:after="0" w:line="131" w:lineRule="exact"/>
        <w:rPr>
          <w:sz w:val="20"/>
          <w:szCs w:val="20"/>
          <w:color w:val="auto"/>
        </w:rPr>
      </w:pPr>
    </w:p>
    <w:p>
      <w:pPr>
        <w:ind w:left="880" w:right="80" w:hanging="319"/>
        <w:spacing w:after="0" w:line="277" w:lineRule="auto"/>
        <w:tabs>
          <w:tab w:leader="none" w:pos="880" w:val="left"/>
        </w:tabs>
        <w:numPr>
          <w:ilvl w:val="0"/>
          <w:numId w:val="96"/>
        </w:numPr>
        <w:rPr>
          <w:rFonts w:ascii="Arial" w:cs="Arial" w:eastAsia="Arial" w:hAnsi="Arial"/>
          <w:sz w:val="18"/>
          <w:szCs w:val="18"/>
          <w:color w:val="auto"/>
        </w:rPr>
      </w:pPr>
      <w:r>
        <w:rPr>
          <w:rFonts w:ascii="Arial" w:cs="Arial" w:eastAsia="Arial" w:hAnsi="Arial"/>
          <w:sz w:val="18"/>
          <w:szCs w:val="18"/>
          <w:color w:val="auto"/>
        </w:rPr>
        <w:t>does not constitute a product disclosure document or a prospectus under Chapter 6D.2 of the Corporations Act 2001 (Cth), or the Corporations Act;</w:t>
      </w:r>
    </w:p>
    <w:p>
      <w:pPr>
        <w:spacing w:after="0" w:line="75" w:lineRule="exact"/>
        <w:rPr>
          <w:rFonts w:ascii="Arial" w:cs="Arial" w:eastAsia="Arial" w:hAnsi="Arial"/>
          <w:sz w:val="18"/>
          <w:szCs w:val="18"/>
          <w:color w:val="auto"/>
        </w:rPr>
      </w:pPr>
    </w:p>
    <w:p>
      <w:pPr>
        <w:ind w:left="880" w:right="100" w:hanging="319"/>
        <w:spacing w:after="0" w:line="263" w:lineRule="auto"/>
        <w:tabs>
          <w:tab w:leader="none" w:pos="880" w:val="left"/>
        </w:tabs>
        <w:numPr>
          <w:ilvl w:val="0"/>
          <w:numId w:val="96"/>
        </w:numPr>
        <w:rPr>
          <w:rFonts w:ascii="Arial" w:cs="Arial" w:eastAsia="Arial" w:hAnsi="Arial"/>
          <w:sz w:val="18"/>
          <w:szCs w:val="18"/>
          <w:color w:val="auto"/>
        </w:rPr>
      </w:pPr>
      <w:r>
        <w:rPr>
          <w:rFonts w:ascii="Arial" w:cs="Arial" w:eastAsia="Arial" w:hAnsi="Arial"/>
          <w:sz w:val="18"/>
          <w:szCs w:val="18"/>
          <w:color w:val="auto"/>
        </w:rPr>
        <w:t>has not been, and will not be, lodged with the Australian Securities and Investments Commission, or ASIC, as a disclosure document for the purposes of the Corporations Act and does not purport to include the information required of a disclosure document under Chapter 6D.2 of the Corporations Act;</w:t>
      </w:r>
    </w:p>
    <w:p>
      <w:pPr>
        <w:spacing w:after="0" w:line="89" w:lineRule="exact"/>
        <w:rPr>
          <w:rFonts w:ascii="Arial" w:cs="Arial" w:eastAsia="Arial" w:hAnsi="Arial"/>
          <w:sz w:val="18"/>
          <w:szCs w:val="18"/>
          <w:color w:val="auto"/>
        </w:rPr>
      </w:pPr>
    </w:p>
    <w:p>
      <w:pPr>
        <w:ind w:left="880" w:right="120" w:hanging="319"/>
        <w:spacing w:after="0" w:line="263" w:lineRule="auto"/>
        <w:tabs>
          <w:tab w:leader="none" w:pos="880" w:val="left"/>
        </w:tabs>
        <w:numPr>
          <w:ilvl w:val="0"/>
          <w:numId w:val="96"/>
        </w:numPr>
        <w:rPr>
          <w:rFonts w:ascii="Arial" w:cs="Arial" w:eastAsia="Arial" w:hAnsi="Arial"/>
          <w:sz w:val="18"/>
          <w:szCs w:val="18"/>
          <w:color w:val="auto"/>
        </w:rPr>
      </w:pPr>
      <w:r>
        <w:rPr>
          <w:rFonts w:ascii="Arial" w:cs="Arial" w:eastAsia="Arial" w:hAnsi="Arial"/>
          <w:sz w:val="18"/>
          <w:szCs w:val="18"/>
          <w:color w:val="auto"/>
        </w:rPr>
        <w:t>does not constitute or involve a recommendation to acquire, an offer or invitation for issue or sale, an offer or invitation to arrange the issue or sale, or an issue or sale, of interests to a “retail client” (as defined in section 761G of the Corporations Act and applicable regulations) in Australia; and</w:t>
      </w:r>
    </w:p>
    <w:p>
      <w:pPr>
        <w:spacing w:after="0" w:line="89" w:lineRule="exact"/>
        <w:rPr>
          <w:rFonts w:ascii="Arial" w:cs="Arial" w:eastAsia="Arial" w:hAnsi="Arial"/>
          <w:sz w:val="18"/>
          <w:szCs w:val="18"/>
          <w:color w:val="auto"/>
        </w:rPr>
      </w:pPr>
    </w:p>
    <w:p>
      <w:pPr>
        <w:ind w:left="880" w:right="680" w:hanging="319"/>
        <w:spacing w:after="0" w:line="277" w:lineRule="auto"/>
        <w:tabs>
          <w:tab w:leader="none" w:pos="880" w:val="left"/>
        </w:tabs>
        <w:numPr>
          <w:ilvl w:val="0"/>
          <w:numId w:val="96"/>
        </w:numPr>
        <w:rPr>
          <w:rFonts w:ascii="Arial" w:cs="Arial" w:eastAsia="Arial" w:hAnsi="Arial"/>
          <w:sz w:val="18"/>
          <w:szCs w:val="18"/>
          <w:color w:val="auto"/>
        </w:rPr>
      </w:pPr>
      <w:r>
        <w:rPr>
          <w:rFonts w:ascii="Arial" w:cs="Arial" w:eastAsia="Arial" w:hAnsi="Arial"/>
          <w:sz w:val="18"/>
          <w:szCs w:val="18"/>
          <w:color w:val="auto"/>
        </w:rPr>
        <w:t>may only be provided in Australia to select investors who are able to demonstrate that they fall within one or more of the categories of investors, or Exempt Investors, available under section 708 of the Corporations Act.</w:t>
      </w:r>
    </w:p>
    <w:p>
      <w:pPr>
        <w:spacing w:after="0" w:line="170" w:lineRule="exact"/>
        <w:rPr>
          <w:sz w:val="20"/>
          <w:szCs w:val="20"/>
          <w:color w:val="auto"/>
        </w:rPr>
      </w:pPr>
    </w:p>
    <w:p>
      <w:pPr>
        <w:ind w:right="200" w:firstLine="449"/>
        <w:spacing w:after="0" w:line="275" w:lineRule="auto"/>
        <w:rPr>
          <w:sz w:val="20"/>
          <w:szCs w:val="20"/>
          <w:color w:val="auto"/>
        </w:rPr>
      </w:pPr>
      <w:r>
        <w:rPr>
          <w:rFonts w:ascii="Arial" w:cs="Arial" w:eastAsia="Arial" w:hAnsi="Arial"/>
          <w:sz w:val="17"/>
          <w:szCs w:val="17"/>
          <w:color w:val="auto"/>
        </w:rPr>
        <w:t>The shares of Class A common stock may not be directly or indirectly offered for subscription or purchased or sold, and no invitations to subscribe for or buy the shares of Class A common stock may be issued, and no draft or definitive offering memorandum, advertisement, or other offering material relating to any shares of Class A common stock may be distributed in Australia, except where disclosure to investors is not required under Chapter 6D of the Corporations Act or is otherwise in compliance with all applicable Australian laws and regulations. By submitting an application for the shares of Class A common stock, you represent and warrant to us that you are an Exempt Investor.</w:t>
      </w:r>
    </w:p>
    <w:p>
      <w:pPr>
        <w:spacing w:after="0" w:line="176" w:lineRule="exact"/>
        <w:rPr>
          <w:sz w:val="20"/>
          <w:szCs w:val="20"/>
          <w:color w:val="auto"/>
        </w:rPr>
      </w:pPr>
    </w:p>
    <w:p>
      <w:pPr>
        <w:ind w:firstLine="449"/>
        <w:spacing w:after="0" w:line="273" w:lineRule="auto"/>
        <w:rPr>
          <w:sz w:val="20"/>
          <w:szCs w:val="20"/>
          <w:color w:val="auto"/>
        </w:rPr>
      </w:pPr>
      <w:r>
        <w:rPr>
          <w:rFonts w:ascii="Arial" w:cs="Arial" w:eastAsia="Arial" w:hAnsi="Arial"/>
          <w:sz w:val="17"/>
          <w:szCs w:val="17"/>
          <w:color w:val="auto"/>
        </w:rPr>
        <w:t>As any offer of shares of Class A common stock under this document will be made without disclosure in Australia under Chapter 6D.2 of the Corporations Act, the offer of those securities for resale in Australia within 12 months may, under section 707 of the Corporations Act, require disclosure to investors under Chapter 6D.2 if none of the exemptions in section 708 applies to that resale. By applying for the shares of Class A common stock you undertake to us that you will not, for a period of 12 months from the date of issue of the shares of Class A common stock, offer, transfer, assign, or otherwise alienate those securities to investors in Australia except in circumstances where disclosure to investors is not required under Chapter 6D.2 of the Corporations Act or where a compliant disclosure document is prepared and lodged with ASIC.</w:t>
      </w:r>
    </w:p>
    <w:p>
      <w:pPr>
        <w:spacing w:after="0" w:line="286"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Bermuda</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shares of Class A common stock may be offered or sold in Bermuda only in compliance with the provisions of the Investment Business Act of</w:t>
      </w:r>
    </w:p>
    <w:p>
      <w:pPr>
        <w:spacing w:after="0" w:line="46" w:lineRule="exact"/>
        <w:rPr>
          <w:sz w:val="20"/>
          <w:szCs w:val="20"/>
          <w:color w:val="auto"/>
        </w:rPr>
      </w:pPr>
    </w:p>
    <w:p>
      <w:pPr>
        <w:ind w:right="480"/>
        <w:spacing w:after="0" w:line="290" w:lineRule="auto"/>
        <w:rPr>
          <w:sz w:val="20"/>
          <w:szCs w:val="20"/>
          <w:color w:val="auto"/>
        </w:rPr>
      </w:pPr>
      <w:r>
        <w:rPr>
          <w:rFonts w:ascii="Arial" w:cs="Arial" w:eastAsia="Arial" w:hAnsi="Arial"/>
          <w:sz w:val="17"/>
          <w:szCs w:val="17"/>
          <w:color w:val="auto"/>
        </w:rPr>
        <w:t>2003 of Bermuda which regulates the sale of securities in Bermuda. Additionally, non-Bermudian persons (including companies) may not carry on or engage in any trade or business in Bermuda unless such persons are permitted to do so under applicable Bermuda legislation.</w:t>
      </w:r>
    </w:p>
    <w:p>
      <w:pPr>
        <w:spacing w:after="0" w:line="269"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Saudi Arabia</w:t>
      </w:r>
    </w:p>
    <w:p>
      <w:pPr>
        <w:spacing w:after="0" w:line="117" w:lineRule="exact"/>
        <w:rPr>
          <w:sz w:val="20"/>
          <w:szCs w:val="20"/>
          <w:color w:val="auto"/>
        </w:rPr>
      </w:pPr>
    </w:p>
    <w:p>
      <w:pPr>
        <w:ind w:right="660" w:firstLine="449"/>
        <w:spacing w:after="0" w:line="277" w:lineRule="auto"/>
        <w:rPr>
          <w:sz w:val="20"/>
          <w:szCs w:val="20"/>
          <w:color w:val="auto"/>
        </w:rPr>
      </w:pPr>
      <w:r>
        <w:rPr>
          <w:rFonts w:ascii="Arial" w:cs="Arial" w:eastAsia="Arial" w:hAnsi="Arial"/>
          <w:sz w:val="18"/>
          <w:szCs w:val="18"/>
          <w:color w:val="auto"/>
        </w:rPr>
        <w:t>This document may not be distributed in the Kingdom of Saudi Arabia except to such persons as are permitted under the Offers of Securities Regulations as issued by the board of the Saudi Arabian Capital Market</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152</w:t>
      </w:r>
    </w:p>
    <w:p>
      <w:pPr>
        <w:sectPr>
          <w:pgSz w:w="11900" w:h="16838" w:orient="portrait"/>
          <w:cols w:equalWidth="0" w:num="1">
            <w:col w:w="11240"/>
          </w:cols>
          <w:pgMar w:left="320" w:top="459" w:right="339" w:bottom="1440" w:gutter="0" w:footer="0" w:header="0"/>
        </w:sectPr>
      </w:pPr>
    </w:p>
    <w:bookmarkStart w:id="155" w:name="page156"/>
    <w:bookmarkEnd w:id="15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Authority, or CMA, pursuant to resolution number 2-11-2004 dated 4 October 2004 as amended by resolution number 1-28-2008, as amended, or the CMA Regulations. The CMA does not make any representation as to the accuracy or completeness of this document and expressly disclaims any liability whatsoever for any loss arising from, or incurred in reliance upon, any part of this document. Prospective purchasers of the securities offered hereby should conduct their own due diligence on the accuracy of the information relating to the securities. If you do not understand the contents of this document, you should consult an authorized financial adviser.</w:t>
      </w:r>
    </w:p>
    <w:p>
      <w:pPr>
        <w:spacing w:after="0" w:line="296"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British Virgin Islands</w:t>
      </w:r>
    </w:p>
    <w:p>
      <w:pPr>
        <w:spacing w:after="0" w:line="117" w:lineRule="exact"/>
        <w:rPr>
          <w:sz w:val="20"/>
          <w:szCs w:val="20"/>
          <w:color w:val="auto"/>
        </w:rPr>
      </w:pPr>
    </w:p>
    <w:p>
      <w:pPr>
        <w:ind w:right="180" w:firstLine="449"/>
        <w:spacing w:after="0" w:line="263" w:lineRule="auto"/>
        <w:rPr>
          <w:sz w:val="20"/>
          <w:szCs w:val="20"/>
          <w:color w:val="auto"/>
        </w:rPr>
      </w:pPr>
      <w:r>
        <w:rPr>
          <w:rFonts w:ascii="Arial" w:cs="Arial" w:eastAsia="Arial" w:hAnsi="Arial"/>
          <w:sz w:val="18"/>
          <w:szCs w:val="18"/>
          <w:color w:val="auto"/>
        </w:rPr>
        <w:t>This prospectus has not been, and will not be, registered with the Financial Services Commission of the British Virgin Islands. No registered prospectus has been or will be prepared in respect of the shares of Class A common stock for the purposes of the Securities and Investment Business Act, 2010, or SIBA, or the Public Issuers Code of the British Virgin Islands.</w:t>
      </w:r>
    </w:p>
    <w:p>
      <w:pPr>
        <w:spacing w:after="0" w:line="184" w:lineRule="exact"/>
        <w:rPr>
          <w:sz w:val="20"/>
          <w:szCs w:val="20"/>
          <w:color w:val="auto"/>
        </w:rPr>
      </w:pPr>
    </w:p>
    <w:p>
      <w:pPr>
        <w:ind w:right="20" w:firstLine="449"/>
        <w:spacing w:after="0" w:line="272" w:lineRule="auto"/>
        <w:rPr>
          <w:sz w:val="20"/>
          <w:szCs w:val="20"/>
          <w:color w:val="auto"/>
        </w:rPr>
      </w:pPr>
      <w:r>
        <w:rPr>
          <w:rFonts w:ascii="Arial" w:cs="Arial" w:eastAsia="Arial" w:hAnsi="Arial"/>
          <w:sz w:val="17"/>
          <w:szCs w:val="17"/>
          <w:color w:val="auto"/>
        </w:rPr>
        <w:t>The shares of Class A common stock may be offered to persons located in the British Virgin Islands who are “qualified investors” for the purposes of SIBA. Qualified investors include (i) certain entities which are regulated by the Financial Services Commission in the British Virgin Islands, including banks, insurance companies, licensees under SIBA, and public, professional, and private mutual funds; (ii) a company, any securities of which are listed on a recognised exchange; and (iii) persons defined as “professional investors” under SIBA, which is any person (a) whose ordinary business involves, whether for that person’s own account or the account of others, the acquisition or disposal of property of the same kind as the property, or a substantial part of the property of the Company; or (b) who has signed a declaration that he, whether individually or jointly with his spouse, has net worth in excess of US$1,000,000 and that he consents to being treated as a professional investor.</w:t>
      </w:r>
    </w:p>
    <w:p>
      <w:pPr>
        <w:spacing w:after="0" w:line="285"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China</w:t>
      </w:r>
    </w:p>
    <w:p>
      <w:pPr>
        <w:spacing w:after="0" w:line="117" w:lineRule="exact"/>
        <w:rPr>
          <w:sz w:val="20"/>
          <w:szCs w:val="20"/>
          <w:color w:val="auto"/>
        </w:rPr>
      </w:pPr>
    </w:p>
    <w:p>
      <w:pPr>
        <w:jc w:val="both"/>
        <w:ind w:right="260" w:firstLine="449"/>
        <w:spacing w:after="0" w:line="263" w:lineRule="auto"/>
        <w:rPr>
          <w:sz w:val="20"/>
          <w:szCs w:val="20"/>
          <w:color w:val="auto"/>
        </w:rPr>
      </w:pPr>
      <w:r>
        <w:rPr>
          <w:rFonts w:ascii="Arial" w:cs="Arial" w:eastAsia="Arial" w:hAnsi="Arial"/>
          <w:sz w:val="18"/>
          <w:szCs w:val="18"/>
          <w:color w:val="auto"/>
        </w:rPr>
        <w:t>This prospectus does not constitute a public offer of shares of Class A common stock, whether by sale or subscription, in the People’s Republic of China, or the PRC. The shares of Class A common stock are not being offered or sold, directly or indirectly, in the PRC to or for the benefit of, legal or natural persons of the PRC.</w:t>
      </w:r>
    </w:p>
    <w:p>
      <w:pPr>
        <w:spacing w:after="0" w:line="184" w:lineRule="exact"/>
        <w:rPr>
          <w:sz w:val="20"/>
          <w:szCs w:val="20"/>
          <w:color w:val="auto"/>
        </w:rPr>
      </w:pPr>
    </w:p>
    <w:p>
      <w:pPr>
        <w:ind w:right="420" w:firstLine="449"/>
        <w:spacing w:after="0" w:line="286" w:lineRule="auto"/>
        <w:rPr>
          <w:sz w:val="20"/>
          <w:szCs w:val="20"/>
          <w:color w:val="auto"/>
        </w:rPr>
      </w:pPr>
      <w:r>
        <w:rPr>
          <w:rFonts w:ascii="Arial" w:cs="Arial" w:eastAsia="Arial" w:hAnsi="Arial"/>
          <w:sz w:val="17"/>
          <w:szCs w:val="17"/>
          <w:color w:val="auto"/>
        </w:rPr>
        <w:t>Further, no legal or natural persons of the PRC may directly or indirectly purchase any of the shares of Class A common stock or any beneficial interest therein without obtaining all prior PRC’s governmental approvals that are required, whether statutorily or otherwise. Persons who come into possession of this document are required by the issuer and its representatives to observe these restrictions.</w:t>
      </w:r>
    </w:p>
    <w:p>
      <w:pPr>
        <w:spacing w:after="0" w:line="273"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Korea</w:t>
      </w:r>
    </w:p>
    <w:p>
      <w:pPr>
        <w:spacing w:after="0" w:line="117" w:lineRule="exact"/>
        <w:rPr>
          <w:sz w:val="20"/>
          <w:szCs w:val="20"/>
          <w:color w:val="auto"/>
        </w:rPr>
      </w:pPr>
    </w:p>
    <w:p>
      <w:pPr>
        <w:ind w:right="40" w:firstLine="449"/>
        <w:spacing w:after="0" w:line="270" w:lineRule="auto"/>
        <w:rPr>
          <w:sz w:val="20"/>
          <w:szCs w:val="20"/>
          <w:color w:val="auto"/>
        </w:rPr>
      </w:pPr>
      <w:r>
        <w:rPr>
          <w:rFonts w:ascii="Arial" w:cs="Arial" w:eastAsia="Arial" w:hAnsi="Arial"/>
          <w:sz w:val="17"/>
          <w:szCs w:val="17"/>
          <w:color w:val="auto"/>
        </w:rPr>
        <w:t>The shares of Class A common stock have not been and will not be registered under the Financial Investments Services and Capital Markets Act of Korea and the decrees and regulations thereunder, or the FSCMA, and the shares of Class A common stock have been and will be offered in Korea as a private placement under the FSCMA. None of the shares of Class A common stock may be offered, sold, or delivered, directly or indirectly, or offered or sold to any person for re-offering or resale, directly or indirectly, in Korea or to any resident of Korea except pursuant to the applicable laws and regulations of Korea, including the FSCMA and the Foreign Exchange Transaction Law of Korea and the decrees and regulations thereunder, or the FETL. Furthermore, the purchaser of the shares of Class A common stock shall comply with all applicable regulatory requirements (including but not limited to requirements under the FETL) in connection with the purchase of the shares of Class A common stock. By the purchase of the shares of Class A common stock, the relevant holder thereof will be deemed to represent and warrant that if it is in Korea or is a resident of Korea, it purchased the shares of Class A common stock pursuant to the applicable laws and regulations of Korea.</w:t>
      </w:r>
    </w:p>
    <w:p>
      <w:pPr>
        <w:spacing w:after="0" w:line="289"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Malaysia</w:t>
      </w:r>
    </w:p>
    <w:p>
      <w:pPr>
        <w:spacing w:after="0" w:line="117" w:lineRule="exact"/>
        <w:rPr>
          <w:sz w:val="20"/>
          <w:szCs w:val="20"/>
          <w:color w:val="auto"/>
        </w:rPr>
      </w:pPr>
    </w:p>
    <w:p>
      <w:pPr>
        <w:ind w:firstLine="449"/>
        <w:spacing w:after="0" w:line="277" w:lineRule="auto"/>
        <w:rPr>
          <w:sz w:val="20"/>
          <w:szCs w:val="20"/>
          <w:color w:val="auto"/>
        </w:rPr>
      </w:pPr>
      <w:r>
        <w:rPr>
          <w:rFonts w:ascii="Arial" w:cs="Arial" w:eastAsia="Arial" w:hAnsi="Arial"/>
          <w:sz w:val="18"/>
          <w:szCs w:val="18"/>
          <w:color w:val="auto"/>
        </w:rPr>
        <w:t>No prospectus or other offering material or document in connection with the offer and sale of the shares of Class A common stock has been or will be registered with the Securities Commission of Malaysia, or</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153</w:t>
      </w:r>
    </w:p>
    <w:p>
      <w:pPr>
        <w:sectPr>
          <w:pgSz w:w="11900" w:h="16838" w:orient="portrait"/>
          <w:cols w:equalWidth="0" w:num="1">
            <w:col w:w="11220"/>
          </w:cols>
          <w:pgMar w:left="320" w:top="459" w:right="359" w:bottom="1440" w:gutter="0" w:footer="0" w:header="0"/>
        </w:sectPr>
      </w:pPr>
    </w:p>
    <w:bookmarkStart w:id="156" w:name="page157"/>
    <w:bookmarkEnd w:id="15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spacing w:after="0" w:line="285" w:lineRule="auto"/>
        <w:rPr>
          <w:sz w:val="20"/>
          <w:szCs w:val="20"/>
          <w:color w:val="auto"/>
        </w:rPr>
      </w:pPr>
      <w:r>
        <w:rPr>
          <w:rFonts w:ascii="Arial" w:cs="Arial" w:eastAsia="Arial" w:hAnsi="Arial"/>
          <w:sz w:val="16"/>
          <w:szCs w:val="16"/>
          <w:color w:val="auto"/>
        </w:rPr>
        <w:t>Commission, for the Commission’s approval pursuant to the Capital Markets and Services Act 2007. Accordingly, this prospectus and any other document or material in connection with the offer or sale, or invitation for subscription or purchase, of the shares of Class A common stock may not be circulated or distributed, nor may the shares of Class A common stock be offered or sold, or be made the subject of an invitation for subscription or purchase, whether directly or indirectly, to persons in Malaysia other than (i) a closed end fund approved by the Commission; (ii) a holder of a Capital Markets Services Licence; (iii) a person who acquires the shares of Class A common stock, as principal, if the offer is on terms that the shares of Class A common stock may only be acquired at a consideration of not less than RM250,000 (or its equivalent in foreign currencies) for each transaction; (iv) an individual whose total net personal assets or total net joint assets with his or her spouse exceeds RM3 million (or its equivalent in foreign currencies), excluding the value of the primary residence of the individual; (v) an individual who has a gross annual income exceeding RM300,000 (or its equivalent in foreign currencies) per annum in the preceding twelve months; (vi) an individual who, jointly with his or her spouse, has a gross annual income of RM400,000 (or its equivalent in foreign currencies), per annum in the preceding twelve months; (vii) a corporation with total net assets exceeding RM10 million (or its equivalent in a foreign currencies) based on the last audited accounts; (viii) a partnership with total net assets exceeding RM10 million (or its equivalent in foreign currencies); (ix) a bank licensee or insurance licensee as defined in the Labuan Financial Services and Securities Act 2010; (x) an Islamic bank licensee or takaful licensee as defined in the Labuan Financial Services and Securities Act 2010; and (xi) any other person as may be specified by the Commission; provided that, in the each of the preceding categories (i) to (xi), the distribution of the shares of Class A common stock is made by a holder of a Capital Markets Services Licence who carries on the business of dealing in securities. The distribution in Malaysia of this prospectus is subject to Malaysian laws. This prospectus does not constitute and may not be used for the purpose of public offering or an issue, offer for subscription or purchase, or invitation to subscribe for or purchase any securities requiring the registration of a prospectus with the Commission under the Capital Markets and Services Act 2007.</w:t>
      </w:r>
    </w:p>
    <w:p>
      <w:pPr>
        <w:spacing w:after="0" w:line="282"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Taiwan</w:t>
      </w:r>
    </w:p>
    <w:p>
      <w:pPr>
        <w:spacing w:after="0" w:line="117" w:lineRule="exact"/>
        <w:rPr>
          <w:sz w:val="20"/>
          <w:szCs w:val="20"/>
          <w:color w:val="auto"/>
        </w:rPr>
      </w:pPr>
    </w:p>
    <w:p>
      <w:pPr>
        <w:ind w:right="160" w:firstLine="449"/>
        <w:spacing w:after="0" w:line="257" w:lineRule="auto"/>
        <w:rPr>
          <w:sz w:val="20"/>
          <w:szCs w:val="20"/>
          <w:color w:val="auto"/>
        </w:rPr>
      </w:pPr>
      <w:r>
        <w:rPr>
          <w:rFonts w:ascii="Arial" w:cs="Arial" w:eastAsia="Arial" w:hAnsi="Arial"/>
          <w:sz w:val="18"/>
          <w:szCs w:val="18"/>
          <w:color w:val="auto"/>
        </w:rPr>
        <w:t>The shares of Class A common stock have not been and will not be registered with the Financial Supervisory Commission of Taiwan pursuant to relevant securities laws and regulations and may not be sold, issued, or offered within Taiwan through a public offering or in circumstances which constitutes an offer within the meaning of the Securities and Exchange Act of Taiwan that requires a registration or approval of the Financial Supervisory Commission of Taiwan. No person or entity in Taiwan has been authorised to offer, sell, give advice regarding, or otherwise intermediate the offering and sale of the shares of Class A common stock in Taiwan.</w:t>
      </w:r>
    </w:p>
    <w:p>
      <w:pPr>
        <w:spacing w:after="0" w:line="296"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South Africa</w:t>
      </w:r>
    </w:p>
    <w:p>
      <w:pPr>
        <w:spacing w:after="0" w:line="117" w:lineRule="exact"/>
        <w:rPr>
          <w:sz w:val="20"/>
          <w:szCs w:val="20"/>
          <w:color w:val="auto"/>
        </w:rPr>
      </w:pPr>
    </w:p>
    <w:p>
      <w:pPr>
        <w:ind w:right="160" w:firstLine="449"/>
        <w:spacing w:after="0" w:line="263" w:lineRule="auto"/>
        <w:rPr>
          <w:sz w:val="20"/>
          <w:szCs w:val="20"/>
          <w:color w:val="auto"/>
        </w:rPr>
      </w:pPr>
      <w:r>
        <w:rPr>
          <w:rFonts w:ascii="Arial" w:cs="Arial" w:eastAsia="Arial" w:hAnsi="Arial"/>
          <w:sz w:val="18"/>
          <w:szCs w:val="18"/>
          <w:color w:val="auto"/>
        </w:rPr>
        <w:t>Due to restrictions under the securities laws of South Africa, the shares of Class A common stock are not offered, and the offer shall not be transferred, sold, renounced, or delivered, in South Africa or to a person with an address in South Africa, unless one or other of the following exemptions applies:</w:t>
      </w:r>
    </w:p>
    <w:p>
      <w:pPr>
        <w:spacing w:after="0" w:line="211" w:lineRule="exact"/>
        <w:rPr>
          <w:sz w:val="20"/>
          <w:szCs w:val="20"/>
          <w:color w:val="auto"/>
        </w:rPr>
      </w:pPr>
    </w:p>
    <w:p>
      <w:pPr>
        <w:ind w:left="460" w:hanging="452"/>
        <w:spacing w:after="0"/>
        <w:tabs>
          <w:tab w:leader="none" w:pos="460" w:val="left"/>
        </w:tabs>
        <w:numPr>
          <w:ilvl w:val="0"/>
          <w:numId w:val="97"/>
        </w:numPr>
        <w:rPr>
          <w:rFonts w:ascii="Arial" w:cs="Arial" w:eastAsia="Arial" w:hAnsi="Arial"/>
          <w:sz w:val="18"/>
          <w:szCs w:val="18"/>
          <w:color w:val="auto"/>
        </w:rPr>
      </w:pPr>
      <w:r>
        <w:rPr>
          <w:rFonts w:ascii="Arial" w:cs="Arial" w:eastAsia="Arial" w:hAnsi="Arial"/>
          <w:sz w:val="18"/>
          <w:szCs w:val="18"/>
          <w:color w:val="auto"/>
        </w:rPr>
        <w:t>the offer, transfer, sale, renunciation, or delivery is to:</w:t>
      </w:r>
    </w:p>
    <w:p>
      <w:pPr>
        <w:spacing w:after="0" w:line="117" w:lineRule="exact"/>
        <w:rPr>
          <w:rFonts w:ascii="Arial" w:cs="Arial" w:eastAsia="Arial" w:hAnsi="Arial"/>
          <w:sz w:val="18"/>
          <w:szCs w:val="18"/>
          <w:color w:val="auto"/>
        </w:rPr>
      </w:pPr>
    </w:p>
    <w:p>
      <w:pPr>
        <w:ind w:left="700" w:hanging="243"/>
        <w:spacing w:after="0"/>
        <w:tabs>
          <w:tab w:leader="none" w:pos="700" w:val="left"/>
        </w:tabs>
        <w:numPr>
          <w:ilvl w:val="1"/>
          <w:numId w:val="97"/>
        </w:numPr>
        <w:rPr>
          <w:rFonts w:ascii="Arial" w:cs="Arial" w:eastAsia="Arial" w:hAnsi="Arial"/>
          <w:sz w:val="18"/>
          <w:szCs w:val="18"/>
          <w:color w:val="auto"/>
        </w:rPr>
      </w:pPr>
      <w:r>
        <w:rPr>
          <w:rFonts w:ascii="Arial" w:cs="Arial" w:eastAsia="Arial" w:hAnsi="Arial"/>
          <w:sz w:val="18"/>
          <w:szCs w:val="18"/>
          <w:color w:val="auto"/>
        </w:rPr>
        <w:t>persons whose ordinary business is to deal in securities, as principal or agent;</w:t>
      </w:r>
    </w:p>
    <w:p>
      <w:pPr>
        <w:spacing w:after="0" w:line="117" w:lineRule="exact"/>
        <w:rPr>
          <w:rFonts w:ascii="Arial" w:cs="Arial" w:eastAsia="Arial" w:hAnsi="Arial"/>
          <w:sz w:val="18"/>
          <w:szCs w:val="18"/>
          <w:color w:val="auto"/>
        </w:rPr>
      </w:pPr>
    </w:p>
    <w:p>
      <w:pPr>
        <w:ind w:left="720" w:hanging="263"/>
        <w:spacing w:after="0"/>
        <w:tabs>
          <w:tab w:leader="none" w:pos="720" w:val="left"/>
        </w:tabs>
        <w:numPr>
          <w:ilvl w:val="1"/>
          <w:numId w:val="97"/>
        </w:numPr>
        <w:rPr>
          <w:rFonts w:ascii="Arial" w:cs="Arial" w:eastAsia="Arial" w:hAnsi="Arial"/>
          <w:sz w:val="18"/>
          <w:szCs w:val="18"/>
          <w:color w:val="auto"/>
        </w:rPr>
      </w:pPr>
      <w:r>
        <w:rPr>
          <w:rFonts w:ascii="Arial" w:cs="Arial" w:eastAsia="Arial" w:hAnsi="Arial"/>
          <w:sz w:val="18"/>
          <w:szCs w:val="18"/>
          <w:color w:val="auto"/>
        </w:rPr>
        <w:t>the South African Public Investment Corporation;</w:t>
      </w:r>
    </w:p>
    <w:p>
      <w:pPr>
        <w:spacing w:after="0" w:line="117" w:lineRule="exact"/>
        <w:rPr>
          <w:rFonts w:ascii="Arial" w:cs="Arial" w:eastAsia="Arial" w:hAnsi="Arial"/>
          <w:sz w:val="18"/>
          <w:szCs w:val="18"/>
          <w:color w:val="auto"/>
        </w:rPr>
      </w:pPr>
    </w:p>
    <w:p>
      <w:pPr>
        <w:ind w:left="700" w:hanging="243"/>
        <w:spacing w:after="0"/>
        <w:tabs>
          <w:tab w:leader="none" w:pos="700" w:val="left"/>
        </w:tabs>
        <w:numPr>
          <w:ilvl w:val="1"/>
          <w:numId w:val="97"/>
        </w:numPr>
        <w:rPr>
          <w:rFonts w:ascii="Arial" w:cs="Arial" w:eastAsia="Arial" w:hAnsi="Arial"/>
          <w:sz w:val="18"/>
          <w:szCs w:val="18"/>
          <w:color w:val="auto"/>
        </w:rPr>
      </w:pPr>
      <w:r>
        <w:rPr>
          <w:rFonts w:ascii="Arial" w:cs="Arial" w:eastAsia="Arial" w:hAnsi="Arial"/>
          <w:sz w:val="18"/>
          <w:szCs w:val="18"/>
          <w:color w:val="auto"/>
        </w:rPr>
        <w:t>persons or entities regulated by the Reserve Bank of South Africa;</w:t>
      </w:r>
    </w:p>
    <w:p>
      <w:pPr>
        <w:spacing w:after="0" w:line="117" w:lineRule="exact"/>
        <w:rPr>
          <w:rFonts w:ascii="Arial" w:cs="Arial" w:eastAsia="Arial" w:hAnsi="Arial"/>
          <w:sz w:val="18"/>
          <w:szCs w:val="18"/>
          <w:color w:val="auto"/>
        </w:rPr>
      </w:pPr>
    </w:p>
    <w:p>
      <w:pPr>
        <w:ind w:left="720" w:hanging="263"/>
        <w:spacing w:after="0"/>
        <w:tabs>
          <w:tab w:leader="none" w:pos="720" w:val="left"/>
        </w:tabs>
        <w:numPr>
          <w:ilvl w:val="1"/>
          <w:numId w:val="97"/>
        </w:numPr>
        <w:rPr>
          <w:rFonts w:ascii="Arial" w:cs="Arial" w:eastAsia="Arial" w:hAnsi="Arial"/>
          <w:sz w:val="18"/>
          <w:szCs w:val="18"/>
          <w:color w:val="auto"/>
        </w:rPr>
      </w:pPr>
      <w:r>
        <w:rPr>
          <w:rFonts w:ascii="Arial" w:cs="Arial" w:eastAsia="Arial" w:hAnsi="Arial"/>
          <w:sz w:val="18"/>
          <w:szCs w:val="18"/>
          <w:color w:val="auto"/>
        </w:rPr>
        <w:t>authorised financial service providers under South African law;</w:t>
      </w:r>
    </w:p>
    <w:p>
      <w:pPr>
        <w:spacing w:after="0" w:line="117" w:lineRule="exact"/>
        <w:rPr>
          <w:rFonts w:ascii="Arial" w:cs="Arial" w:eastAsia="Arial" w:hAnsi="Arial"/>
          <w:sz w:val="18"/>
          <w:szCs w:val="18"/>
          <w:color w:val="auto"/>
        </w:rPr>
      </w:pPr>
    </w:p>
    <w:p>
      <w:pPr>
        <w:ind w:left="700" w:hanging="243"/>
        <w:spacing w:after="0"/>
        <w:tabs>
          <w:tab w:leader="none" w:pos="700" w:val="left"/>
        </w:tabs>
        <w:numPr>
          <w:ilvl w:val="1"/>
          <w:numId w:val="97"/>
        </w:numPr>
        <w:rPr>
          <w:rFonts w:ascii="Arial" w:cs="Arial" w:eastAsia="Arial" w:hAnsi="Arial"/>
          <w:sz w:val="18"/>
          <w:szCs w:val="18"/>
          <w:color w:val="auto"/>
        </w:rPr>
      </w:pPr>
      <w:r>
        <w:rPr>
          <w:rFonts w:ascii="Arial" w:cs="Arial" w:eastAsia="Arial" w:hAnsi="Arial"/>
          <w:sz w:val="18"/>
          <w:szCs w:val="18"/>
          <w:color w:val="auto"/>
        </w:rPr>
        <w:t>financial institutions recognised as such under South African law;</w:t>
      </w:r>
    </w:p>
    <w:p>
      <w:pPr>
        <w:spacing w:after="0" w:line="117" w:lineRule="exact"/>
        <w:rPr>
          <w:rFonts w:ascii="Arial" w:cs="Arial" w:eastAsia="Arial" w:hAnsi="Arial"/>
          <w:sz w:val="18"/>
          <w:szCs w:val="18"/>
          <w:color w:val="auto"/>
        </w:rPr>
      </w:pPr>
    </w:p>
    <w:p>
      <w:pPr>
        <w:ind w:left="460" w:right="560" w:hanging="3"/>
        <w:spacing w:after="0" w:line="308" w:lineRule="auto"/>
        <w:tabs>
          <w:tab w:leader="none" w:pos="685" w:val="left"/>
        </w:tabs>
        <w:numPr>
          <w:ilvl w:val="1"/>
          <w:numId w:val="97"/>
        </w:numPr>
        <w:rPr>
          <w:rFonts w:ascii="Arial" w:cs="Arial" w:eastAsia="Arial" w:hAnsi="Arial"/>
          <w:sz w:val="17"/>
          <w:szCs w:val="17"/>
          <w:color w:val="auto"/>
        </w:rPr>
      </w:pPr>
      <w:r>
        <w:rPr>
          <w:rFonts w:ascii="Arial" w:cs="Arial" w:eastAsia="Arial" w:hAnsi="Arial"/>
          <w:sz w:val="17"/>
          <w:szCs w:val="17"/>
          <w:color w:val="auto"/>
        </w:rPr>
        <w:t>a wholly-owned subsidiary of any person or entity contemplated in (c), (d), or (e), acting as agent in the capacity of an authorised portfolio manager for a pension fund or collective investment scheme (in each case duly registered as such under South African law); or</w:t>
      </w:r>
    </w:p>
    <w:p>
      <w:pPr>
        <w:spacing w:after="0" w:line="7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154</w:t>
      </w:r>
    </w:p>
    <w:p>
      <w:pPr>
        <w:sectPr>
          <w:pgSz w:w="11900" w:h="16838" w:orient="portrait"/>
          <w:cols w:equalWidth="0" w:num="1">
            <w:col w:w="11220"/>
          </w:cols>
          <w:pgMar w:left="320" w:top="459" w:right="359" w:bottom="1440" w:gutter="0" w:footer="0" w:header="0"/>
        </w:sectPr>
      </w:pPr>
    </w:p>
    <w:bookmarkStart w:id="157" w:name="page158"/>
    <w:bookmarkEnd w:id="15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(g) any combination of the person in (a) to (f); or</w:t>
      </w:r>
    </w:p>
    <w:p>
      <w:pPr>
        <w:spacing w:after="0" w:line="130" w:lineRule="exact"/>
        <w:rPr>
          <w:sz w:val="20"/>
          <w:szCs w:val="20"/>
          <w:color w:val="auto"/>
        </w:rPr>
      </w:pPr>
    </w:p>
    <w:p>
      <w:pPr>
        <w:ind w:left="460" w:right="380" w:hanging="452"/>
        <w:spacing w:after="0" w:line="431" w:lineRule="auto"/>
        <w:tabs>
          <w:tab w:leader="none" w:pos="456" w:val="left"/>
        </w:tabs>
        <w:numPr>
          <w:ilvl w:val="0"/>
          <w:numId w:val="98"/>
        </w:numPr>
        <w:rPr>
          <w:rFonts w:ascii="Arial" w:cs="Arial" w:eastAsia="Arial" w:hAnsi="Arial"/>
          <w:sz w:val="16"/>
          <w:szCs w:val="16"/>
          <w:color w:val="auto"/>
        </w:rPr>
      </w:pPr>
      <w:r>
        <w:rPr>
          <w:rFonts w:ascii="Arial" w:cs="Arial" w:eastAsia="Arial" w:hAnsi="Arial"/>
          <w:sz w:val="16"/>
          <w:szCs w:val="16"/>
          <w:color w:val="auto"/>
        </w:rPr>
        <w:t>the total contemplated acquisition cost of the securities, for any single addressee acting as principal is equal to or greater than ZAR1,000,000. No “offer to the public” (as such term is defined in the South African Companies Act, No. 71 of 2008 (as amended or re-enacted), or the South</w:t>
      </w:r>
    </w:p>
    <w:p>
      <w:pPr>
        <w:spacing w:after="0" w:line="2" w:lineRule="exact"/>
        <w:rPr>
          <w:sz w:val="20"/>
          <w:szCs w:val="20"/>
          <w:color w:val="auto"/>
        </w:rPr>
      </w:pPr>
    </w:p>
    <w:p>
      <w:pPr>
        <w:spacing w:after="0" w:line="268" w:lineRule="auto"/>
        <w:rPr>
          <w:sz w:val="20"/>
          <w:szCs w:val="20"/>
          <w:color w:val="auto"/>
        </w:rPr>
      </w:pPr>
      <w:r>
        <w:rPr>
          <w:rFonts w:ascii="Arial" w:cs="Arial" w:eastAsia="Arial" w:hAnsi="Arial"/>
          <w:sz w:val="17"/>
          <w:szCs w:val="17"/>
          <w:color w:val="auto"/>
        </w:rPr>
        <w:t>African Companies Act) in South Africa is being made in connection with the issue of the shares of Class A common stock. Accordingly, this document does not, nor is it intended to, constitute a “registered prospectus” (as that term is defined in the South African Companies Act) prepared and registered under the South African Companies Act and has not been approved by, and/or filed with, the South African Companies and Intellectual Property Commission or any other regulatory authority in South Africa. Any issue or offering of the shares of Class A common stock in South Africa constitutes an offer of the shares of Class A common stock in South Africa for subscription or sale in South Africa only to persons who fall within the exemption from “offers to the public” set out in section 96(1)(a) of the South African Companies Act. Accordingly, this document must not be acted on or relied on by persons in South Africa who do not fall within section 96(1)(a) of the South African Companies Act, or such persons being referred to as SA Relevant Persons. Any investment or investment activity to which this document relates is available in South Africa only to SA Relevant Persons and will be engaged in South Africa only with SA relevant persons.</w:t>
      </w:r>
    </w:p>
    <w:p>
      <w:pPr>
        <w:spacing w:after="0" w:line="114"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155</w:t>
      </w:r>
    </w:p>
    <w:p>
      <w:pPr>
        <w:sectPr>
          <w:pgSz w:w="11900" w:h="16838" w:orient="portrait"/>
          <w:cols w:equalWidth="0" w:num="1">
            <w:col w:w="11120"/>
          </w:cols>
          <w:pgMar w:left="320" w:top="459" w:right="459" w:bottom="1440" w:gutter="0" w:footer="0" w:header="0"/>
        </w:sectPr>
      </w:pPr>
    </w:p>
    <w:bookmarkStart w:id="158" w:name="page159"/>
    <w:bookmarkEnd w:id="15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LEGAL MATTERS</w:t>
      </w:r>
    </w:p>
    <w:p>
      <w:pPr>
        <w:spacing w:after="0" w:line="229" w:lineRule="exact"/>
        <w:rPr>
          <w:sz w:val="20"/>
          <w:szCs w:val="20"/>
          <w:color w:val="auto"/>
        </w:rPr>
      </w:pPr>
    </w:p>
    <w:p>
      <w:pPr>
        <w:ind w:right="280" w:firstLine="449"/>
        <w:spacing w:after="0" w:line="263" w:lineRule="auto"/>
        <w:rPr>
          <w:sz w:val="20"/>
          <w:szCs w:val="20"/>
          <w:color w:val="auto"/>
        </w:rPr>
      </w:pPr>
      <w:r>
        <w:rPr>
          <w:rFonts w:ascii="Arial" w:cs="Arial" w:eastAsia="Arial" w:hAnsi="Arial"/>
          <w:sz w:val="18"/>
          <w:szCs w:val="18"/>
          <w:color w:val="auto"/>
        </w:rPr>
        <w:t>Wilson Sonsini Goodrich &amp; Rosati, P.C., Palo Alto, California, which has acted as our counsel in connection with this offering, will pass upon the validity of the shares of our Class A common stock being offered by this prospectus. The underwriters have been represented by Simpson Thacher &amp; Bartlett LLP, Palo Alto, California.</w:t>
      </w:r>
    </w:p>
    <w:p>
      <w:pPr>
        <w:spacing w:after="0" w:line="39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EXPERTS</w:t>
      </w:r>
    </w:p>
    <w:p>
      <w:pPr>
        <w:spacing w:after="0" w:line="229" w:lineRule="exact"/>
        <w:rPr>
          <w:sz w:val="20"/>
          <w:szCs w:val="20"/>
          <w:color w:val="auto"/>
        </w:rPr>
      </w:pPr>
    </w:p>
    <w:p>
      <w:pPr>
        <w:ind w:right="20" w:firstLine="449"/>
        <w:spacing w:after="0" w:line="259" w:lineRule="auto"/>
        <w:rPr>
          <w:sz w:val="20"/>
          <w:szCs w:val="20"/>
          <w:color w:val="auto"/>
        </w:rPr>
      </w:pPr>
      <w:r>
        <w:rPr>
          <w:rFonts w:ascii="Arial" w:cs="Arial" w:eastAsia="Arial" w:hAnsi="Arial"/>
          <w:sz w:val="18"/>
          <w:szCs w:val="18"/>
          <w:color w:val="auto"/>
        </w:rPr>
        <w:t>The consolidated financial statements of Dropbox, Inc. at December 31, 2015 and 2016, and for each of the two years in the period ended December 31, 2016, appearing in this prospectus and Registration Statement have been audited by Ernst &amp; Young LLP, independent registered public accounting firm, as set forth in their report thereon appearing elsewhere herein, and are included in reliance upon such report given on the authority of such firm as experts in accounting and auditing.</w:t>
      </w:r>
    </w:p>
    <w:p>
      <w:pPr>
        <w:spacing w:after="0" w:line="39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WHERE YOU CAN FIND ADDITIONAL INFORMATION</w:t>
      </w:r>
    </w:p>
    <w:p>
      <w:pPr>
        <w:spacing w:after="0" w:line="229" w:lineRule="exact"/>
        <w:rPr>
          <w:sz w:val="20"/>
          <w:szCs w:val="20"/>
          <w:color w:val="auto"/>
        </w:rPr>
      </w:pPr>
    </w:p>
    <w:p>
      <w:pPr>
        <w:ind w:firstLine="449"/>
        <w:spacing w:after="0" w:line="269" w:lineRule="auto"/>
        <w:rPr>
          <w:sz w:val="20"/>
          <w:szCs w:val="20"/>
          <w:color w:val="auto"/>
        </w:rPr>
      </w:pPr>
      <w:r>
        <w:rPr>
          <w:rFonts w:ascii="Arial" w:cs="Arial" w:eastAsia="Arial" w:hAnsi="Arial"/>
          <w:sz w:val="17"/>
          <w:szCs w:val="17"/>
          <w:color w:val="auto"/>
        </w:rPr>
        <w:t>We have filed with the SEC a registration statement on Form S-1 under the Securities Act with respect to the shares of our Class A common stock offered by this prospectus. This prospectus, which constitutes a part of the registration statement, does not contain all of the information set forth in the registration statement, some of which is contained in exhibits to the registration statement as permitted by the rules and regulations of the SEC. For further information with respect to us and our Class A common stock, we refer you to the registration statement, including the exhibits filed as a part of the registration statement. Statements contained in this prospectus concerning the contents of any contract or any other document is not necessarily complete. If a contract or document has been filed as an exhibit to the registration statement, please see the copy of the contract or document that has been filed. Each statement in this prospectus relating to a contract or document filed as an exhibit is qualified in all respects by the filed exhibit. You may obtain copies of this information by mail from the Public Reference Section of the SEC, 100 F Street, N.E., Room 1580, Washington, D.C. 20549, at prescribed rates. You may obtain information on the operation of the public reference rooms by calling the SEC at 1-800-SEC-0330. The SEC also maintains an Internet website that contains reports, proxy statements, and other information about issuers, like us, that file electronically with the SEC. The address of that website is www.sec.gov.</w:t>
      </w:r>
    </w:p>
    <w:p>
      <w:pPr>
        <w:spacing w:after="0" w:line="182" w:lineRule="exact"/>
        <w:rPr>
          <w:sz w:val="20"/>
          <w:szCs w:val="20"/>
          <w:color w:val="auto"/>
        </w:rPr>
      </w:pPr>
    </w:p>
    <w:p>
      <w:pPr>
        <w:ind w:right="80" w:firstLine="449"/>
        <w:spacing w:after="0" w:line="255" w:lineRule="auto"/>
        <w:rPr>
          <w:sz w:val="20"/>
          <w:szCs w:val="20"/>
          <w:color w:val="auto"/>
        </w:rPr>
      </w:pPr>
      <w:r>
        <w:rPr>
          <w:rFonts w:ascii="Arial" w:cs="Arial" w:eastAsia="Arial" w:hAnsi="Arial"/>
          <w:sz w:val="18"/>
          <w:szCs w:val="18"/>
          <w:color w:val="auto"/>
        </w:rPr>
        <w:t>As a result of this offering, we will become subject to the information and reporting requirements of the Exchange Act and, in accordance with this law, will file periodic reports, proxy statements, and other information with the SEC. These periodic reports, proxy statements, and other information will be available for inspection and copying at the SEC’s public reference facilities and the website of the SEC referred to above. We also maintain a website at www.dropbox.com. Upon completion of this offering, you may access these materials free of charge as soon as reasonably practicable after they are electronically filed with, or furnished to, the SEC. Information contained on our website is not a part of this prospectus and the inclusion of our website address in this prospectus is an inactive textual reference only.</w:t>
      </w:r>
    </w:p>
    <w:p>
      <w:pPr>
        <w:spacing w:after="0" w:line="1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156</w:t>
      </w:r>
    </w:p>
    <w:p>
      <w:pPr>
        <w:sectPr>
          <w:pgSz w:w="11900" w:h="16838" w:orient="portrait"/>
          <w:cols w:equalWidth="0" w:num="1">
            <w:col w:w="11240"/>
          </w:cols>
          <w:pgMar w:left="320" w:top="459" w:right="339" w:bottom="1440" w:gutter="0" w:footer="0" w:header="0"/>
        </w:sectPr>
      </w:pPr>
    </w:p>
    <w:bookmarkStart w:id="159" w:name="page160"/>
    <w:bookmarkEnd w:id="15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DROPBOX,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INDEX TO CONSOLIDATED FINANCIAL STATEMENTS</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860" w:type="dxa"/>
            <w:vAlign w:val="bottom"/>
            <w:vMerge w:val="restart"/>
          </w:tcPr>
          <w:p>
            <w:pPr>
              <w:spacing w:after="0"/>
              <w:rPr>
                <w:rFonts w:ascii="Arial" w:cs="Arial" w:eastAsia="Arial" w:hAnsi="Arial"/>
                <w:sz w:val="18"/>
                <w:szCs w:val="18"/>
                <w:u w:val="single" w:color="auto"/>
                <w:color w:val="0000EE"/>
              </w:rPr>
            </w:pPr>
            <w:hyperlink w:anchor="page161">
              <w:r>
                <w:rPr>
                  <w:rFonts w:ascii="Arial" w:cs="Arial" w:eastAsia="Arial" w:hAnsi="Arial"/>
                  <w:sz w:val="18"/>
                  <w:szCs w:val="18"/>
                  <w:u w:val="single" w:color="auto"/>
                  <w:color w:val="0000EE"/>
                </w:rPr>
                <w:t>Report of Independent Registered Public Accounting Firm</w:t>
              </w:r>
            </w:hyperlink>
          </w:p>
        </w:tc>
        <w:tc>
          <w:tcPr>
            <w:tcW w:w="6020" w:type="dxa"/>
            <w:vAlign w:val="bottom"/>
          </w:tcPr>
          <w:p>
            <w:pPr>
              <w:spacing w:after="0"/>
              <w:rPr>
                <w:sz w:val="14"/>
                <w:szCs w:val="14"/>
                <w:color w:val="auto"/>
              </w:rPr>
            </w:pPr>
          </w:p>
        </w:tc>
        <w:tc>
          <w:tcPr>
            <w:tcW w:w="3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Page</w:t>
            </w:r>
          </w:p>
        </w:tc>
        <w:tc>
          <w:tcPr>
            <w:tcW w:w="0" w:type="dxa"/>
            <w:vAlign w:val="bottom"/>
          </w:tcPr>
          <w:p>
            <w:pPr>
              <w:spacing w:after="0"/>
              <w:rPr>
                <w:sz w:val="1"/>
                <w:szCs w:val="1"/>
                <w:color w:val="auto"/>
              </w:rPr>
            </w:pPr>
          </w:p>
        </w:tc>
      </w:tr>
      <w:tr>
        <w:trPr>
          <w:trHeight w:val="195"/>
        </w:trPr>
        <w:tc>
          <w:tcPr>
            <w:tcW w:w="4860" w:type="dxa"/>
            <w:vAlign w:val="bottom"/>
            <w:vMerge w:val="continue"/>
          </w:tcPr>
          <w:p>
            <w:pPr>
              <w:spacing w:after="0"/>
              <w:rPr>
                <w:sz w:val="16"/>
                <w:szCs w:val="16"/>
                <w:color w:val="auto"/>
              </w:rPr>
            </w:pPr>
          </w:p>
        </w:tc>
        <w:tc>
          <w:tcPr>
            <w:tcW w:w="6020" w:type="dxa"/>
            <w:vAlign w:val="bottom"/>
          </w:tcPr>
          <w:p>
            <w:pPr>
              <w:spacing w:after="0"/>
              <w:rPr>
                <w:sz w:val="16"/>
                <w:szCs w:val="16"/>
                <w:color w:val="auto"/>
              </w:rPr>
            </w:pPr>
          </w:p>
        </w:tc>
        <w:tc>
          <w:tcPr>
            <w:tcW w:w="360" w:type="dxa"/>
            <w:vAlign w:val="bottom"/>
          </w:tcPr>
          <w:p>
            <w:pPr>
              <w:jc w:val="center"/>
              <w:spacing w:after="0" w:line="195" w:lineRule="exact"/>
              <w:rPr>
                <w:sz w:val="20"/>
                <w:szCs w:val="20"/>
                <w:color w:val="auto"/>
              </w:rPr>
            </w:pPr>
            <w:r>
              <w:rPr>
                <w:rFonts w:ascii="Arial" w:cs="Arial" w:eastAsia="Arial" w:hAnsi="Arial"/>
                <w:sz w:val="18"/>
                <w:szCs w:val="18"/>
                <w:color w:val="auto"/>
                <w:w w:val="88"/>
              </w:rPr>
              <w:t>F-2</w:t>
            </w:r>
          </w:p>
        </w:tc>
        <w:tc>
          <w:tcPr>
            <w:tcW w:w="0" w:type="dxa"/>
            <w:vAlign w:val="bottom"/>
          </w:tcPr>
          <w:p>
            <w:pPr>
              <w:spacing w:after="0"/>
              <w:rPr>
                <w:sz w:val="1"/>
                <w:szCs w:val="1"/>
                <w:color w:val="auto"/>
              </w:rPr>
            </w:pPr>
          </w:p>
        </w:tc>
      </w:tr>
      <w:tr>
        <w:trPr>
          <w:trHeight w:val="216"/>
        </w:trPr>
        <w:tc>
          <w:tcPr>
            <w:tcW w:w="4860" w:type="dxa"/>
            <w:vAlign w:val="bottom"/>
          </w:tcPr>
          <w:p>
            <w:pPr>
              <w:spacing w:after="0"/>
              <w:rPr>
                <w:rFonts w:ascii="Arial" w:cs="Arial" w:eastAsia="Arial" w:hAnsi="Arial"/>
                <w:sz w:val="18"/>
                <w:szCs w:val="18"/>
                <w:u w:val="single" w:color="auto"/>
                <w:color w:val="0000EE"/>
              </w:rPr>
            </w:pPr>
            <w:hyperlink w:anchor="page162">
              <w:r>
                <w:rPr>
                  <w:rFonts w:ascii="Arial" w:cs="Arial" w:eastAsia="Arial" w:hAnsi="Arial"/>
                  <w:sz w:val="18"/>
                  <w:szCs w:val="18"/>
                  <w:u w:val="single" w:color="auto"/>
                  <w:color w:val="0000EE"/>
                </w:rPr>
                <w:t>Consolidated Balance Sheets</w:t>
              </w:r>
            </w:hyperlink>
          </w:p>
        </w:tc>
        <w:tc>
          <w:tcPr>
            <w:tcW w:w="6020" w:type="dxa"/>
            <w:vAlign w:val="bottom"/>
          </w:tcPr>
          <w:p>
            <w:pPr>
              <w:spacing w:after="0"/>
              <w:rPr>
                <w:sz w:val="18"/>
                <w:szCs w:val="18"/>
                <w:color w:val="auto"/>
              </w:rPr>
            </w:pPr>
          </w:p>
        </w:tc>
        <w:tc>
          <w:tcPr>
            <w:tcW w:w="360" w:type="dxa"/>
            <w:vAlign w:val="bottom"/>
          </w:tcPr>
          <w:p>
            <w:pPr>
              <w:jc w:val="center"/>
              <w:spacing w:after="0"/>
              <w:rPr>
                <w:sz w:val="20"/>
                <w:szCs w:val="20"/>
                <w:color w:val="auto"/>
              </w:rPr>
            </w:pPr>
            <w:r>
              <w:rPr>
                <w:rFonts w:ascii="Arial" w:cs="Arial" w:eastAsia="Arial" w:hAnsi="Arial"/>
                <w:sz w:val="18"/>
                <w:szCs w:val="18"/>
                <w:color w:val="auto"/>
                <w:w w:val="88"/>
              </w:rPr>
              <w:t>F-3</w:t>
            </w:r>
          </w:p>
        </w:tc>
        <w:tc>
          <w:tcPr>
            <w:tcW w:w="0" w:type="dxa"/>
            <w:vAlign w:val="bottom"/>
          </w:tcPr>
          <w:p>
            <w:pPr>
              <w:spacing w:after="0"/>
              <w:rPr>
                <w:sz w:val="1"/>
                <w:szCs w:val="1"/>
                <w:color w:val="auto"/>
              </w:rPr>
            </w:pPr>
          </w:p>
        </w:tc>
      </w:tr>
      <w:tr>
        <w:trPr>
          <w:trHeight w:val="216"/>
        </w:trPr>
        <w:tc>
          <w:tcPr>
            <w:tcW w:w="4860" w:type="dxa"/>
            <w:vAlign w:val="bottom"/>
          </w:tcPr>
          <w:p>
            <w:pPr>
              <w:spacing w:after="0"/>
              <w:rPr>
                <w:rFonts w:ascii="Arial" w:cs="Arial" w:eastAsia="Arial" w:hAnsi="Arial"/>
                <w:sz w:val="18"/>
                <w:szCs w:val="18"/>
                <w:u w:val="single" w:color="auto"/>
                <w:color w:val="0000EE"/>
              </w:rPr>
            </w:pPr>
            <w:hyperlink w:anchor="page163">
              <w:r>
                <w:rPr>
                  <w:rFonts w:ascii="Arial" w:cs="Arial" w:eastAsia="Arial" w:hAnsi="Arial"/>
                  <w:sz w:val="18"/>
                  <w:szCs w:val="18"/>
                  <w:u w:val="single" w:color="auto"/>
                  <w:color w:val="0000EE"/>
                </w:rPr>
                <w:t>Consolidated Statements of Operations</w:t>
              </w:r>
            </w:hyperlink>
          </w:p>
        </w:tc>
        <w:tc>
          <w:tcPr>
            <w:tcW w:w="6020" w:type="dxa"/>
            <w:vAlign w:val="bottom"/>
          </w:tcPr>
          <w:p>
            <w:pPr>
              <w:spacing w:after="0"/>
              <w:rPr>
                <w:sz w:val="18"/>
                <w:szCs w:val="18"/>
                <w:color w:val="auto"/>
              </w:rPr>
            </w:pPr>
          </w:p>
        </w:tc>
        <w:tc>
          <w:tcPr>
            <w:tcW w:w="360" w:type="dxa"/>
            <w:vAlign w:val="bottom"/>
          </w:tcPr>
          <w:p>
            <w:pPr>
              <w:jc w:val="center"/>
              <w:spacing w:after="0"/>
              <w:rPr>
                <w:sz w:val="20"/>
                <w:szCs w:val="20"/>
                <w:color w:val="auto"/>
              </w:rPr>
            </w:pPr>
            <w:r>
              <w:rPr>
                <w:rFonts w:ascii="Arial" w:cs="Arial" w:eastAsia="Arial" w:hAnsi="Arial"/>
                <w:sz w:val="18"/>
                <w:szCs w:val="18"/>
                <w:color w:val="auto"/>
                <w:w w:val="88"/>
              </w:rPr>
              <w:t>F-4</w:t>
            </w:r>
          </w:p>
        </w:tc>
        <w:tc>
          <w:tcPr>
            <w:tcW w:w="0" w:type="dxa"/>
            <w:vAlign w:val="bottom"/>
          </w:tcPr>
          <w:p>
            <w:pPr>
              <w:spacing w:after="0"/>
              <w:rPr>
                <w:sz w:val="1"/>
                <w:szCs w:val="1"/>
                <w:color w:val="auto"/>
              </w:rPr>
            </w:pPr>
          </w:p>
        </w:tc>
      </w:tr>
      <w:tr>
        <w:trPr>
          <w:trHeight w:val="216"/>
        </w:trPr>
        <w:tc>
          <w:tcPr>
            <w:tcW w:w="4860" w:type="dxa"/>
            <w:vAlign w:val="bottom"/>
          </w:tcPr>
          <w:p>
            <w:pPr>
              <w:spacing w:after="0"/>
              <w:rPr>
                <w:rFonts w:ascii="Arial" w:cs="Arial" w:eastAsia="Arial" w:hAnsi="Arial"/>
                <w:sz w:val="18"/>
                <w:szCs w:val="18"/>
                <w:u w:val="single" w:color="auto"/>
                <w:color w:val="0000EE"/>
              </w:rPr>
            </w:pPr>
            <w:hyperlink w:anchor="page164">
              <w:r>
                <w:rPr>
                  <w:rFonts w:ascii="Arial" w:cs="Arial" w:eastAsia="Arial" w:hAnsi="Arial"/>
                  <w:sz w:val="18"/>
                  <w:szCs w:val="18"/>
                  <w:u w:val="single" w:color="auto"/>
                  <w:color w:val="0000EE"/>
                </w:rPr>
                <w:t>Consolidated Statements of Comprehensive Loss</w:t>
              </w:r>
            </w:hyperlink>
          </w:p>
        </w:tc>
        <w:tc>
          <w:tcPr>
            <w:tcW w:w="6020" w:type="dxa"/>
            <w:vAlign w:val="bottom"/>
          </w:tcPr>
          <w:p>
            <w:pPr>
              <w:spacing w:after="0"/>
              <w:rPr>
                <w:sz w:val="18"/>
                <w:szCs w:val="18"/>
                <w:color w:val="auto"/>
              </w:rPr>
            </w:pPr>
          </w:p>
        </w:tc>
        <w:tc>
          <w:tcPr>
            <w:tcW w:w="360" w:type="dxa"/>
            <w:vAlign w:val="bottom"/>
          </w:tcPr>
          <w:p>
            <w:pPr>
              <w:jc w:val="center"/>
              <w:spacing w:after="0"/>
              <w:rPr>
                <w:sz w:val="20"/>
                <w:szCs w:val="20"/>
                <w:color w:val="auto"/>
              </w:rPr>
            </w:pPr>
            <w:r>
              <w:rPr>
                <w:rFonts w:ascii="Arial" w:cs="Arial" w:eastAsia="Arial" w:hAnsi="Arial"/>
                <w:sz w:val="18"/>
                <w:szCs w:val="18"/>
                <w:color w:val="auto"/>
                <w:w w:val="88"/>
              </w:rPr>
              <w:t>F-5</w:t>
            </w:r>
          </w:p>
        </w:tc>
        <w:tc>
          <w:tcPr>
            <w:tcW w:w="0" w:type="dxa"/>
            <w:vAlign w:val="bottom"/>
          </w:tcPr>
          <w:p>
            <w:pPr>
              <w:spacing w:after="0"/>
              <w:rPr>
                <w:sz w:val="1"/>
                <w:szCs w:val="1"/>
                <w:color w:val="auto"/>
              </w:rPr>
            </w:pPr>
          </w:p>
        </w:tc>
      </w:tr>
      <w:tr>
        <w:trPr>
          <w:trHeight w:val="216"/>
        </w:trPr>
        <w:tc>
          <w:tcPr>
            <w:tcW w:w="4860" w:type="dxa"/>
            <w:vAlign w:val="bottom"/>
          </w:tcPr>
          <w:p>
            <w:pPr>
              <w:spacing w:after="0"/>
              <w:rPr>
                <w:rFonts w:ascii="Arial" w:cs="Arial" w:eastAsia="Arial" w:hAnsi="Arial"/>
                <w:sz w:val="18"/>
                <w:szCs w:val="18"/>
                <w:u w:val="single" w:color="auto"/>
                <w:color w:val="0000EE"/>
              </w:rPr>
            </w:pPr>
            <w:hyperlink w:anchor="page165">
              <w:r>
                <w:rPr>
                  <w:rFonts w:ascii="Arial" w:cs="Arial" w:eastAsia="Arial" w:hAnsi="Arial"/>
                  <w:sz w:val="18"/>
                  <w:szCs w:val="18"/>
                  <w:u w:val="single" w:color="auto"/>
                  <w:color w:val="0000EE"/>
                </w:rPr>
                <w:t>Consolidated Statements of Stockholders’ Equity</w:t>
              </w:r>
            </w:hyperlink>
          </w:p>
        </w:tc>
        <w:tc>
          <w:tcPr>
            <w:tcW w:w="6020" w:type="dxa"/>
            <w:vAlign w:val="bottom"/>
          </w:tcPr>
          <w:p>
            <w:pPr>
              <w:spacing w:after="0"/>
              <w:rPr>
                <w:sz w:val="18"/>
                <w:szCs w:val="18"/>
                <w:color w:val="auto"/>
              </w:rPr>
            </w:pPr>
          </w:p>
        </w:tc>
        <w:tc>
          <w:tcPr>
            <w:tcW w:w="360" w:type="dxa"/>
            <w:vAlign w:val="bottom"/>
          </w:tcPr>
          <w:p>
            <w:pPr>
              <w:jc w:val="center"/>
              <w:spacing w:after="0"/>
              <w:rPr>
                <w:sz w:val="20"/>
                <w:szCs w:val="20"/>
                <w:color w:val="auto"/>
              </w:rPr>
            </w:pPr>
            <w:r>
              <w:rPr>
                <w:rFonts w:ascii="Arial" w:cs="Arial" w:eastAsia="Arial" w:hAnsi="Arial"/>
                <w:sz w:val="18"/>
                <w:szCs w:val="18"/>
                <w:color w:val="auto"/>
                <w:w w:val="88"/>
              </w:rPr>
              <w:t>F-6</w:t>
            </w:r>
          </w:p>
        </w:tc>
        <w:tc>
          <w:tcPr>
            <w:tcW w:w="0" w:type="dxa"/>
            <w:vAlign w:val="bottom"/>
          </w:tcPr>
          <w:p>
            <w:pPr>
              <w:spacing w:after="0"/>
              <w:rPr>
                <w:sz w:val="1"/>
                <w:szCs w:val="1"/>
                <w:color w:val="auto"/>
              </w:rPr>
            </w:pPr>
          </w:p>
        </w:tc>
      </w:tr>
      <w:tr>
        <w:trPr>
          <w:trHeight w:val="216"/>
        </w:trPr>
        <w:tc>
          <w:tcPr>
            <w:tcW w:w="4860" w:type="dxa"/>
            <w:vAlign w:val="bottom"/>
          </w:tcPr>
          <w:p>
            <w:pPr>
              <w:spacing w:after="0"/>
              <w:rPr>
                <w:rFonts w:ascii="Arial" w:cs="Arial" w:eastAsia="Arial" w:hAnsi="Arial"/>
                <w:sz w:val="18"/>
                <w:szCs w:val="18"/>
                <w:u w:val="single" w:color="auto"/>
                <w:color w:val="0000EE"/>
              </w:rPr>
            </w:pPr>
            <w:hyperlink w:anchor="page166">
              <w:r>
                <w:rPr>
                  <w:rFonts w:ascii="Arial" w:cs="Arial" w:eastAsia="Arial" w:hAnsi="Arial"/>
                  <w:sz w:val="18"/>
                  <w:szCs w:val="18"/>
                  <w:u w:val="single" w:color="auto"/>
                  <w:color w:val="0000EE"/>
                </w:rPr>
                <w:t>Consolidated Statements of Cash Flows</w:t>
              </w:r>
            </w:hyperlink>
          </w:p>
        </w:tc>
        <w:tc>
          <w:tcPr>
            <w:tcW w:w="6020" w:type="dxa"/>
            <w:vAlign w:val="bottom"/>
          </w:tcPr>
          <w:p>
            <w:pPr>
              <w:spacing w:after="0"/>
              <w:rPr>
                <w:sz w:val="18"/>
                <w:szCs w:val="18"/>
                <w:color w:val="auto"/>
              </w:rPr>
            </w:pPr>
          </w:p>
        </w:tc>
        <w:tc>
          <w:tcPr>
            <w:tcW w:w="360" w:type="dxa"/>
            <w:vAlign w:val="bottom"/>
          </w:tcPr>
          <w:p>
            <w:pPr>
              <w:jc w:val="center"/>
              <w:spacing w:after="0"/>
              <w:rPr>
                <w:sz w:val="20"/>
                <w:szCs w:val="20"/>
                <w:color w:val="auto"/>
              </w:rPr>
            </w:pPr>
            <w:r>
              <w:rPr>
                <w:rFonts w:ascii="Arial" w:cs="Arial" w:eastAsia="Arial" w:hAnsi="Arial"/>
                <w:sz w:val="18"/>
                <w:szCs w:val="18"/>
                <w:color w:val="auto"/>
                <w:w w:val="88"/>
              </w:rPr>
              <w:t>F-7</w:t>
            </w:r>
          </w:p>
        </w:tc>
        <w:tc>
          <w:tcPr>
            <w:tcW w:w="0" w:type="dxa"/>
            <w:vAlign w:val="bottom"/>
          </w:tcPr>
          <w:p>
            <w:pPr>
              <w:spacing w:after="0"/>
              <w:rPr>
                <w:sz w:val="1"/>
                <w:szCs w:val="1"/>
                <w:color w:val="auto"/>
              </w:rPr>
            </w:pPr>
          </w:p>
        </w:tc>
      </w:tr>
      <w:tr>
        <w:trPr>
          <w:trHeight w:val="230"/>
        </w:trPr>
        <w:tc>
          <w:tcPr>
            <w:tcW w:w="4860" w:type="dxa"/>
            <w:vAlign w:val="bottom"/>
          </w:tcPr>
          <w:p>
            <w:pPr>
              <w:spacing w:after="0"/>
              <w:rPr>
                <w:rFonts w:ascii="Arial" w:cs="Arial" w:eastAsia="Arial" w:hAnsi="Arial"/>
                <w:sz w:val="18"/>
                <w:szCs w:val="18"/>
                <w:u w:val="single" w:color="auto"/>
                <w:color w:val="0000EE"/>
              </w:rPr>
            </w:pPr>
            <w:hyperlink w:anchor="page167">
              <w:r>
                <w:rPr>
                  <w:rFonts w:ascii="Arial" w:cs="Arial" w:eastAsia="Arial" w:hAnsi="Arial"/>
                  <w:sz w:val="18"/>
                  <w:szCs w:val="18"/>
                  <w:u w:val="single" w:color="auto"/>
                  <w:color w:val="0000EE"/>
                </w:rPr>
                <w:t>Notes to Consolidated Financial Statements</w:t>
              </w:r>
            </w:hyperlink>
          </w:p>
        </w:tc>
        <w:tc>
          <w:tcPr>
            <w:tcW w:w="6020" w:type="dxa"/>
            <w:vAlign w:val="bottom"/>
          </w:tcPr>
          <w:p>
            <w:pPr>
              <w:spacing w:after="0"/>
              <w:rPr>
                <w:sz w:val="20"/>
                <w:szCs w:val="20"/>
                <w:color w:val="auto"/>
              </w:rPr>
            </w:pPr>
          </w:p>
        </w:tc>
        <w:tc>
          <w:tcPr>
            <w:tcW w:w="360" w:type="dxa"/>
            <w:vAlign w:val="bottom"/>
          </w:tcPr>
          <w:p>
            <w:pPr>
              <w:jc w:val="center"/>
              <w:spacing w:after="0"/>
              <w:rPr>
                <w:sz w:val="20"/>
                <w:szCs w:val="20"/>
                <w:color w:val="auto"/>
              </w:rPr>
            </w:pPr>
            <w:r>
              <w:rPr>
                <w:rFonts w:ascii="Arial" w:cs="Arial" w:eastAsia="Arial" w:hAnsi="Arial"/>
                <w:sz w:val="18"/>
                <w:szCs w:val="18"/>
                <w:color w:val="auto"/>
                <w:w w:val="88"/>
              </w:rPr>
              <w:t>F-8</w:t>
            </w:r>
          </w:p>
        </w:tc>
        <w:tc>
          <w:tcPr>
            <w:tcW w:w="0" w:type="dxa"/>
            <w:vAlign w:val="bottom"/>
          </w:tcPr>
          <w:p>
            <w:pPr>
              <w:spacing w:after="0"/>
              <w:rPr>
                <w:sz w:val="1"/>
                <w:szCs w:val="1"/>
                <w:color w:val="auto"/>
              </w:rPr>
            </w:pPr>
          </w:p>
        </w:tc>
      </w:tr>
      <w:tr>
        <w:trPr>
          <w:trHeight w:val="365"/>
        </w:trPr>
        <w:tc>
          <w:tcPr>
            <w:tcW w:w="4860" w:type="dxa"/>
            <w:vAlign w:val="bottom"/>
          </w:tcPr>
          <w:p>
            <w:pPr>
              <w:spacing w:after="0"/>
              <w:rPr>
                <w:sz w:val="24"/>
                <w:szCs w:val="24"/>
                <w:color w:val="auto"/>
              </w:rPr>
            </w:pPr>
          </w:p>
        </w:tc>
        <w:tc>
          <w:tcPr>
            <w:tcW w:w="6380" w:type="dxa"/>
            <w:vAlign w:val="bottom"/>
            <w:gridSpan w:val="2"/>
          </w:tcPr>
          <w:p>
            <w:pPr>
              <w:ind w:left="640"/>
              <w:spacing w:after="0"/>
              <w:rPr>
                <w:sz w:val="20"/>
                <w:szCs w:val="20"/>
                <w:color w:val="auto"/>
              </w:rPr>
            </w:pPr>
            <w:r>
              <w:rPr>
                <w:rFonts w:ascii="Arial" w:cs="Arial" w:eastAsia="Arial" w:hAnsi="Arial"/>
                <w:sz w:val="18"/>
                <w:szCs w:val="18"/>
                <w:color w:val="auto"/>
              </w:rPr>
              <w:t>F-1</w:t>
            </w:r>
          </w:p>
        </w:tc>
        <w:tc>
          <w:tcPr>
            <w:tcW w:w="0" w:type="dxa"/>
            <w:vAlign w:val="bottom"/>
          </w:tcPr>
          <w:p>
            <w:pPr>
              <w:spacing w:after="0"/>
              <w:rPr>
                <w:sz w:val="1"/>
                <w:szCs w:val="1"/>
                <w:color w:val="auto"/>
              </w:rPr>
            </w:pPr>
          </w:p>
        </w:tc>
      </w:tr>
    </w:tbl>
    <w:p>
      <w:pPr>
        <w:sectPr>
          <w:pgSz w:w="11900" w:h="16838" w:orient="portrait"/>
          <w:cols w:equalWidth="0" w:num="1">
            <w:col w:w="11240"/>
          </w:cols>
          <w:pgMar w:left="320" w:top="459" w:right="339" w:bottom="1440" w:gutter="0" w:footer="0" w:header="0"/>
        </w:sectPr>
      </w:pPr>
    </w:p>
    <w:bookmarkStart w:id="160" w:name="page161"/>
    <w:bookmarkEnd w:id="16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2540"/>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Board of Directors and Stockholders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Dropbox, Inc.</w:t>
      </w:r>
    </w:p>
    <w:p>
      <w:pPr>
        <w:spacing w:after="0" w:line="211" w:lineRule="exact"/>
        <w:rPr>
          <w:sz w:val="20"/>
          <w:szCs w:val="20"/>
          <w:color w:val="auto"/>
        </w:rPr>
      </w:pPr>
    </w:p>
    <w:p>
      <w:pPr>
        <w:ind w:right="300" w:firstLine="449"/>
        <w:spacing w:after="0" w:line="311" w:lineRule="auto"/>
        <w:rPr>
          <w:sz w:val="20"/>
          <w:szCs w:val="20"/>
          <w:color w:val="auto"/>
        </w:rPr>
      </w:pPr>
      <w:r>
        <w:rPr>
          <w:rFonts w:ascii="Arial" w:cs="Arial" w:eastAsia="Arial" w:hAnsi="Arial"/>
          <w:sz w:val="16"/>
          <w:szCs w:val="16"/>
          <w:color w:val="auto"/>
        </w:rPr>
        <w:t>We have audited the accompanying consolidated balance sheets of Dropbox, Inc. as of December 31, 2015 and 2016, and the related consolidated statements of operations, comprehensive loss, stockholders’ equity and cash flows for the years then ended. These financial statements are the responsibility of the Company’s management. Our responsibility is to express an opinion on these financial statements based on our audits.</w:t>
      </w:r>
    </w:p>
    <w:p>
      <w:pPr>
        <w:spacing w:after="0" w:line="149" w:lineRule="exact"/>
        <w:rPr>
          <w:sz w:val="20"/>
          <w:szCs w:val="20"/>
          <w:color w:val="auto"/>
        </w:rPr>
      </w:pPr>
    </w:p>
    <w:p>
      <w:pPr>
        <w:ind w:right="20" w:firstLine="449"/>
        <w:spacing w:after="0" w:line="290" w:lineRule="auto"/>
        <w:rPr>
          <w:sz w:val="20"/>
          <w:szCs w:val="20"/>
          <w:color w:val="auto"/>
        </w:rPr>
      </w:pPr>
      <w:r>
        <w:rPr>
          <w:rFonts w:ascii="Arial" w:cs="Arial" w:eastAsia="Arial" w:hAnsi="Arial"/>
          <w:sz w:val="16"/>
          <w:szCs w:val="16"/>
          <w:color w:val="auto"/>
        </w:rPr>
        <w:t>We conducted our audits in accordance with the standards of the Public Company Accounting Oversight Board (United States) and in accordance with auditing standards generally accepted in the United States of America. Those standards require that we plan and perform the audit to obtain reasonable assurance about whether the financial statements are free of material misstatement. We were not engaged to perform an audit of the Company’s internal control over financial reporting. Our audits included consideration of internal control over financial reporting as a basis for designing audit procedures that are appropriate in the circumstances, but not for the purpose of expressing an opinion on the effectiveness of the Company’s internal control over financial reporting. Accordingly, we express no such opinion. An audit also includes examining, on a test basis, evidence supporting the amounts and disclosures in the consolidated financial statements, assessing the accounting principles used and significant estimates made by management, and evaluating the overall financial statement presentation. We believe that our audits provide a reasonable basis for our opinion.</w:t>
      </w:r>
    </w:p>
    <w:p>
      <w:pPr>
        <w:spacing w:after="0" w:line="165" w:lineRule="exact"/>
        <w:rPr>
          <w:sz w:val="20"/>
          <w:szCs w:val="20"/>
          <w:color w:val="auto"/>
        </w:rPr>
      </w:pPr>
    </w:p>
    <w:p>
      <w:pPr>
        <w:ind w:firstLine="449"/>
        <w:spacing w:after="0" w:line="263" w:lineRule="auto"/>
        <w:rPr>
          <w:sz w:val="20"/>
          <w:szCs w:val="20"/>
          <w:color w:val="auto"/>
        </w:rPr>
      </w:pPr>
      <w:r>
        <w:rPr>
          <w:rFonts w:ascii="Arial" w:cs="Arial" w:eastAsia="Arial" w:hAnsi="Arial"/>
          <w:sz w:val="18"/>
          <w:szCs w:val="18"/>
          <w:color w:val="auto"/>
        </w:rPr>
        <w:t>In our opinion, the financial statements referred to above present fairly, in all material respects, the consolidated financial position of Dropbox, Inc. at December 31, 2015 and 2016, and the consolidated results of its operations and its cash flows for the years then ended in conformity with U.S. generally accepted accounting principles.</w:t>
      </w:r>
    </w:p>
    <w:p>
      <w:pPr>
        <w:spacing w:after="0" w:line="211" w:lineRule="exact"/>
        <w:rPr>
          <w:sz w:val="20"/>
          <w:szCs w:val="20"/>
          <w:color w:val="auto"/>
        </w:rPr>
      </w:pPr>
    </w:p>
    <w:p>
      <w:pPr>
        <w:ind w:left="9020"/>
        <w:spacing w:after="0"/>
        <w:rPr>
          <w:sz w:val="20"/>
          <w:szCs w:val="20"/>
          <w:color w:val="auto"/>
        </w:rPr>
      </w:pPr>
      <w:r>
        <w:rPr>
          <w:rFonts w:ascii="Arial" w:cs="Arial" w:eastAsia="Arial" w:hAnsi="Arial"/>
          <w:sz w:val="18"/>
          <w:szCs w:val="18"/>
          <w:color w:val="auto"/>
        </w:rPr>
        <w:t>/s/ Ernst &amp; Young LLP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San Francisco, California</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October 10, 2017</w:t>
      </w:r>
    </w:p>
    <w:p>
      <w:pPr>
        <w:spacing w:after="0" w:line="14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F-2</w:t>
      </w:r>
    </w:p>
    <w:p>
      <w:pPr>
        <w:sectPr>
          <w:pgSz w:w="11900" w:h="16838" w:orient="portrait"/>
          <w:cols w:equalWidth="0" w:num="1">
            <w:col w:w="11240"/>
          </w:cols>
          <w:pgMar w:left="320" w:top="459" w:right="339" w:bottom="1440" w:gutter="0" w:footer="0" w:header="0"/>
        </w:sectPr>
      </w:pPr>
    </w:p>
    <w:bookmarkStart w:id="161" w:name="page162"/>
    <w:bookmarkEnd w:id="16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DROPBOX,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(In millions, except for par value)</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3"/>
              </w:rPr>
              <w:t>Pro forma</w:t>
            </w:r>
          </w:p>
        </w:tc>
        <w:tc>
          <w:tcPr>
            <w:tcW w:w="0" w:type="dxa"/>
            <w:vAlign w:val="bottom"/>
          </w:tcPr>
          <w:p>
            <w:pPr>
              <w:spacing w:after="0"/>
              <w:rPr>
                <w:sz w:val="1"/>
                <w:szCs w:val="1"/>
                <w:color w:val="auto"/>
              </w:rPr>
            </w:pPr>
          </w:p>
        </w:tc>
      </w:tr>
      <w:tr>
        <w:trPr>
          <w:trHeight w:val="148"/>
        </w:trPr>
        <w:tc>
          <w:tcPr>
            <w:tcW w:w="6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980" w:type="dxa"/>
            <w:vAlign w:val="bottom"/>
            <w:gridSpan w:val="3"/>
          </w:tcPr>
          <w:p>
            <w:pPr>
              <w:jc w:val="center"/>
              <w:ind w:right="80"/>
              <w:spacing w:after="0" w:line="149" w:lineRule="exact"/>
              <w:rPr>
                <w:sz w:val="20"/>
                <w:szCs w:val="20"/>
                <w:color w:val="auto"/>
              </w:rPr>
            </w:pPr>
            <w:r>
              <w:rPr>
                <w:rFonts w:ascii="Arial" w:cs="Arial" w:eastAsia="Arial" w:hAnsi="Arial"/>
                <w:sz w:val="14"/>
                <w:szCs w:val="14"/>
                <w:b w:val="1"/>
                <w:bCs w:val="1"/>
                <w:color w:val="auto"/>
                <w:w w:val="90"/>
              </w:rPr>
              <w:t>stockholders’</w:t>
            </w:r>
          </w:p>
        </w:tc>
        <w:tc>
          <w:tcPr>
            <w:tcW w:w="0" w:type="dxa"/>
            <w:vAlign w:val="bottom"/>
          </w:tcPr>
          <w:p>
            <w:pPr>
              <w:spacing w:after="0"/>
              <w:rPr>
                <w:sz w:val="1"/>
                <w:szCs w:val="1"/>
                <w:color w:val="auto"/>
              </w:rPr>
            </w:pPr>
          </w:p>
        </w:tc>
      </w:tr>
      <w:tr>
        <w:trPr>
          <w:trHeight w:val="148"/>
        </w:trPr>
        <w:tc>
          <w:tcPr>
            <w:tcW w:w="6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60" w:type="dxa"/>
            <w:vAlign w:val="bottom"/>
            <w:gridSpan w:val="2"/>
            <w:vMerge w:val="restart"/>
          </w:tcPr>
          <w:p>
            <w:pPr>
              <w:jc w:val="right"/>
              <w:ind w:right="860"/>
              <w:spacing w:after="0"/>
              <w:rPr>
                <w:sz w:val="20"/>
                <w:szCs w:val="20"/>
                <w:color w:val="auto"/>
              </w:rPr>
            </w:pPr>
            <w:r>
              <w:rPr>
                <w:rFonts w:ascii="Arial" w:cs="Arial" w:eastAsia="Arial" w:hAnsi="Arial"/>
                <w:sz w:val="14"/>
                <w:szCs w:val="14"/>
                <w:b w:val="1"/>
                <w:bCs w:val="1"/>
                <w:color w:val="auto"/>
              </w:rPr>
              <w:t>As of</w:t>
            </w:r>
          </w:p>
        </w:tc>
        <w:tc>
          <w:tcPr>
            <w:tcW w:w="100" w:type="dxa"/>
            <w:vAlign w:val="bottom"/>
          </w:tcPr>
          <w:p>
            <w:pPr>
              <w:spacing w:after="0"/>
              <w:rPr>
                <w:sz w:val="12"/>
                <w:szCs w:val="12"/>
                <w:color w:val="auto"/>
              </w:rPr>
            </w:pPr>
          </w:p>
        </w:tc>
        <w:tc>
          <w:tcPr>
            <w:tcW w:w="88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92"/>
              </w:rPr>
              <w:t>equity</w:t>
            </w:r>
          </w:p>
        </w:tc>
        <w:tc>
          <w:tcPr>
            <w:tcW w:w="0" w:type="dxa"/>
            <w:vAlign w:val="bottom"/>
          </w:tcPr>
          <w:p>
            <w:pPr>
              <w:spacing w:after="0"/>
              <w:rPr>
                <w:sz w:val="1"/>
                <w:szCs w:val="1"/>
                <w:color w:val="auto"/>
              </w:rPr>
            </w:pPr>
          </w:p>
        </w:tc>
      </w:tr>
      <w:tr>
        <w:trPr>
          <w:trHeight w:val="148"/>
        </w:trPr>
        <w:tc>
          <w:tcPr>
            <w:tcW w:w="6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20" w:type="dxa"/>
            <w:vAlign w:val="bottom"/>
            <w:gridSpan w:val="5"/>
            <w:vMerge w:val="restart"/>
          </w:tcPr>
          <w:p>
            <w:pPr>
              <w:jc w:val="right"/>
              <w:ind w:right="840"/>
              <w:spacing w:after="0"/>
              <w:rPr>
                <w:sz w:val="20"/>
                <w:szCs w:val="20"/>
                <w:color w:val="auto"/>
              </w:rPr>
            </w:pPr>
            <w:r>
              <w:rPr>
                <w:rFonts w:ascii="Arial" w:cs="Arial" w:eastAsia="Arial" w:hAnsi="Arial"/>
                <w:sz w:val="14"/>
                <w:szCs w:val="14"/>
                <w:b w:val="1"/>
                <w:bCs w:val="1"/>
                <w:color w:val="auto"/>
              </w:rPr>
              <w:t>As of December 31,</w:t>
            </w:r>
          </w:p>
        </w:tc>
        <w:tc>
          <w:tcPr>
            <w:tcW w:w="200" w:type="dxa"/>
            <w:vAlign w:val="bottom"/>
          </w:tcPr>
          <w:p>
            <w:pPr>
              <w:spacing w:after="0"/>
              <w:rPr>
                <w:sz w:val="12"/>
                <w:szCs w:val="12"/>
                <w:color w:val="auto"/>
              </w:rPr>
            </w:pPr>
          </w:p>
        </w:tc>
        <w:tc>
          <w:tcPr>
            <w:tcW w:w="126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85"/>
              </w:rPr>
              <w:t>as of</w:t>
            </w:r>
          </w:p>
        </w:tc>
        <w:tc>
          <w:tcPr>
            <w:tcW w:w="0" w:type="dxa"/>
            <w:vAlign w:val="bottom"/>
          </w:tcPr>
          <w:p>
            <w:pPr>
              <w:spacing w:after="0"/>
              <w:rPr>
                <w:sz w:val="1"/>
                <w:szCs w:val="1"/>
                <w:color w:val="auto"/>
              </w:rPr>
            </w:pPr>
          </w:p>
        </w:tc>
      </w:tr>
      <w:tr>
        <w:trPr>
          <w:trHeight w:val="171"/>
        </w:trPr>
        <w:tc>
          <w:tcPr>
            <w:tcW w:w="6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20" w:type="dxa"/>
            <w:vAlign w:val="bottom"/>
            <w:gridSpan w:val="5"/>
            <w:vMerge w:val="continue"/>
          </w:tcPr>
          <w:p>
            <w:pPr>
              <w:spacing w:after="0"/>
              <w:rPr>
                <w:sz w:val="14"/>
                <w:szCs w:val="14"/>
                <w:color w:val="auto"/>
              </w:rPr>
            </w:pPr>
          </w:p>
        </w:tc>
        <w:tc>
          <w:tcPr>
            <w:tcW w:w="1460" w:type="dxa"/>
            <w:vAlign w:val="bottom"/>
            <w:gridSpan w:val="3"/>
          </w:tcPr>
          <w:p>
            <w:pPr>
              <w:ind w:left="20"/>
              <w:spacing w:after="0"/>
              <w:rPr>
                <w:sz w:val="20"/>
                <w:szCs w:val="20"/>
                <w:color w:val="auto"/>
              </w:rPr>
            </w:pPr>
            <w:r>
              <w:rPr>
                <w:rFonts w:ascii="Arial" w:cs="Arial" w:eastAsia="Arial" w:hAnsi="Arial"/>
                <w:sz w:val="14"/>
                <w:szCs w:val="14"/>
                <w:b w:val="1"/>
                <w:bCs w:val="1"/>
                <w:color w:val="auto"/>
              </w:rPr>
              <w:t>September 30,</w:t>
            </w:r>
          </w:p>
        </w:tc>
        <w:tc>
          <w:tcPr>
            <w:tcW w:w="98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w w:val="91"/>
              </w:rPr>
              <w:t>September 30,</w:t>
            </w:r>
          </w:p>
        </w:tc>
        <w:tc>
          <w:tcPr>
            <w:tcW w:w="0" w:type="dxa"/>
            <w:vAlign w:val="bottom"/>
          </w:tcPr>
          <w:p>
            <w:pPr>
              <w:spacing w:after="0"/>
              <w:rPr>
                <w:sz w:val="1"/>
                <w:szCs w:val="1"/>
                <w:color w:val="auto"/>
              </w:rPr>
            </w:pPr>
          </w:p>
        </w:tc>
      </w:tr>
      <w:tr>
        <w:trPr>
          <w:trHeight w:val="142"/>
        </w:trPr>
        <w:tc>
          <w:tcPr>
            <w:tcW w:w="6480" w:type="dxa"/>
            <w:vAlign w:val="bottom"/>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480" w:type="dxa"/>
            <w:vAlign w:val="bottom"/>
            <w:tcBorders>
              <w:top w:val="single" w:sz="8" w:color="auto"/>
              <w:bottom w:val="single" w:sz="8" w:color="auto"/>
            </w:tcBorders>
          </w:tcPr>
          <w:p>
            <w:pPr>
              <w:jc w:val="right"/>
              <w:ind w:right="60"/>
              <w:spacing w:after="0" w:line="142" w:lineRule="exact"/>
              <w:rPr>
                <w:sz w:val="20"/>
                <w:szCs w:val="20"/>
                <w:color w:val="auto"/>
              </w:rPr>
            </w:pPr>
            <w:r>
              <w:rPr>
                <w:rFonts w:ascii="Arial" w:cs="Arial" w:eastAsia="Arial" w:hAnsi="Arial"/>
                <w:sz w:val="14"/>
                <w:szCs w:val="14"/>
                <w:b w:val="1"/>
                <w:bCs w:val="1"/>
                <w:color w:val="auto"/>
              </w:rPr>
              <w:t>2015</w:t>
            </w:r>
          </w:p>
        </w:tc>
        <w:tc>
          <w:tcPr>
            <w:tcW w:w="580" w:type="dxa"/>
            <w:vAlign w:val="bottom"/>
            <w:tcBorders>
              <w:top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480" w:type="dxa"/>
            <w:vAlign w:val="bottom"/>
            <w:tcBorders>
              <w:top w:val="single" w:sz="8" w:color="auto"/>
              <w:bottom w:val="single" w:sz="8" w:color="auto"/>
            </w:tcBorders>
          </w:tcPr>
          <w:p>
            <w:pPr>
              <w:jc w:val="right"/>
              <w:ind w:right="59"/>
              <w:spacing w:after="0" w:line="142" w:lineRule="exact"/>
              <w:rPr>
                <w:sz w:val="20"/>
                <w:szCs w:val="20"/>
                <w:color w:val="auto"/>
              </w:rPr>
            </w:pPr>
            <w:r>
              <w:rPr>
                <w:rFonts w:ascii="Arial" w:cs="Arial" w:eastAsia="Arial" w:hAnsi="Arial"/>
                <w:sz w:val="14"/>
                <w:szCs w:val="14"/>
                <w:b w:val="1"/>
                <w:bCs w:val="1"/>
                <w:color w:val="auto"/>
              </w:rPr>
              <w:t>2016</w:t>
            </w:r>
          </w:p>
        </w:tc>
        <w:tc>
          <w:tcPr>
            <w:tcW w:w="580" w:type="dxa"/>
            <w:vAlign w:val="bottom"/>
          </w:tcPr>
          <w:p>
            <w:pPr>
              <w:spacing w:after="0"/>
              <w:rPr>
                <w:sz w:val="12"/>
                <w:szCs w:val="12"/>
                <w:color w:val="auto"/>
              </w:rPr>
            </w:pPr>
          </w:p>
        </w:tc>
        <w:tc>
          <w:tcPr>
            <w:tcW w:w="200" w:type="dxa"/>
            <w:vAlign w:val="bottom"/>
            <w:tcBorders>
              <w:top w:val="single" w:sz="8" w:color="auto"/>
              <w:bottom w:val="single" w:sz="8" w:color="auto"/>
            </w:tcBorders>
          </w:tcPr>
          <w:p>
            <w:pPr>
              <w:spacing w:after="0"/>
              <w:rPr>
                <w:sz w:val="12"/>
                <w:szCs w:val="12"/>
                <w:color w:val="auto"/>
              </w:rPr>
            </w:pPr>
          </w:p>
        </w:tc>
        <w:tc>
          <w:tcPr>
            <w:tcW w:w="680" w:type="dxa"/>
            <w:vAlign w:val="bottom"/>
            <w:tcBorders>
              <w:top w:val="single" w:sz="8" w:color="auto"/>
              <w:bottom w:val="single" w:sz="8" w:color="auto"/>
            </w:tcBorders>
          </w:tcPr>
          <w:p>
            <w:pPr>
              <w:jc w:val="right"/>
              <w:ind w:right="200"/>
              <w:spacing w:after="0" w:line="142" w:lineRule="exact"/>
              <w:rPr>
                <w:sz w:val="20"/>
                <w:szCs w:val="20"/>
                <w:color w:val="auto"/>
              </w:rPr>
            </w:pPr>
            <w:r>
              <w:rPr>
                <w:rFonts w:ascii="Arial" w:cs="Arial" w:eastAsia="Arial" w:hAnsi="Arial"/>
                <w:sz w:val="14"/>
                <w:szCs w:val="14"/>
                <w:b w:val="1"/>
                <w:bCs w:val="1"/>
                <w:color w:val="auto"/>
              </w:rPr>
              <w:t>2017</w:t>
            </w:r>
          </w:p>
        </w:tc>
        <w:tc>
          <w:tcPr>
            <w:tcW w:w="580" w:type="dxa"/>
            <w:vAlign w:val="bottom"/>
            <w:tcBorders>
              <w:bottom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780" w:type="dxa"/>
            <w:vAlign w:val="bottom"/>
            <w:tcBorders>
              <w:top w:val="single" w:sz="8" w:color="auto"/>
              <w:bottom w:val="single" w:sz="8" w:color="auto"/>
            </w:tcBorders>
          </w:tcPr>
          <w:p>
            <w:pPr>
              <w:jc w:val="center"/>
              <w:ind w:right="3"/>
              <w:spacing w:after="0" w:line="142" w:lineRule="exact"/>
              <w:rPr>
                <w:sz w:val="20"/>
                <w:szCs w:val="20"/>
                <w:color w:val="auto"/>
              </w:rPr>
            </w:pPr>
            <w:r>
              <w:rPr>
                <w:rFonts w:ascii="Arial" w:cs="Arial" w:eastAsia="Arial" w:hAnsi="Arial"/>
                <w:sz w:val="14"/>
                <w:szCs w:val="14"/>
                <w:b w:val="1"/>
                <w:bCs w:val="1"/>
                <w:color w:val="auto"/>
                <w:w w:val="96"/>
              </w:rPr>
              <w:t>2017</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6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360" w:type="dxa"/>
            <w:vAlign w:val="bottom"/>
            <w:gridSpan w:val="3"/>
          </w:tcPr>
          <w:p>
            <w:pPr>
              <w:jc w:val="right"/>
              <w:spacing w:after="0" w:line="142" w:lineRule="exact"/>
              <w:rPr>
                <w:sz w:val="20"/>
                <w:szCs w:val="20"/>
                <w:color w:val="auto"/>
              </w:rPr>
            </w:pPr>
            <w:r>
              <w:rPr>
                <w:rFonts w:ascii="Arial" w:cs="Arial" w:eastAsia="Arial" w:hAnsi="Arial"/>
                <w:sz w:val="14"/>
                <w:szCs w:val="14"/>
                <w:i w:val="1"/>
                <w:iCs w:val="1"/>
                <w:color w:val="auto"/>
              </w:rPr>
              <w:t>(unaudited)</w:t>
            </w: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3"/>
        </w:trPr>
        <w:tc>
          <w:tcPr>
            <w:tcW w:w="648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Assets</w:t>
            </w:r>
          </w:p>
        </w:tc>
        <w:tc>
          <w:tcPr>
            <w:tcW w:w="10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480" w:type="dxa"/>
            <w:vAlign w:val="bottom"/>
          </w:tcPr>
          <w:p>
            <w:pPr>
              <w:spacing w:after="0"/>
              <w:rPr>
                <w:sz w:val="20"/>
                <w:szCs w:val="20"/>
                <w:color w:val="auto"/>
              </w:rPr>
            </w:pPr>
            <w:r>
              <w:rPr>
                <w:rFonts w:ascii="Arial" w:cs="Arial" w:eastAsia="Arial" w:hAnsi="Arial"/>
                <w:sz w:val="16"/>
                <w:szCs w:val="16"/>
                <w:color w:val="auto"/>
              </w:rPr>
              <w:t>Current assets:</w:t>
            </w:r>
          </w:p>
        </w:tc>
        <w:tc>
          <w:tcPr>
            <w:tcW w:w="1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480" w:type="dxa"/>
            <w:vAlign w:val="bottom"/>
            <w:shd w:val="clear" w:color="auto" w:fill="CCEEFF"/>
          </w:tcPr>
          <w:p>
            <w:pPr>
              <w:ind w:left="340"/>
              <w:spacing w:after="0"/>
              <w:rPr>
                <w:sz w:val="20"/>
                <w:szCs w:val="20"/>
                <w:color w:val="auto"/>
              </w:rPr>
            </w:pPr>
            <w:r>
              <w:rPr>
                <w:rFonts w:ascii="Arial" w:cs="Arial" w:eastAsia="Arial" w:hAnsi="Arial"/>
                <w:sz w:val="16"/>
                <w:szCs w:val="16"/>
                <w:color w:val="auto"/>
              </w:rPr>
              <w:t>Cash and cash equivalents</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356.9</w:t>
            </w:r>
          </w:p>
        </w:tc>
        <w:tc>
          <w:tcPr>
            <w:tcW w:w="58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352.7</w:t>
            </w:r>
          </w:p>
        </w:tc>
        <w:tc>
          <w:tcPr>
            <w:tcW w:w="580" w:type="dxa"/>
            <w:vAlign w:val="bottom"/>
            <w:shd w:val="clear" w:color="auto" w:fill="CCEEFF"/>
          </w:tcPr>
          <w:p>
            <w:pPr>
              <w:spacing w:after="0"/>
              <w:rPr>
                <w:sz w:val="17"/>
                <w:szCs w:val="17"/>
                <w:color w:val="auto"/>
              </w:rPr>
            </w:pPr>
          </w:p>
        </w:tc>
        <w:tc>
          <w:tcPr>
            <w:tcW w:w="200" w:type="dxa"/>
            <w:vAlign w:val="bottom"/>
            <w:shd w:val="clear" w:color="auto" w:fill="CCEEFF"/>
          </w:tcPr>
          <w:p>
            <w:pPr>
              <w:ind w:left="20"/>
              <w:spacing w:after="0"/>
              <w:rPr>
                <w:sz w:val="20"/>
                <w:szCs w:val="20"/>
                <w:color w:val="auto"/>
              </w:rPr>
            </w:pPr>
            <w:r>
              <w:rPr>
                <w:rFonts w:ascii="Arial" w:cs="Arial" w:eastAsia="Arial" w:hAnsi="Arial"/>
                <w:sz w:val="16"/>
                <w:szCs w:val="16"/>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422.7</w:t>
            </w:r>
          </w:p>
        </w:tc>
        <w:tc>
          <w:tcPr>
            <w:tcW w:w="5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480" w:type="dxa"/>
            <w:vAlign w:val="bottom"/>
          </w:tcPr>
          <w:p>
            <w:pPr>
              <w:ind w:left="340"/>
              <w:spacing w:after="0"/>
              <w:rPr>
                <w:sz w:val="20"/>
                <w:szCs w:val="20"/>
                <w:color w:val="auto"/>
              </w:rPr>
            </w:pPr>
            <w:r>
              <w:rPr>
                <w:rFonts w:ascii="Arial" w:cs="Arial" w:eastAsia="Arial" w:hAnsi="Arial"/>
                <w:sz w:val="16"/>
                <w:szCs w:val="16"/>
                <w:color w:val="auto"/>
              </w:rPr>
              <w:t>Trade and other receivables, net</w:t>
            </w:r>
          </w:p>
        </w:tc>
        <w:tc>
          <w:tcPr>
            <w:tcW w:w="100" w:type="dxa"/>
            <w:vAlign w:val="bottom"/>
          </w:tcPr>
          <w:p>
            <w:pPr>
              <w:spacing w:after="0"/>
              <w:rPr>
                <w:sz w:val="17"/>
                <w:szCs w:val="17"/>
                <w:color w:val="auto"/>
              </w:rPr>
            </w:pPr>
          </w:p>
        </w:tc>
        <w:tc>
          <w:tcPr>
            <w:tcW w:w="480" w:type="dxa"/>
            <w:vAlign w:val="bottom"/>
          </w:tcPr>
          <w:p>
            <w:pPr>
              <w:jc w:val="right"/>
              <w:spacing w:after="0"/>
              <w:rPr>
                <w:sz w:val="20"/>
                <w:szCs w:val="20"/>
                <w:color w:val="auto"/>
              </w:rPr>
            </w:pPr>
            <w:r>
              <w:rPr>
                <w:rFonts w:ascii="Arial" w:cs="Arial" w:eastAsia="Arial" w:hAnsi="Arial"/>
                <w:sz w:val="16"/>
                <w:szCs w:val="16"/>
                <w:color w:val="auto"/>
              </w:rPr>
              <w:t>14.4</w:t>
            </w:r>
          </w:p>
        </w:tc>
        <w:tc>
          <w:tcPr>
            <w:tcW w:w="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80" w:type="dxa"/>
            <w:vAlign w:val="bottom"/>
          </w:tcPr>
          <w:p>
            <w:pPr>
              <w:jc w:val="right"/>
              <w:spacing w:after="0"/>
              <w:rPr>
                <w:sz w:val="20"/>
                <w:szCs w:val="20"/>
                <w:color w:val="auto"/>
              </w:rPr>
            </w:pPr>
            <w:r>
              <w:rPr>
                <w:rFonts w:ascii="Arial" w:cs="Arial" w:eastAsia="Arial" w:hAnsi="Arial"/>
                <w:sz w:val="16"/>
                <w:szCs w:val="16"/>
                <w:color w:val="auto"/>
              </w:rPr>
              <w:t>13.2</w:t>
            </w:r>
          </w:p>
        </w:tc>
        <w:tc>
          <w:tcPr>
            <w:tcW w:w="5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26.2</w:t>
            </w:r>
          </w:p>
        </w:tc>
        <w:tc>
          <w:tcPr>
            <w:tcW w:w="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6480" w:type="dxa"/>
            <w:vAlign w:val="bottom"/>
            <w:shd w:val="clear" w:color="auto" w:fill="CCEEFF"/>
          </w:tcPr>
          <w:p>
            <w:pPr>
              <w:ind w:left="340"/>
              <w:spacing w:after="0"/>
              <w:rPr>
                <w:sz w:val="20"/>
                <w:szCs w:val="20"/>
                <w:color w:val="auto"/>
              </w:rPr>
            </w:pPr>
            <w:r>
              <w:rPr>
                <w:rFonts w:ascii="Arial" w:cs="Arial" w:eastAsia="Arial" w:hAnsi="Arial"/>
                <w:sz w:val="16"/>
                <w:szCs w:val="16"/>
                <w:color w:val="auto"/>
              </w:rPr>
              <w:t>Prepaid expenses and other current assets</w:t>
            </w:r>
          </w:p>
        </w:tc>
        <w:tc>
          <w:tcPr>
            <w:tcW w:w="100" w:type="dxa"/>
            <w:vAlign w:val="bottom"/>
            <w:tcBorders>
              <w:bottom w:val="single" w:sz="8" w:color="auto"/>
            </w:tcBorders>
            <w:shd w:val="clear" w:color="auto" w:fill="CCEEFF"/>
          </w:tcPr>
          <w:p>
            <w:pPr>
              <w:spacing w:after="0"/>
              <w:rPr>
                <w:sz w:val="17"/>
                <w:szCs w:val="17"/>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54.1</w:t>
            </w:r>
          </w:p>
        </w:tc>
        <w:tc>
          <w:tcPr>
            <w:tcW w:w="58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47.5</w:t>
            </w:r>
          </w:p>
        </w:tc>
        <w:tc>
          <w:tcPr>
            <w:tcW w:w="580" w:type="dxa"/>
            <w:vAlign w:val="bottom"/>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41.4</w:t>
            </w:r>
          </w:p>
        </w:tc>
        <w:tc>
          <w:tcPr>
            <w:tcW w:w="58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780" w:type="dxa"/>
            <w:vAlign w:val="bottom"/>
            <w:tcBorders>
              <w:bottom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6480" w:type="dxa"/>
            <w:vAlign w:val="bottom"/>
          </w:tcPr>
          <w:p>
            <w:pPr>
              <w:spacing w:after="0"/>
              <w:rPr>
                <w:sz w:val="20"/>
                <w:szCs w:val="20"/>
                <w:color w:val="auto"/>
              </w:rPr>
            </w:pPr>
            <w:r>
              <w:rPr>
                <w:rFonts w:ascii="Arial" w:cs="Arial" w:eastAsia="Arial" w:hAnsi="Arial"/>
                <w:sz w:val="16"/>
                <w:szCs w:val="16"/>
                <w:color w:val="auto"/>
              </w:rPr>
              <w:t>Total current assets</w:t>
            </w:r>
          </w:p>
        </w:tc>
        <w:tc>
          <w:tcPr>
            <w:tcW w:w="100" w:type="dxa"/>
            <w:vAlign w:val="bottom"/>
          </w:tcPr>
          <w:p>
            <w:pPr>
              <w:spacing w:after="0"/>
              <w:rPr>
                <w:sz w:val="17"/>
                <w:szCs w:val="17"/>
                <w:color w:val="auto"/>
              </w:rPr>
            </w:pPr>
          </w:p>
        </w:tc>
        <w:tc>
          <w:tcPr>
            <w:tcW w:w="480" w:type="dxa"/>
            <w:vAlign w:val="bottom"/>
          </w:tcPr>
          <w:p>
            <w:pPr>
              <w:jc w:val="right"/>
              <w:spacing w:after="0"/>
              <w:rPr>
                <w:sz w:val="20"/>
                <w:szCs w:val="20"/>
                <w:color w:val="auto"/>
              </w:rPr>
            </w:pPr>
            <w:r>
              <w:rPr>
                <w:rFonts w:ascii="Arial" w:cs="Arial" w:eastAsia="Arial" w:hAnsi="Arial"/>
                <w:sz w:val="16"/>
                <w:szCs w:val="16"/>
                <w:color w:val="auto"/>
              </w:rPr>
              <w:t>425.4</w:t>
            </w:r>
          </w:p>
        </w:tc>
        <w:tc>
          <w:tcPr>
            <w:tcW w:w="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80" w:type="dxa"/>
            <w:vAlign w:val="bottom"/>
          </w:tcPr>
          <w:p>
            <w:pPr>
              <w:jc w:val="right"/>
              <w:spacing w:after="0"/>
              <w:rPr>
                <w:sz w:val="20"/>
                <w:szCs w:val="20"/>
                <w:color w:val="auto"/>
              </w:rPr>
            </w:pPr>
            <w:r>
              <w:rPr>
                <w:rFonts w:ascii="Arial" w:cs="Arial" w:eastAsia="Arial" w:hAnsi="Arial"/>
                <w:sz w:val="16"/>
                <w:szCs w:val="16"/>
                <w:color w:val="auto"/>
              </w:rPr>
              <w:t>413.4</w:t>
            </w:r>
          </w:p>
        </w:tc>
        <w:tc>
          <w:tcPr>
            <w:tcW w:w="5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490.3</w:t>
            </w:r>
          </w:p>
        </w:tc>
        <w:tc>
          <w:tcPr>
            <w:tcW w:w="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6480" w:type="dxa"/>
            <w:vAlign w:val="bottom"/>
            <w:shd w:val="clear" w:color="auto" w:fill="CCEEFF"/>
          </w:tcPr>
          <w:p>
            <w:pPr>
              <w:spacing w:after="0"/>
              <w:rPr>
                <w:sz w:val="20"/>
                <w:szCs w:val="20"/>
                <w:color w:val="auto"/>
              </w:rPr>
            </w:pPr>
            <w:r>
              <w:rPr>
                <w:rFonts w:ascii="Arial" w:cs="Arial" w:eastAsia="Arial" w:hAnsi="Arial"/>
                <w:sz w:val="16"/>
                <w:szCs w:val="16"/>
                <w:color w:val="auto"/>
              </w:rPr>
              <w:t>Property and equipment, net</w:t>
            </w:r>
          </w:p>
        </w:tc>
        <w:tc>
          <w:tcPr>
            <w:tcW w:w="100" w:type="dxa"/>
            <w:vAlign w:val="bottom"/>
            <w:shd w:val="clear" w:color="auto" w:fill="CCEEFF"/>
          </w:tcPr>
          <w:p>
            <w:pPr>
              <w:spacing w:after="0"/>
              <w:rPr>
                <w:sz w:val="17"/>
                <w:szCs w:val="17"/>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437.6</w:t>
            </w:r>
          </w:p>
        </w:tc>
        <w:tc>
          <w:tcPr>
            <w:tcW w:w="5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444.0</w:t>
            </w:r>
          </w:p>
        </w:tc>
        <w:tc>
          <w:tcPr>
            <w:tcW w:w="5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345.0</w:t>
            </w:r>
          </w:p>
        </w:tc>
        <w:tc>
          <w:tcPr>
            <w:tcW w:w="5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480" w:type="dxa"/>
            <w:vAlign w:val="bottom"/>
          </w:tcPr>
          <w:p>
            <w:pPr>
              <w:spacing w:after="0"/>
              <w:rPr>
                <w:sz w:val="20"/>
                <w:szCs w:val="20"/>
                <w:color w:val="auto"/>
              </w:rPr>
            </w:pPr>
            <w:r>
              <w:rPr>
                <w:rFonts w:ascii="Arial" w:cs="Arial" w:eastAsia="Arial" w:hAnsi="Arial"/>
                <w:sz w:val="16"/>
                <w:szCs w:val="16"/>
                <w:color w:val="auto"/>
              </w:rPr>
              <w:t>Intangible assets, net</w:t>
            </w:r>
          </w:p>
        </w:tc>
        <w:tc>
          <w:tcPr>
            <w:tcW w:w="100" w:type="dxa"/>
            <w:vAlign w:val="bottom"/>
          </w:tcPr>
          <w:p>
            <w:pPr>
              <w:spacing w:after="0"/>
              <w:rPr>
                <w:sz w:val="17"/>
                <w:szCs w:val="17"/>
                <w:color w:val="auto"/>
              </w:rPr>
            </w:pPr>
          </w:p>
        </w:tc>
        <w:tc>
          <w:tcPr>
            <w:tcW w:w="480" w:type="dxa"/>
            <w:vAlign w:val="bottom"/>
          </w:tcPr>
          <w:p>
            <w:pPr>
              <w:jc w:val="right"/>
              <w:spacing w:after="0"/>
              <w:rPr>
                <w:sz w:val="20"/>
                <w:szCs w:val="20"/>
                <w:color w:val="auto"/>
              </w:rPr>
            </w:pPr>
            <w:r>
              <w:rPr>
                <w:rFonts w:ascii="Arial" w:cs="Arial" w:eastAsia="Arial" w:hAnsi="Arial"/>
                <w:sz w:val="16"/>
                <w:szCs w:val="16"/>
                <w:color w:val="auto"/>
              </w:rPr>
              <w:t>33.0</w:t>
            </w:r>
          </w:p>
        </w:tc>
        <w:tc>
          <w:tcPr>
            <w:tcW w:w="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80" w:type="dxa"/>
            <w:vAlign w:val="bottom"/>
          </w:tcPr>
          <w:p>
            <w:pPr>
              <w:jc w:val="right"/>
              <w:spacing w:after="0"/>
              <w:rPr>
                <w:sz w:val="20"/>
                <w:szCs w:val="20"/>
                <w:color w:val="auto"/>
              </w:rPr>
            </w:pPr>
            <w:r>
              <w:rPr>
                <w:rFonts w:ascii="Arial" w:cs="Arial" w:eastAsia="Arial" w:hAnsi="Arial"/>
                <w:sz w:val="16"/>
                <w:szCs w:val="16"/>
                <w:color w:val="auto"/>
              </w:rPr>
              <w:t>24.2</w:t>
            </w:r>
          </w:p>
        </w:tc>
        <w:tc>
          <w:tcPr>
            <w:tcW w:w="5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17.5</w:t>
            </w:r>
          </w:p>
        </w:tc>
        <w:tc>
          <w:tcPr>
            <w:tcW w:w="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480" w:type="dxa"/>
            <w:vAlign w:val="bottom"/>
            <w:shd w:val="clear" w:color="auto" w:fill="CCEEFF"/>
          </w:tcPr>
          <w:p>
            <w:pPr>
              <w:spacing w:after="0"/>
              <w:rPr>
                <w:sz w:val="20"/>
                <w:szCs w:val="20"/>
                <w:color w:val="auto"/>
              </w:rPr>
            </w:pPr>
            <w:r>
              <w:rPr>
                <w:rFonts w:ascii="Arial" w:cs="Arial" w:eastAsia="Arial" w:hAnsi="Arial"/>
                <w:sz w:val="16"/>
                <w:szCs w:val="16"/>
                <w:color w:val="auto"/>
              </w:rPr>
              <w:t>Goodwill</w:t>
            </w:r>
          </w:p>
        </w:tc>
        <w:tc>
          <w:tcPr>
            <w:tcW w:w="100" w:type="dxa"/>
            <w:vAlign w:val="bottom"/>
            <w:shd w:val="clear" w:color="auto" w:fill="CCEEFF"/>
          </w:tcPr>
          <w:p>
            <w:pPr>
              <w:spacing w:after="0"/>
              <w:rPr>
                <w:sz w:val="17"/>
                <w:szCs w:val="17"/>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96.1</w:t>
            </w:r>
          </w:p>
        </w:tc>
        <w:tc>
          <w:tcPr>
            <w:tcW w:w="5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96.0</w:t>
            </w:r>
          </w:p>
        </w:tc>
        <w:tc>
          <w:tcPr>
            <w:tcW w:w="5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98.7</w:t>
            </w:r>
          </w:p>
        </w:tc>
        <w:tc>
          <w:tcPr>
            <w:tcW w:w="5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6480" w:type="dxa"/>
            <w:vAlign w:val="bottom"/>
          </w:tcPr>
          <w:p>
            <w:pPr>
              <w:spacing w:after="0"/>
              <w:rPr>
                <w:sz w:val="20"/>
                <w:szCs w:val="20"/>
                <w:color w:val="auto"/>
              </w:rPr>
            </w:pPr>
            <w:r>
              <w:rPr>
                <w:rFonts w:ascii="Arial" w:cs="Arial" w:eastAsia="Arial" w:hAnsi="Arial"/>
                <w:sz w:val="16"/>
                <w:szCs w:val="16"/>
                <w:color w:val="auto"/>
              </w:rPr>
              <w:t>Other assets</w:t>
            </w:r>
          </w:p>
        </w:tc>
        <w:tc>
          <w:tcPr>
            <w:tcW w:w="100" w:type="dxa"/>
            <w:vAlign w:val="bottom"/>
            <w:tcBorders>
              <w:bottom w:val="single" w:sz="8" w:color="auto"/>
            </w:tcBorders>
          </w:tcPr>
          <w:p>
            <w:pPr>
              <w:spacing w:after="0"/>
              <w:rPr>
                <w:sz w:val="18"/>
                <w:szCs w:val="18"/>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18.4</w:t>
            </w:r>
          </w:p>
        </w:tc>
        <w:tc>
          <w:tcPr>
            <w:tcW w:w="58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26.6</w:t>
            </w:r>
          </w:p>
        </w:tc>
        <w:tc>
          <w:tcPr>
            <w:tcW w:w="58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35.0</w:t>
            </w:r>
          </w:p>
        </w:tc>
        <w:tc>
          <w:tcPr>
            <w:tcW w:w="58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6480" w:type="dxa"/>
            <w:vAlign w:val="bottom"/>
            <w:shd w:val="clear" w:color="auto" w:fill="CCEEFF"/>
          </w:tcPr>
          <w:p>
            <w:pPr>
              <w:spacing w:after="0"/>
              <w:rPr>
                <w:sz w:val="20"/>
                <w:szCs w:val="20"/>
                <w:color w:val="auto"/>
              </w:rPr>
            </w:pPr>
            <w:r>
              <w:rPr>
                <w:rFonts w:ascii="Arial" w:cs="Arial" w:eastAsia="Arial" w:hAnsi="Arial"/>
                <w:sz w:val="16"/>
                <w:szCs w:val="16"/>
                <w:color w:val="auto"/>
              </w:rPr>
              <w:t>Total assets</w:t>
            </w: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u w:val="single" w:color="auto"/>
                <w:color w:val="auto"/>
                <w:w w:val="71"/>
              </w:rPr>
              <w:t>$</w:t>
            </w: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6"/>
              </w:rPr>
              <w:t>1,010.5</w:t>
            </w:r>
          </w:p>
        </w:tc>
        <w:tc>
          <w:tcPr>
            <w:tcW w:w="58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u w:val="single" w:color="auto"/>
                <w:color w:val="auto"/>
                <w:w w:val="71"/>
              </w:rPr>
              <w:t>$</w:t>
            </w: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6"/>
              </w:rPr>
              <w:t>1,004.2</w:t>
            </w:r>
          </w:p>
        </w:tc>
        <w:tc>
          <w:tcPr>
            <w:tcW w:w="580" w:type="dxa"/>
            <w:vAlign w:val="bottom"/>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986.5</w:t>
            </w:r>
          </w:p>
        </w:tc>
        <w:tc>
          <w:tcPr>
            <w:tcW w:w="58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780" w:type="dxa"/>
            <w:vAlign w:val="bottom"/>
            <w:tcBorders>
              <w:bottom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480" w:type="dxa"/>
            <w:vAlign w:val="bottom"/>
            <w:vMerge w:val="restart"/>
          </w:tcPr>
          <w:p>
            <w:pPr>
              <w:spacing w:after="0"/>
              <w:rPr>
                <w:sz w:val="20"/>
                <w:szCs w:val="20"/>
                <w:color w:val="auto"/>
              </w:rPr>
            </w:pPr>
            <w:r>
              <w:rPr>
                <w:rFonts w:ascii="Arial" w:cs="Arial" w:eastAsia="Arial" w:hAnsi="Arial"/>
                <w:sz w:val="16"/>
                <w:szCs w:val="16"/>
                <w:b w:val="1"/>
                <w:bCs w:val="1"/>
                <w:color w:val="auto"/>
              </w:rPr>
              <w:t>Liabilities and stockholders’ equity</w:t>
            </w:r>
          </w:p>
        </w:tc>
        <w:tc>
          <w:tcPr>
            <w:tcW w:w="1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3"/>
        </w:trPr>
        <w:tc>
          <w:tcPr>
            <w:tcW w:w="648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6"/>
        </w:trPr>
        <w:tc>
          <w:tcPr>
            <w:tcW w:w="6480" w:type="dxa"/>
            <w:vAlign w:val="bottom"/>
            <w:shd w:val="clear" w:color="auto" w:fill="CCEEFF"/>
          </w:tcPr>
          <w:p>
            <w:pPr>
              <w:spacing w:after="0"/>
              <w:rPr>
                <w:sz w:val="20"/>
                <w:szCs w:val="20"/>
                <w:color w:val="auto"/>
              </w:rPr>
            </w:pPr>
            <w:r>
              <w:rPr>
                <w:rFonts w:ascii="Arial" w:cs="Arial" w:eastAsia="Arial" w:hAnsi="Arial"/>
                <w:sz w:val="16"/>
                <w:szCs w:val="16"/>
                <w:color w:val="auto"/>
              </w:rPr>
              <w:t>Current liabilities:</w:t>
            </w:r>
          </w:p>
        </w:tc>
        <w:tc>
          <w:tcPr>
            <w:tcW w:w="10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480" w:type="dxa"/>
            <w:vAlign w:val="bottom"/>
          </w:tcPr>
          <w:p>
            <w:pPr>
              <w:ind w:left="340"/>
              <w:spacing w:after="0"/>
              <w:rPr>
                <w:sz w:val="20"/>
                <w:szCs w:val="20"/>
                <w:color w:val="auto"/>
              </w:rPr>
            </w:pPr>
            <w:r>
              <w:rPr>
                <w:rFonts w:ascii="Arial" w:cs="Arial" w:eastAsia="Arial" w:hAnsi="Arial"/>
                <w:sz w:val="16"/>
                <w:szCs w:val="16"/>
                <w:color w:val="auto"/>
              </w:rPr>
              <w:t>Accounts payable</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480" w:type="dxa"/>
            <w:vAlign w:val="bottom"/>
          </w:tcPr>
          <w:p>
            <w:pPr>
              <w:jc w:val="right"/>
              <w:spacing w:after="0"/>
              <w:rPr>
                <w:sz w:val="20"/>
                <w:szCs w:val="20"/>
                <w:color w:val="auto"/>
              </w:rPr>
            </w:pPr>
            <w:r>
              <w:rPr>
                <w:rFonts w:ascii="Arial" w:cs="Arial" w:eastAsia="Arial" w:hAnsi="Arial"/>
                <w:sz w:val="16"/>
                <w:szCs w:val="16"/>
                <w:color w:val="auto"/>
              </w:rPr>
              <w:t>17.3</w:t>
            </w:r>
          </w:p>
        </w:tc>
        <w:tc>
          <w:tcPr>
            <w:tcW w:w="580" w:type="dxa"/>
            <w:vAlign w:val="bottom"/>
          </w:tcPr>
          <w:p>
            <w:pPr>
              <w:spacing w:after="0"/>
              <w:rPr>
                <w:sz w:val="17"/>
                <w:szCs w:val="17"/>
                <w:color w:val="auto"/>
              </w:rPr>
            </w:pPr>
          </w:p>
        </w:tc>
        <w:tc>
          <w:tcPr>
            <w:tcW w:w="10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480" w:type="dxa"/>
            <w:vAlign w:val="bottom"/>
          </w:tcPr>
          <w:p>
            <w:pPr>
              <w:jc w:val="right"/>
              <w:spacing w:after="0"/>
              <w:rPr>
                <w:sz w:val="20"/>
                <w:szCs w:val="20"/>
                <w:color w:val="auto"/>
              </w:rPr>
            </w:pPr>
            <w:r>
              <w:rPr>
                <w:rFonts w:ascii="Arial" w:cs="Arial" w:eastAsia="Arial" w:hAnsi="Arial"/>
                <w:sz w:val="16"/>
                <w:szCs w:val="16"/>
                <w:color w:val="auto"/>
              </w:rPr>
              <w:t>15.5</w:t>
            </w:r>
          </w:p>
        </w:tc>
        <w:tc>
          <w:tcPr>
            <w:tcW w:w="580" w:type="dxa"/>
            <w:vAlign w:val="bottom"/>
          </w:tcPr>
          <w:p>
            <w:pPr>
              <w:spacing w:after="0"/>
              <w:rPr>
                <w:sz w:val="17"/>
                <w:szCs w:val="17"/>
                <w:color w:val="auto"/>
              </w:rPr>
            </w:pPr>
          </w:p>
        </w:tc>
        <w:tc>
          <w:tcPr>
            <w:tcW w:w="200" w:type="dxa"/>
            <w:vAlign w:val="bottom"/>
          </w:tcPr>
          <w:p>
            <w:pPr>
              <w:ind w:left="20"/>
              <w:spacing w:after="0"/>
              <w:rPr>
                <w:sz w:val="20"/>
                <w:szCs w:val="20"/>
                <w:color w:val="auto"/>
              </w:rPr>
            </w:pPr>
            <w:r>
              <w:rPr>
                <w:rFonts w:ascii="Arial" w:cs="Arial" w:eastAsia="Arial" w:hAnsi="Arial"/>
                <w:sz w:val="16"/>
                <w:szCs w:val="16"/>
                <w:color w:val="auto"/>
              </w:rPr>
              <w:t>$</w:t>
            </w:r>
          </w:p>
        </w:tc>
        <w:tc>
          <w:tcPr>
            <w:tcW w:w="680" w:type="dxa"/>
            <w:vAlign w:val="bottom"/>
          </w:tcPr>
          <w:p>
            <w:pPr>
              <w:jc w:val="right"/>
              <w:spacing w:after="0"/>
              <w:rPr>
                <w:sz w:val="20"/>
                <w:szCs w:val="20"/>
                <w:color w:val="auto"/>
              </w:rPr>
            </w:pPr>
            <w:r>
              <w:rPr>
                <w:rFonts w:ascii="Arial" w:cs="Arial" w:eastAsia="Arial" w:hAnsi="Arial"/>
                <w:sz w:val="16"/>
                <w:szCs w:val="16"/>
                <w:color w:val="auto"/>
              </w:rPr>
              <w:t>14.8</w:t>
            </w:r>
          </w:p>
        </w:tc>
        <w:tc>
          <w:tcPr>
            <w:tcW w:w="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480" w:type="dxa"/>
            <w:vAlign w:val="bottom"/>
            <w:shd w:val="clear" w:color="auto" w:fill="CCEEFF"/>
          </w:tcPr>
          <w:p>
            <w:pPr>
              <w:ind w:left="340"/>
              <w:spacing w:after="0"/>
              <w:rPr>
                <w:sz w:val="20"/>
                <w:szCs w:val="20"/>
                <w:color w:val="auto"/>
              </w:rPr>
            </w:pPr>
            <w:r>
              <w:rPr>
                <w:rFonts w:ascii="Arial" w:cs="Arial" w:eastAsia="Arial" w:hAnsi="Arial"/>
                <w:sz w:val="16"/>
                <w:szCs w:val="16"/>
                <w:color w:val="auto"/>
              </w:rPr>
              <w:t>Accrued and other current liabilities</w:t>
            </w:r>
          </w:p>
        </w:tc>
        <w:tc>
          <w:tcPr>
            <w:tcW w:w="10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580"/>
              <w:spacing w:after="0"/>
              <w:rPr>
                <w:sz w:val="20"/>
                <w:szCs w:val="20"/>
                <w:color w:val="auto"/>
              </w:rPr>
            </w:pPr>
            <w:r>
              <w:rPr>
                <w:rFonts w:ascii="Arial" w:cs="Arial" w:eastAsia="Arial" w:hAnsi="Arial"/>
                <w:sz w:val="16"/>
                <w:szCs w:val="16"/>
                <w:color w:val="auto"/>
              </w:rPr>
              <w:t>118.2</w:t>
            </w:r>
          </w:p>
        </w:tc>
        <w:tc>
          <w:tcPr>
            <w:tcW w:w="100" w:type="dxa"/>
            <w:vAlign w:val="bottom"/>
            <w:shd w:val="clear" w:color="auto" w:fill="CCEEFF"/>
          </w:tcPr>
          <w:p>
            <w:pPr>
              <w:spacing w:after="0"/>
              <w:rPr>
                <w:sz w:val="17"/>
                <w:szCs w:val="17"/>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97.9</w:t>
            </w:r>
          </w:p>
        </w:tc>
        <w:tc>
          <w:tcPr>
            <w:tcW w:w="5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123.7</w:t>
            </w:r>
          </w:p>
        </w:tc>
        <w:tc>
          <w:tcPr>
            <w:tcW w:w="5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480" w:type="dxa"/>
            <w:vAlign w:val="bottom"/>
          </w:tcPr>
          <w:p>
            <w:pPr>
              <w:ind w:left="340"/>
              <w:spacing w:after="0"/>
              <w:rPr>
                <w:sz w:val="20"/>
                <w:szCs w:val="20"/>
                <w:color w:val="auto"/>
              </w:rPr>
            </w:pPr>
            <w:r>
              <w:rPr>
                <w:rFonts w:ascii="Arial" w:cs="Arial" w:eastAsia="Arial" w:hAnsi="Arial"/>
                <w:sz w:val="16"/>
                <w:szCs w:val="16"/>
                <w:color w:val="auto"/>
              </w:rPr>
              <w:t>Accrued compensation and benefits</w:t>
            </w:r>
          </w:p>
        </w:tc>
        <w:tc>
          <w:tcPr>
            <w:tcW w:w="100" w:type="dxa"/>
            <w:vAlign w:val="bottom"/>
          </w:tcPr>
          <w:p>
            <w:pPr>
              <w:spacing w:after="0"/>
              <w:rPr>
                <w:sz w:val="17"/>
                <w:szCs w:val="17"/>
                <w:color w:val="auto"/>
              </w:rPr>
            </w:pPr>
          </w:p>
        </w:tc>
        <w:tc>
          <w:tcPr>
            <w:tcW w:w="480" w:type="dxa"/>
            <w:vAlign w:val="bottom"/>
          </w:tcPr>
          <w:p>
            <w:pPr>
              <w:jc w:val="right"/>
              <w:spacing w:after="0"/>
              <w:rPr>
                <w:sz w:val="20"/>
                <w:szCs w:val="20"/>
                <w:color w:val="auto"/>
              </w:rPr>
            </w:pPr>
            <w:r>
              <w:rPr>
                <w:rFonts w:ascii="Arial" w:cs="Arial" w:eastAsia="Arial" w:hAnsi="Arial"/>
                <w:sz w:val="16"/>
                <w:szCs w:val="16"/>
                <w:color w:val="auto"/>
              </w:rPr>
              <w:t>5.7</w:t>
            </w:r>
          </w:p>
        </w:tc>
        <w:tc>
          <w:tcPr>
            <w:tcW w:w="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80" w:type="dxa"/>
            <w:vAlign w:val="bottom"/>
          </w:tcPr>
          <w:p>
            <w:pPr>
              <w:jc w:val="right"/>
              <w:spacing w:after="0"/>
              <w:rPr>
                <w:sz w:val="20"/>
                <w:szCs w:val="20"/>
                <w:color w:val="auto"/>
              </w:rPr>
            </w:pPr>
            <w:r>
              <w:rPr>
                <w:rFonts w:ascii="Arial" w:cs="Arial" w:eastAsia="Arial" w:hAnsi="Arial"/>
                <w:sz w:val="16"/>
                <w:szCs w:val="16"/>
                <w:color w:val="auto"/>
              </w:rPr>
              <w:t>41.3</w:t>
            </w:r>
          </w:p>
        </w:tc>
        <w:tc>
          <w:tcPr>
            <w:tcW w:w="5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45.5</w:t>
            </w:r>
          </w:p>
        </w:tc>
        <w:tc>
          <w:tcPr>
            <w:tcW w:w="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480" w:type="dxa"/>
            <w:vAlign w:val="bottom"/>
            <w:shd w:val="clear" w:color="auto" w:fill="CCEEFF"/>
          </w:tcPr>
          <w:p>
            <w:pPr>
              <w:ind w:left="340"/>
              <w:spacing w:after="0" w:line="202" w:lineRule="exact"/>
              <w:rPr>
                <w:sz w:val="20"/>
                <w:szCs w:val="20"/>
                <w:color w:val="auto"/>
              </w:rPr>
            </w:pPr>
            <w:r>
              <w:rPr>
                <w:rFonts w:ascii="Arial" w:cs="Arial" w:eastAsia="Arial" w:hAnsi="Arial"/>
                <w:sz w:val="14"/>
                <w:szCs w:val="14"/>
                <w:color w:val="auto"/>
              </w:rPr>
              <w:t>Capital lease obligation</w:t>
            </w:r>
            <w:r>
              <w:rPr>
                <w:rFonts w:ascii="Arial" w:cs="Arial" w:eastAsia="Arial" w:hAnsi="Arial"/>
                <w:sz w:val="23"/>
                <w:szCs w:val="23"/>
                <w:color w:val="auto"/>
                <w:vertAlign w:val="superscript"/>
              </w:rPr>
              <w:t>(1)</w:t>
            </w:r>
          </w:p>
        </w:tc>
        <w:tc>
          <w:tcPr>
            <w:tcW w:w="100" w:type="dxa"/>
            <w:vAlign w:val="bottom"/>
            <w:shd w:val="clear" w:color="auto" w:fill="CCEEFF"/>
          </w:tcPr>
          <w:p>
            <w:pPr>
              <w:spacing w:after="0"/>
              <w:rPr>
                <w:sz w:val="17"/>
                <w:szCs w:val="17"/>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123.0</w:t>
            </w:r>
          </w:p>
        </w:tc>
        <w:tc>
          <w:tcPr>
            <w:tcW w:w="5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127.6</w:t>
            </w:r>
          </w:p>
        </w:tc>
        <w:tc>
          <w:tcPr>
            <w:tcW w:w="5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105.9</w:t>
            </w:r>
          </w:p>
        </w:tc>
        <w:tc>
          <w:tcPr>
            <w:tcW w:w="5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6480" w:type="dxa"/>
            <w:vAlign w:val="bottom"/>
          </w:tcPr>
          <w:p>
            <w:pPr>
              <w:ind w:left="340"/>
              <w:spacing w:after="0"/>
              <w:rPr>
                <w:sz w:val="20"/>
                <w:szCs w:val="20"/>
                <w:color w:val="auto"/>
              </w:rPr>
            </w:pPr>
            <w:r>
              <w:rPr>
                <w:rFonts w:ascii="Arial" w:cs="Arial" w:eastAsia="Arial" w:hAnsi="Arial"/>
                <w:sz w:val="16"/>
                <w:szCs w:val="16"/>
                <w:color w:val="auto"/>
              </w:rPr>
              <w:t>Deferred revenue</w:t>
            </w:r>
          </w:p>
        </w:tc>
        <w:tc>
          <w:tcPr>
            <w:tcW w:w="100" w:type="dxa"/>
            <w:vAlign w:val="bottom"/>
            <w:tcBorders>
              <w:bottom w:val="single" w:sz="8" w:color="auto"/>
            </w:tcBorders>
          </w:tcPr>
          <w:p>
            <w:pPr>
              <w:spacing w:after="0"/>
              <w:rPr>
                <w:sz w:val="18"/>
                <w:szCs w:val="18"/>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266.9</w:t>
            </w:r>
          </w:p>
        </w:tc>
        <w:tc>
          <w:tcPr>
            <w:tcW w:w="58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353.0</w:t>
            </w:r>
          </w:p>
        </w:tc>
        <w:tc>
          <w:tcPr>
            <w:tcW w:w="58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405.9</w:t>
            </w:r>
          </w:p>
        </w:tc>
        <w:tc>
          <w:tcPr>
            <w:tcW w:w="58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6480" w:type="dxa"/>
            <w:vAlign w:val="bottom"/>
            <w:shd w:val="clear" w:color="auto" w:fill="CCEEFF"/>
          </w:tcPr>
          <w:p>
            <w:pPr>
              <w:spacing w:after="0"/>
              <w:rPr>
                <w:sz w:val="20"/>
                <w:szCs w:val="20"/>
                <w:color w:val="auto"/>
              </w:rPr>
            </w:pPr>
            <w:r>
              <w:rPr>
                <w:rFonts w:ascii="Arial" w:cs="Arial" w:eastAsia="Arial" w:hAnsi="Arial"/>
                <w:sz w:val="16"/>
                <w:szCs w:val="16"/>
                <w:color w:val="auto"/>
              </w:rPr>
              <w:t>Total current liabilities</w:t>
            </w:r>
          </w:p>
        </w:tc>
        <w:tc>
          <w:tcPr>
            <w:tcW w:w="100" w:type="dxa"/>
            <w:vAlign w:val="bottom"/>
            <w:shd w:val="clear" w:color="auto" w:fill="CCEEFF"/>
          </w:tcPr>
          <w:p>
            <w:pPr>
              <w:spacing w:after="0"/>
              <w:rPr>
                <w:sz w:val="17"/>
                <w:szCs w:val="17"/>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531.1</w:t>
            </w:r>
          </w:p>
        </w:tc>
        <w:tc>
          <w:tcPr>
            <w:tcW w:w="5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635.3</w:t>
            </w:r>
          </w:p>
        </w:tc>
        <w:tc>
          <w:tcPr>
            <w:tcW w:w="5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695.8</w:t>
            </w:r>
          </w:p>
        </w:tc>
        <w:tc>
          <w:tcPr>
            <w:tcW w:w="5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480" w:type="dxa"/>
            <w:vAlign w:val="bottom"/>
          </w:tcPr>
          <w:p>
            <w:pPr>
              <w:spacing w:after="0" w:line="202" w:lineRule="exact"/>
              <w:rPr>
                <w:sz w:val="20"/>
                <w:szCs w:val="20"/>
                <w:color w:val="auto"/>
              </w:rPr>
            </w:pPr>
            <w:r>
              <w:rPr>
                <w:rFonts w:ascii="Arial" w:cs="Arial" w:eastAsia="Arial" w:hAnsi="Arial"/>
                <w:sz w:val="14"/>
                <w:szCs w:val="14"/>
                <w:color w:val="auto"/>
              </w:rPr>
              <w:t>Capital lease obligation, non-current</w:t>
            </w:r>
            <w:r>
              <w:rPr>
                <w:rFonts w:ascii="Arial" w:cs="Arial" w:eastAsia="Arial" w:hAnsi="Arial"/>
                <w:sz w:val="23"/>
                <w:szCs w:val="23"/>
                <w:color w:val="auto"/>
                <w:vertAlign w:val="superscript"/>
              </w:rPr>
              <w:t>(1)</w:t>
            </w:r>
          </w:p>
        </w:tc>
        <w:tc>
          <w:tcPr>
            <w:tcW w:w="100" w:type="dxa"/>
            <w:vAlign w:val="bottom"/>
          </w:tcPr>
          <w:p>
            <w:pPr>
              <w:spacing w:after="0"/>
              <w:rPr>
                <w:sz w:val="17"/>
                <w:szCs w:val="17"/>
                <w:color w:val="auto"/>
              </w:rPr>
            </w:pPr>
          </w:p>
        </w:tc>
        <w:tc>
          <w:tcPr>
            <w:tcW w:w="480" w:type="dxa"/>
            <w:vAlign w:val="bottom"/>
          </w:tcPr>
          <w:p>
            <w:pPr>
              <w:jc w:val="right"/>
              <w:spacing w:after="0"/>
              <w:rPr>
                <w:sz w:val="20"/>
                <w:szCs w:val="20"/>
                <w:color w:val="auto"/>
              </w:rPr>
            </w:pPr>
            <w:r>
              <w:rPr>
                <w:rFonts w:ascii="Arial" w:cs="Arial" w:eastAsia="Arial" w:hAnsi="Arial"/>
                <w:sz w:val="16"/>
                <w:szCs w:val="16"/>
                <w:color w:val="auto"/>
              </w:rPr>
              <w:t>181.2</w:t>
            </w:r>
          </w:p>
        </w:tc>
        <w:tc>
          <w:tcPr>
            <w:tcW w:w="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80" w:type="dxa"/>
            <w:vAlign w:val="bottom"/>
          </w:tcPr>
          <w:p>
            <w:pPr>
              <w:jc w:val="right"/>
              <w:spacing w:after="0"/>
              <w:rPr>
                <w:sz w:val="20"/>
                <w:szCs w:val="20"/>
                <w:color w:val="auto"/>
              </w:rPr>
            </w:pPr>
            <w:r>
              <w:rPr>
                <w:rFonts w:ascii="Arial" w:cs="Arial" w:eastAsia="Arial" w:hAnsi="Arial"/>
                <w:sz w:val="16"/>
                <w:szCs w:val="16"/>
                <w:color w:val="auto"/>
              </w:rPr>
              <w:t>129.6</w:t>
            </w:r>
          </w:p>
        </w:tc>
        <w:tc>
          <w:tcPr>
            <w:tcW w:w="5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72.7</w:t>
            </w:r>
          </w:p>
        </w:tc>
        <w:tc>
          <w:tcPr>
            <w:tcW w:w="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480" w:type="dxa"/>
            <w:vAlign w:val="bottom"/>
            <w:shd w:val="clear" w:color="auto" w:fill="CCEEFF"/>
          </w:tcPr>
          <w:p>
            <w:pPr>
              <w:spacing w:after="0"/>
              <w:rPr>
                <w:sz w:val="20"/>
                <w:szCs w:val="20"/>
                <w:color w:val="auto"/>
              </w:rPr>
            </w:pPr>
            <w:r>
              <w:rPr>
                <w:rFonts w:ascii="Arial" w:cs="Arial" w:eastAsia="Arial" w:hAnsi="Arial"/>
                <w:sz w:val="16"/>
                <w:szCs w:val="16"/>
                <w:color w:val="auto"/>
              </w:rPr>
              <w:t>Deferred rent, non-current</w:t>
            </w:r>
          </w:p>
        </w:tc>
        <w:tc>
          <w:tcPr>
            <w:tcW w:w="100" w:type="dxa"/>
            <w:vAlign w:val="bottom"/>
            <w:shd w:val="clear" w:color="auto" w:fill="CCEEFF"/>
          </w:tcPr>
          <w:p>
            <w:pPr>
              <w:spacing w:after="0"/>
              <w:rPr>
                <w:sz w:val="17"/>
                <w:szCs w:val="17"/>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37.3</w:t>
            </w:r>
          </w:p>
        </w:tc>
        <w:tc>
          <w:tcPr>
            <w:tcW w:w="5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47.5</w:t>
            </w:r>
          </w:p>
        </w:tc>
        <w:tc>
          <w:tcPr>
            <w:tcW w:w="5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45.3</w:t>
            </w:r>
          </w:p>
        </w:tc>
        <w:tc>
          <w:tcPr>
            <w:tcW w:w="5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6480" w:type="dxa"/>
            <w:vAlign w:val="bottom"/>
          </w:tcPr>
          <w:p>
            <w:pPr>
              <w:spacing w:after="0"/>
              <w:rPr>
                <w:sz w:val="20"/>
                <w:szCs w:val="20"/>
                <w:color w:val="auto"/>
              </w:rPr>
            </w:pPr>
            <w:r>
              <w:rPr>
                <w:rFonts w:ascii="Arial" w:cs="Arial" w:eastAsia="Arial" w:hAnsi="Arial"/>
                <w:sz w:val="16"/>
                <w:szCs w:val="16"/>
                <w:color w:val="auto"/>
              </w:rPr>
              <w:t>Other non-current liabilities</w:t>
            </w:r>
          </w:p>
        </w:tc>
        <w:tc>
          <w:tcPr>
            <w:tcW w:w="100" w:type="dxa"/>
            <w:vAlign w:val="bottom"/>
            <w:tcBorders>
              <w:bottom w:val="single" w:sz="8" w:color="auto"/>
            </w:tcBorders>
          </w:tcPr>
          <w:p>
            <w:pPr>
              <w:spacing w:after="0"/>
              <w:rPr>
                <w:sz w:val="18"/>
                <w:szCs w:val="18"/>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75.3</w:t>
            </w:r>
          </w:p>
        </w:tc>
        <w:tc>
          <w:tcPr>
            <w:tcW w:w="58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69.0</w:t>
            </w:r>
          </w:p>
        </w:tc>
        <w:tc>
          <w:tcPr>
            <w:tcW w:w="58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63.7</w:t>
            </w:r>
          </w:p>
        </w:tc>
        <w:tc>
          <w:tcPr>
            <w:tcW w:w="58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6480" w:type="dxa"/>
            <w:vAlign w:val="bottom"/>
            <w:shd w:val="clear" w:color="auto" w:fill="CCEEFF"/>
          </w:tcPr>
          <w:p>
            <w:pPr>
              <w:spacing w:after="0"/>
              <w:rPr>
                <w:sz w:val="20"/>
                <w:szCs w:val="20"/>
                <w:color w:val="auto"/>
              </w:rPr>
            </w:pPr>
            <w:r>
              <w:rPr>
                <w:rFonts w:ascii="Arial" w:cs="Arial" w:eastAsia="Arial" w:hAnsi="Arial"/>
                <w:sz w:val="16"/>
                <w:szCs w:val="16"/>
                <w:color w:val="auto"/>
              </w:rPr>
              <w:t>Total liabilities</w:t>
            </w:r>
          </w:p>
        </w:tc>
        <w:tc>
          <w:tcPr>
            <w:tcW w:w="100" w:type="dxa"/>
            <w:vAlign w:val="bottom"/>
            <w:tcBorders>
              <w:bottom w:val="single" w:sz="8" w:color="auto"/>
            </w:tcBorders>
            <w:shd w:val="clear" w:color="auto" w:fill="CCEEFF"/>
          </w:tcPr>
          <w:p>
            <w:pPr>
              <w:spacing w:after="0"/>
              <w:rPr>
                <w:sz w:val="17"/>
                <w:szCs w:val="17"/>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824.9</w:t>
            </w:r>
          </w:p>
        </w:tc>
        <w:tc>
          <w:tcPr>
            <w:tcW w:w="58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881.4</w:t>
            </w:r>
          </w:p>
        </w:tc>
        <w:tc>
          <w:tcPr>
            <w:tcW w:w="580" w:type="dxa"/>
            <w:vAlign w:val="bottom"/>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877.5</w:t>
            </w:r>
          </w:p>
        </w:tc>
        <w:tc>
          <w:tcPr>
            <w:tcW w:w="58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780" w:type="dxa"/>
            <w:vAlign w:val="bottom"/>
            <w:tcBorders>
              <w:bottom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6480" w:type="dxa"/>
            <w:vAlign w:val="bottom"/>
          </w:tcPr>
          <w:p>
            <w:pPr>
              <w:spacing w:after="0"/>
              <w:rPr>
                <w:sz w:val="20"/>
                <w:szCs w:val="20"/>
                <w:color w:val="auto"/>
              </w:rPr>
            </w:pPr>
            <w:r>
              <w:rPr>
                <w:rFonts w:ascii="Arial" w:cs="Arial" w:eastAsia="Arial" w:hAnsi="Arial"/>
                <w:sz w:val="16"/>
                <w:szCs w:val="16"/>
                <w:color w:val="auto"/>
              </w:rPr>
              <w:t>Commitments and contingencies (Note 10)</w:t>
            </w:r>
          </w:p>
        </w:tc>
        <w:tc>
          <w:tcPr>
            <w:tcW w:w="1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6480" w:type="dxa"/>
            <w:vAlign w:val="bottom"/>
            <w:shd w:val="clear" w:color="auto" w:fill="CCEEFF"/>
          </w:tcPr>
          <w:p>
            <w:pPr>
              <w:spacing w:after="0"/>
              <w:rPr>
                <w:sz w:val="20"/>
                <w:szCs w:val="20"/>
                <w:color w:val="auto"/>
              </w:rPr>
            </w:pPr>
            <w:r>
              <w:rPr>
                <w:rFonts w:ascii="Arial" w:cs="Arial" w:eastAsia="Arial" w:hAnsi="Arial"/>
                <w:sz w:val="16"/>
                <w:szCs w:val="16"/>
                <w:color w:val="auto"/>
              </w:rPr>
              <w:t>Stockholders’ equity:</w:t>
            </w:r>
          </w:p>
        </w:tc>
        <w:tc>
          <w:tcPr>
            <w:tcW w:w="10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3"/>
        </w:trPr>
        <w:tc>
          <w:tcPr>
            <w:tcW w:w="6480" w:type="dxa"/>
            <w:vAlign w:val="bottom"/>
          </w:tcPr>
          <w:p>
            <w:pPr>
              <w:ind w:left="340"/>
              <w:spacing w:after="0"/>
              <w:rPr>
                <w:sz w:val="20"/>
                <w:szCs w:val="20"/>
                <w:color w:val="auto"/>
              </w:rPr>
            </w:pPr>
            <w:r>
              <w:rPr>
                <w:rFonts w:ascii="Arial" w:cs="Arial" w:eastAsia="Arial" w:hAnsi="Arial"/>
                <w:sz w:val="16"/>
                <w:szCs w:val="16"/>
                <w:color w:val="auto"/>
              </w:rPr>
              <w:t>Convertible preferred stock, $0.00001 par value; 226.8 shares authorized as of</w:t>
            </w:r>
          </w:p>
        </w:tc>
        <w:tc>
          <w:tcPr>
            <w:tcW w:w="1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6480" w:type="dxa"/>
            <w:vAlign w:val="bottom"/>
          </w:tcPr>
          <w:p>
            <w:pPr>
              <w:ind w:left="500"/>
              <w:spacing w:after="0"/>
              <w:rPr>
                <w:sz w:val="20"/>
                <w:szCs w:val="20"/>
                <w:color w:val="auto"/>
              </w:rPr>
            </w:pPr>
            <w:r>
              <w:rPr>
                <w:rFonts w:ascii="Arial" w:cs="Arial" w:eastAsia="Arial" w:hAnsi="Arial"/>
                <w:sz w:val="16"/>
                <w:szCs w:val="16"/>
                <w:color w:val="auto"/>
              </w:rPr>
              <w:t>December 31, 2015 and 2016 and September 30, 2017 (unaudited); 221.4 shares</w:t>
            </w:r>
          </w:p>
        </w:tc>
        <w:tc>
          <w:tcPr>
            <w:tcW w:w="1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480" w:type="dxa"/>
            <w:vAlign w:val="bottom"/>
          </w:tcPr>
          <w:p>
            <w:pPr>
              <w:ind w:left="500"/>
              <w:spacing w:after="0"/>
              <w:rPr>
                <w:sz w:val="20"/>
                <w:szCs w:val="20"/>
                <w:color w:val="auto"/>
              </w:rPr>
            </w:pPr>
            <w:r>
              <w:rPr>
                <w:rFonts w:ascii="Arial" w:cs="Arial" w:eastAsia="Arial" w:hAnsi="Arial"/>
                <w:sz w:val="16"/>
                <w:szCs w:val="16"/>
                <w:color w:val="auto"/>
                <w:w w:val="99"/>
              </w:rPr>
              <w:t>issued and outstanding as of December 31, 2015 and 2016 and September 30, 2017</w:t>
            </w:r>
          </w:p>
        </w:tc>
        <w:tc>
          <w:tcPr>
            <w:tcW w:w="1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480" w:type="dxa"/>
            <w:vAlign w:val="bottom"/>
          </w:tcPr>
          <w:p>
            <w:pPr>
              <w:ind w:left="500"/>
              <w:spacing w:after="0"/>
              <w:rPr>
                <w:sz w:val="20"/>
                <w:szCs w:val="20"/>
                <w:color w:val="auto"/>
              </w:rPr>
            </w:pPr>
            <w:r>
              <w:rPr>
                <w:rFonts w:ascii="Arial" w:cs="Arial" w:eastAsia="Arial" w:hAnsi="Arial"/>
                <w:sz w:val="16"/>
                <w:szCs w:val="16"/>
                <w:color w:val="auto"/>
              </w:rPr>
              <w:t>(unaudited); no shares authorized, issued and outstanding pro forma (unaudited);</w:t>
            </w:r>
          </w:p>
        </w:tc>
        <w:tc>
          <w:tcPr>
            <w:tcW w:w="1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480" w:type="dxa"/>
            <w:vAlign w:val="bottom"/>
          </w:tcPr>
          <w:p>
            <w:pPr>
              <w:ind w:left="500"/>
              <w:spacing w:after="0"/>
              <w:rPr>
                <w:sz w:val="20"/>
                <w:szCs w:val="20"/>
                <w:color w:val="auto"/>
              </w:rPr>
            </w:pPr>
            <w:r>
              <w:rPr>
                <w:rFonts w:ascii="Arial" w:cs="Arial" w:eastAsia="Arial" w:hAnsi="Arial"/>
                <w:sz w:val="16"/>
                <w:szCs w:val="16"/>
                <w:color w:val="auto"/>
              </w:rPr>
              <w:t>liquidation preference of 624.7 as of December 31, 2015 and 2016 and</w:t>
            </w:r>
          </w:p>
        </w:tc>
        <w:tc>
          <w:tcPr>
            <w:tcW w:w="1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6480" w:type="dxa"/>
            <w:vAlign w:val="bottom"/>
          </w:tcPr>
          <w:p>
            <w:pPr>
              <w:ind w:left="500"/>
              <w:spacing w:after="0"/>
              <w:rPr>
                <w:sz w:val="20"/>
                <w:szCs w:val="20"/>
                <w:color w:val="auto"/>
              </w:rPr>
            </w:pPr>
            <w:r>
              <w:rPr>
                <w:rFonts w:ascii="Arial" w:cs="Arial" w:eastAsia="Arial" w:hAnsi="Arial"/>
                <w:sz w:val="16"/>
                <w:szCs w:val="16"/>
                <w:color w:val="auto"/>
              </w:rPr>
              <w:t>September 30, 2017 (unaudited)</w:t>
            </w: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6"/>
                <w:szCs w:val="16"/>
                <w:color w:val="auto"/>
              </w:rPr>
              <w:t>615.3</w:t>
            </w: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6"/>
                <w:szCs w:val="16"/>
                <w:color w:val="auto"/>
              </w:rPr>
              <w:t>615.3</w:t>
            </w:r>
          </w:p>
        </w:tc>
        <w:tc>
          <w:tcPr>
            <w:tcW w:w="5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615.3</w:t>
            </w:r>
          </w:p>
        </w:tc>
        <w:tc>
          <w:tcPr>
            <w:tcW w:w="58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96"/>
        </w:trPr>
        <w:tc>
          <w:tcPr>
            <w:tcW w:w="6480" w:type="dxa"/>
            <w:vAlign w:val="bottom"/>
            <w:shd w:val="clear" w:color="auto" w:fill="CCEEFF"/>
          </w:tcPr>
          <w:p>
            <w:pPr>
              <w:ind w:left="340"/>
              <w:spacing w:after="0"/>
              <w:rPr>
                <w:sz w:val="20"/>
                <w:szCs w:val="20"/>
                <w:color w:val="auto"/>
              </w:rPr>
            </w:pPr>
            <w:r>
              <w:rPr>
                <w:rFonts w:ascii="Arial" w:cs="Arial" w:eastAsia="Arial" w:hAnsi="Arial"/>
                <w:sz w:val="16"/>
                <w:szCs w:val="16"/>
                <w:color w:val="auto"/>
              </w:rPr>
              <w:t>Common stock $0.00001 par value; 1,500.0 shares authorized; Class A common</w:t>
            </w:r>
          </w:p>
        </w:tc>
        <w:tc>
          <w:tcPr>
            <w:tcW w:w="10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480" w:type="dxa"/>
            <w:vAlign w:val="bottom"/>
            <w:shd w:val="clear" w:color="auto" w:fill="CCEEFF"/>
          </w:tcPr>
          <w:p>
            <w:pPr>
              <w:ind w:left="500"/>
              <w:spacing w:after="0"/>
              <w:rPr>
                <w:sz w:val="20"/>
                <w:szCs w:val="20"/>
                <w:color w:val="auto"/>
              </w:rPr>
            </w:pPr>
            <w:r>
              <w:rPr>
                <w:rFonts w:ascii="Arial" w:cs="Arial" w:eastAsia="Arial" w:hAnsi="Arial"/>
                <w:sz w:val="16"/>
                <w:szCs w:val="16"/>
                <w:color w:val="auto"/>
              </w:rPr>
              <w:t>stock - 800.0 shares authorized; 8.3 shares issued and outstanding as of</w:t>
            </w:r>
          </w:p>
        </w:tc>
        <w:tc>
          <w:tcPr>
            <w:tcW w:w="10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480" w:type="dxa"/>
            <w:vAlign w:val="bottom"/>
            <w:shd w:val="clear" w:color="auto" w:fill="CCEEFF"/>
          </w:tcPr>
          <w:p>
            <w:pPr>
              <w:ind w:left="500"/>
              <w:spacing w:after="0"/>
              <w:rPr>
                <w:sz w:val="20"/>
                <w:szCs w:val="20"/>
                <w:color w:val="auto"/>
              </w:rPr>
            </w:pPr>
            <w:r>
              <w:rPr>
                <w:rFonts w:ascii="Arial" w:cs="Arial" w:eastAsia="Arial" w:hAnsi="Arial"/>
                <w:sz w:val="16"/>
                <w:szCs w:val="16"/>
                <w:color w:val="auto"/>
                <w:w w:val="97"/>
              </w:rPr>
              <w:t>December 31, 2015 and 2016; 9.6 shares issued and outstanding as of September 30,</w:t>
            </w:r>
          </w:p>
        </w:tc>
        <w:tc>
          <w:tcPr>
            <w:tcW w:w="10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480" w:type="dxa"/>
            <w:vAlign w:val="bottom"/>
            <w:shd w:val="clear" w:color="auto" w:fill="CCEEFF"/>
          </w:tcPr>
          <w:p>
            <w:pPr>
              <w:ind w:left="500"/>
              <w:spacing w:after="0"/>
              <w:rPr>
                <w:sz w:val="20"/>
                <w:szCs w:val="20"/>
                <w:color w:val="auto"/>
              </w:rPr>
            </w:pPr>
            <w:r>
              <w:rPr>
                <w:rFonts w:ascii="Arial" w:cs="Arial" w:eastAsia="Arial" w:hAnsi="Arial"/>
                <w:sz w:val="16"/>
                <w:szCs w:val="16"/>
                <w:color w:val="auto"/>
              </w:rPr>
              <w:t>2017 (unaudited); 13.9 shares issued and outstanding pro forma (unaudited); Class</w:t>
            </w:r>
          </w:p>
        </w:tc>
        <w:tc>
          <w:tcPr>
            <w:tcW w:w="10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480" w:type="dxa"/>
            <w:vAlign w:val="bottom"/>
            <w:shd w:val="clear" w:color="auto" w:fill="CCEEFF"/>
          </w:tcPr>
          <w:p>
            <w:pPr>
              <w:ind w:left="500"/>
              <w:spacing w:after="0"/>
              <w:rPr>
                <w:sz w:val="20"/>
                <w:szCs w:val="20"/>
                <w:color w:val="auto"/>
              </w:rPr>
            </w:pPr>
            <w:r>
              <w:rPr>
                <w:rFonts w:ascii="Arial" w:cs="Arial" w:eastAsia="Arial" w:hAnsi="Arial"/>
                <w:sz w:val="16"/>
                <w:szCs w:val="16"/>
                <w:color w:val="auto"/>
              </w:rPr>
              <w:t>B common stock - 700.0 shares authorized, 272.8, 272.5 and 283.6 shares issued</w:t>
            </w:r>
          </w:p>
        </w:tc>
        <w:tc>
          <w:tcPr>
            <w:tcW w:w="10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480" w:type="dxa"/>
            <w:vAlign w:val="bottom"/>
            <w:shd w:val="clear" w:color="auto" w:fill="CCEEFF"/>
          </w:tcPr>
          <w:p>
            <w:pPr>
              <w:ind w:left="500"/>
              <w:spacing w:after="0"/>
              <w:rPr>
                <w:sz w:val="20"/>
                <w:szCs w:val="20"/>
                <w:color w:val="auto"/>
              </w:rPr>
            </w:pPr>
            <w:r>
              <w:rPr>
                <w:rFonts w:ascii="Arial" w:cs="Arial" w:eastAsia="Arial" w:hAnsi="Arial"/>
                <w:sz w:val="16"/>
                <w:szCs w:val="16"/>
                <w:color w:val="auto"/>
              </w:rPr>
              <w:t>and outstanding as of December 31, 2015 and 2016 and September 30, 2017</w:t>
            </w:r>
          </w:p>
        </w:tc>
        <w:tc>
          <w:tcPr>
            <w:tcW w:w="10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6480" w:type="dxa"/>
            <w:vAlign w:val="bottom"/>
            <w:shd w:val="clear" w:color="auto" w:fill="CCEEFF"/>
          </w:tcPr>
          <w:p>
            <w:pPr>
              <w:ind w:left="500"/>
              <w:spacing w:after="0"/>
              <w:rPr>
                <w:sz w:val="20"/>
                <w:szCs w:val="20"/>
                <w:color w:val="auto"/>
              </w:rPr>
            </w:pPr>
            <w:r>
              <w:rPr>
                <w:rFonts w:ascii="Arial" w:cs="Arial" w:eastAsia="Arial" w:hAnsi="Arial"/>
                <w:sz w:val="16"/>
                <w:szCs w:val="16"/>
                <w:color w:val="auto"/>
                <w:w w:val="98"/>
              </w:rPr>
              <w:t>(unaudited), respectively; 538.9 shares issued and outstanding pro forma (unaudited)</w:t>
            </w: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66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660"/>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66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3"/>
        </w:trPr>
        <w:tc>
          <w:tcPr>
            <w:tcW w:w="6480" w:type="dxa"/>
            <w:vAlign w:val="bottom"/>
          </w:tcPr>
          <w:p>
            <w:pPr>
              <w:ind w:left="340"/>
              <w:spacing w:after="0"/>
              <w:rPr>
                <w:sz w:val="20"/>
                <w:szCs w:val="20"/>
                <w:color w:val="auto"/>
              </w:rPr>
            </w:pPr>
            <w:r>
              <w:rPr>
                <w:rFonts w:ascii="Arial" w:cs="Arial" w:eastAsia="Arial" w:hAnsi="Arial"/>
                <w:sz w:val="16"/>
                <w:szCs w:val="16"/>
                <w:color w:val="auto"/>
              </w:rPr>
              <w:t>Additional paid-in capital</w:t>
            </w:r>
          </w:p>
        </w:tc>
        <w:tc>
          <w:tcPr>
            <w:tcW w:w="100" w:type="dxa"/>
            <w:vAlign w:val="bottom"/>
          </w:tcPr>
          <w:p>
            <w:pPr>
              <w:spacing w:after="0"/>
              <w:rPr>
                <w:sz w:val="17"/>
                <w:szCs w:val="17"/>
                <w:color w:val="auto"/>
              </w:rPr>
            </w:pPr>
          </w:p>
        </w:tc>
        <w:tc>
          <w:tcPr>
            <w:tcW w:w="480" w:type="dxa"/>
            <w:vAlign w:val="bottom"/>
          </w:tcPr>
          <w:p>
            <w:pPr>
              <w:jc w:val="right"/>
              <w:spacing w:after="0"/>
              <w:rPr>
                <w:sz w:val="20"/>
                <w:szCs w:val="20"/>
                <w:color w:val="auto"/>
              </w:rPr>
            </w:pPr>
            <w:r>
              <w:rPr>
                <w:rFonts w:ascii="Arial" w:cs="Arial" w:eastAsia="Arial" w:hAnsi="Arial"/>
                <w:sz w:val="16"/>
                <w:szCs w:val="16"/>
                <w:color w:val="auto"/>
              </w:rPr>
              <w:t>297.3</w:t>
            </w:r>
          </w:p>
        </w:tc>
        <w:tc>
          <w:tcPr>
            <w:tcW w:w="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80" w:type="dxa"/>
            <w:vAlign w:val="bottom"/>
          </w:tcPr>
          <w:p>
            <w:pPr>
              <w:jc w:val="right"/>
              <w:spacing w:after="0"/>
              <w:rPr>
                <w:sz w:val="20"/>
                <w:szCs w:val="20"/>
                <w:color w:val="auto"/>
              </w:rPr>
            </w:pPr>
            <w:r>
              <w:rPr>
                <w:rFonts w:ascii="Arial" w:cs="Arial" w:eastAsia="Arial" w:hAnsi="Arial"/>
                <w:sz w:val="16"/>
                <w:szCs w:val="16"/>
                <w:color w:val="auto"/>
              </w:rPr>
              <w:t>446.0</w:t>
            </w:r>
          </w:p>
        </w:tc>
        <w:tc>
          <w:tcPr>
            <w:tcW w:w="5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501.4</w:t>
            </w:r>
          </w:p>
        </w:tc>
        <w:tc>
          <w:tcPr>
            <w:tcW w:w="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1,532.1</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480" w:type="dxa"/>
            <w:vAlign w:val="bottom"/>
            <w:shd w:val="clear" w:color="auto" w:fill="CCEEFF"/>
          </w:tcPr>
          <w:p>
            <w:pPr>
              <w:ind w:left="340"/>
              <w:spacing w:after="0"/>
              <w:rPr>
                <w:sz w:val="20"/>
                <w:szCs w:val="20"/>
                <w:color w:val="auto"/>
              </w:rPr>
            </w:pPr>
            <w:r>
              <w:rPr>
                <w:rFonts w:ascii="Arial" w:cs="Arial" w:eastAsia="Arial" w:hAnsi="Arial"/>
                <w:sz w:val="16"/>
                <w:szCs w:val="16"/>
                <w:color w:val="auto"/>
              </w:rPr>
              <w:t>Accumulated deficit</w:t>
            </w:r>
          </w:p>
        </w:tc>
        <w:tc>
          <w:tcPr>
            <w:tcW w:w="10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520"/>
              <w:spacing w:after="0"/>
              <w:rPr>
                <w:sz w:val="20"/>
                <w:szCs w:val="20"/>
                <w:color w:val="auto"/>
              </w:rPr>
            </w:pPr>
            <w:r>
              <w:rPr>
                <w:rFonts w:ascii="Arial" w:cs="Arial" w:eastAsia="Arial" w:hAnsi="Arial"/>
                <w:sz w:val="16"/>
                <w:szCs w:val="16"/>
                <w:color w:val="auto"/>
              </w:rPr>
              <w:t>(727.3)</w:t>
            </w:r>
          </w:p>
        </w:tc>
        <w:tc>
          <w:tcPr>
            <w:tcW w:w="10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520"/>
              <w:spacing w:after="0"/>
              <w:rPr>
                <w:sz w:val="20"/>
                <w:szCs w:val="20"/>
                <w:color w:val="auto"/>
              </w:rPr>
            </w:pPr>
            <w:r>
              <w:rPr>
                <w:rFonts w:ascii="Arial" w:cs="Arial" w:eastAsia="Arial" w:hAnsi="Arial"/>
                <w:sz w:val="16"/>
                <w:szCs w:val="16"/>
                <w:color w:val="auto"/>
              </w:rPr>
              <w:t>(937.5)</w:t>
            </w:r>
          </w:p>
        </w:tc>
        <w:tc>
          <w:tcPr>
            <w:tcW w:w="200" w:type="dxa"/>
            <w:vAlign w:val="bottom"/>
            <w:shd w:val="clear" w:color="auto" w:fill="CCEEFF"/>
          </w:tcPr>
          <w:p>
            <w:pPr>
              <w:spacing w:after="0"/>
              <w:rPr>
                <w:sz w:val="17"/>
                <w:szCs w:val="17"/>
                <w:color w:val="auto"/>
              </w:rPr>
            </w:pPr>
          </w:p>
        </w:tc>
        <w:tc>
          <w:tcPr>
            <w:tcW w:w="1260" w:type="dxa"/>
            <w:vAlign w:val="bottom"/>
            <w:gridSpan w:val="2"/>
            <w:shd w:val="clear" w:color="auto" w:fill="CCEEFF"/>
          </w:tcPr>
          <w:p>
            <w:pPr>
              <w:jc w:val="right"/>
              <w:ind w:right="520"/>
              <w:spacing w:after="0"/>
              <w:rPr>
                <w:sz w:val="20"/>
                <w:szCs w:val="20"/>
                <w:color w:val="auto"/>
              </w:rPr>
            </w:pPr>
            <w:r>
              <w:rPr>
                <w:rFonts w:ascii="Arial" w:cs="Arial" w:eastAsia="Arial" w:hAnsi="Arial"/>
                <w:sz w:val="16"/>
                <w:szCs w:val="16"/>
                <w:color w:val="auto"/>
              </w:rPr>
              <w:t>(1,012.0)</w:t>
            </w:r>
          </w:p>
        </w:tc>
        <w:tc>
          <w:tcPr>
            <w:tcW w:w="10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(1,427.4)</w:t>
            </w:r>
          </w:p>
        </w:tc>
        <w:tc>
          <w:tcPr>
            <w:tcW w:w="0" w:type="dxa"/>
            <w:vAlign w:val="bottom"/>
          </w:tcPr>
          <w:p>
            <w:pPr>
              <w:spacing w:after="0"/>
              <w:rPr>
                <w:sz w:val="1"/>
                <w:szCs w:val="1"/>
                <w:color w:val="auto"/>
              </w:rPr>
            </w:pPr>
          </w:p>
        </w:tc>
      </w:tr>
      <w:tr>
        <w:trPr>
          <w:trHeight w:val="210"/>
        </w:trPr>
        <w:tc>
          <w:tcPr>
            <w:tcW w:w="6480" w:type="dxa"/>
            <w:vAlign w:val="bottom"/>
          </w:tcPr>
          <w:p>
            <w:pPr>
              <w:ind w:left="340"/>
              <w:spacing w:after="0"/>
              <w:rPr>
                <w:sz w:val="20"/>
                <w:szCs w:val="20"/>
                <w:color w:val="auto"/>
              </w:rPr>
            </w:pPr>
            <w:r>
              <w:rPr>
                <w:rFonts w:ascii="Arial" w:cs="Arial" w:eastAsia="Arial" w:hAnsi="Arial"/>
                <w:sz w:val="16"/>
                <w:szCs w:val="16"/>
                <w:color w:val="auto"/>
              </w:rPr>
              <w:t>Accumulated other comprehensive income (loss)</w:t>
            </w: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6"/>
                <w:szCs w:val="16"/>
                <w:color w:val="auto"/>
              </w:rPr>
              <w:t>0.3</w:t>
            </w: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tcPr>
          <w:p>
            <w:pPr>
              <w:jc w:val="right"/>
              <w:ind w:right="520"/>
              <w:spacing w:after="0"/>
              <w:rPr>
                <w:sz w:val="20"/>
                <w:szCs w:val="20"/>
                <w:color w:val="auto"/>
              </w:rPr>
            </w:pPr>
            <w:r>
              <w:rPr>
                <w:rFonts w:ascii="Arial" w:cs="Arial" w:eastAsia="Arial" w:hAnsi="Arial"/>
                <w:sz w:val="16"/>
                <w:szCs w:val="16"/>
                <w:color w:val="auto"/>
              </w:rPr>
              <w:t>(1.0)</w:t>
            </w:r>
          </w:p>
        </w:tc>
        <w:tc>
          <w:tcPr>
            <w:tcW w:w="2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4.3</w:t>
            </w: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4.3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6480" w:type="dxa"/>
            <w:vAlign w:val="bottom"/>
            <w:shd w:val="clear" w:color="auto" w:fill="CCEEFF"/>
          </w:tcPr>
          <w:p>
            <w:pPr>
              <w:spacing w:after="0"/>
              <w:rPr>
                <w:sz w:val="20"/>
                <w:szCs w:val="20"/>
                <w:color w:val="auto"/>
              </w:rPr>
            </w:pPr>
            <w:r>
              <w:rPr>
                <w:rFonts w:ascii="Arial" w:cs="Arial" w:eastAsia="Arial" w:hAnsi="Arial"/>
                <w:sz w:val="16"/>
                <w:szCs w:val="16"/>
                <w:color w:val="auto"/>
              </w:rPr>
              <w:t>Total stockholders’ equity</w:t>
            </w:r>
          </w:p>
        </w:tc>
        <w:tc>
          <w:tcPr>
            <w:tcW w:w="100" w:type="dxa"/>
            <w:vAlign w:val="bottom"/>
            <w:tcBorders>
              <w:top w:val="single" w:sz="8" w:color="auto"/>
            </w:tcBorders>
            <w:shd w:val="clear" w:color="auto" w:fill="CCEEFF"/>
          </w:tcPr>
          <w:p>
            <w:pPr>
              <w:spacing w:after="0"/>
              <w:rPr>
                <w:sz w:val="17"/>
                <w:szCs w:val="17"/>
                <w:color w:val="auto"/>
              </w:rPr>
            </w:pPr>
          </w:p>
        </w:tc>
        <w:tc>
          <w:tcPr>
            <w:tcW w:w="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185.6</w:t>
            </w:r>
          </w:p>
        </w:tc>
        <w:tc>
          <w:tcPr>
            <w:tcW w:w="580" w:type="dxa"/>
            <w:vAlign w:val="bottom"/>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122.8</w:t>
            </w:r>
          </w:p>
        </w:tc>
        <w:tc>
          <w:tcPr>
            <w:tcW w:w="580" w:type="dxa"/>
            <w:vAlign w:val="bottom"/>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109.0</w:t>
            </w:r>
          </w:p>
        </w:tc>
        <w:tc>
          <w:tcPr>
            <w:tcW w:w="580" w:type="dxa"/>
            <w:vAlign w:val="bottom"/>
            <w:shd w:val="clear" w:color="auto" w:fill="CCEEFF"/>
          </w:tcPr>
          <w:p>
            <w:pPr>
              <w:spacing w:after="0"/>
              <w:rPr>
                <w:sz w:val="17"/>
                <w:szCs w:val="17"/>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109.0</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480" w:type="dxa"/>
            <w:vAlign w:val="bottom"/>
            <w:vMerge w:val="restart"/>
          </w:tcPr>
          <w:p>
            <w:pPr>
              <w:spacing w:after="0"/>
              <w:rPr>
                <w:sz w:val="20"/>
                <w:szCs w:val="20"/>
                <w:color w:val="auto"/>
              </w:rPr>
            </w:pPr>
            <w:r>
              <w:rPr>
                <w:rFonts w:ascii="Arial" w:cs="Arial" w:eastAsia="Arial" w:hAnsi="Arial"/>
                <w:sz w:val="16"/>
                <w:szCs w:val="16"/>
                <w:b w:val="1"/>
                <w:bCs w:val="1"/>
                <w:color w:val="auto"/>
              </w:rPr>
              <w:t>Total liabilities and stockholders’ equity</w:t>
            </w:r>
          </w:p>
        </w:tc>
        <w:tc>
          <w:tcPr>
            <w:tcW w:w="1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3"/>
        </w:trPr>
        <w:tc>
          <w:tcPr>
            <w:tcW w:w="6480" w:type="dxa"/>
            <w:vAlign w:val="bottom"/>
            <w:vMerge w:val="continue"/>
          </w:tcPr>
          <w:p>
            <w:pPr>
              <w:spacing w:after="0"/>
              <w:rPr>
                <w:sz w:val="16"/>
                <w:szCs w:val="16"/>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u w:val="single" w:color="auto"/>
                <w:color w:val="auto"/>
                <w:w w:val="71"/>
              </w:rPr>
              <w:t>$</w:t>
            </w: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6"/>
              </w:rPr>
              <w:t>1,010.5</w:t>
            </w:r>
          </w:p>
        </w:tc>
        <w:tc>
          <w:tcPr>
            <w:tcW w:w="580" w:type="dxa"/>
            <w:vAlign w:val="bottom"/>
          </w:tcPr>
          <w:p>
            <w:pPr>
              <w:spacing w:after="0"/>
              <w:rPr>
                <w:sz w:val="16"/>
                <w:szCs w:val="16"/>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u w:val="single" w:color="auto"/>
                <w:color w:val="auto"/>
                <w:w w:val="71"/>
              </w:rPr>
              <w:t>$</w:t>
            </w: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6"/>
              </w:rPr>
              <w:t>1,004.2</w:t>
            </w:r>
          </w:p>
        </w:tc>
        <w:tc>
          <w:tcPr>
            <w:tcW w:w="580" w:type="dxa"/>
            <w:vAlign w:val="bottom"/>
          </w:tcPr>
          <w:p>
            <w:pPr>
              <w:spacing w:after="0"/>
              <w:rPr>
                <w:sz w:val="16"/>
                <w:szCs w:val="16"/>
                <w:color w:val="auto"/>
              </w:rPr>
            </w:pPr>
          </w:p>
        </w:tc>
        <w:tc>
          <w:tcPr>
            <w:tcW w:w="20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986.5</w:t>
            </w:r>
          </w:p>
        </w:tc>
        <w:tc>
          <w:tcPr>
            <w:tcW w:w="5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64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31" w:lineRule="exact"/>
        <w:rPr>
          <w:sz w:val="20"/>
          <w:szCs w:val="20"/>
          <w:color w:val="auto"/>
        </w:rPr>
      </w:pPr>
    </w:p>
    <w:p>
      <w:pPr>
        <w:ind w:left="340" w:hanging="332"/>
        <w:spacing w:after="0"/>
        <w:tabs>
          <w:tab w:leader="none" w:pos="340" w:val="left"/>
        </w:tabs>
        <w:numPr>
          <w:ilvl w:val="0"/>
          <w:numId w:val="99"/>
        </w:numPr>
        <w:rPr>
          <w:rFonts w:ascii="Arial" w:cs="Arial" w:eastAsia="Arial" w:hAnsi="Arial"/>
          <w:sz w:val="28"/>
          <w:szCs w:val="28"/>
          <w:color w:val="auto"/>
          <w:vertAlign w:val="superscript"/>
        </w:rPr>
      </w:pPr>
      <w:r>
        <w:rPr>
          <w:rFonts w:ascii="Arial" w:cs="Arial" w:eastAsia="Arial" w:hAnsi="Arial"/>
          <w:sz w:val="16"/>
          <w:szCs w:val="16"/>
          <w:color w:val="auto"/>
        </w:rPr>
        <w:t>Includes amounts attributable to related party transactions. See Note 15 for further details.</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See accompanying Notes to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w:t>
      </w:r>
    </w:p>
    <w:p>
      <w:pPr>
        <w:sectPr>
          <w:pgSz w:w="11900" w:h="16838" w:orient="portrait"/>
          <w:cols w:equalWidth="0" w:num="1">
            <w:col w:w="11240"/>
          </w:cols>
          <w:pgMar w:left="320" w:top="459" w:right="339" w:bottom="1440" w:gutter="0" w:footer="0" w:header="0"/>
        </w:sectPr>
      </w:pPr>
    </w:p>
    <w:bookmarkStart w:id="162" w:name="page163"/>
    <w:bookmarkEnd w:id="16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DROPBOX,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OPERATIONS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(In millions, except per share data)</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260" w:type="dxa"/>
            <w:vAlign w:val="bottom"/>
            <w:gridSpan w:val="6"/>
          </w:tcPr>
          <w:p>
            <w:pPr>
              <w:jc w:val="right"/>
              <w:ind w:right="600"/>
              <w:spacing w:after="0"/>
              <w:rPr>
                <w:sz w:val="20"/>
                <w:szCs w:val="20"/>
                <w:color w:val="auto"/>
              </w:rPr>
            </w:pPr>
            <w:r>
              <w:rPr>
                <w:rFonts w:ascii="Arial" w:cs="Arial" w:eastAsia="Arial" w:hAnsi="Arial"/>
                <w:sz w:val="14"/>
                <w:szCs w:val="14"/>
                <w:b w:val="1"/>
                <w:bCs w:val="1"/>
                <w:color w:val="auto"/>
                <w:w w:val="96"/>
              </w:rPr>
              <w:t>Year ended December 31,</w:t>
            </w:r>
          </w:p>
        </w:tc>
        <w:tc>
          <w:tcPr>
            <w:tcW w:w="3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520" w:type="dxa"/>
            <w:vAlign w:val="bottom"/>
            <w:gridSpan w:val="5"/>
          </w:tcPr>
          <w:p>
            <w:pPr>
              <w:jc w:val="right"/>
              <w:ind w:right="340"/>
              <w:spacing w:after="0"/>
              <w:rPr>
                <w:sz w:val="20"/>
                <w:szCs w:val="20"/>
                <w:color w:val="auto"/>
              </w:rPr>
            </w:pPr>
            <w:r>
              <w:rPr>
                <w:rFonts w:ascii="Arial" w:cs="Arial" w:eastAsia="Arial" w:hAnsi="Arial"/>
                <w:sz w:val="14"/>
                <w:szCs w:val="14"/>
                <w:b w:val="1"/>
                <w:bCs w:val="1"/>
                <w:color w:val="auto"/>
                <w:w w:val="94"/>
              </w:rPr>
              <w:t>Nine months ended September 30,</w:t>
            </w:r>
          </w:p>
        </w:tc>
        <w:tc>
          <w:tcPr>
            <w:tcW w:w="0" w:type="dxa"/>
            <w:vAlign w:val="bottom"/>
          </w:tcPr>
          <w:p>
            <w:pPr>
              <w:spacing w:after="0"/>
              <w:rPr>
                <w:sz w:val="1"/>
                <w:szCs w:val="1"/>
                <w:color w:val="auto"/>
              </w:rPr>
            </w:pPr>
          </w:p>
        </w:tc>
      </w:tr>
      <w:tr>
        <w:trPr>
          <w:trHeight w:val="142"/>
        </w:trPr>
        <w:tc>
          <w:tcPr>
            <w:tcW w:w="55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520" w:type="dxa"/>
            <w:vAlign w:val="bottom"/>
            <w:tcBorders>
              <w:top w:val="single" w:sz="8" w:color="auto"/>
              <w:bottom w:val="single" w:sz="8" w:color="auto"/>
            </w:tcBorders>
          </w:tcPr>
          <w:p>
            <w:pPr>
              <w:jc w:val="right"/>
              <w:ind w:right="92"/>
              <w:spacing w:after="0" w:line="142" w:lineRule="exact"/>
              <w:rPr>
                <w:sz w:val="20"/>
                <w:szCs w:val="20"/>
                <w:color w:val="auto"/>
              </w:rPr>
            </w:pPr>
            <w:r>
              <w:rPr>
                <w:rFonts w:ascii="Arial" w:cs="Arial" w:eastAsia="Arial" w:hAnsi="Arial"/>
                <w:sz w:val="14"/>
                <w:szCs w:val="14"/>
                <w:b w:val="1"/>
                <w:bCs w:val="1"/>
                <w:color w:val="auto"/>
              </w:rPr>
              <w:t>2015</w:t>
            </w:r>
          </w:p>
        </w:tc>
        <w:tc>
          <w:tcPr>
            <w:tcW w:w="660" w:type="dxa"/>
            <w:vAlign w:val="bottom"/>
            <w:tcBorders>
              <w:top w:val="single" w:sz="8" w:color="auto"/>
            </w:tcBorders>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560" w:type="dxa"/>
            <w:vAlign w:val="bottom"/>
            <w:tcBorders>
              <w:top w:val="single" w:sz="8" w:color="auto"/>
              <w:bottom w:val="single" w:sz="8" w:color="auto"/>
            </w:tcBorders>
          </w:tcPr>
          <w:p>
            <w:pPr>
              <w:jc w:val="right"/>
              <w:ind w:right="111"/>
              <w:spacing w:after="0" w:line="142" w:lineRule="exact"/>
              <w:rPr>
                <w:sz w:val="20"/>
                <w:szCs w:val="20"/>
                <w:color w:val="auto"/>
              </w:rPr>
            </w:pPr>
            <w:r>
              <w:rPr>
                <w:rFonts w:ascii="Arial" w:cs="Arial" w:eastAsia="Arial" w:hAnsi="Arial"/>
                <w:sz w:val="14"/>
                <w:szCs w:val="14"/>
                <w:b w:val="1"/>
                <w:bCs w:val="1"/>
                <w:color w:val="auto"/>
              </w:rPr>
              <w:t>2016</w:t>
            </w:r>
          </w:p>
        </w:tc>
        <w:tc>
          <w:tcPr>
            <w:tcW w:w="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760" w:type="dxa"/>
            <w:vAlign w:val="bottom"/>
            <w:tcBorders>
              <w:top w:val="single" w:sz="8" w:color="auto"/>
              <w:bottom w:val="single" w:sz="8" w:color="auto"/>
            </w:tcBorders>
          </w:tcPr>
          <w:p>
            <w:pPr>
              <w:jc w:val="right"/>
              <w:ind w:right="232"/>
              <w:spacing w:after="0" w:line="142" w:lineRule="exact"/>
              <w:rPr>
                <w:sz w:val="20"/>
                <w:szCs w:val="20"/>
                <w:color w:val="auto"/>
              </w:rPr>
            </w:pPr>
            <w:r>
              <w:rPr>
                <w:rFonts w:ascii="Arial" w:cs="Arial" w:eastAsia="Arial" w:hAnsi="Arial"/>
                <w:sz w:val="14"/>
                <w:szCs w:val="14"/>
                <w:b w:val="1"/>
                <w:bCs w:val="1"/>
                <w:color w:val="auto"/>
              </w:rPr>
              <w:t>2016</w:t>
            </w:r>
          </w:p>
        </w:tc>
        <w:tc>
          <w:tcPr>
            <w:tcW w:w="700" w:type="dxa"/>
            <w:vAlign w:val="bottom"/>
            <w:tcBorders>
              <w:top w:val="single" w:sz="8" w:color="auto"/>
              <w:bottom w:val="single" w:sz="8" w:color="auto"/>
            </w:tcBorders>
          </w:tcPr>
          <w:p>
            <w:pPr>
              <w:spacing w:after="0"/>
              <w:rPr>
                <w:sz w:val="12"/>
                <w:szCs w:val="12"/>
                <w:color w:val="auto"/>
              </w:rPr>
            </w:pPr>
          </w:p>
        </w:tc>
        <w:tc>
          <w:tcPr>
            <w:tcW w:w="220" w:type="dxa"/>
            <w:vAlign w:val="bottom"/>
            <w:tcBorders>
              <w:top w:val="single" w:sz="8" w:color="auto"/>
              <w:bottom w:val="single" w:sz="8" w:color="auto"/>
            </w:tcBorders>
          </w:tcPr>
          <w:p>
            <w:pPr>
              <w:spacing w:after="0"/>
              <w:rPr>
                <w:sz w:val="12"/>
                <w:szCs w:val="12"/>
                <w:color w:val="auto"/>
              </w:rPr>
            </w:pPr>
          </w:p>
        </w:tc>
        <w:tc>
          <w:tcPr>
            <w:tcW w:w="740" w:type="dxa"/>
            <w:vAlign w:val="bottom"/>
            <w:tcBorders>
              <w:top w:val="single" w:sz="8" w:color="auto"/>
              <w:bottom w:val="single" w:sz="8" w:color="auto"/>
            </w:tcBorders>
          </w:tcPr>
          <w:p>
            <w:pPr>
              <w:jc w:val="right"/>
              <w:ind w:right="251"/>
              <w:spacing w:after="0" w:line="142" w:lineRule="exact"/>
              <w:rPr>
                <w:sz w:val="20"/>
                <w:szCs w:val="20"/>
                <w:color w:val="auto"/>
              </w:rPr>
            </w:pPr>
            <w:r>
              <w:rPr>
                <w:rFonts w:ascii="Arial" w:cs="Arial" w:eastAsia="Arial" w:hAnsi="Arial"/>
                <w:sz w:val="14"/>
                <w:szCs w:val="14"/>
                <w:b w:val="1"/>
                <w:bCs w:val="1"/>
                <w:color w:val="auto"/>
              </w:rPr>
              <w:t>2017</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55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920" w:type="dxa"/>
            <w:vAlign w:val="bottom"/>
            <w:gridSpan w:val="2"/>
          </w:tcPr>
          <w:p>
            <w:pPr>
              <w:jc w:val="right"/>
              <w:ind w:right="110"/>
              <w:spacing w:after="0" w:line="142" w:lineRule="exact"/>
              <w:rPr>
                <w:sz w:val="20"/>
                <w:szCs w:val="20"/>
                <w:color w:val="auto"/>
              </w:rPr>
            </w:pPr>
            <w:r>
              <w:rPr>
                <w:rFonts w:ascii="Arial" w:cs="Arial" w:eastAsia="Arial" w:hAnsi="Arial"/>
                <w:sz w:val="14"/>
                <w:szCs w:val="14"/>
                <w:i w:val="1"/>
                <w:iCs w:val="1"/>
                <w:color w:val="auto"/>
                <w:w w:val="95"/>
              </w:rPr>
              <w:t>(Unaudited)</w:t>
            </w: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5560" w:type="dxa"/>
            <w:vAlign w:val="bottom"/>
            <w:shd w:val="clear" w:color="auto" w:fill="CCEEFF"/>
          </w:tcPr>
          <w:p>
            <w:pPr>
              <w:spacing w:after="0"/>
              <w:rPr>
                <w:sz w:val="20"/>
                <w:szCs w:val="20"/>
                <w:color w:val="auto"/>
              </w:rPr>
            </w:pPr>
            <w:r>
              <w:rPr>
                <w:rFonts w:ascii="Arial" w:cs="Arial" w:eastAsia="Arial" w:hAnsi="Arial"/>
                <w:sz w:val="18"/>
                <w:szCs w:val="18"/>
                <w:color w:val="auto"/>
              </w:rPr>
              <w:t>Revenue</w:t>
            </w:r>
          </w:p>
        </w:tc>
        <w:tc>
          <w:tcPr>
            <w:tcW w:w="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581"/>
              <w:spacing w:after="0"/>
              <w:rPr>
                <w:sz w:val="20"/>
                <w:szCs w:val="20"/>
                <w:color w:val="auto"/>
              </w:rPr>
            </w:pPr>
            <w:r>
              <w:rPr>
                <w:rFonts w:ascii="Arial" w:cs="Arial" w:eastAsia="Arial" w:hAnsi="Arial"/>
                <w:sz w:val="18"/>
                <w:szCs w:val="18"/>
                <w:color w:val="auto"/>
              </w:rPr>
              <w:t>603.8</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844.8</w:t>
            </w:r>
          </w:p>
        </w:tc>
        <w:tc>
          <w:tcPr>
            <w:tcW w:w="340" w:type="dxa"/>
            <w:vAlign w:val="bottom"/>
            <w:shd w:val="clear" w:color="auto" w:fill="CCEEFF"/>
          </w:tcPr>
          <w:p>
            <w:pPr>
              <w:spacing w:after="0"/>
              <w:rPr>
                <w:sz w:val="18"/>
                <w:szCs w:val="18"/>
                <w:color w:val="auto"/>
              </w:rPr>
            </w:pPr>
          </w:p>
        </w:tc>
        <w:tc>
          <w:tcPr>
            <w:tcW w:w="460" w:type="dxa"/>
            <w:vAlign w:val="bottom"/>
            <w:gridSpan w:val="2"/>
            <w:shd w:val="clear" w:color="auto" w:fill="CCEEFF"/>
          </w:tcPr>
          <w:p>
            <w:pPr>
              <w:jc w:val="right"/>
              <w:ind w:right="7"/>
              <w:spacing w:after="0"/>
              <w:rPr>
                <w:sz w:val="20"/>
                <w:szCs w:val="20"/>
                <w:color w:val="auto"/>
              </w:rPr>
            </w:pPr>
            <w:r>
              <w:rPr>
                <w:rFonts w:ascii="Arial" w:cs="Arial" w:eastAsia="Arial" w:hAnsi="Arial"/>
                <w:sz w:val="18"/>
                <w:szCs w:val="18"/>
                <w:color w:val="auto"/>
              </w:rPr>
              <w:t>$</w:t>
            </w:r>
          </w:p>
        </w:tc>
        <w:tc>
          <w:tcPr>
            <w:tcW w:w="1460" w:type="dxa"/>
            <w:vAlign w:val="bottom"/>
            <w:gridSpan w:val="2"/>
            <w:shd w:val="clear" w:color="auto" w:fill="CCEEFF"/>
          </w:tcPr>
          <w:p>
            <w:pPr>
              <w:jc w:val="right"/>
              <w:ind w:right="628"/>
              <w:spacing w:after="0"/>
              <w:rPr>
                <w:sz w:val="20"/>
                <w:szCs w:val="20"/>
                <w:color w:val="auto"/>
              </w:rPr>
            </w:pPr>
            <w:r>
              <w:rPr>
                <w:rFonts w:ascii="Arial" w:cs="Arial" w:eastAsia="Arial" w:hAnsi="Arial"/>
                <w:sz w:val="18"/>
                <w:szCs w:val="18"/>
                <w:color w:val="auto"/>
              </w:rPr>
              <w:t>606.8</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801.3</w:t>
            </w:r>
          </w:p>
        </w:tc>
        <w:tc>
          <w:tcPr>
            <w:tcW w:w="0" w:type="dxa"/>
            <w:vAlign w:val="bottom"/>
          </w:tcPr>
          <w:p>
            <w:pPr>
              <w:spacing w:after="0"/>
              <w:rPr>
                <w:sz w:val="1"/>
                <w:szCs w:val="1"/>
                <w:color w:val="auto"/>
              </w:rPr>
            </w:pPr>
          </w:p>
        </w:tc>
      </w:tr>
      <w:tr>
        <w:trPr>
          <w:trHeight w:val="216"/>
        </w:trPr>
        <w:tc>
          <w:tcPr>
            <w:tcW w:w="5560" w:type="dxa"/>
            <w:vAlign w:val="bottom"/>
          </w:tcPr>
          <w:p>
            <w:pPr>
              <w:ind w:left="360"/>
              <w:spacing w:after="0"/>
              <w:rPr>
                <w:sz w:val="20"/>
                <w:szCs w:val="20"/>
                <w:color w:val="auto"/>
              </w:rPr>
            </w:pPr>
            <w:r>
              <w:rPr>
                <w:rFonts w:ascii="Arial" w:cs="Arial" w:eastAsia="Arial" w:hAnsi="Arial"/>
                <w:sz w:val="18"/>
                <w:szCs w:val="18"/>
                <w:color w:val="auto"/>
              </w:rPr>
              <w:t>Cost of revenue</w:t>
            </w:r>
            <w:r>
              <w:rPr>
                <w:rFonts w:ascii="Arial" w:cs="Arial" w:eastAsia="Arial" w:hAnsi="Arial"/>
                <w:sz w:val="15"/>
                <w:szCs w:val="15"/>
                <w:color w:val="auto"/>
              </w:rPr>
              <w:t>(1)</w:t>
            </w: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gridSpan w:val="2"/>
          </w:tcPr>
          <w:p>
            <w:pPr>
              <w:jc w:val="right"/>
              <w:ind w:right="581"/>
              <w:spacing w:after="0"/>
              <w:rPr>
                <w:sz w:val="20"/>
                <w:szCs w:val="20"/>
                <w:color w:val="auto"/>
              </w:rPr>
            </w:pPr>
            <w:r>
              <w:rPr>
                <w:rFonts w:ascii="Arial" w:cs="Arial" w:eastAsia="Arial" w:hAnsi="Arial"/>
                <w:sz w:val="18"/>
                <w:szCs w:val="18"/>
                <w:color w:val="auto"/>
              </w:rPr>
              <w:t>407.4</w:t>
            </w:r>
          </w:p>
        </w:tc>
        <w:tc>
          <w:tcPr>
            <w:tcW w:w="160" w:type="dxa"/>
            <w:vAlign w:val="bottom"/>
          </w:tcPr>
          <w:p>
            <w:pPr>
              <w:spacing w:after="0"/>
              <w:rPr>
                <w:sz w:val="18"/>
                <w:szCs w:val="18"/>
                <w:color w:val="auto"/>
              </w:rPr>
            </w:pPr>
          </w:p>
        </w:tc>
        <w:tc>
          <w:tcPr>
            <w:tcW w:w="580" w:type="dxa"/>
            <w:vAlign w:val="bottom"/>
            <w:gridSpan w:val="2"/>
          </w:tcPr>
          <w:p>
            <w:pPr>
              <w:jc w:val="right"/>
              <w:spacing w:after="0"/>
              <w:rPr>
                <w:sz w:val="20"/>
                <w:szCs w:val="20"/>
                <w:color w:val="auto"/>
              </w:rPr>
            </w:pPr>
            <w:r>
              <w:rPr>
                <w:rFonts w:ascii="Arial" w:cs="Arial" w:eastAsia="Arial" w:hAnsi="Arial"/>
                <w:sz w:val="18"/>
                <w:szCs w:val="18"/>
                <w:color w:val="auto"/>
              </w:rPr>
              <w:t>390.6</w:t>
            </w:r>
          </w:p>
        </w:tc>
        <w:tc>
          <w:tcPr>
            <w:tcW w:w="3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60" w:type="dxa"/>
            <w:vAlign w:val="bottom"/>
            <w:gridSpan w:val="2"/>
          </w:tcPr>
          <w:p>
            <w:pPr>
              <w:jc w:val="right"/>
              <w:ind w:right="628"/>
              <w:spacing w:after="0"/>
              <w:rPr>
                <w:sz w:val="20"/>
                <w:szCs w:val="20"/>
                <w:color w:val="auto"/>
              </w:rPr>
            </w:pPr>
            <w:r>
              <w:rPr>
                <w:rFonts w:ascii="Arial" w:cs="Arial" w:eastAsia="Arial" w:hAnsi="Arial"/>
                <w:sz w:val="18"/>
                <w:szCs w:val="18"/>
                <w:color w:val="auto"/>
              </w:rPr>
              <w:t>301.3</w:t>
            </w:r>
          </w:p>
        </w:tc>
        <w:tc>
          <w:tcPr>
            <w:tcW w:w="22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277.2</w:t>
            </w:r>
          </w:p>
        </w:tc>
        <w:tc>
          <w:tcPr>
            <w:tcW w:w="0" w:type="dxa"/>
            <w:vAlign w:val="bottom"/>
          </w:tcPr>
          <w:p>
            <w:pPr>
              <w:spacing w:after="0"/>
              <w:rPr>
                <w:sz w:val="1"/>
                <w:szCs w:val="1"/>
                <w:color w:val="auto"/>
              </w:rPr>
            </w:pPr>
          </w:p>
        </w:tc>
      </w:tr>
      <w:tr>
        <w:trPr>
          <w:trHeight w:val="27"/>
        </w:trPr>
        <w:tc>
          <w:tcPr>
            <w:tcW w:w="55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66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3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70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5560" w:type="dxa"/>
            <w:vAlign w:val="bottom"/>
            <w:shd w:val="clear" w:color="auto" w:fill="CCEEFF"/>
          </w:tcPr>
          <w:p>
            <w:pPr>
              <w:spacing w:after="0"/>
              <w:rPr>
                <w:sz w:val="20"/>
                <w:szCs w:val="20"/>
                <w:color w:val="auto"/>
              </w:rPr>
            </w:pPr>
            <w:r>
              <w:rPr>
                <w:rFonts w:ascii="Arial" w:cs="Arial" w:eastAsia="Arial" w:hAnsi="Arial"/>
                <w:sz w:val="18"/>
                <w:szCs w:val="18"/>
                <w:color w:val="auto"/>
              </w:rPr>
              <w:t>Gross profit</w:t>
            </w: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581"/>
              <w:spacing w:after="0"/>
              <w:rPr>
                <w:sz w:val="20"/>
                <w:szCs w:val="20"/>
                <w:color w:val="auto"/>
              </w:rPr>
            </w:pPr>
            <w:r>
              <w:rPr>
                <w:rFonts w:ascii="Arial" w:cs="Arial" w:eastAsia="Arial" w:hAnsi="Arial"/>
                <w:sz w:val="18"/>
                <w:szCs w:val="18"/>
                <w:color w:val="auto"/>
              </w:rPr>
              <w:t>196.4</w:t>
            </w:r>
          </w:p>
        </w:tc>
        <w:tc>
          <w:tcPr>
            <w:tcW w:w="16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454.2</w:t>
            </w:r>
          </w:p>
        </w:tc>
        <w:tc>
          <w:tcPr>
            <w:tcW w:w="3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628"/>
              <w:spacing w:after="0"/>
              <w:rPr>
                <w:sz w:val="20"/>
                <w:szCs w:val="20"/>
                <w:color w:val="auto"/>
              </w:rPr>
            </w:pPr>
            <w:r>
              <w:rPr>
                <w:rFonts w:ascii="Arial" w:cs="Arial" w:eastAsia="Arial" w:hAnsi="Arial"/>
                <w:sz w:val="18"/>
                <w:szCs w:val="18"/>
                <w:color w:val="auto"/>
              </w:rPr>
              <w:t>305.5</w:t>
            </w:r>
          </w:p>
        </w:tc>
        <w:tc>
          <w:tcPr>
            <w:tcW w:w="2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524.1</w:t>
            </w:r>
          </w:p>
        </w:tc>
        <w:tc>
          <w:tcPr>
            <w:tcW w:w="0" w:type="dxa"/>
            <w:vAlign w:val="bottom"/>
          </w:tcPr>
          <w:p>
            <w:pPr>
              <w:spacing w:after="0"/>
              <w:rPr>
                <w:sz w:val="1"/>
                <w:szCs w:val="1"/>
                <w:color w:val="auto"/>
              </w:rPr>
            </w:pPr>
          </w:p>
        </w:tc>
      </w:tr>
      <w:tr>
        <w:trPr>
          <w:trHeight w:val="216"/>
        </w:trPr>
        <w:tc>
          <w:tcPr>
            <w:tcW w:w="5560" w:type="dxa"/>
            <w:vAlign w:val="bottom"/>
          </w:tcPr>
          <w:p>
            <w:pPr>
              <w:spacing w:after="0"/>
              <w:rPr>
                <w:sz w:val="20"/>
                <w:szCs w:val="20"/>
                <w:color w:val="auto"/>
              </w:rPr>
            </w:pPr>
            <w:r>
              <w:rPr>
                <w:rFonts w:ascii="Arial" w:cs="Arial" w:eastAsia="Arial" w:hAnsi="Arial"/>
                <w:sz w:val="18"/>
                <w:szCs w:val="18"/>
                <w:color w:val="auto"/>
              </w:rPr>
              <w:t>Operating expenses</w:t>
            </w:r>
            <w:r>
              <w:rPr>
                <w:rFonts w:ascii="Arial" w:cs="Arial" w:eastAsia="Arial" w:hAnsi="Arial"/>
                <w:sz w:val="15"/>
                <w:szCs w:val="15"/>
                <w:color w:val="auto"/>
              </w:rPr>
              <w:t>(1)</w:t>
            </w: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5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Research and development</w:t>
            </w: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581"/>
              <w:spacing w:after="0"/>
              <w:rPr>
                <w:sz w:val="20"/>
                <w:szCs w:val="20"/>
                <w:color w:val="auto"/>
              </w:rPr>
            </w:pPr>
            <w:r>
              <w:rPr>
                <w:rFonts w:ascii="Arial" w:cs="Arial" w:eastAsia="Arial" w:hAnsi="Arial"/>
                <w:sz w:val="18"/>
                <w:szCs w:val="18"/>
                <w:color w:val="auto"/>
              </w:rPr>
              <w:t>201.6</w:t>
            </w:r>
          </w:p>
        </w:tc>
        <w:tc>
          <w:tcPr>
            <w:tcW w:w="16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289.7</w:t>
            </w:r>
          </w:p>
        </w:tc>
        <w:tc>
          <w:tcPr>
            <w:tcW w:w="3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628"/>
              <w:spacing w:after="0"/>
              <w:rPr>
                <w:sz w:val="20"/>
                <w:szCs w:val="20"/>
                <w:color w:val="auto"/>
              </w:rPr>
            </w:pPr>
            <w:r>
              <w:rPr>
                <w:rFonts w:ascii="Arial" w:cs="Arial" w:eastAsia="Arial" w:hAnsi="Arial"/>
                <w:sz w:val="18"/>
                <w:szCs w:val="18"/>
                <w:color w:val="auto"/>
              </w:rPr>
              <w:t>215.6</w:t>
            </w:r>
          </w:p>
        </w:tc>
        <w:tc>
          <w:tcPr>
            <w:tcW w:w="2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276.3</w:t>
            </w:r>
          </w:p>
        </w:tc>
        <w:tc>
          <w:tcPr>
            <w:tcW w:w="0" w:type="dxa"/>
            <w:vAlign w:val="bottom"/>
          </w:tcPr>
          <w:p>
            <w:pPr>
              <w:spacing w:after="0"/>
              <w:rPr>
                <w:sz w:val="1"/>
                <w:szCs w:val="1"/>
                <w:color w:val="auto"/>
              </w:rPr>
            </w:pPr>
          </w:p>
        </w:tc>
      </w:tr>
      <w:tr>
        <w:trPr>
          <w:trHeight w:val="216"/>
        </w:trPr>
        <w:tc>
          <w:tcPr>
            <w:tcW w:w="5560" w:type="dxa"/>
            <w:vAlign w:val="bottom"/>
          </w:tcPr>
          <w:p>
            <w:pPr>
              <w:ind w:left="360"/>
              <w:spacing w:after="0"/>
              <w:rPr>
                <w:sz w:val="20"/>
                <w:szCs w:val="20"/>
                <w:color w:val="auto"/>
              </w:rPr>
            </w:pPr>
            <w:r>
              <w:rPr>
                <w:rFonts w:ascii="Arial" w:cs="Arial" w:eastAsia="Arial" w:hAnsi="Arial"/>
                <w:sz w:val="18"/>
                <w:szCs w:val="18"/>
                <w:color w:val="auto"/>
              </w:rPr>
              <w:t>Sales and marketing</w:t>
            </w: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gridSpan w:val="2"/>
          </w:tcPr>
          <w:p>
            <w:pPr>
              <w:jc w:val="right"/>
              <w:ind w:right="581"/>
              <w:spacing w:after="0"/>
              <w:rPr>
                <w:sz w:val="20"/>
                <w:szCs w:val="20"/>
                <w:color w:val="auto"/>
              </w:rPr>
            </w:pPr>
            <w:r>
              <w:rPr>
                <w:rFonts w:ascii="Arial" w:cs="Arial" w:eastAsia="Arial" w:hAnsi="Arial"/>
                <w:sz w:val="18"/>
                <w:szCs w:val="18"/>
                <w:color w:val="auto"/>
              </w:rPr>
              <w:t>193.1</w:t>
            </w:r>
          </w:p>
        </w:tc>
        <w:tc>
          <w:tcPr>
            <w:tcW w:w="160" w:type="dxa"/>
            <w:vAlign w:val="bottom"/>
          </w:tcPr>
          <w:p>
            <w:pPr>
              <w:spacing w:after="0"/>
              <w:rPr>
                <w:sz w:val="18"/>
                <w:szCs w:val="18"/>
                <w:color w:val="auto"/>
              </w:rPr>
            </w:pPr>
          </w:p>
        </w:tc>
        <w:tc>
          <w:tcPr>
            <w:tcW w:w="580" w:type="dxa"/>
            <w:vAlign w:val="bottom"/>
            <w:gridSpan w:val="2"/>
          </w:tcPr>
          <w:p>
            <w:pPr>
              <w:jc w:val="right"/>
              <w:spacing w:after="0"/>
              <w:rPr>
                <w:sz w:val="20"/>
                <w:szCs w:val="20"/>
                <w:color w:val="auto"/>
              </w:rPr>
            </w:pPr>
            <w:r>
              <w:rPr>
                <w:rFonts w:ascii="Arial" w:cs="Arial" w:eastAsia="Arial" w:hAnsi="Arial"/>
                <w:sz w:val="18"/>
                <w:szCs w:val="18"/>
                <w:color w:val="auto"/>
              </w:rPr>
              <w:t>250.6</w:t>
            </w:r>
          </w:p>
        </w:tc>
        <w:tc>
          <w:tcPr>
            <w:tcW w:w="3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60" w:type="dxa"/>
            <w:vAlign w:val="bottom"/>
            <w:gridSpan w:val="2"/>
          </w:tcPr>
          <w:p>
            <w:pPr>
              <w:jc w:val="right"/>
              <w:ind w:right="628"/>
              <w:spacing w:after="0"/>
              <w:rPr>
                <w:sz w:val="20"/>
                <w:szCs w:val="20"/>
                <w:color w:val="auto"/>
              </w:rPr>
            </w:pPr>
            <w:r>
              <w:rPr>
                <w:rFonts w:ascii="Arial" w:cs="Arial" w:eastAsia="Arial" w:hAnsi="Arial"/>
                <w:sz w:val="18"/>
                <w:szCs w:val="18"/>
                <w:color w:val="auto"/>
              </w:rPr>
              <w:t>186.7</w:t>
            </w:r>
          </w:p>
        </w:tc>
        <w:tc>
          <w:tcPr>
            <w:tcW w:w="22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211.1</w:t>
            </w:r>
          </w:p>
        </w:tc>
        <w:tc>
          <w:tcPr>
            <w:tcW w:w="0" w:type="dxa"/>
            <w:vAlign w:val="bottom"/>
          </w:tcPr>
          <w:p>
            <w:pPr>
              <w:spacing w:after="0"/>
              <w:rPr>
                <w:sz w:val="1"/>
                <w:szCs w:val="1"/>
                <w:color w:val="auto"/>
              </w:rPr>
            </w:pPr>
          </w:p>
        </w:tc>
      </w:tr>
      <w:tr>
        <w:trPr>
          <w:trHeight w:val="216"/>
        </w:trPr>
        <w:tc>
          <w:tcPr>
            <w:tcW w:w="55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General and administrative</w:t>
            </w: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581"/>
              <w:spacing w:after="0"/>
              <w:rPr>
                <w:sz w:val="20"/>
                <w:szCs w:val="20"/>
                <w:color w:val="auto"/>
              </w:rPr>
            </w:pPr>
            <w:r>
              <w:rPr>
                <w:rFonts w:ascii="Arial" w:cs="Arial" w:eastAsia="Arial" w:hAnsi="Arial"/>
                <w:sz w:val="18"/>
                <w:szCs w:val="18"/>
                <w:color w:val="auto"/>
              </w:rPr>
              <w:t>107.9</w:t>
            </w:r>
          </w:p>
        </w:tc>
        <w:tc>
          <w:tcPr>
            <w:tcW w:w="16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107.4</w:t>
            </w:r>
          </w:p>
        </w:tc>
        <w:tc>
          <w:tcPr>
            <w:tcW w:w="3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628"/>
              <w:spacing w:after="0"/>
              <w:rPr>
                <w:sz w:val="20"/>
                <w:szCs w:val="20"/>
                <w:color w:val="auto"/>
              </w:rPr>
            </w:pPr>
            <w:r>
              <w:rPr>
                <w:rFonts w:ascii="Arial" w:cs="Arial" w:eastAsia="Arial" w:hAnsi="Arial"/>
                <w:sz w:val="18"/>
                <w:szCs w:val="18"/>
                <w:color w:val="auto"/>
              </w:rPr>
              <w:t>76.5</w:t>
            </w:r>
          </w:p>
        </w:tc>
        <w:tc>
          <w:tcPr>
            <w:tcW w:w="2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113.1</w:t>
            </w:r>
          </w:p>
        </w:tc>
        <w:tc>
          <w:tcPr>
            <w:tcW w:w="0" w:type="dxa"/>
            <w:vAlign w:val="bottom"/>
          </w:tcPr>
          <w:p>
            <w:pPr>
              <w:spacing w:after="0"/>
              <w:rPr>
                <w:sz w:val="1"/>
                <w:szCs w:val="1"/>
                <w:color w:val="auto"/>
              </w:rPr>
            </w:pPr>
          </w:p>
        </w:tc>
      </w:tr>
      <w:tr>
        <w:trPr>
          <w:trHeight w:val="230"/>
        </w:trPr>
        <w:tc>
          <w:tcPr>
            <w:tcW w:w="5560" w:type="dxa"/>
            <w:vAlign w:val="bottom"/>
          </w:tcPr>
          <w:p>
            <w:pPr>
              <w:spacing w:after="0"/>
              <w:rPr>
                <w:sz w:val="20"/>
                <w:szCs w:val="20"/>
                <w:color w:val="auto"/>
              </w:rPr>
            </w:pPr>
            <w:r>
              <w:rPr>
                <w:rFonts w:ascii="Arial" w:cs="Arial" w:eastAsia="Arial" w:hAnsi="Arial"/>
                <w:sz w:val="18"/>
                <w:szCs w:val="18"/>
                <w:color w:val="auto"/>
              </w:rPr>
              <w:t>Total operating expenses</w:t>
            </w:r>
          </w:p>
        </w:tc>
        <w:tc>
          <w:tcPr>
            <w:tcW w:w="300" w:type="dxa"/>
            <w:vAlign w:val="bottom"/>
          </w:tcPr>
          <w:p>
            <w:pPr>
              <w:spacing w:after="0"/>
              <w:rPr>
                <w:sz w:val="20"/>
                <w:szCs w:val="20"/>
                <w:color w:val="auto"/>
              </w:rPr>
            </w:pPr>
          </w:p>
        </w:tc>
        <w:tc>
          <w:tcPr>
            <w:tcW w:w="140" w:type="dxa"/>
            <w:vAlign w:val="bottom"/>
            <w:tcBorders>
              <w:top w:val="single" w:sz="8" w:color="auto"/>
              <w:bottom w:val="single" w:sz="8" w:color="auto"/>
            </w:tcBorders>
          </w:tcPr>
          <w:p>
            <w:pPr>
              <w:spacing w:after="0"/>
              <w:rPr>
                <w:sz w:val="20"/>
                <w:szCs w:val="20"/>
                <w:color w:val="auto"/>
              </w:rPr>
            </w:pPr>
          </w:p>
        </w:tc>
        <w:tc>
          <w:tcPr>
            <w:tcW w:w="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502.6</w:t>
            </w:r>
          </w:p>
        </w:tc>
        <w:tc>
          <w:tcPr>
            <w:tcW w:w="660" w:type="dxa"/>
            <w:vAlign w:val="bottom"/>
          </w:tcPr>
          <w:p>
            <w:pPr>
              <w:spacing w:after="0"/>
              <w:rPr>
                <w:sz w:val="20"/>
                <w:szCs w:val="20"/>
                <w:color w:val="auto"/>
              </w:rPr>
            </w:pPr>
          </w:p>
        </w:tc>
        <w:tc>
          <w:tcPr>
            <w:tcW w:w="160" w:type="dxa"/>
            <w:vAlign w:val="bottom"/>
            <w:tcBorders>
              <w:top w:val="single" w:sz="8" w:color="auto"/>
              <w:bottom w:val="single" w:sz="8" w:color="auto"/>
            </w:tcBorders>
          </w:tcPr>
          <w:p>
            <w:pPr>
              <w:spacing w:after="0"/>
              <w:rPr>
                <w:sz w:val="20"/>
                <w:szCs w:val="20"/>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647.7</w:t>
            </w:r>
          </w:p>
        </w:tc>
        <w:tc>
          <w:tcPr>
            <w:tcW w:w="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60" w:type="dxa"/>
            <w:vAlign w:val="bottom"/>
            <w:tcBorders>
              <w:top w:val="single" w:sz="8" w:color="auto"/>
              <w:bottom w:val="single" w:sz="8" w:color="auto"/>
            </w:tcBorders>
          </w:tcPr>
          <w:p>
            <w:pPr>
              <w:spacing w:after="0"/>
              <w:rPr>
                <w:sz w:val="20"/>
                <w:szCs w:val="20"/>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478.8</w:t>
            </w:r>
          </w:p>
        </w:tc>
        <w:tc>
          <w:tcPr>
            <w:tcW w:w="700" w:type="dxa"/>
            <w:vAlign w:val="bottom"/>
          </w:tcPr>
          <w:p>
            <w:pPr>
              <w:spacing w:after="0"/>
              <w:rPr>
                <w:sz w:val="20"/>
                <w:szCs w:val="20"/>
                <w:color w:val="auto"/>
              </w:rPr>
            </w:pPr>
          </w:p>
        </w:tc>
        <w:tc>
          <w:tcPr>
            <w:tcW w:w="220" w:type="dxa"/>
            <w:vAlign w:val="bottom"/>
            <w:tcBorders>
              <w:top w:val="single" w:sz="8" w:color="auto"/>
              <w:bottom w:val="single" w:sz="8" w:color="auto"/>
            </w:tcBorders>
          </w:tcPr>
          <w:p>
            <w:pPr>
              <w:spacing w:after="0"/>
              <w:rPr>
                <w:sz w:val="20"/>
                <w:szCs w:val="20"/>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600.5</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5560" w:type="dxa"/>
            <w:vAlign w:val="bottom"/>
            <w:shd w:val="clear" w:color="auto" w:fill="CCEEFF"/>
          </w:tcPr>
          <w:p>
            <w:pPr>
              <w:spacing w:after="0"/>
              <w:rPr>
                <w:sz w:val="20"/>
                <w:szCs w:val="20"/>
                <w:color w:val="auto"/>
              </w:rPr>
            </w:pPr>
            <w:r>
              <w:rPr>
                <w:rFonts w:ascii="Arial" w:cs="Arial" w:eastAsia="Arial" w:hAnsi="Arial"/>
                <w:sz w:val="18"/>
                <w:szCs w:val="18"/>
                <w:color w:val="auto"/>
              </w:rPr>
              <w:t>Loss from operations</w:t>
            </w: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521"/>
              <w:spacing w:after="0"/>
              <w:rPr>
                <w:sz w:val="20"/>
                <w:szCs w:val="20"/>
                <w:color w:val="auto"/>
              </w:rPr>
            </w:pPr>
            <w:r>
              <w:rPr>
                <w:rFonts w:ascii="Arial" w:cs="Arial" w:eastAsia="Arial" w:hAnsi="Arial"/>
                <w:sz w:val="18"/>
                <w:szCs w:val="18"/>
                <w:color w:val="auto"/>
                <w:w w:val="98"/>
              </w:rPr>
              <w:t>(306.2)</w:t>
            </w:r>
          </w:p>
        </w:tc>
        <w:tc>
          <w:tcPr>
            <w:tcW w:w="160" w:type="dxa"/>
            <w:vAlign w:val="bottom"/>
            <w:shd w:val="clear" w:color="auto" w:fill="CCEEFF"/>
          </w:tcPr>
          <w:p>
            <w:pPr>
              <w:spacing w:after="0"/>
              <w:rPr>
                <w:sz w:val="18"/>
                <w:szCs w:val="18"/>
                <w:color w:val="auto"/>
              </w:rPr>
            </w:pPr>
          </w:p>
        </w:tc>
        <w:tc>
          <w:tcPr>
            <w:tcW w:w="92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(193.5)</w:t>
            </w: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568"/>
              <w:spacing w:after="0"/>
              <w:rPr>
                <w:sz w:val="20"/>
                <w:szCs w:val="20"/>
                <w:color w:val="auto"/>
              </w:rPr>
            </w:pPr>
            <w:r>
              <w:rPr>
                <w:rFonts w:ascii="Arial" w:cs="Arial" w:eastAsia="Arial" w:hAnsi="Arial"/>
                <w:sz w:val="18"/>
                <w:szCs w:val="18"/>
                <w:color w:val="auto"/>
              </w:rPr>
              <w:t>(173.3)</w:t>
            </w:r>
          </w:p>
        </w:tc>
        <w:tc>
          <w:tcPr>
            <w:tcW w:w="2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(76.4)</w:t>
            </w:r>
          </w:p>
        </w:tc>
        <w:tc>
          <w:tcPr>
            <w:tcW w:w="0" w:type="dxa"/>
            <w:vAlign w:val="bottom"/>
          </w:tcPr>
          <w:p>
            <w:pPr>
              <w:spacing w:after="0"/>
              <w:rPr>
                <w:sz w:val="1"/>
                <w:szCs w:val="1"/>
                <w:color w:val="auto"/>
              </w:rPr>
            </w:pPr>
          </w:p>
        </w:tc>
      </w:tr>
      <w:tr>
        <w:trPr>
          <w:trHeight w:val="216"/>
        </w:trPr>
        <w:tc>
          <w:tcPr>
            <w:tcW w:w="5560" w:type="dxa"/>
            <w:vAlign w:val="bottom"/>
          </w:tcPr>
          <w:p>
            <w:pPr>
              <w:spacing w:after="0"/>
              <w:rPr>
                <w:sz w:val="20"/>
                <w:szCs w:val="20"/>
                <w:color w:val="auto"/>
              </w:rPr>
            </w:pPr>
            <w:r>
              <w:rPr>
                <w:rFonts w:ascii="Arial" w:cs="Arial" w:eastAsia="Arial" w:hAnsi="Arial"/>
                <w:sz w:val="18"/>
                <w:szCs w:val="18"/>
                <w:color w:val="auto"/>
              </w:rPr>
              <w:t>Interest expense, net</w:t>
            </w: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gridSpan w:val="2"/>
          </w:tcPr>
          <w:p>
            <w:pPr>
              <w:jc w:val="right"/>
              <w:ind w:right="521"/>
              <w:spacing w:after="0"/>
              <w:rPr>
                <w:sz w:val="20"/>
                <w:szCs w:val="20"/>
                <w:color w:val="auto"/>
              </w:rPr>
            </w:pPr>
            <w:r>
              <w:rPr>
                <w:rFonts w:ascii="Arial" w:cs="Arial" w:eastAsia="Arial" w:hAnsi="Arial"/>
                <w:sz w:val="18"/>
                <w:szCs w:val="18"/>
                <w:color w:val="auto"/>
              </w:rPr>
              <w:t>(15.2)</w:t>
            </w:r>
          </w:p>
        </w:tc>
        <w:tc>
          <w:tcPr>
            <w:tcW w:w="160" w:type="dxa"/>
            <w:vAlign w:val="bottom"/>
          </w:tcPr>
          <w:p>
            <w:pPr>
              <w:spacing w:after="0"/>
              <w:rPr>
                <w:sz w:val="18"/>
                <w:szCs w:val="18"/>
                <w:color w:val="auto"/>
              </w:rPr>
            </w:pPr>
          </w:p>
        </w:tc>
        <w:tc>
          <w:tcPr>
            <w:tcW w:w="920" w:type="dxa"/>
            <w:vAlign w:val="bottom"/>
            <w:gridSpan w:val="3"/>
          </w:tcPr>
          <w:p>
            <w:pPr>
              <w:jc w:val="right"/>
              <w:ind w:right="300"/>
              <w:spacing w:after="0"/>
              <w:rPr>
                <w:sz w:val="20"/>
                <w:szCs w:val="20"/>
                <w:color w:val="auto"/>
              </w:rPr>
            </w:pPr>
            <w:r>
              <w:rPr>
                <w:rFonts w:ascii="Arial" w:cs="Arial" w:eastAsia="Arial" w:hAnsi="Arial"/>
                <w:sz w:val="18"/>
                <w:szCs w:val="18"/>
                <w:color w:val="auto"/>
              </w:rPr>
              <w:t>(16.4)</w:t>
            </w: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60" w:type="dxa"/>
            <w:vAlign w:val="bottom"/>
            <w:gridSpan w:val="2"/>
          </w:tcPr>
          <w:p>
            <w:pPr>
              <w:jc w:val="right"/>
              <w:ind w:right="568"/>
              <w:spacing w:after="0"/>
              <w:rPr>
                <w:sz w:val="20"/>
                <w:szCs w:val="20"/>
                <w:color w:val="auto"/>
              </w:rPr>
            </w:pPr>
            <w:r>
              <w:rPr>
                <w:rFonts w:ascii="Arial" w:cs="Arial" w:eastAsia="Arial" w:hAnsi="Arial"/>
                <w:sz w:val="18"/>
                <w:szCs w:val="18"/>
                <w:color w:val="auto"/>
              </w:rPr>
              <w:t>(12.7)</w:t>
            </w:r>
          </w:p>
        </w:tc>
        <w:tc>
          <w:tcPr>
            <w:tcW w:w="220" w:type="dxa"/>
            <w:vAlign w:val="bottom"/>
          </w:tcPr>
          <w:p>
            <w:pPr>
              <w:spacing w:after="0"/>
              <w:rPr>
                <w:sz w:val="18"/>
                <w:szCs w:val="18"/>
                <w:color w:val="auto"/>
              </w:rPr>
            </w:pPr>
          </w:p>
        </w:tc>
        <w:tc>
          <w:tcPr>
            <w:tcW w:w="840" w:type="dxa"/>
            <w:vAlign w:val="bottom"/>
            <w:gridSpan w:val="2"/>
          </w:tcPr>
          <w:p>
            <w:pPr>
              <w:jc w:val="right"/>
              <w:ind w:right="40"/>
              <w:spacing w:after="0"/>
              <w:rPr>
                <w:sz w:val="20"/>
                <w:szCs w:val="20"/>
                <w:color w:val="auto"/>
              </w:rPr>
            </w:pPr>
            <w:r>
              <w:rPr>
                <w:rFonts w:ascii="Arial" w:cs="Arial" w:eastAsia="Arial" w:hAnsi="Arial"/>
                <w:sz w:val="18"/>
                <w:szCs w:val="18"/>
                <w:color w:val="auto"/>
              </w:rPr>
              <w:t>(9.4)</w:t>
            </w:r>
          </w:p>
        </w:tc>
        <w:tc>
          <w:tcPr>
            <w:tcW w:w="0" w:type="dxa"/>
            <w:vAlign w:val="bottom"/>
          </w:tcPr>
          <w:p>
            <w:pPr>
              <w:spacing w:after="0"/>
              <w:rPr>
                <w:sz w:val="1"/>
                <w:szCs w:val="1"/>
                <w:color w:val="auto"/>
              </w:rPr>
            </w:pPr>
          </w:p>
        </w:tc>
      </w:tr>
      <w:tr>
        <w:trPr>
          <w:trHeight w:val="216"/>
        </w:trPr>
        <w:tc>
          <w:tcPr>
            <w:tcW w:w="5560" w:type="dxa"/>
            <w:vAlign w:val="bottom"/>
            <w:shd w:val="clear" w:color="auto" w:fill="CCEEFF"/>
          </w:tcPr>
          <w:p>
            <w:pPr>
              <w:spacing w:after="0"/>
              <w:rPr>
                <w:sz w:val="20"/>
                <w:szCs w:val="20"/>
                <w:color w:val="auto"/>
              </w:rPr>
            </w:pPr>
            <w:r>
              <w:rPr>
                <w:rFonts w:ascii="Arial" w:cs="Arial" w:eastAsia="Arial" w:hAnsi="Arial"/>
                <w:sz w:val="18"/>
                <w:szCs w:val="18"/>
                <w:color w:val="auto"/>
              </w:rPr>
              <w:t>Other income (expense), net</w:t>
            </w: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521"/>
              <w:spacing w:after="0"/>
              <w:rPr>
                <w:sz w:val="20"/>
                <w:szCs w:val="20"/>
                <w:color w:val="auto"/>
              </w:rPr>
            </w:pPr>
            <w:r>
              <w:rPr>
                <w:rFonts w:ascii="Arial" w:cs="Arial" w:eastAsia="Arial" w:hAnsi="Arial"/>
                <w:sz w:val="18"/>
                <w:szCs w:val="18"/>
                <w:color w:val="auto"/>
              </w:rPr>
              <w:t>(4.2)</w:t>
            </w:r>
          </w:p>
        </w:tc>
        <w:tc>
          <w:tcPr>
            <w:tcW w:w="16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4.9</w:t>
            </w:r>
          </w:p>
        </w:tc>
        <w:tc>
          <w:tcPr>
            <w:tcW w:w="3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628"/>
              <w:spacing w:after="0"/>
              <w:rPr>
                <w:sz w:val="20"/>
                <w:szCs w:val="20"/>
                <w:color w:val="auto"/>
              </w:rPr>
            </w:pPr>
            <w:r>
              <w:rPr>
                <w:rFonts w:ascii="Arial" w:cs="Arial" w:eastAsia="Arial" w:hAnsi="Arial"/>
                <w:sz w:val="18"/>
                <w:szCs w:val="18"/>
                <w:color w:val="auto"/>
              </w:rPr>
              <w:t>8.3</w:t>
            </w:r>
          </w:p>
        </w:tc>
        <w:tc>
          <w:tcPr>
            <w:tcW w:w="2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13.0</w:t>
            </w:r>
          </w:p>
        </w:tc>
        <w:tc>
          <w:tcPr>
            <w:tcW w:w="0" w:type="dxa"/>
            <w:vAlign w:val="bottom"/>
          </w:tcPr>
          <w:p>
            <w:pPr>
              <w:spacing w:after="0"/>
              <w:rPr>
                <w:sz w:val="1"/>
                <w:szCs w:val="1"/>
                <w:color w:val="auto"/>
              </w:rPr>
            </w:pPr>
          </w:p>
        </w:tc>
      </w:tr>
      <w:tr>
        <w:trPr>
          <w:trHeight w:val="223"/>
        </w:trPr>
        <w:tc>
          <w:tcPr>
            <w:tcW w:w="5560" w:type="dxa"/>
            <w:vAlign w:val="bottom"/>
          </w:tcPr>
          <w:p>
            <w:pPr>
              <w:spacing w:after="0"/>
              <w:rPr>
                <w:sz w:val="20"/>
                <w:szCs w:val="20"/>
                <w:color w:val="auto"/>
              </w:rPr>
            </w:pPr>
            <w:r>
              <w:rPr>
                <w:rFonts w:ascii="Arial" w:cs="Arial" w:eastAsia="Arial" w:hAnsi="Arial"/>
                <w:sz w:val="18"/>
                <w:szCs w:val="18"/>
                <w:color w:val="auto"/>
              </w:rPr>
              <w:t>Loss before income taxes</w:t>
            </w:r>
          </w:p>
        </w:tc>
        <w:tc>
          <w:tcPr>
            <w:tcW w:w="30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5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7"/>
              </w:rPr>
              <w:t>(325.6)</w:t>
            </w:r>
          </w:p>
        </w:tc>
        <w:tc>
          <w:tcPr>
            <w:tcW w:w="66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4"/>
              </w:rPr>
              <w:t>(205.0)</w:t>
            </w: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(177.7)</w:t>
            </w:r>
          </w:p>
        </w:tc>
        <w:tc>
          <w:tcPr>
            <w:tcW w:w="70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(72.8)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5560" w:type="dxa"/>
            <w:vAlign w:val="bottom"/>
            <w:shd w:val="clear" w:color="auto" w:fill="CCEEFF"/>
          </w:tcPr>
          <w:p>
            <w:pPr>
              <w:spacing w:after="0"/>
              <w:rPr>
                <w:sz w:val="20"/>
                <w:szCs w:val="20"/>
                <w:color w:val="auto"/>
              </w:rPr>
            </w:pPr>
            <w:r>
              <w:rPr>
                <w:rFonts w:ascii="Arial" w:cs="Arial" w:eastAsia="Arial" w:hAnsi="Arial"/>
                <w:sz w:val="18"/>
                <w:szCs w:val="18"/>
                <w:color w:val="auto"/>
              </w:rPr>
              <w:t>Provision for income taxes</w:t>
            </w: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521"/>
              <w:spacing w:after="0"/>
              <w:rPr>
                <w:sz w:val="20"/>
                <w:szCs w:val="20"/>
                <w:color w:val="auto"/>
              </w:rPr>
            </w:pPr>
            <w:r>
              <w:rPr>
                <w:rFonts w:ascii="Arial" w:cs="Arial" w:eastAsia="Arial" w:hAnsi="Arial"/>
                <w:sz w:val="18"/>
                <w:szCs w:val="18"/>
                <w:color w:val="auto"/>
              </w:rPr>
              <w:t>(0.3)</w:t>
            </w:r>
          </w:p>
        </w:tc>
        <w:tc>
          <w:tcPr>
            <w:tcW w:w="160" w:type="dxa"/>
            <w:vAlign w:val="bottom"/>
            <w:shd w:val="clear" w:color="auto" w:fill="CCEEFF"/>
          </w:tcPr>
          <w:p>
            <w:pPr>
              <w:spacing w:after="0"/>
              <w:rPr>
                <w:sz w:val="18"/>
                <w:szCs w:val="18"/>
                <w:color w:val="auto"/>
              </w:rPr>
            </w:pPr>
          </w:p>
        </w:tc>
        <w:tc>
          <w:tcPr>
            <w:tcW w:w="92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(5.2)</w:t>
            </w: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568"/>
              <w:spacing w:after="0"/>
              <w:rPr>
                <w:sz w:val="20"/>
                <w:szCs w:val="20"/>
                <w:color w:val="auto"/>
              </w:rPr>
            </w:pPr>
            <w:r>
              <w:rPr>
                <w:rFonts w:ascii="Arial" w:cs="Arial" w:eastAsia="Arial" w:hAnsi="Arial"/>
                <w:sz w:val="18"/>
                <w:szCs w:val="18"/>
                <w:color w:val="auto"/>
              </w:rPr>
              <w:t>(3.4)</w:t>
            </w:r>
          </w:p>
        </w:tc>
        <w:tc>
          <w:tcPr>
            <w:tcW w:w="2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23"/>
        </w:trPr>
        <w:tc>
          <w:tcPr>
            <w:tcW w:w="5560" w:type="dxa"/>
            <w:vAlign w:val="bottom"/>
          </w:tcPr>
          <w:p>
            <w:pPr>
              <w:spacing w:after="0"/>
              <w:rPr>
                <w:sz w:val="20"/>
                <w:szCs w:val="20"/>
                <w:color w:val="auto"/>
              </w:rPr>
            </w:pPr>
            <w:r>
              <w:rPr>
                <w:rFonts w:ascii="Arial" w:cs="Arial" w:eastAsia="Arial" w:hAnsi="Arial"/>
                <w:sz w:val="18"/>
                <w:szCs w:val="18"/>
                <w:color w:val="auto"/>
              </w:rPr>
              <w:t>Net loss</w:t>
            </w:r>
          </w:p>
        </w:tc>
        <w:tc>
          <w:tcPr>
            <w:tcW w:w="30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7"/>
              </w:rPr>
              <w:t>(325.9</w:t>
            </w:r>
          </w:p>
        </w:tc>
        <w:tc>
          <w:tcPr>
            <w:tcW w:w="660" w:type="dxa"/>
            <w:vAlign w:val="bottom"/>
          </w:tcPr>
          <w:p>
            <w:pPr>
              <w:jc w:val="right"/>
              <w:ind w:right="521"/>
              <w:spacing w:after="0"/>
              <w:rPr>
                <w:sz w:val="20"/>
                <w:szCs w:val="20"/>
                <w:color w:val="auto"/>
              </w:rPr>
            </w:pPr>
            <w:r>
              <w:rPr>
                <w:rFonts w:ascii="Arial" w:cs="Arial" w:eastAsia="Arial" w:hAnsi="Arial"/>
                <w:sz w:val="16"/>
                <w:szCs w:val="16"/>
                <w:color w:val="auto"/>
                <w:w w:val="74"/>
              </w:rPr>
              <w:t>)</w:t>
            </w: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(210.2</w:t>
            </w:r>
          </w:p>
        </w:tc>
        <w:tc>
          <w:tcPr>
            <w:tcW w:w="360" w:type="dxa"/>
            <w:vAlign w:val="bottom"/>
            <w:gridSpan w:val="2"/>
          </w:tcPr>
          <w:p>
            <w:pPr>
              <w:jc w:val="right"/>
              <w:ind w:right="300"/>
              <w:spacing w:after="0"/>
              <w:rPr>
                <w:sz w:val="20"/>
                <w:szCs w:val="20"/>
                <w:color w:val="auto"/>
              </w:rPr>
            </w:pPr>
            <w:r>
              <w:rPr>
                <w:rFonts w:ascii="Arial" w:cs="Arial" w:eastAsia="Arial" w:hAnsi="Arial"/>
                <w:sz w:val="16"/>
                <w:szCs w:val="16"/>
                <w:color w:val="auto"/>
                <w:w w:val="74"/>
              </w:rPr>
              <w:t>)</w:t>
            </w:r>
          </w:p>
        </w:tc>
        <w:tc>
          <w:tcPr>
            <w:tcW w:w="30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ind w:right="7"/>
              <w:spacing w:after="0"/>
              <w:rPr>
                <w:sz w:val="20"/>
                <w:szCs w:val="20"/>
                <w:color w:val="auto"/>
              </w:rPr>
            </w:pPr>
            <w:r>
              <w:rPr>
                <w:rFonts w:ascii="Arial" w:cs="Arial" w:eastAsia="Arial" w:hAnsi="Arial"/>
                <w:sz w:val="15"/>
                <w:szCs w:val="15"/>
                <w:color w:val="auto"/>
                <w:w w:val="71"/>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(181.1)</w:t>
            </w:r>
          </w:p>
        </w:tc>
        <w:tc>
          <w:tcPr>
            <w:tcW w:w="70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(74.0)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5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560" w:type="dxa"/>
            <w:vAlign w:val="bottom"/>
            <w:shd w:val="clear" w:color="auto" w:fill="CCEEFF"/>
          </w:tcPr>
          <w:p>
            <w:pPr>
              <w:spacing w:after="0"/>
              <w:rPr>
                <w:sz w:val="20"/>
                <w:szCs w:val="20"/>
                <w:color w:val="auto"/>
              </w:rPr>
            </w:pPr>
            <w:r>
              <w:rPr>
                <w:rFonts w:ascii="Arial" w:cs="Arial" w:eastAsia="Arial" w:hAnsi="Arial"/>
                <w:sz w:val="18"/>
                <w:szCs w:val="18"/>
                <w:color w:val="auto"/>
                <w:w w:val="94"/>
              </w:rPr>
              <w:t>Net loss per share attributable to common stockholders, basic and diluted</w:t>
            </w:r>
          </w:p>
        </w:tc>
        <w:tc>
          <w:tcPr>
            <w:tcW w:w="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521"/>
              <w:spacing w:after="0"/>
              <w:rPr>
                <w:sz w:val="20"/>
                <w:szCs w:val="20"/>
                <w:color w:val="auto"/>
              </w:rPr>
            </w:pPr>
            <w:r>
              <w:rPr>
                <w:rFonts w:ascii="Arial" w:cs="Arial" w:eastAsia="Arial" w:hAnsi="Arial"/>
                <w:sz w:val="18"/>
                <w:szCs w:val="18"/>
                <w:color w:val="auto"/>
              </w:rPr>
              <w:t>(1.18)</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(0.74)</w:t>
            </w:r>
          </w:p>
        </w:tc>
        <w:tc>
          <w:tcPr>
            <w:tcW w:w="460" w:type="dxa"/>
            <w:vAlign w:val="bottom"/>
            <w:gridSpan w:val="2"/>
            <w:shd w:val="clear" w:color="auto" w:fill="CCEEFF"/>
          </w:tcPr>
          <w:p>
            <w:pPr>
              <w:jc w:val="right"/>
              <w:ind w:right="7"/>
              <w:spacing w:after="0"/>
              <w:rPr>
                <w:sz w:val="20"/>
                <w:szCs w:val="20"/>
                <w:color w:val="auto"/>
              </w:rPr>
            </w:pPr>
            <w:r>
              <w:rPr>
                <w:rFonts w:ascii="Arial" w:cs="Arial" w:eastAsia="Arial" w:hAnsi="Arial"/>
                <w:sz w:val="18"/>
                <w:szCs w:val="18"/>
                <w:color w:val="auto"/>
              </w:rPr>
              <w:t>$</w:t>
            </w:r>
          </w:p>
        </w:tc>
        <w:tc>
          <w:tcPr>
            <w:tcW w:w="1460" w:type="dxa"/>
            <w:vAlign w:val="bottom"/>
            <w:gridSpan w:val="2"/>
            <w:shd w:val="clear" w:color="auto" w:fill="CCEEFF"/>
          </w:tcPr>
          <w:p>
            <w:pPr>
              <w:jc w:val="right"/>
              <w:ind w:right="568"/>
              <w:spacing w:after="0"/>
              <w:rPr>
                <w:sz w:val="20"/>
                <w:szCs w:val="20"/>
                <w:color w:val="auto"/>
              </w:rPr>
            </w:pPr>
            <w:r>
              <w:rPr>
                <w:rFonts w:ascii="Arial" w:cs="Arial" w:eastAsia="Arial" w:hAnsi="Arial"/>
                <w:sz w:val="18"/>
                <w:szCs w:val="18"/>
                <w:color w:val="auto"/>
              </w:rPr>
              <w:t>(0.64)</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8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(0.25)</w:t>
            </w:r>
          </w:p>
        </w:tc>
        <w:tc>
          <w:tcPr>
            <w:tcW w:w="0" w:type="dxa"/>
            <w:vAlign w:val="bottom"/>
          </w:tcPr>
          <w:p>
            <w:pPr>
              <w:spacing w:after="0"/>
              <w:rPr>
                <w:sz w:val="1"/>
                <w:szCs w:val="1"/>
                <w:color w:val="auto"/>
              </w:rPr>
            </w:pPr>
          </w:p>
        </w:tc>
      </w:tr>
      <w:tr>
        <w:trPr>
          <w:trHeight w:val="20"/>
        </w:trPr>
        <w:tc>
          <w:tcPr>
            <w:tcW w:w="5560" w:type="dxa"/>
            <w:vAlign w:val="bottom"/>
            <w:vMerge w:val="restart"/>
          </w:tcPr>
          <w:p>
            <w:pPr>
              <w:spacing w:after="0"/>
              <w:rPr>
                <w:sz w:val="20"/>
                <w:szCs w:val="20"/>
                <w:color w:val="auto"/>
              </w:rPr>
            </w:pPr>
            <w:r>
              <w:rPr>
                <w:rFonts w:ascii="Arial" w:cs="Arial" w:eastAsia="Arial" w:hAnsi="Arial"/>
                <w:sz w:val="18"/>
                <w:szCs w:val="18"/>
                <w:color w:val="auto"/>
              </w:rPr>
              <w:t>Weighted-average shares used in computing net loss per share</w:t>
            </w:r>
          </w:p>
        </w:tc>
        <w:tc>
          <w:tcPr>
            <w:tcW w:w="3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560" w:type="dxa"/>
            <w:vAlign w:val="bottom"/>
            <w:vMerge w:val="continue"/>
          </w:tcPr>
          <w:p>
            <w:pPr>
              <w:spacing w:after="0"/>
              <w:rPr>
                <w:sz w:val="17"/>
                <w:szCs w:val="17"/>
                <w:color w:val="auto"/>
              </w:rPr>
            </w:pPr>
          </w:p>
        </w:tc>
        <w:tc>
          <w:tcPr>
            <w:tcW w:w="3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5560" w:type="dxa"/>
            <w:vAlign w:val="bottom"/>
          </w:tcPr>
          <w:p>
            <w:pPr>
              <w:ind w:left="180"/>
              <w:spacing w:after="0"/>
              <w:rPr>
                <w:sz w:val="20"/>
                <w:szCs w:val="20"/>
                <w:color w:val="auto"/>
              </w:rPr>
            </w:pPr>
            <w:r>
              <w:rPr>
                <w:rFonts w:ascii="Arial" w:cs="Arial" w:eastAsia="Arial" w:hAnsi="Arial"/>
                <w:sz w:val="18"/>
                <w:szCs w:val="18"/>
                <w:color w:val="auto"/>
              </w:rPr>
              <w:t>attributable to common stockholders, basic and diluted</w:t>
            </w:r>
          </w:p>
        </w:tc>
        <w:tc>
          <w:tcPr>
            <w:tcW w:w="3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80" w:type="dxa"/>
            <w:vAlign w:val="bottom"/>
            <w:gridSpan w:val="2"/>
          </w:tcPr>
          <w:p>
            <w:pPr>
              <w:jc w:val="right"/>
              <w:ind w:right="581"/>
              <w:spacing w:after="0"/>
              <w:rPr>
                <w:sz w:val="20"/>
                <w:szCs w:val="20"/>
                <w:color w:val="auto"/>
              </w:rPr>
            </w:pPr>
            <w:r>
              <w:rPr>
                <w:rFonts w:ascii="Arial" w:cs="Arial" w:eastAsia="Arial" w:hAnsi="Arial"/>
                <w:sz w:val="18"/>
                <w:szCs w:val="18"/>
                <w:color w:val="auto"/>
              </w:rPr>
              <w:t>276.8</w:t>
            </w:r>
          </w:p>
        </w:tc>
        <w:tc>
          <w:tcPr>
            <w:tcW w:w="160" w:type="dxa"/>
            <w:vAlign w:val="bottom"/>
          </w:tcPr>
          <w:p>
            <w:pPr>
              <w:spacing w:after="0"/>
              <w:rPr>
                <w:sz w:val="20"/>
                <w:szCs w:val="20"/>
                <w:color w:val="auto"/>
              </w:rPr>
            </w:pPr>
          </w:p>
        </w:tc>
        <w:tc>
          <w:tcPr>
            <w:tcW w:w="580" w:type="dxa"/>
            <w:vAlign w:val="bottom"/>
            <w:gridSpan w:val="2"/>
          </w:tcPr>
          <w:p>
            <w:pPr>
              <w:jc w:val="right"/>
              <w:spacing w:after="0"/>
              <w:rPr>
                <w:sz w:val="20"/>
                <w:szCs w:val="20"/>
                <w:color w:val="auto"/>
              </w:rPr>
            </w:pPr>
            <w:r>
              <w:rPr>
                <w:rFonts w:ascii="Arial" w:cs="Arial" w:eastAsia="Arial" w:hAnsi="Arial"/>
                <w:sz w:val="18"/>
                <w:szCs w:val="18"/>
                <w:color w:val="auto"/>
              </w:rPr>
              <w:t>283.7</w:t>
            </w:r>
          </w:p>
        </w:tc>
        <w:tc>
          <w:tcPr>
            <w:tcW w:w="3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60" w:type="dxa"/>
            <w:vAlign w:val="bottom"/>
            <w:gridSpan w:val="2"/>
          </w:tcPr>
          <w:p>
            <w:pPr>
              <w:jc w:val="right"/>
              <w:ind w:right="628"/>
              <w:spacing w:after="0"/>
              <w:rPr>
                <w:sz w:val="20"/>
                <w:szCs w:val="20"/>
                <w:color w:val="auto"/>
              </w:rPr>
            </w:pPr>
            <w:r>
              <w:rPr>
                <w:rFonts w:ascii="Arial" w:cs="Arial" w:eastAsia="Arial" w:hAnsi="Arial"/>
                <w:sz w:val="18"/>
                <w:szCs w:val="18"/>
                <w:color w:val="auto"/>
              </w:rPr>
              <w:t>282.3</w:t>
            </w:r>
          </w:p>
        </w:tc>
        <w:tc>
          <w:tcPr>
            <w:tcW w:w="220" w:type="dxa"/>
            <w:vAlign w:val="bottom"/>
          </w:tcPr>
          <w:p>
            <w:pPr>
              <w:spacing w:after="0"/>
              <w:rPr>
                <w:sz w:val="20"/>
                <w:szCs w:val="20"/>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293.2</w:t>
            </w:r>
          </w:p>
        </w:tc>
        <w:tc>
          <w:tcPr>
            <w:tcW w:w="0" w:type="dxa"/>
            <w:vAlign w:val="bottom"/>
          </w:tcPr>
          <w:p>
            <w:pPr>
              <w:spacing w:after="0"/>
              <w:rPr>
                <w:sz w:val="1"/>
                <w:szCs w:val="1"/>
                <w:color w:val="auto"/>
              </w:rPr>
            </w:pPr>
          </w:p>
        </w:tc>
      </w:tr>
      <w:tr>
        <w:trPr>
          <w:trHeight w:val="20"/>
        </w:trPr>
        <w:tc>
          <w:tcPr>
            <w:tcW w:w="55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560" w:type="dxa"/>
            <w:vAlign w:val="bottom"/>
            <w:shd w:val="clear" w:color="auto" w:fill="CCEEFF"/>
          </w:tcPr>
          <w:p>
            <w:pPr>
              <w:spacing w:after="0" w:line="195" w:lineRule="exact"/>
              <w:rPr>
                <w:sz w:val="20"/>
                <w:szCs w:val="20"/>
                <w:color w:val="auto"/>
              </w:rPr>
            </w:pPr>
            <w:r>
              <w:rPr>
                <w:rFonts w:ascii="Arial" w:cs="Arial" w:eastAsia="Arial" w:hAnsi="Arial"/>
                <w:sz w:val="18"/>
                <w:szCs w:val="18"/>
                <w:color w:val="auto"/>
                <w:w w:val="96"/>
              </w:rPr>
              <w:t>Pro forma net loss per share attributable to common stockholders, basic</w:t>
            </w:r>
          </w:p>
        </w:tc>
        <w:tc>
          <w:tcPr>
            <w:tcW w:w="3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55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and diluted (unaudited)</w:t>
            </w:r>
          </w:p>
        </w:tc>
        <w:tc>
          <w:tcPr>
            <w:tcW w:w="3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520" w:type="dxa"/>
            <w:vAlign w:val="bottom"/>
            <w:shd w:val="clear" w:color="auto" w:fill="CCEEFF"/>
          </w:tcPr>
          <w:p>
            <w:pPr>
              <w:spacing w:after="0"/>
              <w:rPr>
                <w:sz w:val="20"/>
                <w:szCs w:val="20"/>
                <w:color w:val="auto"/>
              </w:rPr>
            </w:pPr>
          </w:p>
        </w:tc>
        <w:tc>
          <w:tcPr>
            <w:tcW w:w="660" w:type="dxa"/>
            <w:vAlign w:val="bottom"/>
            <w:shd w:val="clear" w:color="auto" w:fill="CCEEFF"/>
          </w:tcPr>
          <w:p>
            <w:pPr>
              <w:spacing w:after="0"/>
              <w:rPr>
                <w:sz w:val="20"/>
                <w:szCs w:val="20"/>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(0.39)</w:t>
            </w:r>
          </w:p>
        </w:tc>
        <w:tc>
          <w:tcPr>
            <w:tcW w:w="3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760" w:type="dxa"/>
            <w:vAlign w:val="bottom"/>
            <w:shd w:val="clear" w:color="auto" w:fill="CCEEFF"/>
          </w:tcPr>
          <w:p>
            <w:pPr>
              <w:spacing w:after="0"/>
              <w:rPr>
                <w:sz w:val="20"/>
                <w:szCs w:val="20"/>
                <w:color w:val="auto"/>
              </w:rPr>
            </w:pPr>
          </w:p>
        </w:tc>
        <w:tc>
          <w:tcPr>
            <w:tcW w:w="700" w:type="dxa"/>
            <w:vAlign w:val="bottom"/>
            <w:shd w:val="clear" w:color="auto" w:fill="CCEEFF"/>
          </w:tcPr>
          <w:p>
            <w:pPr>
              <w:spacing w:after="0"/>
              <w:rPr>
                <w:sz w:val="20"/>
                <w:szCs w:val="20"/>
                <w:color w:val="auto"/>
              </w:rPr>
            </w:pP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8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(0.13)</w:t>
            </w:r>
          </w:p>
        </w:tc>
        <w:tc>
          <w:tcPr>
            <w:tcW w:w="0" w:type="dxa"/>
            <w:vAlign w:val="bottom"/>
          </w:tcPr>
          <w:p>
            <w:pPr>
              <w:spacing w:after="0"/>
              <w:rPr>
                <w:sz w:val="1"/>
                <w:szCs w:val="1"/>
                <w:color w:val="auto"/>
              </w:rPr>
            </w:pPr>
          </w:p>
        </w:tc>
      </w:tr>
      <w:tr>
        <w:trPr>
          <w:trHeight w:val="20"/>
        </w:trPr>
        <w:tc>
          <w:tcPr>
            <w:tcW w:w="5560" w:type="dxa"/>
            <w:vAlign w:val="bottom"/>
            <w:vMerge w:val="restart"/>
          </w:tcPr>
          <w:p>
            <w:pPr>
              <w:spacing w:after="0"/>
              <w:rPr>
                <w:sz w:val="20"/>
                <w:szCs w:val="20"/>
                <w:color w:val="auto"/>
              </w:rPr>
            </w:pPr>
            <w:r>
              <w:rPr>
                <w:rFonts w:ascii="Arial" w:cs="Arial" w:eastAsia="Arial" w:hAnsi="Arial"/>
                <w:sz w:val="18"/>
                <w:szCs w:val="18"/>
                <w:color w:val="auto"/>
                <w:w w:val="94"/>
              </w:rPr>
              <w:t>Weighted-average shares used in computing pro forma net loss per share</w:t>
            </w:r>
          </w:p>
        </w:tc>
        <w:tc>
          <w:tcPr>
            <w:tcW w:w="3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560" w:type="dxa"/>
            <w:vAlign w:val="bottom"/>
            <w:vMerge w:val="continue"/>
          </w:tcPr>
          <w:p>
            <w:pPr>
              <w:spacing w:after="0"/>
              <w:rPr>
                <w:sz w:val="17"/>
                <w:szCs w:val="17"/>
                <w:color w:val="auto"/>
              </w:rPr>
            </w:pPr>
          </w:p>
        </w:tc>
        <w:tc>
          <w:tcPr>
            <w:tcW w:w="3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5560" w:type="dxa"/>
            <w:vAlign w:val="bottom"/>
          </w:tcPr>
          <w:p>
            <w:pPr>
              <w:ind w:left="180"/>
              <w:spacing w:after="0"/>
              <w:rPr>
                <w:sz w:val="20"/>
                <w:szCs w:val="20"/>
                <w:color w:val="auto"/>
              </w:rPr>
            </w:pPr>
            <w:r>
              <w:rPr>
                <w:rFonts w:ascii="Arial" w:cs="Arial" w:eastAsia="Arial" w:hAnsi="Arial"/>
                <w:sz w:val="18"/>
                <w:szCs w:val="18"/>
                <w:color w:val="auto"/>
              </w:rPr>
              <w:t>attributable to common stockholders, basic and diluted (unaudited)</w:t>
            </w:r>
          </w:p>
        </w:tc>
        <w:tc>
          <w:tcPr>
            <w:tcW w:w="3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580" w:type="dxa"/>
            <w:vAlign w:val="bottom"/>
            <w:gridSpan w:val="2"/>
          </w:tcPr>
          <w:p>
            <w:pPr>
              <w:jc w:val="right"/>
              <w:spacing w:after="0"/>
              <w:rPr>
                <w:sz w:val="20"/>
                <w:szCs w:val="20"/>
                <w:color w:val="auto"/>
              </w:rPr>
            </w:pPr>
            <w:r>
              <w:rPr>
                <w:rFonts w:ascii="Arial" w:cs="Arial" w:eastAsia="Arial" w:hAnsi="Arial"/>
                <w:sz w:val="18"/>
                <w:szCs w:val="18"/>
                <w:color w:val="auto"/>
              </w:rPr>
              <w:t>535.4</w:t>
            </w:r>
          </w:p>
        </w:tc>
        <w:tc>
          <w:tcPr>
            <w:tcW w:w="3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551.2</w:t>
            </w:r>
          </w:p>
        </w:tc>
        <w:tc>
          <w:tcPr>
            <w:tcW w:w="0" w:type="dxa"/>
            <w:vAlign w:val="bottom"/>
          </w:tcPr>
          <w:p>
            <w:pPr>
              <w:spacing w:after="0"/>
              <w:rPr>
                <w:sz w:val="1"/>
                <w:szCs w:val="1"/>
                <w:color w:val="auto"/>
              </w:rPr>
            </w:pPr>
          </w:p>
        </w:tc>
      </w:tr>
      <w:tr>
        <w:trPr>
          <w:trHeight w:val="20"/>
        </w:trPr>
        <w:tc>
          <w:tcPr>
            <w:tcW w:w="55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31" w:lineRule="exact"/>
        <w:rPr>
          <w:sz w:val="20"/>
          <w:szCs w:val="20"/>
          <w:color w:val="auto"/>
        </w:rPr>
      </w:pPr>
    </w:p>
    <w:p>
      <w:pPr>
        <w:ind w:left="340" w:hanging="332"/>
        <w:spacing w:after="0"/>
        <w:tabs>
          <w:tab w:leader="none" w:pos="340" w:val="left"/>
        </w:tabs>
        <w:numPr>
          <w:ilvl w:val="0"/>
          <w:numId w:val="100"/>
        </w:numPr>
        <w:rPr>
          <w:rFonts w:ascii="Arial" w:cs="Arial" w:eastAsia="Arial" w:hAnsi="Arial"/>
          <w:sz w:val="28"/>
          <w:szCs w:val="28"/>
          <w:color w:val="auto"/>
          <w:vertAlign w:val="superscript"/>
        </w:rPr>
      </w:pPr>
      <w:r>
        <w:rPr>
          <w:rFonts w:ascii="Arial" w:cs="Arial" w:eastAsia="Arial" w:hAnsi="Arial"/>
          <w:sz w:val="16"/>
          <w:szCs w:val="16"/>
          <w:color w:val="auto"/>
        </w:rPr>
        <w:t>Includes stock-based compensation as follows:</w:t>
      </w:r>
    </w:p>
    <w:p>
      <w:pPr>
        <w:spacing w:after="0" w:line="216" w:lineRule="exact"/>
        <w:rPr>
          <w:sz w:val="20"/>
          <w:szCs w:val="20"/>
          <w:color w:val="auto"/>
        </w:rPr>
      </w:pPr>
    </w:p>
    <w:tbl>
      <w:tblPr>
        <w:tblLayout w:type="fixed"/>
        <w:tblInd w:w="460" w:type="dxa"/>
        <w:tblCellMar>
          <w:top w:w="0" w:type="dxa"/>
          <w:left w:w="0" w:type="dxa"/>
          <w:bottom w:w="0" w:type="dxa"/>
          <w:right w:w="0" w:type="dxa"/>
        </w:tblCellMar>
      </w:tblPr>
      <w:tr>
        <w:trPr>
          <w:trHeight w:val="149"/>
        </w:trPr>
        <w:tc>
          <w:tcPr>
            <w:tcW w:w="4160" w:type="dxa"/>
            <w:vAlign w:val="bottom"/>
          </w:tcPr>
          <w:p>
            <w:pPr>
              <w:spacing w:after="0"/>
              <w:rPr>
                <w:sz w:val="12"/>
                <w:szCs w:val="12"/>
                <w:color w:val="auto"/>
              </w:rPr>
            </w:pPr>
          </w:p>
        </w:tc>
        <w:tc>
          <w:tcPr>
            <w:tcW w:w="20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760" w:type="dxa"/>
            <w:vAlign w:val="bottom"/>
            <w:gridSpan w:val="2"/>
          </w:tcPr>
          <w:p>
            <w:pPr>
              <w:jc w:val="center"/>
              <w:ind w:right="120"/>
              <w:spacing w:after="0"/>
              <w:rPr>
                <w:sz w:val="20"/>
                <w:szCs w:val="20"/>
                <w:color w:val="auto"/>
              </w:rPr>
            </w:pPr>
            <w:r>
              <w:rPr>
                <w:rFonts w:ascii="Arial" w:cs="Arial" w:eastAsia="Arial" w:hAnsi="Arial"/>
                <w:sz w:val="13"/>
                <w:szCs w:val="13"/>
                <w:b w:val="1"/>
                <w:bCs w:val="1"/>
                <w:color w:val="auto"/>
                <w:w w:val="85"/>
              </w:rPr>
              <w:t>Year ended</w:t>
            </w:r>
          </w:p>
        </w:tc>
        <w:tc>
          <w:tcPr>
            <w:tcW w:w="4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80" w:type="dxa"/>
            <w:vAlign w:val="bottom"/>
            <w:gridSpan w:val="4"/>
          </w:tcPr>
          <w:p>
            <w:pPr>
              <w:jc w:val="center"/>
              <w:ind w:right="160"/>
              <w:spacing w:after="0"/>
              <w:rPr>
                <w:sz w:val="20"/>
                <w:szCs w:val="20"/>
                <w:color w:val="auto"/>
              </w:rPr>
            </w:pPr>
            <w:r>
              <w:rPr>
                <w:rFonts w:ascii="Arial" w:cs="Arial" w:eastAsia="Arial" w:hAnsi="Arial"/>
                <w:sz w:val="13"/>
                <w:szCs w:val="13"/>
                <w:b w:val="1"/>
                <w:bCs w:val="1"/>
                <w:color w:val="auto"/>
                <w:w w:val="86"/>
              </w:rPr>
              <w:t>Nine months ended</w:t>
            </w:r>
          </w:p>
        </w:tc>
      </w:tr>
      <w:tr>
        <w:trPr>
          <w:trHeight w:val="153"/>
        </w:trPr>
        <w:tc>
          <w:tcPr>
            <w:tcW w:w="4160" w:type="dxa"/>
            <w:vAlign w:val="bottom"/>
          </w:tcPr>
          <w:p>
            <w:pPr>
              <w:spacing w:after="0"/>
              <w:rPr>
                <w:sz w:val="13"/>
                <w:szCs w:val="13"/>
                <w:color w:val="auto"/>
              </w:rPr>
            </w:pPr>
          </w:p>
        </w:tc>
        <w:tc>
          <w:tcPr>
            <w:tcW w:w="208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180" w:type="dxa"/>
            <w:vAlign w:val="bottom"/>
            <w:tcBorders>
              <w:bottom w:val="single" w:sz="8" w:color="auto"/>
            </w:tcBorders>
            <w:gridSpan w:val="3"/>
          </w:tcPr>
          <w:p>
            <w:pPr>
              <w:jc w:val="center"/>
              <w:ind w:left="225"/>
              <w:spacing w:after="0"/>
              <w:rPr>
                <w:sz w:val="20"/>
                <w:szCs w:val="20"/>
                <w:color w:val="auto"/>
              </w:rPr>
            </w:pPr>
            <w:r>
              <w:rPr>
                <w:rFonts w:ascii="Arial" w:cs="Arial" w:eastAsia="Arial" w:hAnsi="Arial"/>
                <w:sz w:val="13"/>
                <w:szCs w:val="13"/>
                <w:b w:val="1"/>
                <w:bCs w:val="1"/>
                <w:color w:val="auto"/>
                <w:w w:val="85"/>
              </w:rPr>
              <w:t>December 31,</w:t>
            </w:r>
          </w:p>
        </w:tc>
        <w:tc>
          <w:tcPr>
            <w:tcW w:w="400" w:type="dxa"/>
            <w:vAlign w:val="bottom"/>
            <w:tcBorders>
              <w:bottom w:val="single" w:sz="8" w:color="auto"/>
            </w:tcBorders>
          </w:tcPr>
          <w:p>
            <w:pPr>
              <w:spacing w:after="0"/>
              <w:rPr>
                <w:sz w:val="13"/>
                <w:szCs w:val="13"/>
                <w:color w:val="auto"/>
              </w:rPr>
            </w:pPr>
          </w:p>
        </w:tc>
        <w:tc>
          <w:tcPr>
            <w:tcW w:w="66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160" w:type="dxa"/>
            <w:vAlign w:val="bottom"/>
            <w:tcBorders>
              <w:bottom w:val="single" w:sz="8" w:color="auto"/>
            </w:tcBorders>
            <w:gridSpan w:val="2"/>
          </w:tcPr>
          <w:p>
            <w:pPr>
              <w:jc w:val="center"/>
              <w:ind w:left="287"/>
              <w:spacing w:after="0"/>
              <w:rPr>
                <w:sz w:val="20"/>
                <w:szCs w:val="20"/>
                <w:color w:val="auto"/>
              </w:rPr>
            </w:pPr>
            <w:r>
              <w:rPr>
                <w:rFonts w:ascii="Arial" w:cs="Arial" w:eastAsia="Arial" w:hAnsi="Arial"/>
                <w:sz w:val="13"/>
                <w:szCs w:val="13"/>
                <w:b w:val="1"/>
                <w:bCs w:val="1"/>
                <w:color w:val="auto"/>
                <w:w w:val="85"/>
              </w:rPr>
              <w:t>September 30,</w:t>
            </w:r>
          </w:p>
        </w:tc>
        <w:tc>
          <w:tcPr>
            <w:tcW w:w="480" w:type="dxa"/>
            <w:vAlign w:val="bottom"/>
            <w:tcBorders>
              <w:bottom w:val="single" w:sz="8" w:color="auto"/>
            </w:tcBorders>
          </w:tcPr>
          <w:p>
            <w:pPr>
              <w:spacing w:after="0"/>
              <w:rPr>
                <w:sz w:val="13"/>
                <w:szCs w:val="13"/>
                <w:color w:val="auto"/>
              </w:rPr>
            </w:pPr>
          </w:p>
        </w:tc>
        <w:tc>
          <w:tcPr>
            <w:tcW w:w="40" w:type="dxa"/>
            <w:vAlign w:val="bottom"/>
          </w:tcPr>
          <w:p>
            <w:pPr>
              <w:spacing w:after="0"/>
              <w:rPr>
                <w:sz w:val="13"/>
                <w:szCs w:val="13"/>
                <w:color w:val="auto"/>
              </w:rPr>
            </w:pPr>
          </w:p>
        </w:tc>
      </w:tr>
      <w:tr>
        <w:trPr>
          <w:trHeight w:val="142"/>
        </w:trPr>
        <w:tc>
          <w:tcPr>
            <w:tcW w:w="4160" w:type="dxa"/>
            <w:vAlign w:val="bottom"/>
          </w:tcPr>
          <w:p>
            <w:pPr>
              <w:spacing w:after="0"/>
              <w:rPr>
                <w:sz w:val="12"/>
                <w:szCs w:val="12"/>
                <w:color w:val="auto"/>
              </w:rPr>
            </w:pPr>
          </w:p>
        </w:tc>
        <w:tc>
          <w:tcPr>
            <w:tcW w:w="208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420" w:type="dxa"/>
            <w:vAlign w:val="bottom"/>
            <w:tcBorders>
              <w:bottom w:val="single" w:sz="8" w:color="auto"/>
            </w:tcBorders>
          </w:tcPr>
          <w:p>
            <w:pPr>
              <w:jc w:val="right"/>
              <w:ind w:right="65"/>
              <w:spacing w:after="0" w:line="142" w:lineRule="exact"/>
              <w:rPr>
                <w:sz w:val="20"/>
                <w:szCs w:val="20"/>
                <w:color w:val="auto"/>
              </w:rPr>
            </w:pPr>
            <w:r>
              <w:rPr>
                <w:rFonts w:ascii="Arial" w:cs="Arial" w:eastAsia="Arial" w:hAnsi="Arial"/>
                <w:sz w:val="13"/>
                <w:szCs w:val="13"/>
                <w:b w:val="1"/>
                <w:bCs w:val="1"/>
                <w:color w:val="auto"/>
                <w:w w:val="89"/>
              </w:rPr>
              <w:t>2015</w:t>
            </w:r>
          </w:p>
        </w:tc>
        <w:tc>
          <w:tcPr>
            <w:tcW w:w="66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400" w:type="dxa"/>
            <w:vAlign w:val="bottom"/>
            <w:tcBorders>
              <w:bottom w:val="single" w:sz="8" w:color="auto"/>
            </w:tcBorders>
          </w:tcPr>
          <w:p>
            <w:pPr>
              <w:jc w:val="right"/>
              <w:ind w:right="63"/>
              <w:spacing w:after="0" w:line="142" w:lineRule="exact"/>
              <w:rPr>
                <w:sz w:val="20"/>
                <w:szCs w:val="20"/>
                <w:color w:val="auto"/>
              </w:rPr>
            </w:pPr>
            <w:r>
              <w:rPr>
                <w:rFonts w:ascii="Arial" w:cs="Arial" w:eastAsia="Arial" w:hAnsi="Arial"/>
                <w:sz w:val="13"/>
                <w:szCs w:val="13"/>
                <w:b w:val="1"/>
                <w:bCs w:val="1"/>
                <w:color w:val="auto"/>
                <w:w w:val="82"/>
              </w:rPr>
              <w:t>2016</w:t>
            </w:r>
          </w:p>
        </w:tc>
        <w:tc>
          <w:tcPr>
            <w:tcW w:w="66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420" w:type="dxa"/>
            <w:vAlign w:val="bottom"/>
            <w:tcBorders>
              <w:bottom w:val="single" w:sz="8" w:color="auto"/>
            </w:tcBorders>
          </w:tcPr>
          <w:p>
            <w:pPr>
              <w:jc w:val="right"/>
              <w:ind w:right="87"/>
              <w:spacing w:after="0" w:line="142" w:lineRule="exact"/>
              <w:rPr>
                <w:sz w:val="20"/>
                <w:szCs w:val="20"/>
                <w:color w:val="auto"/>
              </w:rPr>
            </w:pPr>
            <w:r>
              <w:rPr>
                <w:rFonts w:ascii="Arial" w:cs="Arial" w:eastAsia="Arial" w:hAnsi="Arial"/>
                <w:sz w:val="13"/>
                <w:szCs w:val="13"/>
                <w:b w:val="1"/>
                <w:bCs w:val="1"/>
                <w:color w:val="auto"/>
                <w:w w:val="82"/>
              </w:rPr>
              <w:t>2016</w:t>
            </w:r>
          </w:p>
        </w:tc>
        <w:tc>
          <w:tcPr>
            <w:tcW w:w="740" w:type="dxa"/>
            <w:vAlign w:val="bottom"/>
            <w:tcBorders>
              <w:bottom w:val="single" w:sz="8" w:color="auto"/>
            </w:tcBorders>
          </w:tcPr>
          <w:p>
            <w:pPr>
              <w:spacing w:after="0"/>
              <w:rPr>
                <w:sz w:val="12"/>
                <w:szCs w:val="12"/>
                <w:color w:val="auto"/>
              </w:rPr>
            </w:pPr>
          </w:p>
        </w:tc>
        <w:tc>
          <w:tcPr>
            <w:tcW w:w="480" w:type="dxa"/>
            <w:vAlign w:val="bottom"/>
            <w:tcBorders>
              <w:bottom w:val="single" w:sz="8" w:color="auto"/>
            </w:tcBorders>
          </w:tcPr>
          <w:p>
            <w:pPr>
              <w:jc w:val="right"/>
              <w:ind w:right="81"/>
              <w:spacing w:after="0" w:line="142" w:lineRule="exact"/>
              <w:rPr>
                <w:sz w:val="20"/>
                <w:szCs w:val="20"/>
                <w:color w:val="auto"/>
              </w:rPr>
            </w:pPr>
            <w:r>
              <w:rPr>
                <w:rFonts w:ascii="Arial" w:cs="Arial" w:eastAsia="Arial" w:hAnsi="Arial"/>
                <w:sz w:val="14"/>
                <w:szCs w:val="14"/>
                <w:b w:val="1"/>
                <w:bCs w:val="1"/>
                <w:color w:val="auto"/>
                <w:w w:val="96"/>
              </w:rPr>
              <w:t>2017</w:t>
            </w:r>
          </w:p>
        </w:tc>
        <w:tc>
          <w:tcPr>
            <w:tcW w:w="40" w:type="dxa"/>
            <w:vAlign w:val="bottom"/>
          </w:tcPr>
          <w:p>
            <w:pPr>
              <w:spacing w:after="0"/>
              <w:rPr>
                <w:sz w:val="12"/>
                <w:szCs w:val="12"/>
                <w:color w:val="auto"/>
              </w:rPr>
            </w:pPr>
          </w:p>
        </w:tc>
      </w:tr>
      <w:tr>
        <w:trPr>
          <w:trHeight w:val="142"/>
        </w:trPr>
        <w:tc>
          <w:tcPr>
            <w:tcW w:w="4160" w:type="dxa"/>
            <w:vAlign w:val="bottom"/>
          </w:tcPr>
          <w:p>
            <w:pPr>
              <w:spacing w:after="0"/>
              <w:rPr>
                <w:sz w:val="12"/>
                <w:szCs w:val="12"/>
                <w:color w:val="auto"/>
              </w:rPr>
            </w:pPr>
          </w:p>
        </w:tc>
        <w:tc>
          <w:tcPr>
            <w:tcW w:w="20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740" w:type="dxa"/>
            <w:vAlign w:val="bottom"/>
          </w:tcPr>
          <w:p>
            <w:pPr>
              <w:jc w:val="center"/>
              <w:ind w:right="8"/>
              <w:spacing w:after="0" w:line="142" w:lineRule="exact"/>
              <w:rPr>
                <w:sz w:val="20"/>
                <w:szCs w:val="20"/>
                <w:color w:val="auto"/>
              </w:rPr>
            </w:pPr>
            <w:r>
              <w:rPr>
                <w:rFonts w:ascii="Arial" w:cs="Arial" w:eastAsia="Arial" w:hAnsi="Arial"/>
                <w:sz w:val="13"/>
                <w:szCs w:val="13"/>
                <w:i w:val="1"/>
                <w:iCs w:val="1"/>
                <w:color w:val="auto"/>
                <w:w w:val="91"/>
              </w:rPr>
              <w:t>(Unaudited)</w:t>
            </w:r>
          </w:p>
        </w:tc>
        <w:tc>
          <w:tcPr>
            <w:tcW w:w="480" w:type="dxa"/>
            <w:vAlign w:val="bottom"/>
          </w:tcPr>
          <w:p>
            <w:pPr>
              <w:spacing w:after="0"/>
              <w:rPr>
                <w:sz w:val="12"/>
                <w:szCs w:val="12"/>
                <w:color w:val="auto"/>
              </w:rPr>
            </w:pPr>
          </w:p>
        </w:tc>
        <w:tc>
          <w:tcPr>
            <w:tcW w:w="40" w:type="dxa"/>
            <w:vAlign w:val="bottom"/>
          </w:tcPr>
          <w:p>
            <w:pPr>
              <w:spacing w:after="0"/>
              <w:rPr>
                <w:sz w:val="12"/>
                <w:szCs w:val="12"/>
                <w:color w:val="auto"/>
              </w:rPr>
            </w:pPr>
          </w:p>
        </w:tc>
      </w:tr>
      <w:tr>
        <w:trPr>
          <w:trHeight w:val="203"/>
        </w:trPr>
        <w:tc>
          <w:tcPr>
            <w:tcW w:w="4160" w:type="dxa"/>
            <w:vAlign w:val="bottom"/>
            <w:shd w:val="clear" w:color="auto" w:fill="CCEEFF"/>
          </w:tcPr>
          <w:p>
            <w:pPr>
              <w:ind w:left="320"/>
              <w:spacing w:after="0"/>
              <w:rPr>
                <w:sz w:val="20"/>
                <w:szCs w:val="20"/>
                <w:color w:val="auto"/>
              </w:rPr>
            </w:pPr>
            <w:r>
              <w:rPr>
                <w:rFonts w:ascii="Arial" w:cs="Arial" w:eastAsia="Arial" w:hAnsi="Arial"/>
                <w:sz w:val="16"/>
                <w:szCs w:val="16"/>
                <w:color w:val="auto"/>
              </w:rPr>
              <w:t>Cost of revenue</w:t>
            </w:r>
          </w:p>
        </w:tc>
        <w:tc>
          <w:tcPr>
            <w:tcW w:w="216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w:t>
            </w: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8.2</w:t>
            </w: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5.9</w:t>
            </w: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9.3</w:t>
            </w:r>
          </w:p>
        </w:tc>
        <w:tc>
          <w:tcPr>
            <w:tcW w:w="40" w:type="dxa"/>
            <w:vAlign w:val="bottom"/>
            <w:shd w:val="clear" w:color="auto" w:fill="CCEEFF"/>
          </w:tcPr>
          <w:p>
            <w:pPr>
              <w:spacing w:after="0"/>
              <w:rPr>
                <w:sz w:val="17"/>
                <w:szCs w:val="17"/>
                <w:color w:val="auto"/>
              </w:rPr>
            </w:pPr>
          </w:p>
        </w:tc>
      </w:tr>
      <w:tr>
        <w:trPr>
          <w:trHeight w:val="203"/>
        </w:trPr>
        <w:tc>
          <w:tcPr>
            <w:tcW w:w="4160" w:type="dxa"/>
            <w:vAlign w:val="bottom"/>
          </w:tcPr>
          <w:p>
            <w:pPr>
              <w:ind w:left="320"/>
              <w:spacing w:after="0"/>
              <w:rPr>
                <w:sz w:val="20"/>
                <w:szCs w:val="20"/>
                <w:color w:val="auto"/>
              </w:rPr>
            </w:pPr>
            <w:r>
              <w:rPr>
                <w:rFonts w:ascii="Arial" w:cs="Arial" w:eastAsia="Arial" w:hAnsi="Arial"/>
                <w:sz w:val="16"/>
                <w:szCs w:val="16"/>
                <w:color w:val="auto"/>
              </w:rPr>
              <w:t>Research and development</w:t>
            </w:r>
          </w:p>
        </w:tc>
        <w:tc>
          <w:tcPr>
            <w:tcW w:w="20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20" w:type="dxa"/>
            <w:vAlign w:val="bottom"/>
          </w:tcPr>
          <w:p>
            <w:pPr>
              <w:jc w:val="right"/>
              <w:spacing w:after="0"/>
              <w:rPr>
                <w:sz w:val="20"/>
                <w:szCs w:val="20"/>
                <w:color w:val="auto"/>
              </w:rPr>
            </w:pPr>
            <w:r>
              <w:rPr>
                <w:rFonts w:ascii="Arial" w:cs="Arial" w:eastAsia="Arial" w:hAnsi="Arial"/>
                <w:sz w:val="16"/>
                <w:szCs w:val="16"/>
                <w:color w:val="auto"/>
              </w:rPr>
              <w:t>36.1</w:t>
            </w: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0" w:type="dxa"/>
            <w:vAlign w:val="bottom"/>
          </w:tcPr>
          <w:p>
            <w:pPr>
              <w:jc w:val="right"/>
              <w:spacing w:after="0"/>
              <w:rPr>
                <w:sz w:val="20"/>
                <w:szCs w:val="20"/>
                <w:color w:val="auto"/>
              </w:rPr>
            </w:pPr>
            <w:r>
              <w:rPr>
                <w:rFonts w:ascii="Arial" w:cs="Arial" w:eastAsia="Arial" w:hAnsi="Arial"/>
                <w:sz w:val="16"/>
                <w:szCs w:val="16"/>
                <w:color w:val="auto"/>
              </w:rPr>
              <w:t>72.7</w:t>
            </w: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20" w:type="dxa"/>
            <w:vAlign w:val="bottom"/>
          </w:tcPr>
          <w:p>
            <w:pPr>
              <w:jc w:val="right"/>
              <w:spacing w:after="0"/>
              <w:rPr>
                <w:sz w:val="20"/>
                <w:szCs w:val="20"/>
                <w:color w:val="auto"/>
              </w:rPr>
            </w:pPr>
            <w:r>
              <w:rPr>
                <w:rFonts w:ascii="Arial" w:cs="Arial" w:eastAsia="Arial" w:hAnsi="Arial"/>
                <w:sz w:val="16"/>
                <w:szCs w:val="16"/>
                <w:color w:val="auto"/>
              </w:rPr>
              <w:t>52.8</w:t>
            </w:r>
          </w:p>
        </w:tc>
        <w:tc>
          <w:tcPr>
            <w:tcW w:w="740" w:type="dxa"/>
            <w:vAlign w:val="bottom"/>
          </w:tcPr>
          <w:p>
            <w:pPr>
              <w:spacing w:after="0"/>
              <w:rPr>
                <w:sz w:val="17"/>
                <w:szCs w:val="17"/>
                <w:color w:val="auto"/>
              </w:rPr>
            </w:pPr>
          </w:p>
        </w:tc>
        <w:tc>
          <w:tcPr>
            <w:tcW w:w="480" w:type="dxa"/>
            <w:vAlign w:val="bottom"/>
          </w:tcPr>
          <w:p>
            <w:pPr>
              <w:jc w:val="right"/>
              <w:spacing w:after="0"/>
              <w:rPr>
                <w:sz w:val="20"/>
                <w:szCs w:val="20"/>
                <w:color w:val="auto"/>
              </w:rPr>
            </w:pPr>
            <w:r>
              <w:rPr>
                <w:rFonts w:ascii="Arial" w:cs="Arial" w:eastAsia="Arial" w:hAnsi="Arial"/>
                <w:sz w:val="16"/>
                <w:szCs w:val="16"/>
                <w:color w:val="auto"/>
              </w:rPr>
              <w:t>66.4</w:t>
            </w:r>
          </w:p>
        </w:tc>
        <w:tc>
          <w:tcPr>
            <w:tcW w:w="40" w:type="dxa"/>
            <w:vAlign w:val="bottom"/>
          </w:tcPr>
          <w:p>
            <w:pPr>
              <w:spacing w:after="0"/>
              <w:rPr>
                <w:sz w:val="17"/>
                <w:szCs w:val="17"/>
                <w:color w:val="auto"/>
              </w:rPr>
            </w:pPr>
          </w:p>
        </w:tc>
      </w:tr>
      <w:tr>
        <w:trPr>
          <w:trHeight w:val="203"/>
        </w:trPr>
        <w:tc>
          <w:tcPr>
            <w:tcW w:w="4160" w:type="dxa"/>
            <w:vAlign w:val="bottom"/>
            <w:shd w:val="clear" w:color="auto" w:fill="CCEEFF"/>
          </w:tcPr>
          <w:p>
            <w:pPr>
              <w:ind w:left="320"/>
              <w:spacing w:after="0"/>
              <w:rPr>
                <w:sz w:val="20"/>
                <w:szCs w:val="20"/>
                <w:color w:val="auto"/>
              </w:rPr>
            </w:pPr>
            <w:r>
              <w:rPr>
                <w:rFonts w:ascii="Arial" w:cs="Arial" w:eastAsia="Arial" w:hAnsi="Arial"/>
                <w:sz w:val="16"/>
                <w:szCs w:val="16"/>
                <w:color w:val="auto"/>
              </w:rPr>
              <w:t>Sales and marketing</w:t>
            </w:r>
          </w:p>
        </w:tc>
        <w:tc>
          <w:tcPr>
            <w:tcW w:w="20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19.8</w:t>
            </w:r>
          </w:p>
        </w:tc>
        <w:tc>
          <w:tcPr>
            <w:tcW w:w="6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44.6</w:t>
            </w:r>
          </w:p>
        </w:tc>
        <w:tc>
          <w:tcPr>
            <w:tcW w:w="6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37.7</w:t>
            </w:r>
          </w:p>
        </w:tc>
        <w:tc>
          <w:tcPr>
            <w:tcW w:w="740" w:type="dxa"/>
            <w:vAlign w:val="bottom"/>
            <w:shd w:val="clear" w:color="auto" w:fill="CCEEFF"/>
          </w:tcPr>
          <w:p>
            <w:pPr>
              <w:spacing w:after="0"/>
              <w:rPr>
                <w:sz w:val="17"/>
                <w:szCs w:val="17"/>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22.9</w:t>
            </w:r>
          </w:p>
        </w:tc>
        <w:tc>
          <w:tcPr>
            <w:tcW w:w="40" w:type="dxa"/>
            <w:vAlign w:val="bottom"/>
            <w:shd w:val="clear" w:color="auto" w:fill="CCEEFF"/>
          </w:tcPr>
          <w:p>
            <w:pPr>
              <w:spacing w:after="0"/>
              <w:rPr>
                <w:sz w:val="17"/>
                <w:szCs w:val="17"/>
                <w:color w:val="auto"/>
              </w:rPr>
            </w:pPr>
          </w:p>
        </w:tc>
      </w:tr>
      <w:tr>
        <w:trPr>
          <w:trHeight w:val="206"/>
        </w:trPr>
        <w:tc>
          <w:tcPr>
            <w:tcW w:w="4160" w:type="dxa"/>
            <w:vAlign w:val="bottom"/>
          </w:tcPr>
          <w:p>
            <w:pPr>
              <w:ind w:left="320"/>
              <w:spacing w:after="0"/>
              <w:rPr>
                <w:sz w:val="20"/>
                <w:szCs w:val="20"/>
                <w:color w:val="auto"/>
              </w:rPr>
            </w:pPr>
            <w:r>
              <w:rPr>
                <w:rFonts w:ascii="Arial" w:cs="Arial" w:eastAsia="Arial" w:hAnsi="Arial"/>
                <w:sz w:val="16"/>
                <w:szCs w:val="16"/>
                <w:color w:val="auto"/>
              </w:rPr>
              <w:t>General and administrative</w:t>
            </w:r>
          </w:p>
        </w:tc>
        <w:tc>
          <w:tcPr>
            <w:tcW w:w="20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20" w:type="dxa"/>
            <w:vAlign w:val="bottom"/>
          </w:tcPr>
          <w:p>
            <w:pPr>
              <w:jc w:val="right"/>
              <w:spacing w:after="0"/>
              <w:rPr>
                <w:sz w:val="20"/>
                <w:szCs w:val="20"/>
                <w:color w:val="auto"/>
              </w:rPr>
            </w:pPr>
            <w:r>
              <w:rPr>
                <w:rFonts w:ascii="Arial" w:cs="Arial" w:eastAsia="Arial" w:hAnsi="Arial"/>
                <w:sz w:val="16"/>
                <w:szCs w:val="16"/>
                <w:color w:val="auto"/>
              </w:rPr>
              <w:t>7.6</w:t>
            </w: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0" w:type="dxa"/>
            <w:vAlign w:val="bottom"/>
          </w:tcPr>
          <w:p>
            <w:pPr>
              <w:jc w:val="right"/>
              <w:spacing w:after="0"/>
              <w:rPr>
                <w:sz w:val="20"/>
                <w:szCs w:val="20"/>
                <w:color w:val="auto"/>
              </w:rPr>
            </w:pPr>
            <w:r>
              <w:rPr>
                <w:rFonts w:ascii="Arial" w:cs="Arial" w:eastAsia="Arial" w:hAnsi="Arial"/>
                <w:sz w:val="16"/>
                <w:szCs w:val="16"/>
                <w:color w:val="auto"/>
              </w:rPr>
              <w:t>22.1</w:t>
            </w: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20" w:type="dxa"/>
            <w:vAlign w:val="bottom"/>
          </w:tcPr>
          <w:p>
            <w:pPr>
              <w:jc w:val="right"/>
              <w:spacing w:after="0"/>
              <w:rPr>
                <w:sz w:val="20"/>
                <w:szCs w:val="20"/>
                <w:color w:val="auto"/>
              </w:rPr>
            </w:pPr>
            <w:r>
              <w:rPr>
                <w:rFonts w:ascii="Arial" w:cs="Arial" w:eastAsia="Arial" w:hAnsi="Arial"/>
                <w:sz w:val="16"/>
                <w:szCs w:val="16"/>
                <w:color w:val="auto"/>
              </w:rPr>
              <w:t>17.2</w:t>
            </w:r>
          </w:p>
        </w:tc>
        <w:tc>
          <w:tcPr>
            <w:tcW w:w="740" w:type="dxa"/>
            <w:vAlign w:val="bottom"/>
          </w:tcPr>
          <w:p>
            <w:pPr>
              <w:spacing w:after="0"/>
              <w:rPr>
                <w:sz w:val="17"/>
                <w:szCs w:val="17"/>
                <w:color w:val="auto"/>
              </w:rPr>
            </w:pPr>
          </w:p>
        </w:tc>
        <w:tc>
          <w:tcPr>
            <w:tcW w:w="480" w:type="dxa"/>
            <w:vAlign w:val="bottom"/>
          </w:tcPr>
          <w:p>
            <w:pPr>
              <w:jc w:val="right"/>
              <w:spacing w:after="0"/>
              <w:rPr>
                <w:sz w:val="20"/>
                <w:szCs w:val="20"/>
                <w:color w:val="auto"/>
              </w:rPr>
            </w:pPr>
            <w:r>
              <w:rPr>
                <w:rFonts w:ascii="Arial" w:cs="Arial" w:eastAsia="Arial" w:hAnsi="Arial"/>
                <w:sz w:val="16"/>
                <w:szCs w:val="16"/>
                <w:color w:val="auto"/>
              </w:rPr>
              <w:t>18.6</w:t>
            </w:r>
          </w:p>
        </w:tc>
        <w:tc>
          <w:tcPr>
            <w:tcW w:w="40" w:type="dxa"/>
            <w:vAlign w:val="bottom"/>
          </w:tcPr>
          <w:p>
            <w:pPr>
              <w:spacing w:after="0"/>
              <w:rPr>
                <w:sz w:val="17"/>
                <w:szCs w:val="17"/>
                <w:color w:val="auto"/>
              </w:rPr>
            </w:pPr>
          </w:p>
        </w:tc>
      </w:tr>
    </w:tbl>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See accompanying Notes to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F-4</w:t>
      </w:r>
    </w:p>
    <w:p>
      <w:pPr>
        <w:sectPr>
          <w:pgSz w:w="11900" w:h="16838" w:orient="portrait"/>
          <w:cols w:equalWidth="0" w:num="1">
            <w:col w:w="11240"/>
          </w:cols>
          <w:pgMar w:left="320" w:top="459" w:right="339" w:bottom="1440" w:gutter="0" w:footer="0" w:header="0"/>
        </w:sectPr>
      </w:pPr>
    </w:p>
    <w:bookmarkStart w:id="163" w:name="page164"/>
    <w:bookmarkEnd w:id="16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DROPBOX,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COMPREHENSIVE LOSS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(In millions)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700" w:type="dxa"/>
            <w:vAlign w:val="bottom"/>
          </w:tcPr>
          <w:p>
            <w:pPr>
              <w:spacing w:after="0"/>
              <w:rPr>
                <w:sz w:val="14"/>
                <w:szCs w:val="14"/>
                <w:color w:val="auto"/>
              </w:rPr>
            </w:pPr>
          </w:p>
        </w:tc>
        <w:tc>
          <w:tcPr>
            <w:tcW w:w="1980" w:type="dxa"/>
            <w:vAlign w:val="bottom"/>
            <w:gridSpan w:val="6"/>
          </w:tcPr>
          <w:p>
            <w:pPr>
              <w:jc w:val="right"/>
              <w:ind w:right="781"/>
              <w:spacing w:after="0"/>
              <w:rPr>
                <w:sz w:val="20"/>
                <w:szCs w:val="20"/>
                <w:color w:val="auto"/>
              </w:rPr>
            </w:pPr>
            <w:r>
              <w:rPr>
                <w:rFonts w:ascii="Arial" w:cs="Arial" w:eastAsia="Arial" w:hAnsi="Arial"/>
                <w:sz w:val="14"/>
                <w:szCs w:val="14"/>
                <w:b w:val="1"/>
                <w:bCs w:val="1"/>
                <w:color w:val="auto"/>
              </w:rPr>
              <w:t>Year ended</w:t>
            </w:r>
          </w:p>
        </w:tc>
        <w:tc>
          <w:tcPr>
            <w:tcW w:w="1560" w:type="dxa"/>
            <w:vAlign w:val="bottom"/>
            <w:gridSpan w:val="5"/>
          </w:tcPr>
          <w:p>
            <w:pPr>
              <w:jc w:val="center"/>
              <w:ind w:right="21"/>
              <w:spacing w:after="0"/>
              <w:rPr>
                <w:sz w:val="20"/>
                <w:szCs w:val="20"/>
                <w:color w:val="auto"/>
              </w:rPr>
            </w:pPr>
            <w:r>
              <w:rPr>
                <w:rFonts w:ascii="Arial" w:cs="Arial" w:eastAsia="Arial" w:hAnsi="Arial"/>
                <w:sz w:val="14"/>
                <w:szCs w:val="14"/>
                <w:b w:val="1"/>
                <w:bCs w:val="1"/>
                <w:color w:val="auto"/>
                <w:w w:val="90"/>
              </w:rPr>
              <w:t>Nine months ended</w:t>
            </w:r>
          </w:p>
        </w:tc>
      </w:tr>
      <w:tr>
        <w:trPr>
          <w:trHeight w:val="171"/>
        </w:trPr>
        <w:tc>
          <w:tcPr>
            <w:tcW w:w="7700" w:type="dxa"/>
            <w:vAlign w:val="bottom"/>
          </w:tcPr>
          <w:p>
            <w:pPr>
              <w:spacing w:after="0"/>
              <w:rPr>
                <w:sz w:val="14"/>
                <w:szCs w:val="14"/>
                <w:color w:val="auto"/>
              </w:rPr>
            </w:pPr>
          </w:p>
        </w:tc>
        <w:tc>
          <w:tcPr>
            <w:tcW w:w="1980" w:type="dxa"/>
            <w:vAlign w:val="bottom"/>
            <w:gridSpan w:val="6"/>
          </w:tcPr>
          <w:p>
            <w:pPr>
              <w:jc w:val="right"/>
              <w:ind w:right="701"/>
              <w:spacing w:after="0"/>
              <w:rPr>
                <w:sz w:val="20"/>
                <w:szCs w:val="20"/>
                <w:color w:val="auto"/>
              </w:rPr>
            </w:pPr>
            <w:r>
              <w:rPr>
                <w:rFonts w:ascii="Arial" w:cs="Arial" w:eastAsia="Arial" w:hAnsi="Arial"/>
                <w:sz w:val="14"/>
                <w:szCs w:val="14"/>
                <w:b w:val="1"/>
                <w:bCs w:val="1"/>
                <w:color w:val="auto"/>
              </w:rPr>
              <w:t>December 31,</w:t>
            </w:r>
          </w:p>
        </w:tc>
        <w:tc>
          <w:tcPr>
            <w:tcW w:w="1560" w:type="dxa"/>
            <w:vAlign w:val="bottom"/>
            <w:gridSpan w:val="5"/>
          </w:tcPr>
          <w:p>
            <w:pPr>
              <w:jc w:val="center"/>
              <w:ind w:right="41"/>
              <w:spacing w:after="0"/>
              <w:rPr>
                <w:sz w:val="20"/>
                <w:szCs w:val="20"/>
                <w:color w:val="auto"/>
              </w:rPr>
            </w:pPr>
            <w:r>
              <w:rPr>
                <w:rFonts w:ascii="Arial" w:cs="Arial" w:eastAsia="Arial" w:hAnsi="Arial"/>
                <w:sz w:val="14"/>
                <w:szCs w:val="14"/>
                <w:b w:val="1"/>
                <w:bCs w:val="1"/>
                <w:color w:val="auto"/>
                <w:w w:val="91"/>
              </w:rPr>
              <w:t>September 30,</w:t>
            </w:r>
          </w:p>
        </w:tc>
      </w:tr>
      <w:tr>
        <w:trPr>
          <w:trHeight w:val="142"/>
        </w:trPr>
        <w:tc>
          <w:tcPr>
            <w:tcW w:w="7700" w:type="dxa"/>
            <w:vAlign w:val="bottom"/>
          </w:tcPr>
          <w:p>
            <w:pPr>
              <w:spacing w:after="0"/>
              <w:rPr>
                <w:sz w:val="12"/>
                <w:szCs w:val="12"/>
                <w:color w:val="auto"/>
              </w:rPr>
            </w:pPr>
          </w:p>
        </w:tc>
        <w:tc>
          <w:tcPr>
            <w:tcW w:w="560" w:type="dxa"/>
            <w:vAlign w:val="bottom"/>
            <w:tcBorders>
              <w:top w:val="single" w:sz="8" w:color="auto"/>
            </w:tcBorders>
          </w:tcPr>
          <w:p>
            <w:pPr>
              <w:jc w:val="right"/>
              <w:ind w:right="39"/>
              <w:spacing w:after="0" w:line="142" w:lineRule="exact"/>
              <w:rPr>
                <w:sz w:val="20"/>
                <w:szCs w:val="20"/>
                <w:color w:val="auto"/>
              </w:rPr>
            </w:pPr>
            <w:r>
              <w:rPr>
                <w:rFonts w:ascii="Arial" w:cs="Arial" w:eastAsia="Arial" w:hAnsi="Arial"/>
                <w:sz w:val="14"/>
                <w:szCs w:val="14"/>
                <w:b w:val="1"/>
                <w:bCs w:val="1"/>
                <w:color w:val="auto"/>
              </w:rPr>
              <w:t>2015</w:t>
            </w:r>
          </w:p>
        </w:tc>
        <w:tc>
          <w:tcPr>
            <w:tcW w:w="20" w:type="dxa"/>
            <w:vAlign w:val="bottom"/>
            <w:tcBorders>
              <w:top w:val="single" w:sz="8" w:color="auto"/>
            </w:tcBorders>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760" w:type="dxa"/>
            <w:vAlign w:val="bottom"/>
            <w:tcBorders>
              <w:top w:val="single" w:sz="8" w:color="auto"/>
            </w:tcBorders>
            <w:gridSpan w:val="2"/>
          </w:tcPr>
          <w:p>
            <w:pPr>
              <w:jc w:val="right"/>
              <w:ind w:right="50"/>
              <w:spacing w:after="0" w:line="142" w:lineRule="exact"/>
              <w:rPr>
                <w:sz w:val="20"/>
                <w:szCs w:val="20"/>
                <w:color w:val="auto"/>
              </w:rPr>
            </w:pPr>
            <w:r>
              <w:rPr>
                <w:rFonts w:ascii="Arial" w:cs="Arial" w:eastAsia="Arial" w:hAnsi="Arial"/>
                <w:sz w:val="14"/>
                <w:szCs w:val="14"/>
                <w:b w:val="1"/>
                <w:bCs w:val="1"/>
                <w:color w:val="auto"/>
              </w:rPr>
              <w:t>2016</w:t>
            </w:r>
          </w:p>
        </w:tc>
        <w:tc>
          <w:tcPr>
            <w:tcW w:w="420" w:type="dxa"/>
            <w:vAlign w:val="bottom"/>
          </w:tcPr>
          <w:p>
            <w:pPr>
              <w:spacing w:after="0"/>
              <w:rPr>
                <w:sz w:val="12"/>
                <w:szCs w:val="12"/>
                <w:color w:val="auto"/>
              </w:rPr>
            </w:pPr>
          </w:p>
        </w:tc>
        <w:tc>
          <w:tcPr>
            <w:tcW w:w="560" w:type="dxa"/>
            <w:vAlign w:val="bottom"/>
            <w:tcBorders>
              <w:top w:val="single" w:sz="8" w:color="auto"/>
            </w:tcBorders>
          </w:tcPr>
          <w:p>
            <w:pPr>
              <w:jc w:val="right"/>
              <w:ind w:right="60"/>
              <w:spacing w:after="0" w:line="142" w:lineRule="exact"/>
              <w:rPr>
                <w:sz w:val="20"/>
                <w:szCs w:val="20"/>
                <w:color w:val="auto"/>
              </w:rPr>
            </w:pPr>
            <w:r>
              <w:rPr>
                <w:rFonts w:ascii="Arial" w:cs="Arial" w:eastAsia="Arial" w:hAnsi="Arial"/>
                <w:sz w:val="14"/>
                <w:szCs w:val="14"/>
                <w:b w:val="1"/>
                <w:bCs w:val="1"/>
                <w:color w:val="auto"/>
              </w:rPr>
              <w:t>2016</w:t>
            </w:r>
          </w:p>
        </w:tc>
        <w:tc>
          <w:tcPr>
            <w:tcW w:w="240" w:type="dxa"/>
            <w:vAlign w:val="bottom"/>
            <w:tcBorders>
              <w:top w:val="single" w:sz="8" w:color="auto"/>
            </w:tcBorders>
          </w:tcPr>
          <w:p>
            <w:pPr>
              <w:spacing w:after="0"/>
              <w:rPr>
                <w:sz w:val="12"/>
                <w:szCs w:val="12"/>
                <w:color w:val="auto"/>
              </w:rPr>
            </w:pPr>
          </w:p>
        </w:tc>
        <w:tc>
          <w:tcPr>
            <w:tcW w:w="660" w:type="dxa"/>
            <w:vAlign w:val="bottom"/>
            <w:tcBorders>
              <w:top w:val="single" w:sz="8" w:color="auto"/>
            </w:tcBorders>
            <w:gridSpan w:val="2"/>
          </w:tcPr>
          <w:p>
            <w:pPr>
              <w:jc w:val="right"/>
              <w:ind w:right="10"/>
              <w:spacing w:after="0" w:line="142" w:lineRule="exact"/>
              <w:rPr>
                <w:sz w:val="20"/>
                <w:szCs w:val="20"/>
                <w:color w:val="auto"/>
              </w:rPr>
            </w:pPr>
            <w:r>
              <w:rPr>
                <w:rFonts w:ascii="Arial" w:cs="Arial" w:eastAsia="Arial" w:hAnsi="Arial"/>
                <w:sz w:val="14"/>
                <w:szCs w:val="14"/>
                <w:b w:val="1"/>
                <w:bCs w:val="1"/>
                <w:color w:val="auto"/>
              </w:rPr>
              <w:t>2017</w:t>
            </w:r>
          </w:p>
        </w:tc>
        <w:tc>
          <w:tcPr>
            <w:tcW w:w="100" w:type="dxa"/>
            <w:vAlign w:val="bottom"/>
          </w:tcPr>
          <w:p>
            <w:pPr>
              <w:spacing w:after="0"/>
              <w:rPr>
                <w:sz w:val="12"/>
                <w:szCs w:val="12"/>
                <w:color w:val="auto"/>
              </w:rPr>
            </w:pPr>
          </w:p>
        </w:tc>
      </w:tr>
      <w:tr>
        <w:trPr>
          <w:trHeight w:val="142"/>
        </w:trPr>
        <w:tc>
          <w:tcPr>
            <w:tcW w:w="7700" w:type="dxa"/>
            <w:vAlign w:val="bottom"/>
          </w:tcPr>
          <w:p>
            <w:pPr>
              <w:spacing w:after="0"/>
              <w:rPr>
                <w:sz w:val="12"/>
                <w:szCs w:val="12"/>
                <w:color w:val="auto"/>
              </w:rPr>
            </w:pPr>
          </w:p>
        </w:tc>
        <w:tc>
          <w:tcPr>
            <w:tcW w:w="560" w:type="dxa"/>
            <w:vAlign w:val="bottom"/>
            <w:tcBorders>
              <w:top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80" w:type="dxa"/>
            <w:vAlign w:val="bottom"/>
            <w:tcBorders>
              <w:top w:val="single" w:sz="8" w:color="auto"/>
            </w:tcBorders>
          </w:tcPr>
          <w:p>
            <w:pPr>
              <w:spacing w:after="0"/>
              <w:rPr>
                <w:sz w:val="12"/>
                <w:szCs w:val="12"/>
                <w:color w:val="auto"/>
              </w:rPr>
            </w:pPr>
          </w:p>
        </w:tc>
        <w:tc>
          <w:tcPr>
            <w:tcW w:w="420" w:type="dxa"/>
            <w:vAlign w:val="bottom"/>
          </w:tcPr>
          <w:p>
            <w:pPr>
              <w:spacing w:after="0"/>
              <w:rPr>
                <w:sz w:val="12"/>
                <w:szCs w:val="12"/>
                <w:color w:val="auto"/>
              </w:rPr>
            </w:pPr>
          </w:p>
        </w:tc>
        <w:tc>
          <w:tcPr>
            <w:tcW w:w="1460" w:type="dxa"/>
            <w:vAlign w:val="bottom"/>
            <w:tcBorders>
              <w:top w:val="single" w:sz="8" w:color="auto"/>
            </w:tcBorders>
            <w:gridSpan w:val="4"/>
          </w:tcPr>
          <w:p>
            <w:pPr>
              <w:jc w:val="center"/>
              <w:spacing w:after="0" w:line="142" w:lineRule="exact"/>
              <w:rPr>
                <w:sz w:val="20"/>
                <w:szCs w:val="20"/>
                <w:color w:val="auto"/>
              </w:rPr>
            </w:pPr>
            <w:r>
              <w:rPr>
                <w:rFonts w:ascii="Arial" w:cs="Arial" w:eastAsia="Arial" w:hAnsi="Arial"/>
                <w:sz w:val="14"/>
                <w:szCs w:val="14"/>
                <w:i w:val="1"/>
                <w:iCs w:val="1"/>
                <w:color w:val="auto"/>
                <w:w w:val="95"/>
              </w:rPr>
              <w:t>(Unaudited)</w:t>
            </w:r>
          </w:p>
        </w:tc>
        <w:tc>
          <w:tcPr>
            <w:tcW w:w="100" w:type="dxa"/>
            <w:vAlign w:val="bottom"/>
          </w:tcPr>
          <w:p>
            <w:pPr>
              <w:spacing w:after="0"/>
              <w:rPr>
                <w:sz w:val="12"/>
                <w:szCs w:val="12"/>
                <w:color w:val="auto"/>
              </w:rPr>
            </w:pPr>
          </w:p>
        </w:tc>
      </w:tr>
      <w:tr>
        <w:trPr>
          <w:trHeight w:val="216"/>
        </w:trPr>
        <w:tc>
          <w:tcPr>
            <w:tcW w:w="7700" w:type="dxa"/>
            <w:vAlign w:val="bottom"/>
            <w:shd w:val="clear" w:color="auto" w:fill="CCEEFF"/>
          </w:tcPr>
          <w:p>
            <w:pPr>
              <w:spacing w:after="0"/>
              <w:rPr>
                <w:sz w:val="20"/>
                <w:szCs w:val="20"/>
                <w:color w:val="auto"/>
              </w:rPr>
            </w:pPr>
            <w:r>
              <w:rPr>
                <w:rFonts w:ascii="Arial" w:cs="Arial" w:eastAsia="Arial" w:hAnsi="Arial"/>
                <w:sz w:val="18"/>
                <w:szCs w:val="18"/>
                <w:color w:val="auto"/>
              </w:rPr>
              <w:t>Net loss</w:t>
            </w:r>
          </w:p>
        </w:tc>
        <w:tc>
          <w:tcPr>
            <w:tcW w:w="80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w w:val="92"/>
              </w:rPr>
              <w:t>$(325.9)</w:t>
            </w:r>
          </w:p>
        </w:tc>
        <w:tc>
          <w:tcPr>
            <w:tcW w:w="1180" w:type="dxa"/>
            <w:vAlign w:val="bottom"/>
            <w:gridSpan w:val="3"/>
            <w:shd w:val="clear" w:color="auto" w:fill="CCEEFF"/>
          </w:tcPr>
          <w:p>
            <w:pPr>
              <w:jc w:val="right"/>
              <w:ind w:right="281"/>
              <w:spacing w:after="0"/>
              <w:rPr>
                <w:sz w:val="20"/>
                <w:szCs w:val="20"/>
                <w:color w:val="auto"/>
              </w:rPr>
            </w:pPr>
            <w:r>
              <w:rPr>
                <w:rFonts w:ascii="Arial" w:cs="Arial" w:eastAsia="Arial" w:hAnsi="Arial"/>
                <w:sz w:val="18"/>
                <w:szCs w:val="18"/>
                <w:color w:val="auto"/>
              </w:rPr>
              <w:t>$(210.2)</w:t>
            </w:r>
          </w:p>
        </w:tc>
        <w:tc>
          <w:tcPr>
            <w:tcW w:w="800" w:type="dxa"/>
            <w:vAlign w:val="bottom"/>
            <w:gridSpan w:val="2"/>
            <w:shd w:val="clear" w:color="auto" w:fill="CCEEFF"/>
          </w:tcPr>
          <w:p>
            <w:pPr>
              <w:jc w:val="right"/>
              <w:ind w:right="101"/>
              <w:spacing w:after="0"/>
              <w:rPr>
                <w:sz w:val="20"/>
                <w:szCs w:val="20"/>
                <w:color w:val="auto"/>
              </w:rPr>
            </w:pPr>
            <w:r>
              <w:rPr>
                <w:rFonts w:ascii="Arial" w:cs="Arial" w:eastAsia="Arial" w:hAnsi="Arial"/>
                <w:sz w:val="18"/>
                <w:szCs w:val="18"/>
                <w:color w:val="auto"/>
                <w:w w:val="89"/>
              </w:rPr>
              <w:t>$(181.1)</w:t>
            </w:r>
          </w:p>
        </w:tc>
        <w:tc>
          <w:tcPr>
            <w:tcW w:w="7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$(74.0)</w:t>
            </w:r>
          </w:p>
        </w:tc>
      </w:tr>
      <w:tr>
        <w:trPr>
          <w:trHeight w:val="216"/>
        </w:trPr>
        <w:tc>
          <w:tcPr>
            <w:tcW w:w="7700" w:type="dxa"/>
            <w:vAlign w:val="bottom"/>
          </w:tcPr>
          <w:p>
            <w:pPr>
              <w:spacing w:after="0"/>
              <w:rPr>
                <w:sz w:val="20"/>
                <w:szCs w:val="20"/>
                <w:color w:val="auto"/>
              </w:rPr>
            </w:pPr>
            <w:r>
              <w:rPr>
                <w:rFonts w:ascii="Arial" w:cs="Arial" w:eastAsia="Arial" w:hAnsi="Arial"/>
                <w:sz w:val="18"/>
                <w:szCs w:val="18"/>
                <w:color w:val="auto"/>
              </w:rPr>
              <w:t>Other comprehensive income (loss):</w:t>
            </w:r>
          </w:p>
        </w:tc>
        <w:tc>
          <w:tcPr>
            <w:tcW w:w="5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7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Change in cumulative foreign currency translation adjustments</w:t>
            </w: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220" w:type="dxa"/>
            <w:vAlign w:val="bottom"/>
            <w:shd w:val="clear" w:color="auto" w:fill="CCEEFF"/>
          </w:tcPr>
          <w:p>
            <w:pPr>
              <w:spacing w:after="0"/>
              <w:rPr>
                <w:sz w:val="18"/>
                <w:szCs w:val="18"/>
                <w:color w:val="auto"/>
              </w:rPr>
            </w:pPr>
          </w:p>
        </w:tc>
        <w:tc>
          <w:tcPr>
            <w:tcW w:w="1180" w:type="dxa"/>
            <w:vAlign w:val="bottom"/>
            <w:gridSpan w:val="3"/>
            <w:shd w:val="clear" w:color="auto" w:fill="CCEEFF"/>
          </w:tcPr>
          <w:p>
            <w:pPr>
              <w:jc w:val="right"/>
              <w:ind w:right="281"/>
              <w:spacing w:after="0"/>
              <w:rPr>
                <w:sz w:val="20"/>
                <w:szCs w:val="20"/>
                <w:color w:val="auto"/>
              </w:rPr>
            </w:pPr>
            <w:r>
              <w:rPr>
                <w:rFonts w:ascii="Arial" w:cs="Arial" w:eastAsia="Arial" w:hAnsi="Arial"/>
                <w:sz w:val="18"/>
                <w:szCs w:val="18"/>
                <w:color w:val="auto"/>
              </w:rPr>
              <w:t>(1.3)</w:t>
            </w:r>
          </w:p>
        </w:tc>
        <w:tc>
          <w:tcPr>
            <w:tcW w:w="800" w:type="dxa"/>
            <w:vAlign w:val="bottom"/>
            <w:gridSpan w:val="2"/>
            <w:shd w:val="clear" w:color="auto" w:fill="CCEEFF"/>
          </w:tcPr>
          <w:p>
            <w:pPr>
              <w:jc w:val="right"/>
              <w:ind w:right="161"/>
              <w:spacing w:after="0"/>
              <w:rPr>
                <w:sz w:val="20"/>
                <w:szCs w:val="20"/>
                <w:color w:val="auto"/>
              </w:rPr>
            </w:pPr>
            <w:r>
              <w:rPr>
                <w:rFonts w:ascii="Arial" w:cs="Arial" w:eastAsia="Arial" w:hAnsi="Arial"/>
                <w:sz w:val="18"/>
                <w:szCs w:val="18"/>
                <w:color w:val="auto"/>
              </w:rPr>
              <w:t>0.1</w:t>
            </w:r>
          </w:p>
        </w:tc>
        <w:tc>
          <w:tcPr>
            <w:tcW w:w="760" w:type="dxa"/>
            <w:vAlign w:val="bottom"/>
            <w:gridSpan w:val="3"/>
            <w:shd w:val="clear" w:color="auto" w:fill="CCEEFF"/>
          </w:tcPr>
          <w:p>
            <w:pPr>
              <w:jc w:val="right"/>
              <w:ind w:right="21"/>
              <w:spacing w:after="0"/>
              <w:rPr>
                <w:sz w:val="20"/>
                <w:szCs w:val="20"/>
                <w:color w:val="auto"/>
              </w:rPr>
            </w:pPr>
            <w:r>
              <w:rPr>
                <w:rFonts w:ascii="Arial" w:cs="Arial" w:eastAsia="Arial" w:hAnsi="Arial"/>
                <w:sz w:val="18"/>
                <w:szCs w:val="18"/>
                <w:color w:val="auto"/>
              </w:rPr>
              <w:t>5.3</w:t>
            </w:r>
          </w:p>
        </w:tc>
      </w:tr>
      <w:tr>
        <w:trPr>
          <w:trHeight w:val="223"/>
        </w:trPr>
        <w:tc>
          <w:tcPr>
            <w:tcW w:w="7700" w:type="dxa"/>
            <w:vAlign w:val="bottom"/>
          </w:tcPr>
          <w:p>
            <w:pPr>
              <w:spacing w:after="0"/>
              <w:rPr>
                <w:sz w:val="20"/>
                <w:szCs w:val="20"/>
                <w:color w:val="auto"/>
              </w:rPr>
            </w:pPr>
            <w:r>
              <w:rPr>
                <w:rFonts w:ascii="Arial" w:cs="Arial" w:eastAsia="Arial" w:hAnsi="Arial"/>
                <w:sz w:val="18"/>
                <w:szCs w:val="18"/>
                <w:color w:val="auto"/>
              </w:rPr>
              <w:t>Comprehensive loss</w:t>
            </w:r>
          </w:p>
        </w:tc>
        <w:tc>
          <w:tcPr>
            <w:tcW w:w="560" w:type="dxa"/>
            <w:vAlign w:val="bottom"/>
            <w:tcBorders>
              <w:top w:val="single" w:sz="8" w:color="auto"/>
            </w:tcBorders>
          </w:tcPr>
          <w:p>
            <w:pPr>
              <w:jc w:val="center"/>
              <w:spacing w:after="0"/>
              <w:rPr>
                <w:sz w:val="20"/>
                <w:szCs w:val="20"/>
                <w:color w:val="auto"/>
              </w:rPr>
            </w:pPr>
            <w:r>
              <w:rPr>
                <w:rFonts w:ascii="Arial" w:cs="Arial" w:eastAsia="Arial" w:hAnsi="Arial"/>
                <w:sz w:val="18"/>
                <w:szCs w:val="18"/>
                <w:u w:val="single" w:color="auto"/>
                <w:color w:val="auto"/>
                <w:w w:val="88"/>
              </w:rPr>
              <w:t>$</w:t>
            </w:r>
            <w:r>
              <w:rPr>
                <w:rFonts w:ascii="Arial" w:cs="Arial" w:eastAsia="Arial" w:hAnsi="Arial"/>
                <w:sz w:val="18"/>
                <w:szCs w:val="18"/>
                <w:color w:val="auto"/>
                <w:w w:val="88"/>
              </w:rPr>
              <w:t>(325.8</w:t>
            </w:r>
          </w:p>
        </w:tc>
        <w:tc>
          <w:tcPr>
            <w:tcW w:w="240" w:type="dxa"/>
            <w:vAlign w:val="bottom"/>
            <w:gridSpan w:val="2"/>
          </w:tcPr>
          <w:p>
            <w:pPr>
              <w:jc w:val="right"/>
              <w:ind w:right="160"/>
              <w:spacing w:after="0"/>
              <w:rPr>
                <w:sz w:val="20"/>
                <w:szCs w:val="20"/>
                <w:color w:val="auto"/>
              </w:rPr>
            </w:pPr>
            <w:r>
              <w:rPr>
                <w:rFonts w:ascii="Arial" w:cs="Arial" w:eastAsia="Arial" w:hAnsi="Arial"/>
                <w:sz w:val="18"/>
                <w:szCs w:val="18"/>
                <w:color w:val="auto"/>
                <w:w w:val="99"/>
              </w:rPr>
              <w:t>)</w:t>
            </w:r>
          </w:p>
        </w:tc>
        <w:tc>
          <w:tcPr>
            <w:tcW w:w="180" w:type="dxa"/>
            <w:vAlign w:val="bottom"/>
          </w:tcPr>
          <w:p>
            <w:pPr>
              <w:spacing w:after="0"/>
              <w:rPr>
                <w:sz w:val="19"/>
                <w:szCs w:val="19"/>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u w:val="single" w:color="auto"/>
                <w:color w:val="auto"/>
                <w:w w:val="91"/>
              </w:rPr>
              <w:t>$</w:t>
            </w:r>
            <w:r>
              <w:rPr>
                <w:rFonts w:ascii="Arial" w:cs="Arial" w:eastAsia="Arial" w:hAnsi="Arial"/>
                <w:sz w:val="18"/>
                <w:szCs w:val="18"/>
                <w:color w:val="auto"/>
                <w:w w:val="91"/>
              </w:rPr>
              <w:t>(211.5</w:t>
            </w:r>
          </w:p>
        </w:tc>
        <w:tc>
          <w:tcPr>
            <w:tcW w:w="420" w:type="dxa"/>
            <w:vAlign w:val="bottom"/>
          </w:tcPr>
          <w:p>
            <w:pPr>
              <w:jc w:val="right"/>
              <w:ind w:right="281"/>
              <w:spacing w:after="0"/>
              <w:rPr>
                <w:sz w:val="20"/>
                <w:szCs w:val="20"/>
                <w:color w:val="auto"/>
              </w:rPr>
            </w:pPr>
            <w:r>
              <w:rPr>
                <w:rFonts w:ascii="Arial" w:cs="Arial" w:eastAsia="Arial" w:hAnsi="Arial"/>
                <w:sz w:val="16"/>
                <w:szCs w:val="16"/>
                <w:color w:val="auto"/>
                <w:w w:val="74"/>
              </w:rPr>
              <w:t>)</w:t>
            </w: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8"/>
                <w:szCs w:val="18"/>
                <w:u w:val="single" w:color="auto"/>
                <w:color w:val="auto"/>
                <w:w w:val="88"/>
              </w:rPr>
              <w:t>$</w:t>
            </w:r>
            <w:r>
              <w:rPr>
                <w:rFonts w:ascii="Arial" w:cs="Arial" w:eastAsia="Arial" w:hAnsi="Arial"/>
                <w:sz w:val="18"/>
                <w:szCs w:val="18"/>
                <w:color w:val="auto"/>
                <w:w w:val="88"/>
              </w:rPr>
              <w:t>(181.0</w:t>
            </w:r>
          </w:p>
        </w:tc>
        <w:tc>
          <w:tcPr>
            <w:tcW w:w="240" w:type="dxa"/>
            <w:vAlign w:val="bottom"/>
          </w:tcPr>
          <w:p>
            <w:pPr>
              <w:jc w:val="right"/>
              <w:ind w:right="101"/>
              <w:spacing w:after="0"/>
              <w:rPr>
                <w:sz w:val="20"/>
                <w:szCs w:val="20"/>
                <w:color w:val="auto"/>
              </w:rPr>
            </w:pPr>
            <w:r>
              <w:rPr>
                <w:rFonts w:ascii="Arial" w:cs="Arial" w:eastAsia="Arial" w:hAnsi="Arial"/>
                <w:sz w:val="16"/>
                <w:szCs w:val="16"/>
                <w:color w:val="auto"/>
                <w:w w:val="74"/>
              </w:rPr>
              <w:t>)</w:t>
            </w:r>
          </w:p>
        </w:tc>
        <w:tc>
          <w:tcPr>
            <w:tcW w:w="180" w:type="dxa"/>
            <w:vAlign w:val="bottom"/>
          </w:tcPr>
          <w:p>
            <w:pPr>
              <w:spacing w:after="0"/>
              <w:rPr>
                <w:sz w:val="19"/>
                <w:szCs w:val="19"/>
                <w:color w:val="auto"/>
              </w:rPr>
            </w:pPr>
          </w:p>
        </w:tc>
        <w:tc>
          <w:tcPr>
            <w:tcW w:w="480" w:type="dxa"/>
            <w:vAlign w:val="bottom"/>
            <w:tcBorders>
              <w:top w:val="single" w:sz="8" w:color="auto"/>
            </w:tcBorders>
          </w:tcPr>
          <w:p>
            <w:pPr>
              <w:jc w:val="right"/>
              <w:spacing w:after="0"/>
              <w:rPr>
                <w:sz w:val="20"/>
                <w:szCs w:val="20"/>
                <w:color w:val="auto"/>
              </w:rPr>
            </w:pPr>
            <w:r>
              <w:rPr>
                <w:rFonts w:ascii="Arial" w:cs="Arial" w:eastAsia="Arial" w:hAnsi="Arial"/>
                <w:sz w:val="18"/>
                <w:szCs w:val="18"/>
                <w:u w:val="single" w:color="auto"/>
                <w:color w:val="auto"/>
                <w:w w:val="90"/>
              </w:rPr>
              <w:t>$</w:t>
            </w:r>
            <w:r>
              <w:rPr>
                <w:rFonts w:ascii="Arial" w:cs="Arial" w:eastAsia="Arial" w:hAnsi="Arial"/>
                <w:sz w:val="18"/>
                <w:szCs w:val="18"/>
                <w:color w:val="auto"/>
                <w:w w:val="90"/>
              </w:rPr>
              <w:t>(68.7</w:t>
            </w:r>
          </w:p>
        </w:tc>
        <w:tc>
          <w:tcPr>
            <w:tcW w:w="100" w:type="dxa"/>
            <w:vAlign w:val="bottom"/>
          </w:tcPr>
          <w:p>
            <w:pPr>
              <w:jc w:val="right"/>
              <w:spacing w:after="0"/>
              <w:rPr>
                <w:sz w:val="20"/>
                <w:szCs w:val="20"/>
                <w:color w:val="auto"/>
              </w:rPr>
            </w:pPr>
            <w:r>
              <w:rPr>
                <w:rFonts w:ascii="Arial" w:cs="Arial" w:eastAsia="Arial" w:hAnsi="Arial"/>
                <w:sz w:val="16"/>
                <w:szCs w:val="16"/>
                <w:color w:val="auto"/>
                <w:w w:val="74"/>
              </w:rPr>
              <w:t>)</w:t>
            </w:r>
          </w:p>
        </w:tc>
      </w:tr>
      <w:tr>
        <w:trPr>
          <w:trHeight w:val="20"/>
        </w:trPr>
        <w:tc>
          <w:tcPr>
            <w:tcW w:w="770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See accompanying Notes to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F-5</w:t>
      </w:r>
    </w:p>
    <w:p>
      <w:pPr>
        <w:sectPr>
          <w:pgSz w:w="11900" w:h="16838" w:orient="portrait"/>
          <w:cols w:equalWidth="0" w:num="1">
            <w:col w:w="11240"/>
          </w:cols>
          <w:pgMar w:left="320" w:top="459" w:right="339" w:bottom="1440" w:gutter="0" w:footer="0" w:header="0"/>
        </w:sectPr>
      </w:pPr>
    </w:p>
    <w:bookmarkStart w:id="164" w:name="page165"/>
    <w:bookmarkEnd w:id="16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DROPBOX,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STOCKHOLDERS’ EQUITY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(In millions)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320" w:type="dxa"/>
            <w:vAlign w:val="bottom"/>
          </w:tcPr>
          <w:p>
            <w:pPr>
              <w:spacing w:after="0"/>
              <w:rPr>
                <w:sz w:val="14"/>
                <w:szCs w:val="14"/>
                <w:color w:val="auto"/>
              </w:rPr>
            </w:pPr>
          </w:p>
        </w:tc>
        <w:tc>
          <w:tcPr>
            <w:tcW w:w="1160" w:type="dxa"/>
            <w:vAlign w:val="bottom"/>
            <w:gridSpan w:val="3"/>
            <w:vMerge w:val="restart"/>
          </w:tcPr>
          <w:p>
            <w:pPr>
              <w:jc w:val="right"/>
              <w:ind w:right="139"/>
              <w:spacing w:after="0"/>
              <w:rPr>
                <w:sz w:val="20"/>
                <w:szCs w:val="20"/>
                <w:color w:val="auto"/>
              </w:rPr>
            </w:pPr>
            <w:r>
              <w:rPr>
                <w:rFonts w:ascii="Arial" w:cs="Arial" w:eastAsia="Arial" w:hAnsi="Arial"/>
                <w:sz w:val="14"/>
                <w:szCs w:val="14"/>
                <w:b w:val="1"/>
                <w:bCs w:val="1"/>
                <w:color w:val="auto"/>
              </w:rPr>
              <w:t>Convertible</w:t>
            </w:r>
          </w:p>
        </w:tc>
        <w:tc>
          <w:tcPr>
            <w:tcW w:w="2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180" w:type="dxa"/>
            <w:vAlign w:val="bottom"/>
            <w:gridSpan w:val="3"/>
          </w:tcPr>
          <w:p>
            <w:pPr>
              <w:jc w:val="center"/>
              <w:ind w:right="280"/>
              <w:spacing w:after="0"/>
              <w:rPr>
                <w:sz w:val="20"/>
                <w:szCs w:val="20"/>
                <w:color w:val="auto"/>
              </w:rPr>
            </w:pPr>
            <w:r>
              <w:rPr>
                <w:rFonts w:ascii="Arial" w:cs="Arial" w:eastAsia="Arial" w:hAnsi="Arial"/>
                <w:sz w:val="14"/>
                <w:szCs w:val="14"/>
                <w:b w:val="1"/>
                <w:bCs w:val="1"/>
                <w:color w:val="auto"/>
                <w:w w:val="93"/>
              </w:rPr>
              <w:t>Accumulated</w:t>
            </w:r>
          </w:p>
        </w:tc>
        <w:tc>
          <w:tcPr>
            <w:tcW w:w="1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81"/>
        </w:trPr>
        <w:tc>
          <w:tcPr>
            <w:tcW w:w="4320" w:type="dxa"/>
            <w:vAlign w:val="bottom"/>
          </w:tcPr>
          <w:p>
            <w:pPr>
              <w:spacing w:after="0"/>
              <w:rPr>
                <w:sz w:val="7"/>
                <w:szCs w:val="7"/>
                <w:color w:val="auto"/>
              </w:rPr>
            </w:pPr>
          </w:p>
        </w:tc>
        <w:tc>
          <w:tcPr>
            <w:tcW w:w="1160" w:type="dxa"/>
            <w:vAlign w:val="bottom"/>
            <w:gridSpan w:val="3"/>
            <w:vMerge w:val="continue"/>
          </w:tcPr>
          <w:p>
            <w:pPr>
              <w:spacing w:after="0"/>
              <w:rPr>
                <w:sz w:val="7"/>
                <w:szCs w:val="7"/>
                <w:color w:val="auto"/>
              </w:rPr>
            </w:pPr>
          </w:p>
        </w:tc>
        <w:tc>
          <w:tcPr>
            <w:tcW w:w="220" w:type="dxa"/>
            <w:vAlign w:val="bottom"/>
          </w:tcPr>
          <w:p>
            <w:pPr>
              <w:spacing w:after="0"/>
              <w:rPr>
                <w:sz w:val="7"/>
                <w:szCs w:val="7"/>
                <w:color w:val="auto"/>
              </w:rPr>
            </w:pPr>
          </w:p>
        </w:tc>
        <w:tc>
          <w:tcPr>
            <w:tcW w:w="400" w:type="dxa"/>
            <w:vAlign w:val="bottom"/>
          </w:tcPr>
          <w:p>
            <w:pPr>
              <w:spacing w:after="0"/>
              <w:rPr>
                <w:sz w:val="7"/>
                <w:szCs w:val="7"/>
                <w:color w:val="auto"/>
              </w:rPr>
            </w:pPr>
          </w:p>
        </w:tc>
        <w:tc>
          <w:tcPr>
            <w:tcW w:w="280" w:type="dxa"/>
            <w:vAlign w:val="bottom"/>
          </w:tcPr>
          <w:p>
            <w:pPr>
              <w:spacing w:after="0"/>
              <w:rPr>
                <w:sz w:val="7"/>
                <w:szCs w:val="7"/>
                <w:color w:val="auto"/>
              </w:rPr>
            </w:pPr>
          </w:p>
        </w:tc>
        <w:tc>
          <w:tcPr>
            <w:tcW w:w="180" w:type="dxa"/>
            <w:vAlign w:val="bottom"/>
          </w:tcPr>
          <w:p>
            <w:pPr>
              <w:spacing w:after="0"/>
              <w:rPr>
                <w:sz w:val="7"/>
                <w:szCs w:val="7"/>
                <w:color w:val="auto"/>
              </w:rPr>
            </w:pPr>
          </w:p>
        </w:tc>
        <w:tc>
          <w:tcPr>
            <w:tcW w:w="340" w:type="dxa"/>
            <w:vAlign w:val="bottom"/>
          </w:tcPr>
          <w:p>
            <w:pPr>
              <w:spacing w:after="0"/>
              <w:rPr>
                <w:sz w:val="7"/>
                <w:szCs w:val="7"/>
                <w:color w:val="auto"/>
              </w:rPr>
            </w:pPr>
          </w:p>
        </w:tc>
        <w:tc>
          <w:tcPr>
            <w:tcW w:w="200" w:type="dxa"/>
            <w:vAlign w:val="bottom"/>
          </w:tcPr>
          <w:p>
            <w:pPr>
              <w:spacing w:after="0"/>
              <w:rPr>
                <w:sz w:val="7"/>
                <w:szCs w:val="7"/>
                <w:color w:val="auto"/>
              </w:rPr>
            </w:pPr>
          </w:p>
        </w:tc>
        <w:tc>
          <w:tcPr>
            <w:tcW w:w="840" w:type="dxa"/>
            <w:vAlign w:val="bottom"/>
            <w:gridSpan w:val="3"/>
            <w:vMerge w:val="restart"/>
          </w:tcPr>
          <w:p>
            <w:pPr>
              <w:ind w:left="20"/>
              <w:spacing w:after="0" w:line="149" w:lineRule="exact"/>
              <w:rPr>
                <w:sz w:val="20"/>
                <w:szCs w:val="20"/>
                <w:color w:val="auto"/>
              </w:rPr>
            </w:pPr>
            <w:r>
              <w:rPr>
                <w:rFonts w:ascii="Arial" w:cs="Arial" w:eastAsia="Arial" w:hAnsi="Arial"/>
                <w:sz w:val="14"/>
                <w:szCs w:val="14"/>
                <w:b w:val="1"/>
                <w:bCs w:val="1"/>
                <w:color w:val="auto"/>
              </w:rPr>
              <w:t>Additional</w:t>
            </w:r>
          </w:p>
        </w:tc>
        <w:tc>
          <w:tcPr>
            <w:tcW w:w="100" w:type="dxa"/>
            <w:vAlign w:val="bottom"/>
          </w:tcPr>
          <w:p>
            <w:pPr>
              <w:spacing w:after="0"/>
              <w:rPr>
                <w:sz w:val="7"/>
                <w:szCs w:val="7"/>
                <w:color w:val="auto"/>
              </w:rPr>
            </w:pPr>
          </w:p>
        </w:tc>
        <w:tc>
          <w:tcPr>
            <w:tcW w:w="160" w:type="dxa"/>
            <w:vAlign w:val="bottom"/>
          </w:tcPr>
          <w:p>
            <w:pPr>
              <w:spacing w:after="0"/>
              <w:rPr>
                <w:sz w:val="7"/>
                <w:szCs w:val="7"/>
                <w:color w:val="auto"/>
              </w:rPr>
            </w:pPr>
          </w:p>
        </w:tc>
        <w:tc>
          <w:tcPr>
            <w:tcW w:w="660" w:type="dxa"/>
            <w:vAlign w:val="bottom"/>
          </w:tcPr>
          <w:p>
            <w:pPr>
              <w:spacing w:after="0"/>
              <w:rPr>
                <w:sz w:val="7"/>
                <w:szCs w:val="7"/>
                <w:color w:val="auto"/>
              </w:rPr>
            </w:pPr>
          </w:p>
        </w:tc>
        <w:tc>
          <w:tcPr>
            <w:tcW w:w="280" w:type="dxa"/>
            <w:vAlign w:val="bottom"/>
          </w:tcPr>
          <w:p>
            <w:pPr>
              <w:spacing w:after="0"/>
              <w:rPr>
                <w:sz w:val="7"/>
                <w:szCs w:val="7"/>
                <w:color w:val="auto"/>
              </w:rPr>
            </w:pPr>
          </w:p>
        </w:tc>
        <w:tc>
          <w:tcPr>
            <w:tcW w:w="180" w:type="dxa"/>
            <w:vAlign w:val="bottom"/>
          </w:tcPr>
          <w:p>
            <w:pPr>
              <w:spacing w:after="0"/>
              <w:rPr>
                <w:sz w:val="7"/>
                <w:szCs w:val="7"/>
                <w:color w:val="auto"/>
              </w:rPr>
            </w:pPr>
          </w:p>
        </w:tc>
        <w:tc>
          <w:tcPr>
            <w:tcW w:w="1000" w:type="dxa"/>
            <w:vAlign w:val="bottom"/>
            <w:gridSpan w:val="2"/>
            <w:vMerge w:val="restart"/>
          </w:tcPr>
          <w:p>
            <w:pPr>
              <w:jc w:val="center"/>
              <w:ind w:right="460"/>
              <w:spacing w:after="0" w:line="149" w:lineRule="exact"/>
              <w:rPr>
                <w:sz w:val="20"/>
                <w:szCs w:val="20"/>
                <w:color w:val="auto"/>
              </w:rPr>
            </w:pPr>
            <w:r>
              <w:rPr>
                <w:rFonts w:ascii="Arial" w:cs="Arial" w:eastAsia="Arial" w:hAnsi="Arial"/>
                <w:sz w:val="14"/>
                <w:szCs w:val="14"/>
                <w:b w:val="1"/>
                <w:bCs w:val="1"/>
                <w:color w:val="auto"/>
                <w:w w:val="97"/>
              </w:rPr>
              <w:t>other</w:t>
            </w:r>
          </w:p>
        </w:tc>
        <w:tc>
          <w:tcPr>
            <w:tcW w:w="160" w:type="dxa"/>
            <w:vAlign w:val="bottom"/>
          </w:tcPr>
          <w:p>
            <w:pPr>
              <w:spacing w:after="0"/>
              <w:rPr>
                <w:sz w:val="7"/>
                <w:szCs w:val="7"/>
                <w:color w:val="auto"/>
              </w:rPr>
            </w:pPr>
          </w:p>
        </w:tc>
        <w:tc>
          <w:tcPr>
            <w:tcW w:w="760" w:type="dxa"/>
            <w:vAlign w:val="bottom"/>
            <w:gridSpan w:val="2"/>
            <w:vMerge w:val="restart"/>
          </w:tcPr>
          <w:p>
            <w:pPr>
              <w:jc w:val="right"/>
              <w:ind w:right="340"/>
              <w:spacing w:after="0" w:line="149" w:lineRule="exact"/>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68"/>
        </w:trPr>
        <w:tc>
          <w:tcPr>
            <w:tcW w:w="4320" w:type="dxa"/>
            <w:vAlign w:val="bottom"/>
          </w:tcPr>
          <w:p>
            <w:pPr>
              <w:spacing w:after="0"/>
              <w:rPr>
                <w:sz w:val="5"/>
                <w:szCs w:val="5"/>
                <w:color w:val="auto"/>
              </w:rPr>
            </w:pPr>
          </w:p>
        </w:tc>
        <w:tc>
          <w:tcPr>
            <w:tcW w:w="1160" w:type="dxa"/>
            <w:vAlign w:val="bottom"/>
            <w:gridSpan w:val="3"/>
            <w:vMerge w:val="restart"/>
          </w:tcPr>
          <w:p>
            <w:pPr>
              <w:jc w:val="right"/>
              <w:ind w:right="19"/>
              <w:spacing w:after="0"/>
              <w:rPr>
                <w:sz w:val="20"/>
                <w:szCs w:val="20"/>
                <w:color w:val="auto"/>
              </w:rPr>
            </w:pPr>
            <w:r>
              <w:rPr>
                <w:rFonts w:ascii="Arial" w:cs="Arial" w:eastAsia="Arial" w:hAnsi="Arial"/>
                <w:sz w:val="14"/>
                <w:szCs w:val="14"/>
                <w:b w:val="1"/>
                <w:bCs w:val="1"/>
                <w:color w:val="auto"/>
              </w:rPr>
              <w:t>preferred stock</w:t>
            </w:r>
          </w:p>
        </w:tc>
        <w:tc>
          <w:tcPr>
            <w:tcW w:w="220" w:type="dxa"/>
            <w:vAlign w:val="bottom"/>
          </w:tcPr>
          <w:p>
            <w:pPr>
              <w:spacing w:after="0"/>
              <w:rPr>
                <w:sz w:val="5"/>
                <w:szCs w:val="5"/>
                <w:color w:val="auto"/>
              </w:rPr>
            </w:pPr>
          </w:p>
        </w:tc>
        <w:tc>
          <w:tcPr>
            <w:tcW w:w="1200" w:type="dxa"/>
            <w:vAlign w:val="bottom"/>
            <w:gridSpan w:val="4"/>
            <w:vMerge w:val="restart"/>
          </w:tcPr>
          <w:p>
            <w:pPr>
              <w:ind w:left="140"/>
              <w:spacing w:after="0"/>
              <w:rPr>
                <w:sz w:val="20"/>
                <w:szCs w:val="20"/>
                <w:color w:val="auto"/>
              </w:rPr>
            </w:pPr>
            <w:r>
              <w:rPr>
                <w:rFonts w:ascii="Arial" w:cs="Arial" w:eastAsia="Arial" w:hAnsi="Arial"/>
                <w:sz w:val="14"/>
                <w:szCs w:val="14"/>
                <w:b w:val="1"/>
                <w:bCs w:val="1"/>
                <w:color w:val="auto"/>
              </w:rPr>
              <w:t>Common stock</w:t>
            </w:r>
          </w:p>
        </w:tc>
        <w:tc>
          <w:tcPr>
            <w:tcW w:w="200" w:type="dxa"/>
            <w:vAlign w:val="bottom"/>
          </w:tcPr>
          <w:p>
            <w:pPr>
              <w:spacing w:after="0"/>
              <w:rPr>
                <w:sz w:val="5"/>
                <w:szCs w:val="5"/>
                <w:color w:val="auto"/>
              </w:rPr>
            </w:pPr>
          </w:p>
        </w:tc>
        <w:tc>
          <w:tcPr>
            <w:tcW w:w="840" w:type="dxa"/>
            <w:vAlign w:val="bottom"/>
            <w:gridSpan w:val="3"/>
            <w:vMerge w:val="continue"/>
          </w:tcPr>
          <w:p>
            <w:pPr>
              <w:spacing w:after="0"/>
              <w:rPr>
                <w:sz w:val="5"/>
                <w:szCs w:val="5"/>
                <w:color w:val="auto"/>
              </w:rPr>
            </w:pPr>
          </w:p>
        </w:tc>
        <w:tc>
          <w:tcPr>
            <w:tcW w:w="100" w:type="dxa"/>
            <w:vAlign w:val="bottom"/>
          </w:tcPr>
          <w:p>
            <w:pPr>
              <w:spacing w:after="0"/>
              <w:rPr>
                <w:sz w:val="5"/>
                <w:szCs w:val="5"/>
                <w:color w:val="auto"/>
              </w:rPr>
            </w:pPr>
          </w:p>
        </w:tc>
        <w:tc>
          <w:tcPr>
            <w:tcW w:w="160" w:type="dxa"/>
            <w:vAlign w:val="bottom"/>
          </w:tcPr>
          <w:p>
            <w:pPr>
              <w:spacing w:after="0"/>
              <w:rPr>
                <w:sz w:val="5"/>
                <w:szCs w:val="5"/>
                <w:color w:val="auto"/>
              </w:rPr>
            </w:pPr>
          </w:p>
        </w:tc>
        <w:tc>
          <w:tcPr>
            <w:tcW w:w="660" w:type="dxa"/>
            <w:vAlign w:val="bottom"/>
          </w:tcPr>
          <w:p>
            <w:pPr>
              <w:spacing w:after="0"/>
              <w:rPr>
                <w:sz w:val="5"/>
                <w:szCs w:val="5"/>
                <w:color w:val="auto"/>
              </w:rPr>
            </w:pPr>
          </w:p>
        </w:tc>
        <w:tc>
          <w:tcPr>
            <w:tcW w:w="2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000" w:type="dxa"/>
            <w:vAlign w:val="bottom"/>
            <w:gridSpan w:val="2"/>
            <w:vMerge w:val="continue"/>
          </w:tcPr>
          <w:p>
            <w:pPr>
              <w:spacing w:after="0"/>
              <w:rPr>
                <w:sz w:val="5"/>
                <w:szCs w:val="5"/>
                <w:color w:val="auto"/>
              </w:rPr>
            </w:pPr>
          </w:p>
        </w:tc>
        <w:tc>
          <w:tcPr>
            <w:tcW w:w="160" w:type="dxa"/>
            <w:vAlign w:val="bottom"/>
          </w:tcPr>
          <w:p>
            <w:pPr>
              <w:spacing w:after="0"/>
              <w:rPr>
                <w:sz w:val="5"/>
                <w:szCs w:val="5"/>
                <w:color w:val="auto"/>
              </w:rPr>
            </w:pPr>
          </w:p>
        </w:tc>
        <w:tc>
          <w:tcPr>
            <w:tcW w:w="760" w:type="dxa"/>
            <w:vAlign w:val="bottom"/>
            <w:gridSpan w:val="2"/>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09"/>
        </w:trPr>
        <w:tc>
          <w:tcPr>
            <w:tcW w:w="4320" w:type="dxa"/>
            <w:vAlign w:val="bottom"/>
          </w:tcPr>
          <w:p>
            <w:pPr>
              <w:spacing w:after="0"/>
              <w:rPr>
                <w:sz w:val="9"/>
                <w:szCs w:val="9"/>
                <w:color w:val="auto"/>
              </w:rPr>
            </w:pPr>
          </w:p>
        </w:tc>
        <w:tc>
          <w:tcPr>
            <w:tcW w:w="1160" w:type="dxa"/>
            <w:vAlign w:val="bottom"/>
            <w:tcBorders>
              <w:bottom w:val="single" w:sz="8" w:color="auto"/>
            </w:tcBorders>
            <w:gridSpan w:val="3"/>
            <w:vMerge w:val="continue"/>
          </w:tcPr>
          <w:p>
            <w:pPr>
              <w:spacing w:after="0"/>
              <w:rPr>
                <w:sz w:val="9"/>
                <w:szCs w:val="9"/>
                <w:color w:val="auto"/>
              </w:rPr>
            </w:pPr>
          </w:p>
        </w:tc>
        <w:tc>
          <w:tcPr>
            <w:tcW w:w="220" w:type="dxa"/>
            <w:vAlign w:val="bottom"/>
          </w:tcPr>
          <w:p>
            <w:pPr>
              <w:spacing w:after="0"/>
              <w:rPr>
                <w:sz w:val="9"/>
                <w:szCs w:val="9"/>
                <w:color w:val="auto"/>
              </w:rPr>
            </w:pPr>
          </w:p>
        </w:tc>
        <w:tc>
          <w:tcPr>
            <w:tcW w:w="1200" w:type="dxa"/>
            <w:vAlign w:val="bottom"/>
            <w:tcBorders>
              <w:bottom w:val="single" w:sz="8" w:color="auto"/>
            </w:tcBorders>
            <w:gridSpan w:val="4"/>
            <w:vMerge w:val="continue"/>
          </w:tcPr>
          <w:p>
            <w:pPr>
              <w:spacing w:after="0"/>
              <w:rPr>
                <w:sz w:val="9"/>
                <w:szCs w:val="9"/>
                <w:color w:val="auto"/>
              </w:rPr>
            </w:pPr>
          </w:p>
        </w:tc>
        <w:tc>
          <w:tcPr>
            <w:tcW w:w="200" w:type="dxa"/>
            <w:vAlign w:val="bottom"/>
          </w:tcPr>
          <w:p>
            <w:pPr>
              <w:spacing w:after="0"/>
              <w:rPr>
                <w:sz w:val="9"/>
                <w:szCs w:val="9"/>
                <w:color w:val="auto"/>
              </w:rPr>
            </w:pPr>
          </w:p>
        </w:tc>
        <w:tc>
          <w:tcPr>
            <w:tcW w:w="100" w:type="dxa"/>
            <w:vAlign w:val="bottom"/>
          </w:tcPr>
          <w:p>
            <w:pPr>
              <w:spacing w:after="0"/>
              <w:rPr>
                <w:sz w:val="9"/>
                <w:szCs w:val="9"/>
                <w:color w:val="auto"/>
              </w:rPr>
            </w:pPr>
          </w:p>
        </w:tc>
        <w:tc>
          <w:tcPr>
            <w:tcW w:w="740" w:type="dxa"/>
            <w:vAlign w:val="bottom"/>
            <w:gridSpan w:val="2"/>
            <w:vMerge w:val="restart"/>
          </w:tcPr>
          <w:p>
            <w:pPr>
              <w:jc w:val="right"/>
              <w:ind w:right="280"/>
              <w:spacing w:after="0" w:line="149" w:lineRule="exact"/>
              <w:rPr>
                <w:sz w:val="20"/>
                <w:szCs w:val="20"/>
                <w:color w:val="auto"/>
              </w:rPr>
            </w:pPr>
            <w:r>
              <w:rPr>
                <w:rFonts w:ascii="Arial" w:cs="Arial" w:eastAsia="Arial" w:hAnsi="Arial"/>
                <w:sz w:val="14"/>
                <w:szCs w:val="14"/>
                <w:b w:val="1"/>
                <w:bCs w:val="1"/>
                <w:color w:val="auto"/>
                <w:w w:val="95"/>
              </w:rPr>
              <w:t>paid-in</w:t>
            </w:r>
          </w:p>
        </w:tc>
        <w:tc>
          <w:tcPr>
            <w:tcW w:w="100" w:type="dxa"/>
            <w:vAlign w:val="bottom"/>
          </w:tcPr>
          <w:p>
            <w:pPr>
              <w:spacing w:after="0"/>
              <w:rPr>
                <w:sz w:val="9"/>
                <w:szCs w:val="9"/>
                <w:color w:val="auto"/>
              </w:rPr>
            </w:pPr>
          </w:p>
        </w:tc>
        <w:tc>
          <w:tcPr>
            <w:tcW w:w="1100" w:type="dxa"/>
            <w:vAlign w:val="bottom"/>
            <w:gridSpan w:val="3"/>
            <w:vMerge w:val="restart"/>
          </w:tcPr>
          <w:p>
            <w:pPr>
              <w:spacing w:after="0" w:line="149" w:lineRule="exact"/>
              <w:rPr>
                <w:sz w:val="20"/>
                <w:szCs w:val="20"/>
                <w:color w:val="auto"/>
              </w:rPr>
            </w:pPr>
            <w:r>
              <w:rPr>
                <w:rFonts w:ascii="Arial" w:cs="Arial" w:eastAsia="Arial" w:hAnsi="Arial"/>
                <w:sz w:val="14"/>
                <w:szCs w:val="14"/>
                <w:b w:val="1"/>
                <w:bCs w:val="1"/>
                <w:color w:val="auto"/>
              </w:rPr>
              <w:t>Accumulated</w:t>
            </w:r>
          </w:p>
        </w:tc>
        <w:tc>
          <w:tcPr>
            <w:tcW w:w="1180" w:type="dxa"/>
            <w:vAlign w:val="bottom"/>
            <w:gridSpan w:val="3"/>
            <w:vMerge w:val="restart"/>
          </w:tcPr>
          <w:p>
            <w:pPr>
              <w:jc w:val="center"/>
              <w:ind w:right="260"/>
              <w:spacing w:after="0" w:line="149" w:lineRule="exact"/>
              <w:rPr>
                <w:sz w:val="20"/>
                <w:szCs w:val="20"/>
                <w:color w:val="auto"/>
              </w:rPr>
            </w:pPr>
            <w:r>
              <w:rPr>
                <w:rFonts w:ascii="Arial" w:cs="Arial" w:eastAsia="Arial" w:hAnsi="Arial"/>
                <w:sz w:val="14"/>
                <w:szCs w:val="14"/>
                <w:b w:val="1"/>
                <w:bCs w:val="1"/>
                <w:color w:val="auto"/>
                <w:w w:val="89"/>
              </w:rPr>
              <w:t>comprehensive</w:t>
            </w:r>
          </w:p>
        </w:tc>
        <w:tc>
          <w:tcPr>
            <w:tcW w:w="920" w:type="dxa"/>
            <w:vAlign w:val="bottom"/>
            <w:gridSpan w:val="3"/>
            <w:vMerge w:val="restart"/>
          </w:tcPr>
          <w:p>
            <w:pPr>
              <w:spacing w:after="0" w:line="149" w:lineRule="exact"/>
              <w:rPr>
                <w:sz w:val="20"/>
                <w:szCs w:val="20"/>
                <w:color w:val="auto"/>
              </w:rPr>
            </w:pPr>
            <w:r>
              <w:rPr>
                <w:rFonts w:ascii="Arial" w:cs="Arial" w:eastAsia="Arial" w:hAnsi="Arial"/>
                <w:sz w:val="14"/>
                <w:szCs w:val="14"/>
                <w:b w:val="1"/>
                <w:bCs w:val="1"/>
                <w:color w:val="auto"/>
                <w:w w:val="98"/>
              </w:rPr>
              <w:t>stockholders’</w:t>
            </w:r>
          </w:p>
        </w:tc>
        <w:tc>
          <w:tcPr>
            <w:tcW w:w="0" w:type="dxa"/>
            <w:vAlign w:val="bottom"/>
          </w:tcPr>
          <w:p>
            <w:pPr>
              <w:spacing w:after="0"/>
              <w:rPr>
                <w:sz w:val="1"/>
                <w:szCs w:val="1"/>
                <w:color w:val="auto"/>
              </w:rPr>
            </w:pPr>
          </w:p>
        </w:tc>
      </w:tr>
      <w:tr>
        <w:trPr>
          <w:trHeight w:val="25"/>
        </w:trPr>
        <w:tc>
          <w:tcPr>
            <w:tcW w:w="4320" w:type="dxa"/>
            <w:vAlign w:val="bottom"/>
          </w:tcPr>
          <w:p>
            <w:pPr>
              <w:spacing w:after="0"/>
              <w:rPr>
                <w:sz w:val="2"/>
                <w:szCs w:val="2"/>
                <w:color w:val="auto"/>
              </w:rPr>
            </w:pPr>
          </w:p>
        </w:tc>
        <w:tc>
          <w:tcPr>
            <w:tcW w:w="420" w:type="dxa"/>
            <w:vAlign w:val="bottom"/>
            <w:vMerge w:val="restart"/>
          </w:tcPr>
          <w:p>
            <w:pPr>
              <w:ind w:left="20"/>
              <w:spacing w:after="0"/>
              <w:rPr>
                <w:sz w:val="20"/>
                <w:szCs w:val="20"/>
                <w:color w:val="auto"/>
              </w:rPr>
            </w:pPr>
            <w:r>
              <w:rPr>
                <w:rFonts w:ascii="Arial" w:cs="Arial" w:eastAsia="Arial" w:hAnsi="Arial"/>
                <w:sz w:val="14"/>
                <w:szCs w:val="14"/>
                <w:b w:val="1"/>
                <w:bCs w:val="1"/>
                <w:color w:val="auto"/>
                <w:w w:val="81"/>
              </w:rPr>
              <w:t>Shares</w:t>
            </w:r>
          </w:p>
        </w:tc>
        <w:tc>
          <w:tcPr>
            <w:tcW w:w="220" w:type="dxa"/>
            <w:vAlign w:val="bottom"/>
          </w:tcPr>
          <w:p>
            <w:pPr>
              <w:spacing w:after="0"/>
              <w:rPr>
                <w:sz w:val="2"/>
                <w:szCs w:val="2"/>
                <w:color w:val="auto"/>
              </w:rPr>
            </w:pPr>
          </w:p>
        </w:tc>
        <w:tc>
          <w:tcPr>
            <w:tcW w:w="520" w:type="dxa"/>
            <w:vAlign w:val="bottom"/>
            <w:vMerge w:val="restart"/>
          </w:tcPr>
          <w:p>
            <w:pPr>
              <w:jc w:val="right"/>
              <w:spacing w:after="0"/>
              <w:rPr>
                <w:sz w:val="20"/>
                <w:szCs w:val="20"/>
                <w:color w:val="auto"/>
              </w:rPr>
            </w:pPr>
            <w:r>
              <w:rPr>
                <w:rFonts w:ascii="Arial" w:cs="Arial" w:eastAsia="Arial" w:hAnsi="Arial"/>
                <w:sz w:val="14"/>
                <w:szCs w:val="14"/>
                <w:b w:val="1"/>
                <w:bCs w:val="1"/>
                <w:color w:val="auto"/>
                <w:w w:val="94"/>
              </w:rPr>
              <w:t>Amount</w:t>
            </w:r>
          </w:p>
        </w:tc>
        <w:tc>
          <w:tcPr>
            <w:tcW w:w="220" w:type="dxa"/>
            <w:vAlign w:val="bottom"/>
          </w:tcPr>
          <w:p>
            <w:pPr>
              <w:spacing w:after="0"/>
              <w:rPr>
                <w:sz w:val="2"/>
                <w:szCs w:val="2"/>
                <w:color w:val="auto"/>
              </w:rPr>
            </w:pPr>
          </w:p>
        </w:tc>
        <w:tc>
          <w:tcPr>
            <w:tcW w:w="680" w:type="dxa"/>
            <w:vAlign w:val="bottom"/>
            <w:gridSpan w:val="2"/>
            <w:vMerge w:val="restart"/>
          </w:tcPr>
          <w:p>
            <w:pPr>
              <w:jc w:val="right"/>
              <w:ind w:right="280"/>
              <w:spacing w:after="0"/>
              <w:rPr>
                <w:sz w:val="20"/>
                <w:szCs w:val="20"/>
                <w:color w:val="auto"/>
              </w:rPr>
            </w:pPr>
            <w:r>
              <w:rPr>
                <w:rFonts w:ascii="Arial" w:cs="Arial" w:eastAsia="Arial" w:hAnsi="Arial"/>
                <w:sz w:val="14"/>
                <w:szCs w:val="14"/>
                <w:b w:val="1"/>
                <w:bCs w:val="1"/>
                <w:color w:val="auto"/>
                <w:w w:val="81"/>
              </w:rPr>
              <w:t>Shares</w:t>
            </w:r>
          </w:p>
        </w:tc>
        <w:tc>
          <w:tcPr>
            <w:tcW w:w="520" w:type="dxa"/>
            <w:vAlign w:val="bottom"/>
            <w:gridSpan w:val="2"/>
            <w:vMerge w:val="restart"/>
          </w:tcPr>
          <w:p>
            <w:pPr>
              <w:spacing w:after="0"/>
              <w:rPr>
                <w:sz w:val="20"/>
                <w:szCs w:val="20"/>
                <w:color w:val="auto"/>
              </w:rPr>
            </w:pPr>
            <w:r>
              <w:rPr>
                <w:rFonts w:ascii="Arial" w:cs="Arial" w:eastAsia="Arial" w:hAnsi="Arial"/>
                <w:sz w:val="14"/>
                <w:szCs w:val="14"/>
                <w:b w:val="1"/>
                <w:bCs w:val="1"/>
                <w:color w:val="auto"/>
                <w:w w:val="94"/>
              </w:rPr>
              <w:t>Amount</w:t>
            </w:r>
          </w:p>
        </w:tc>
        <w:tc>
          <w:tcPr>
            <w:tcW w:w="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740" w:type="dxa"/>
            <w:vAlign w:val="bottom"/>
            <w:gridSpan w:val="2"/>
            <w:vMerge w:val="continue"/>
          </w:tcPr>
          <w:p>
            <w:pPr>
              <w:spacing w:after="0"/>
              <w:rPr>
                <w:sz w:val="2"/>
                <w:szCs w:val="2"/>
                <w:color w:val="auto"/>
              </w:rPr>
            </w:pPr>
          </w:p>
        </w:tc>
        <w:tc>
          <w:tcPr>
            <w:tcW w:w="100" w:type="dxa"/>
            <w:vAlign w:val="bottom"/>
          </w:tcPr>
          <w:p>
            <w:pPr>
              <w:spacing w:after="0"/>
              <w:rPr>
                <w:sz w:val="2"/>
                <w:szCs w:val="2"/>
                <w:color w:val="auto"/>
              </w:rPr>
            </w:pPr>
          </w:p>
        </w:tc>
        <w:tc>
          <w:tcPr>
            <w:tcW w:w="1100" w:type="dxa"/>
            <w:vAlign w:val="bottom"/>
            <w:gridSpan w:val="3"/>
            <w:vMerge w:val="continue"/>
          </w:tcPr>
          <w:p>
            <w:pPr>
              <w:spacing w:after="0"/>
              <w:rPr>
                <w:sz w:val="2"/>
                <w:szCs w:val="2"/>
                <w:color w:val="auto"/>
              </w:rPr>
            </w:pPr>
          </w:p>
        </w:tc>
        <w:tc>
          <w:tcPr>
            <w:tcW w:w="1180" w:type="dxa"/>
            <w:vAlign w:val="bottom"/>
            <w:gridSpan w:val="3"/>
            <w:vMerge w:val="continue"/>
          </w:tcPr>
          <w:p>
            <w:pPr>
              <w:spacing w:after="0"/>
              <w:rPr>
                <w:sz w:val="2"/>
                <w:szCs w:val="2"/>
                <w:color w:val="auto"/>
              </w:rPr>
            </w:pPr>
          </w:p>
        </w:tc>
        <w:tc>
          <w:tcPr>
            <w:tcW w:w="920" w:type="dxa"/>
            <w:vAlign w:val="bottom"/>
            <w:gridSpan w:val="3"/>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1"/>
        </w:trPr>
        <w:tc>
          <w:tcPr>
            <w:tcW w:w="4320" w:type="dxa"/>
            <w:vAlign w:val="bottom"/>
          </w:tcPr>
          <w:p>
            <w:pPr>
              <w:spacing w:after="0"/>
              <w:rPr>
                <w:sz w:val="14"/>
                <w:szCs w:val="14"/>
                <w:color w:val="auto"/>
              </w:rPr>
            </w:pPr>
          </w:p>
        </w:tc>
        <w:tc>
          <w:tcPr>
            <w:tcW w:w="42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52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680" w:type="dxa"/>
            <w:vAlign w:val="bottom"/>
            <w:gridSpan w:val="2"/>
            <w:vMerge w:val="continue"/>
          </w:tcPr>
          <w:p>
            <w:pPr>
              <w:spacing w:after="0"/>
              <w:rPr>
                <w:sz w:val="14"/>
                <w:szCs w:val="14"/>
                <w:color w:val="auto"/>
              </w:rPr>
            </w:pPr>
          </w:p>
        </w:tc>
        <w:tc>
          <w:tcPr>
            <w:tcW w:w="520" w:type="dxa"/>
            <w:vAlign w:val="bottom"/>
            <w:gridSpan w:val="2"/>
            <w:vMerge w:val="continue"/>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gridSpan w:val="2"/>
          </w:tcPr>
          <w:p>
            <w:pPr>
              <w:jc w:val="right"/>
              <w:ind w:right="300"/>
              <w:spacing w:after="0"/>
              <w:rPr>
                <w:sz w:val="20"/>
                <w:szCs w:val="20"/>
                <w:color w:val="auto"/>
              </w:rPr>
            </w:pPr>
            <w:r>
              <w:rPr>
                <w:rFonts w:ascii="Arial" w:cs="Arial" w:eastAsia="Arial" w:hAnsi="Arial"/>
                <w:sz w:val="14"/>
                <w:szCs w:val="14"/>
                <w:b w:val="1"/>
                <w:bCs w:val="1"/>
                <w:color w:val="auto"/>
                <w:w w:val="94"/>
              </w:rPr>
              <w:t>capital</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40" w:type="dxa"/>
            <w:vAlign w:val="bottom"/>
            <w:gridSpan w:val="2"/>
          </w:tcPr>
          <w:p>
            <w:pPr>
              <w:jc w:val="right"/>
              <w:ind w:right="500"/>
              <w:spacing w:after="0"/>
              <w:rPr>
                <w:sz w:val="20"/>
                <w:szCs w:val="20"/>
                <w:color w:val="auto"/>
              </w:rPr>
            </w:pPr>
            <w:r>
              <w:rPr>
                <w:rFonts w:ascii="Arial" w:cs="Arial" w:eastAsia="Arial" w:hAnsi="Arial"/>
                <w:sz w:val="14"/>
                <w:szCs w:val="14"/>
                <w:b w:val="1"/>
                <w:bCs w:val="1"/>
                <w:color w:val="auto"/>
              </w:rPr>
              <w:t>deficit</w:t>
            </w:r>
          </w:p>
        </w:tc>
        <w:tc>
          <w:tcPr>
            <w:tcW w:w="1180" w:type="dxa"/>
            <w:vAlign w:val="bottom"/>
            <w:gridSpan w:val="3"/>
          </w:tcPr>
          <w:p>
            <w:pPr>
              <w:jc w:val="center"/>
              <w:ind w:right="260"/>
              <w:spacing w:after="0"/>
              <w:rPr>
                <w:sz w:val="20"/>
                <w:szCs w:val="20"/>
                <w:color w:val="auto"/>
              </w:rPr>
            </w:pPr>
            <w:r>
              <w:rPr>
                <w:rFonts w:ascii="Arial" w:cs="Arial" w:eastAsia="Arial" w:hAnsi="Arial"/>
                <w:sz w:val="14"/>
                <w:szCs w:val="14"/>
                <w:b w:val="1"/>
                <w:bCs w:val="1"/>
                <w:color w:val="auto"/>
                <w:w w:val="88"/>
              </w:rPr>
              <w:t>income (loss)</w:t>
            </w:r>
          </w:p>
        </w:tc>
        <w:tc>
          <w:tcPr>
            <w:tcW w:w="160" w:type="dxa"/>
            <w:vAlign w:val="bottom"/>
          </w:tcPr>
          <w:p>
            <w:pPr>
              <w:spacing w:after="0"/>
              <w:rPr>
                <w:sz w:val="14"/>
                <w:szCs w:val="14"/>
                <w:color w:val="auto"/>
              </w:rPr>
            </w:pPr>
          </w:p>
        </w:tc>
        <w:tc>
          <w:tcPr>
            <w:tcW w:w="760" w:type="dxa"/>
            <w:vAlign w:val="bottom"/>
            <w:gridSpan w:val="2"/>
          </w:tcPr>
          <w:p>
            <w:pPr>
              <w:jc w:val="right"/>
              <w:ind w:right="320"/>
              <w:spacing w:after="0"/>
              <w:rPr>
                <w:sz w:val="20"/>
                <w:szCs w:val="20"/>
                <w:color w:val="auto"/>
              </w:rPr>
            </w:pPr>
            <w:r>
              <w:rPr>
                <w:rFonts w:ascii="Arial" w:cs="Arial" w:eastAsia="Arial" w:hAnsi="Arial"/>
                <w:sz w:val="14"/>
                <w:szCs w:val="14"/>
                <w:b w:val="1"/>
                <w:bCs w:val="1"/>
                <w:color w:val="auto"/>
              </w:rPr>
              <w:t>equity</w:t>
            </w:r>
          </w:p>
        </w:tc>
        <w:tc>
          <w:tcPr>
            <w:tcW w:w="0" w:type="dxa"/>
            <w:vAlign w:val="bottom"/>
          </w:tcPr>
          <w:p>
            <w:pPr>
              <w:spacing w:after="0"/>
              <w:rPr>
                <w:sz w:val="1"/>
                <w:szCs w:val="1"/>
                <w:color w:val="auto"/>
              </w:rPr>
            </w:pPr>
          </w:p>
        </w:tc>
      </w:tr>
      <w:tr>
        <w:trPr>
          <w:trHeight w:val="20"/>
        </w:trPr>
        <w:tc>
          <w:tcPr>
            <w:tcW w:w="4320" w:type="dxa"/>
            <w:vAlign w:val="bottom"/>
            <w:vMerge w:val="restart"/>
            <w:shd w:val="clear" w:color="auto" w:fill="CCEEFF"/>
          </w:tcPr>
          <w:p>
            <w:pPr>
              <w:spacing w:after="0"/>
              <w:rPr>
                <w:sz w:val="20"/>
                <w:szCs w:val="20"/>
                <w:color w:val="auto"/>
              </w:rPr>
            </w:pPr>
            <w:r>
              <w:rPr>
                <w:rFonts w:ascii="Arial" w:cs="Arial" w:eastAsia="Arial" w:hAnsi="Arial"/>
                <w:sz w:val="16"/>
                <w:szCs w:val="16"/>
                <w:b w:val="1"/>
                <w:bCs w:val="1"/>
                <w:color w:val="auto"/>
              </w:rPr>
              <w:t>Balance at December 31, 2014</w:t>
            </w:r>
          </w:p>
        </w:tc>
        <w:tc>
          <w:tcPr>
            <w:tcW w:w="420" w:type="dxa"/>
            <w:vAlign w:val="bottom"/>
            <w:shd w:val="clear" w:color="auto" w:fill="000000"/>
          </w:tcPr>
          <w:p>
            <w:pPr>
              <w:spacing w:after="0" w:line="20" w:lineRule="exact"/>
              <w:rPr>
                <w:sz w:val="1"/>
                <w:szCs w:val="1"/>
                <w:color w:val="auto"/>
              </w:rPr>
            </w:pPr>
          </w:p>
        </w:tc>
        <w:tc>
          <w:tcPr>
            <w:tcW w:w="220" w:type="dxa"/>
            <w:vAlign w:val="bottom"/>
            <w:vMerge w:val="restart"/>
            <w:shd w:val="clear" w:color="auto" w:fill="CCEEFF"/>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220" w:type="dxa"/>
            <w:vAlign w:val="bottom"/>
            <w:vMerge w:val="restart"/>
            <w:shd w:val="clear" w:color="auto" w:fill="CCEEFF"/>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80" w:type="dxa"/>
            <w:vAlign w:val="bottom"/>
            <w:vMerge w:val="restart"/>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200" w:type="dxa"/>
            <w:vAlign w:val="bottom"/>
            <w:vMerge w:val="restart"/>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00" w:type="dxa"/>
            <w:vAlign w:val="bottom"/>
            <w:vMerge w:val="restart"/>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60" w:type="dxa"/>
            <w:vAlign w:val="bottom"/>
            <w:vMerge w:val="restart"/>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320" w:type="dxa"/>
            <w:vAlign w:val="bottom"/>
            <w:vMerge w:val="continue"/>
            <w:shd w:val="clear" w:color="auto" w:fill="CCEEFF"/>
          </w:tcPr>
          <w:p>
            <w:pPr>
              <w:spacing w:after="0"/>
              <w:rPr>
                <w:sz w:val="17"/>
                <w:szCs w:val="17"/>
                <w:color w:val="auto"/>
              </w:rPr>
            </w:pPr>
          </w:p>
        </w:tc>
        <w:tc>
          <w:tcPr>
            <w:tcW w:w="42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9"/>
              </w:rPr>
              <w:t>221.4</w:t>
            </w:r>
          </w:p>
        </w:tc>
        <w:tc>
          <w:tcPr>
            <w:tcW w:w="220" w:type="dxa"/>
            <w:vAlign w:val="bottom"/>
            <w:vMerge w:val="continue"/>
            <w:shd w:val="clear" w:color="auto" w:fill="CCEEFF"/>
          </w:tcPr>
          <w:p>
            <w:pPr>
              <w:spacing w:after="0"/>
              <w:rPr>
                <w:sz w:val="17"/>
                <w:szCs w:val="17"/>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3"/>
              </w:rPr>
              <w:t>$ 615.3</w:t>
            </w:r>
          </w:p>
        </w:tc>
        <w:tc>
          <w:tcPr>
            <w:tcW w:w="220" w:type="dxa"/>
            <w:vAlign w:val="bottom"/>
            <w:vMerge w:val="continue"/>
            <w:shd w:val="clear" w:color="auto" w:fill="CCEEFF"/>
          </w:tcPr>
          <w:p>
            <w:pPr>
              <w:spacing w:after="0"/>
              <w:rPr>
                <w:sz w:val="17"/>
                <w:szCs w:val="17"/>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4"/>
              </w:rPr>
              <w:t>281.2</w:t>
            </w:r>
          </w:p>
        </w:tc>
        <w:tc>
          <w:tcPr>
            <w:tcW w:w="280" w:type="dxa"/>
            <w:vAlign w:val="bottom"/>
            <w:vMerge w:val="continue"/>
            <w:shd w:val="clear" w:color="auto" w:fill="CCEEFF"/>
          </w:tcPr>
          <w:p>
            <w:pPr>
              <w:spacing w:after="0"/>
              <w:rPr>
                <w:sz w:val="17"/>
                <w:szCs w:val="17"/>
                <w:color w:val="auto"/>
              </w:rPr>
            </w:pPr>
          </w:p>
        </w:tc>
        <w:tc>
          <w:tcPr>
            <w:tcW w:w="180" w:type="dxa"/>
            <w:vAlign w:val="bottom"/>
            <w:shd w:val="clear" w:color="auto" w:fill="CCEEFF"/>
          </w:tcPr>
          <w:p>
            <w:pPr>
              <w:spacing w:after="0"/>
              <w:rPr>
                <w:sz w:val="20"/>
                <w:szCs w:val="20"/>
                <w:color w:val="auto"/>
              </w:rPr>
            </w:pPr>
            <w:r>
              <w:rPr>
                <w:rFonts w:ascii="Arial" w:cs="Arial" w:eastAsia="Arial" w:hAnsi="Arial"/>
                <w:sz w:val="16"/>
                <w:szCs w:val="16"/>
                <w:color w:val="auto"/>
              </w:rPr>
              <w:t>$</w:t>
            </w:r>
          </w:p>
        </w:tc>
        <w:tc>
          <w:tcPr>
            <w:tcW w:w="340" w:type="dxa"/>
            <w:vAlign w:val="bottom"/>
            <w:shd w:val="clear" w:color="auto" w:fill="CCEEFF"/>
          </w:tcPr>
          <w:p>
            <w:pPr>
              <w:ind w:left="100"/>
              <w:spacing w:after="0"/>
              <w:rPr>
                <w:sz w:val="20"/>
                <w:szCs w:val="20"/>
                <w:color w:val="auto"/>
              </w:rPr>
            </w:pPr>
            <w:r>
              <w:rPr>
                <w:rFonts w:ascii="Arial" w:cs="Arial" w:eastAsia="Arial" w:hAnsi="Arial"/>
                <w:sz w:val="16"/>
                <w:szCs w:val="16"/>
                <w:color w:val="auto"/>
              </w:rPr>
              <w:t>—</w:t>
            </w:r>
          </w:p>
        </w:tc>
        <w:tc>
          <w:tcPr>
            <w:tcW w:w="20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6"/>
                <w:szCs w:val="16"/>
                <w:color w:val="auto"/>
                <w:w w:val="8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192.3</w:t>
            </w:r>
          </w:p>
        </w:tc>
        <w:tc>
          <w:tcPr>
            <w:tcW w:w="160" w:type="dxa"/>
            <w:vAlign w:val="bottom"/>
            <w:shd w:val="clear" w:color="auto" w:fill="CCEEFF"/>
          </w:tcPr>
          <w:p>
            <w:pPr>
              <w:spacing w:after="0"/>
              <w:rPr>
                <w:sz w:val="17"/>
                <w:szCs w:val="17"/>
                <w:color w:val="auto"/>
              </w:rPr>
            </w:pPr>
          </w:p>
        </w:tc>
        <w:tc>
          <w:tcPr>
            <w:tcW w:w="100" w:type="dxa"/>
            <w:vAlign w:val="bottom"/>
            <w:vMerge w:val="continue"/>
            <w:shd w:val="clear" w:color="auto" w:fill="CCEEFF"/>
          </w:tcPr>
          <w:p>
            <w:pPr>
              <w:spacing w:after="0"/>
              <w:rPr>
                <w:sz w:val="17"/>
                <w:szCs w:val="17"/>
                <w:color w:val="auto"/>
              </w:rPr>
            </w:pPr>
          </w:p>
        </w:tc>
        <w:tc>
          <w:tcPr>
            <w:tcW w:w="160" w:type="dxa"/>
            <w:vAlign w:val="bottom"/>
            <w:shd w:val="clear" w:color="auto" w:fill="CCEEFF"/>
          </w:tcPr>
          <w:p>
            <w:pPr>
              <w:spacing w:after="0"/>
              <w:rPr>
                <w:sz w:val="20"/>
                <w:szCs w:val="20"/>
                <w:color w:val="auto"/>
              </w:rPr>
            </w:pPr>
            <w:r>
              <w:rPr>
                <w:rFonts w:ascii="Arial" w:cs="Arial" w:eastAsia="Arial" w:hAnsi="Arial"/>
                <w:sz w:val="16"/>
                <w:szCs w:val="16"/>
                <w:color w:val="auto"/>
              </w:rPr>
              <w:t>$</w:t>
            </w: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(399.7)</w:t>
            </w:r>
          </w:p>
        </w:tc>
        <w:tc>
          <w:tcPr>
            <w:tcW w:w="180" w:type="dxa"/>
            <w:vAlign w:val="bottom"/>
            <w:shd w:val="clear" w:color="auto" w:fill="CCEEFF"/>
          </w:tcPr>
          <w:p>
            <w:pPr>
              <w:jc w:val="right"/>
              <w:ind w:right="26"/>
              <w:spacing w:after="0"/>
              <w:rPr>
                <w:sz w:val="20"/>
                <w:szCs w:val="20"/>
                <w:color w:val="auto"/>
              </w:rPr>
            </w:pPr>
            <w:r>
              <w:rPr>
                <w:rFonts w:ascii="Arial" w:cs="Arial" w:eastAsia="Arial" w:hAnsi="Arial"/>
                <w:sz w:val="15"/>
                <w:szCs w:val="15"/>
                <w:color w:val="auto"/>
                <w:w w:val="71"/>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0.2</w:t>
            </w:r>
          </w:p>
        </w:tc>
        <w:tc>
          <w:tcPr>
            <w:tcW w:w="260" w:type="dxa"/>
            <w:vAlign w:val="bottom"/>
            <w:vMerge w:val="continue"/>
            <w:shd w:val="clear" w:color="auto" w:fill="CCEEFF"/>
          </w:tcPr>
          <w:p>
            <w:pPr>
              <w:spacing w:after="0"/>
              <w:rPr>
                <w:sz w:val="17"/>
                <w:szCs w:val="17"/>
                <w:color w:val="auto"/>
              </w:rPr>
            </w:pPr>
          </w:p>
        </w:tc>
        <w:tc>
          <w:tcPr>
            <w:tcW w:w="160" w:type="dxa"/>
            <w:vAlign w:val="bottom"/>
            <w:shd w:val="clear" w:color="auto" w:fill="CCEEFF"/>
          </w:tcPr>
          <w:p>
            <w:pPr>
              <w:spacing w:after="0"/>
              <w:rPr>
                <w:sz w:val="20"/>
                <w:szCs w:val="20"/>
                <w:color w:val="auto"/>
              </w:rPr>
            </w:pPr>
            <w:r>
              <w:rPr>
                <w:rFonts w:ascii="Arial" w:cs="Arial" w:eastAsia="Arial" w:hAnsi="Arial"/>
                <w:sz w:val="16"/>
                <w:szCs w:val="16"/>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408.1</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320" w:type="dxa"/>
            <w:vAlign w:val="bottom"/>
          </w:tcPr>
          <w:p>
            <w:pPr>
              <w:spacing w:after="0"/>
              <w:rPr>
                <w:sz w:val="20"/>
                <w:szCs w:val="20"/>
                <w:color w:val="auto"/>
              </w:rPr>
            </w:pPr>
            <w:r>
              <w:rPr>
                <w:rFonts w:ascii="Arial" w:cs="Arial" w:eastAsia="Arial" w:hAnsi="Arial"/>
                <w:sz w:val="16"/>
                <w:szCs w:val="16"/>
                <w:color w:val="auto"/>
              </w:rPr>
              <w:t>Cumulative-effect adjustment from adoption of Topic 606</w:t>
            </w:r>
          </w:p>
        </w:tc>
        <w:tc>
          <w:tcPr>
            <w:tcW w:w="420" w:type="dxa"/>
            <w:vAlign w:val="bottom"/>
          </w:tcPr>
          <w:p>
            <w:pPr>
              <w:jc w:val="center"/>
              <w:ind w:left="20"/>
              <w:spacing w:after="0"/>
              <w:rPr>
                <w:sz w:val="20"/>
                <w:szCs w:val="20"/>
                <w:color w:val="auto"/>
              </w:rPr>
            </w:pPr>
            <w:r>
              <w:rPr>
                <w:rFonts w:ascii="Arial" w:cs="Arial" w:eastAsia="Arial" w:hAnsi="Arial"/>
                <w:sz w:val="16"/>
                <w:szCs w:val="16"/>
                <w:color w:val="auto"/>
                <w:w w:val="99"/>
              </w:rPr>
              <w:t>—</w:t>
            </w:r>
          </w:p>
        </w:tc>
        <w:tc>
          <w:tcPr>
            <w:tcW w:w="220" w:type="dxa"/>
            <w:vAlign w:val="bottom"/>
          </w:tcPr>
          <w:p>
            <w:pPr>
              <w:spacing w:after="0"/>
              <w:rPr>
                <w:sz w:val="17"/>
                <w:szCs w:val="17"/>
                <w:color w:val="auto"/>
              </w:rPr>
            </w:pPr>
          </w:p>
        </w:tc>
        <w:tc>
          <w:tcPr>
            <w:tcW w:w="520" w:type="dxa"/>
            <w:vAlign w:val="bottom"/>
          </w:tcPr>
          <w:p>
            <w:pPr>
              <w:jc w:val="right"/>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7"/>
                <w:szCs w:val="17"/>
                <w:color w:val="auto"/>
              </w:rPr>
            </w:pPr>
          </w:p>
        </w:tc>
        <w:tc>
          <w:tcPr>
            <w:tcW w:w="680" w:type="dxa"/>
            <w:vAlign w:val="bottom"/>
            <w:gridSpan w:val="2"/>
          </w:tcPr>
          <w:p>
            <w:pPr>
              <w:jc w:val="right"/>
              <w:ind w:right="36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7"/>
                <w:szCs w:val="17"/>
                <w:color w:val="auto"/>
              </w:rPr>
            </w:pPr>
          </w:p>
        </w:tc>
        <w:tc>
          <w:tcPr>
            <w:tcW w:w="340" w:type="dxa"/>
            <w:vAlign w:val="bottom"/>
          </w:tcPr>
          <w:p>
            <w:pPr>
              <w:ind w:left="10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6"/>
                <w:szCs w:val="16"/>
                <w:color w:val="auto"/>
              </w:rPr>
              <w:t>(1.7)</w:t>
            </w:r>
          </w:p>
        </w:tc>
        <w:tc>
          <w:tcPr>
            <w:tcW w:w="180" w:type="dxa"/>
            <w:vAlign w:val="bottom"/>
          </w:tcPr>
          <w:p>
            <w:pPr>
              <w:spacing w:after="0"/>
              <w:rPr>
                <w:sz w:val="17"/>
                <w:szCs w:val="17"/>
                <w:color w:val="auto"/>
              </w:rPr>
            </w:pPr>
          </w:p>
        </w:tc>
        <w:tc>
          <w:tcPr>
            <w:tcW w:w="1000" w:type="dxa"/>
            <w:vAlign w:val="bottom"/>
            <w:gridSpan w:val="2"/>
          </w:tcPr>
          <w:p>
            <w:pPr>
              <w:jc w:val="right"/>
              <w:ind w:right="34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7"/>
                <w:szCs w:val="17"/>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6"/>
                <w:szCs w:val="16"/>
                <w:color w:val="auto"/>
              </w:rPr>
              <w:t>(1.7)</w:t>
            </w:r>
          </w:p>
        </w:tc>
        <w:tc>
          <w:tcPr>
            <w:tcW w:w="0" w:type="dxa"/>
            <w:vAlign w:val="bottom"/>
          </w:tcPr>
          <w:p>
            <w:pPr>
              <w:spacing w:after="0"/>
              <w:rPr>
                <w:sz w:val="1"/>
                <w:szCs w:val="1"/>
                <w:color w:val="auto"/>
              </w:rPr>
            </w:pPr>
          </w:p>
        </w:tc>
      </w:tr>
      <w:tr>
        <w:trPr>
          <w:trHeight w:val="203"/>
        </w:trPr>
        <w:tc>
          <w:tcPr>
            <w:tcW w:w="4320" w:type="dxa"/>
            <w:vAlign w:val="bottom"/>
            <w:shd w:val="clear" w:color="auto" w:fill="CCEEFF"/>
          </w:tcPr>
          <w:p>
            <w:pPr>
              <w:spacing w:after="0"/>
              <w:rPr>
                <w:sz w:val="20"/>
                <w:szCs w:val="20"/>
                <w:color w:val="auto"/>
              </w:rPr>
            </w:pPr>
            <w:r>
              <w:rPr>
                <w:rFonts w:ascii="Arial" w:cs="Arial" w:eastAsia="Arial" w:hAnsi="Arial"/>
                <w:sz w:val="16"/>
                <w:szCs w:val="16"/>
                <w:color w:val="auto"/>
              </w:rPr>
              <w:t>Vesting of early exercised stock options</w:t>
            </w:r>
          </w:p>
        </w:tc>
        <w:tc>
          <w:tcPr>
            <w:tcW w:w="420" w:type="dxa"/>
            <w:vAlign w:val="bottom"/>
            <w:shd w:val="clear" w:color="auto" w:fill="CCEEFF"/>
          </w:tcPr>
          <w:p>
            <w:pPr>
              <w:jc w:val="center"/>
              <w:ind w:left="20"/>
              <w:spacing w:after="0"/>
              <w:rPr>
                <w:sz w:val="20"/>
                <w:szCs w:val="20"/>
                <w:color w:val="auto"/>
              </w:rPr>
            </w:pPr>
            <w:r>
              <w:rPr>
                <w:rFonts w:ascii="Arial" w:cs="Arial" w:eastAsia="Arial" w:hAnsi="Arial"/>
                <w:sz w:val="16"/>
                <w:szCs w:val="16"/>
                <w:color w:val="auto"/>
                <w:w w:val="99"/>
              </w:rPr>
              <w:t>—</w:t>
            </w:r>
          </w:p>
        </w:tc>
        <w:tc>
          <w:tcPr>
            <w:tcW w:w="220" w:type="dxa"/>
            <w:vAlign w:val="bottom"/>
            <w:shd w:val="clear" w:color="auto" w:fill="CCEEFF"/>
          </w:tcPr>
          <w:p>
            <w:pPr>
              <w:spacing w:after="0"/>
              <w:rPr>
                <w:sz w:val="17"/>
                <w:szCs w:val="17"/>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17"/>
                <w:szCs w:val="17"/>
                <w:color w:val="auto"/>
              </w:rPr>
            </w:pPr>
          </w:p>
        </w:tc>
        <w:tc>
          <w:tcPr>
            <w:tcW w:w="680" w:type="dxa"/>
            <w:vAlign w:val="bottom"/>
            <w:gridSpan w:val="2"/>
            <w:shd w:val="clear" w:color="auto" w:fill="CCEEFF"/>
          </w:tcPr>
          <w:p>
            <w:pPr>
              <w:jc w:val="right"/>
              <w:ind w:right="36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7"/>
                <w:szCs w:val="17"/>
                <w:color w:val="auto"/>
              </w:rPr>
            </w:pPr>
          </w:p>
        </w:tc>
        <w:tc>
          <w:tcPr>
            <w:tcW w:w="340" w:type="dxa"/>
            <w:vAlign w:val="bottom"/>
            <w:shd w:val="clear" w:color="auto" w:fill="CCEEFF"/>
          </w:tcPr>
          <w:p>
            <w:pPr>
              <w:ind w:left="100"/>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w:t>
            </w: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36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34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3"/>
        </w:trPr>
        <w:tc>
          <w:tcPr>
            <w:tcW w:w="4320" w:type="dxa"/>
            <w:vAlign w:val="bottom"/>
          </w:tcPr>
          <w:p>
            <w:pPr>
              <w:spacing w:after="0"/>
              <w:rPr>
                <w:sz w:val="20"/>
                <w:szCs w:val="20"/>
                <w:color w:val="auto"/>
              </w:rPr>
            </w:pPr>
            <w:r>
              <w:rPr>
                <w:rFonts w:ascii="Arial" w:cs="Arial" w:eastAsia="Arial" w:hAnsi="Arial"/>
                <w:sz w:val="16"/>
                <w:szCs w:val="16"/>
                <w:color w:val="auto"/>
              </w:rPr>
              <w:t>Issuance of common stock, options and awards related to</w:t>
            </w:r>
          </w:p>
        </w:tc>
        <w:tc>
          <w:tcPr>
            <w:tcW w:w="4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4320" w:type="dxa"/>
            <w:vAlign w:val="bottom"/>
          </w:tcPr>
          <w:p>
            <w:pPr>
              <w:ind w:left="180"/>
              <w:spacing w:after="0"/>
              <w:rPr>
                <w:sz w:val="20"/>
                <w:szCs w:val="20"/>
                <w:color w:val="auto"/>
              </w:rPr>
            </w:pPr>
            <w:r>
              <w:rPr>
                <w:rFonts w:ascii="Arial" w:cs="Arial" w:eastAsia="Arial" w:hAnsi="Arial"/>
                <w:sz w:val="16"/>
                <w:szCs w:val="16"/>
                <w:color w:val="auto"/>
              </w:rPr>
              <w:t>acquisitions</w:t>
            </w:r>
          </w:p>
        </w:tc>
        <w:tc>
          <w:tcPr>
            <w:tcW w:w="420" w:type="dxa"/>
            <w:vAlign w:val="bottom"/>
          </w:tcPr>
          <w:p>
            <w:pPr>
              <w:jc w:val="center"/>
              <w:ind w:left="20"/>
              <w:spacing w:after="0"/>
              <w:rPr>
                <w:sz w:val="20"/>
                <w:szCs w:val="20"/>
                <w:color w:val="auto"/>
              </w:rPr>
            </w:pPr>
            <w:r>
              <w:rPr>
                <w:rFonts w:ascii="Arial" w:cs="Arial" w:eastAsia="Arial" w:hAnsi="Arial"/>
                <w:sz w:val="16"/>
                <w:szCs w:val="16"/>
                <w:color w:val="auto"/>
                <w:w w:val="99"/>
              </w:rPr>
              <w:t>—</w:t>
            </w:r>
          </w:p>
        </w:tc>
        <w:tc>
          <w:tcPr>
            <w:tcW w:w="22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6"/>
                <w:szCs w:val="16"/>
                <w:color w:val="auto"/>
              </w:rPr>
              <w:t>—</w:t>
            </w:r>
          </w:p>
        </w:tc>
        <w:tc>
          <w:tcPr>
            <w:tcW w:w="900" w:type="dxa"/>
            <w:vAlign w:val="bottom"/>
            <w:gridSpan w:val="3"/>
          </w:tcPr>
          <w:p>
            <w:pPr>
              <w:jc w:val="right"/>
              <w:ind w:right="260"/>
              <w:spacing w:after="0"/>
              <w:rPr>
                <w:sz w:val="20"/>
                <w:szCs w:val="20"/>
                <w:color w:val="auto"/>
              </w:rPr>
            </w:pPr>
            <w:r>
              <w:rPr>
                <w:rFonts w:ascii="Arial" w:cs="Arial" w:eastAsia="Arial" w:hAnsi="Arial"/>
                <w:sz w:val="16"/>
                <w:szCs w:val="16"/>
                <w:color w:val="auto"/>
              </w:rPr>
              <w:t>1.1</w:t>
            </w:r>
          </w:p>
        </w:tc>
        <w:tc>
          <w:tcPr>
            <w:tcW w:w="180" w:type="dxa"/>
            <w:vAlign w:val="bottom"/>
          </w:tcPr>
          <w:p>
            <w:pPr>
              <w:spacing w:after="0"/>
              <w:rPr>
                <w:sz w:val="18"/>
                <w:szCs w:val="18"/>
                <w:color w:val="auto"/>
              </w:rPr>
            </w:pPr>
          </w:p>
        </w:tc>
        <w:tc>
          <w:tcPr>
            <w:tcW w:w="340" w:type="dxa"/>
            <w:vAlign w:val="bottom"/>
          </w:tcPr>
          <w:p>
            <w:pPr>
              <w:ind w:left="10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35.2</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gridSpan w:val="2"/>
          </w:tcPr>
          <w:p>
            <w:pPr>
              <w:jc w:val="right"/>
              <w:ind w:right="36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8"/>
                <w:szCs w:val="18"/>
                <w:color w:val="auto"/>
              </w:rPr>
            </w:pPr>
          </w:p>
        </w:tc>
        <w:tc>
          <w:tcPr>
            <w:tcW w:w="1000" w:type="dxa"/>
            <w:vAlign w:val="bottom"/>
            <w:gridSpan w:val="2"/>
          </w:tcPr>
          <w:p>
            <w:pPr>
              <w:jc w:val="right"/>
              <w:ind w:right="34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35.2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5"/>
        </w:trPr>
        <w:tc>
          <w:tcPr>
            <w:tcW w:w="4320" w:type="dxa"/>
            <w:vAlign w:val="bottom"/>
            <w:shd w:val="clear" w:color="auto" w:fill="CCEEFF"/>
          </w:tcPr>
          <w:p>
            <w:pPr>
              <w:spacing w:after="0"/>
              <w:rPr>
                <w:sz w:val="20"/>
                <w:szCs w:val="20"/>
                <w:color w:val="auto"/>
              </w:rPr>
            </w:pPr>
            <w:r>
              <w:rPr>
                <w:rFonts w:ascii="Arial" w:cs="Arial" w:eastAsia="Arial" w:hAnsi="Arial"/>
                <w:sz w:val="16"/>
                <w:szCs w:val="16"/>
                <w:color w:val="auto"/>
              </w:rPr>
              <w:t>Exercise of stock options and awards</w:t>
            </w:r>
          </w:p>
        </w:tc>
        <w:tc>
          <w:tcPr>
            <w:tcW w:w="420" w:type="dxa"/>
            <w:vAlign w:val="bottom"/>
            <w:shd w:val="clear" w:color="auto" w:fill="CCEEFF"/>
          </w:tcPr>
          <w:p>
            <w:pPr>
              <w:jc w:val="center"/>
              <w:ind w:left="20"/>
              <w:spacing w:after="0"/>
              <w:rPr>
                <w:sz w:val="20"/>
                <w:szCs w:val="20"/>
                <w:color w:val="auto"/>
              </w:rPr>
            </w:pPr>
            <w:r>
              <w:rPr>
                <w:rFonts w:ascii="Arial" w:cs="Arial" w:eastAsia="Arial" w:hAnsi="Arial"/>
                <w:sz w:val="16"/>
                <w:szCs w:val="16"/>
                <w:color w:val="auto"/>
                <w:w w:val="99"/>
              </w:rPr>
              <w:t>—</w:t>
            </w:r>
          </w:p>
        </w:tc>
        <w:tc>
          <w:tcPr>
            <w:tcW w:w="220" w:type="dxa"/>
            <w:vAlign w:val="bottom"/>
            <w:shd w:val="clear" w:color="auto" w:fill="CCEEFF"/>
          </w:tcPr>
          <w:p>
            <w:pPr>
              <w:spacing w:after="0"/>
              <w:rPr>
                <w:sz w:val="17"/>
                <w:szCs w:val="17"/>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00" w:type="dxa"/>
            <w:vAlign w:val="bottom"/>
            <w:gridSpan w:val="3"/>
            <w:shd w:val="clear" w:color="auto" w:fill="CCEEFF"/>
          </w:tcPr>
          <w:p>
            <w:pPr>
              <w:jc w:val="right"/>
              <w:ind w:right="260"/>
              <w:spacing w:after="0"/>
              <w:rPr>
                <w:sz w:val="20"/>
                <w:szCs w:val="20"/>
                <w:color w:val="auto"/>
              </w:rPr>
            </w:pPr>
            <w:r>
              <w:rPr>
                <w:rFonts w:ascii="Arial" w:cs="Arial" w:eastAsia="Arial" w:hAnsi="Arial"/>
                <w:sz w:val="16"/>
                <w:szCs w:val="16"/>
                <w:color w:val="auto"/>
              </w:rPr>
              <w:t>0.6</w:t>
            </w:r>
          </w:p>
        </w:tc>
        <w:tc>
          <w:tcPr>
            <w:tcW w:w="180" w:type="dxa"/>
            <w:vAlign w:val="bottom"/>
            <w:shd w:val="clear" w:color="auto" w:fill="CCEEFF"/>
          </w:tcPr>
          <w:p>
            <w:pPr>
              <w:spacing w:after="0"/>
              <w:rPr>
                <w:sz w:val="17"/>
                <w:szCs w:val="17"/>
                <w:color w:val="auto"/>
              </w:rPr>
            </w:pPr>
          </w:p>
        </w:tc>
        <w:tc>
          <w:tcPr>
            <w:tcW w:w="340" w:type="dxa"/>
            <w:vAlign w:val="bottom"/>
            <w:shd w:val="clear" w:color="auto" w:fill="CCEEFF"/>
          </w:tcPr>
          <w:p>
            <w:pPr>
              <w:ind w:left="100"/>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w:t>
            </w: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36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34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3"/>
        </w:trPr>
        <w:tc>
          <w:tcPr>
            <w:tcW w:w="4320" w:type="dxa"/>
            <w:vAlign w:val="bottom"/>
          </w:tcPr>
          <w:p>
            <w:pPr>
              <w:spacing w:after="0"/>
              <w:rPr>
                <w:sz w:val="20"/>
                <w:szCs w:val="20"/>
                <w:color w:val="auto"/>
              </w:rPr>
            </w:pPr>
            <w:r>
              <w:rPr>
                <w:rFonts w:ascii="Arial" w:cs="Arial" w:eastAsia="Arial" w:hAnsi="Arial"/>
                <w:sz w:val="16"/>
                <w:szCs w:val="16"/>
                <w:color w:val="auto"/>
              </w:rPr>
              <w:t>Repurchase of unvested common stock (related to early</w:t>
            </w:r>
          </w:p>
        </w:tc>
        <w:tc>
          <w:tcPr>
            <w:tcW w:w="4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4320" w:type="dxa"/>
            <w:vAlign w:val="bottom"/>
          </w:tcPr>
          <w:p>
            <w:pPr>
              <w:ind w:left="180"/>
              <w:spacing w:after="0"/>
              <w:rPr>
                <w:sz w:val="20"/>
                <w:szCs w:val="20"/>
                <w:color w:val="auto"/>
              </w:rPr>
            </w:pPr>
            <w:r>
              <w:rPr>
                <w:rFonts w:ascii="Arial" w:cs="Arial" w:eastAsia="Arial" w:hAnsi="Arial"/>
                <w:sz w:val="16"/>
                <w:szCs w:val="16"/>
                <w:color w:val="auto"/>
              </w:rPr>
              <w:t>exercised stock options)</w:t>
            </w:r>
          </w:p>
        </w:tc>
        <w:tc>
          <w:tcPr>
            <w:tcW w:w="420" w:type="dxa"/>
            <w:vAlign w:val="bottom"/>
          </w:tcPr>
          <w:p>
            <w:pPr>
              <w:jc w:val="center"/>
              <w:ind w:left="20"/>
              <w:spacing w:after="0"/>
              <w:rPr>
                <w:sz w:val="20"/>
                <w:szCs w:val="20"/>
                <w:color w:val="auto"/>
              </w:rPr>
            </w:pPr>
            <w:r>
              <w:rPr>
                <w:rFonts w:ascii="Arial" w:cs="Arial" w:eastAsia="Arial" w:hAnsi="Arial"/>
                <w:sz w:val="16"/>
                <w:szCs w:val="16"/>
                <w:color w:val="auto"/>
                <w:w w:val="99"/>
              </w:rPr>
              <w:t>—</w:t>
            </w:r>
          </w:p>
        </w:tc>
        <w:tc>
          <w:tcPr>
            <w:tcW w:w="22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6"/>
                <w:szCs w:val="16"/>
                <w:color w:val="auto"/>
              </w:rPr>
              <w:t>—</w:t>
            </w:r>
          </w:p>
        </w:tc>
        <w:tc>
          <w:tcPr>
            <w:tcW w:w="900" w:type="dxa"/>
            <w:vAlign w:val="bottom"/>
            <w:gridSpan w:val="3"/>
          </w:tcPr>
          <w:p>
            <w:pPr>
              <w:jc w:val="right"/>
              <w:ind w:right="220"/>
              <w:spacing w:after="0"/>
              <w:rPr>
                <w:sz w:val="20"/>
                <w:szCs w:val="20"/>
                <w:color w:val="auto"/>
              </w:rPr>
            </w:pPr>
            <w:r>
              <w:rPr>
                <w:rFonts w:ascii="Arial" w:cs="Arial" w:eastAsia="Arial" w:hAnsi="Arial"/>
                <w:sz w:val="16"/>
                <w:szCs w:val="16"/>
                <w:color w:val="auto"/>
              </w:rPr>
              <w:t>(1.8)</w:t>
            </w:r>
          </w:p>
        </w:tc>
        <w:tc>
          <w:tcPr>
            <w:tcW w:w="180" w:type="dxa"/>
            <w:vAlign w:val="bottom"/>
          </w:tcPr>
          <w:p>
            <w:pPr>
              <w:spacing w:after="0"/>
              <w:rPr>
                <w:sz w:val="18"/>
                <w:szCs w:val="18"/>
                <w:color w:val="auto"/>
              </w:rPr>
            </w:pPr>
          </w:p>
        </w:tc>
        <w:tc>
          <w:tcPr>
            <w:tcW w:w="340" w:type="dxa"/>
            <w:vAlign w:val="bottom"/>
          </w:tcPr>
          <w:p>
            <w:pPr>
              <w:ind w:left="10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120"/>
              <w:spacing w:after="0"/>
              <w:rPr>
                <w:sz w:val="20"/>
                <w:szCs w:val="20"/>
                <w:color w:val="auto"/>
              </w:rPr>
            </w:pPr>
            <w:r>
              <w:rPr>
                <w:rFonts w:ascii="Arial" w:cs="Arial" w:eastAsia="Arial" w:hAnsi="Arial"/>
                <w:sz w:val="16"/>
                <w:szCs w:val="16"/>
                <w:color w:val="auto"/>
              </w:rPr>
              <w:t>(1.3)</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gridSpan w:val="2"/>
          </w:tcPr>
          <w:p>
            <w:pPr>
              <w:jc w:val="right"/>
              <w:ind w:right="36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8"/>
                <w:szCs w:val="18"/>
                <w:color w:val="auto"/>
              </w:rPr>
            </w:pPr>
          </w:p>
        </w:tc>
        <w:tc>
          <w:tcPr>
            <w:tcW w:w="1000" w:type="dxa"/>
            <w:vAlign w:val="bottom"/>
            <w:gridSpan w:val="2"/>
          </w:tcPr>
          <w:p>
            <w:pPr>
              <w:jc w:val="right"/>
              <w:ind w:right="34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6"/>
                <w:szCs w:val="16"/>
                <w:color w:val="auto"/>
              </w:rPr>
              <w:t>(1.3)</w:t>
            </w:r>
          </w:p>
        </w:tc>
        <w:tc>
          <w:tcPr>
            <w:tcW w:w="0" w:type="dxa"/>
            <w:vAlign w:val="bottom"/>
          </w:tcPr>
          <w:p>
            <w:pPr>
              <w:spacing w:after="0"/>
              <w:rPr>
                <w:sz w:val="1"/>
                <w:szCs w:val="1"/>
                <w:color w:val="auto"/>
              </w:rPr>
            </w:pPr>
          </w:p>
        </w:tc>
      </w:tr>
      <w:tr>
        <w:trPr>
          <w:trHeight w:val="205"/>
        </w:trPr>
        <w:tc>
          <w:tcPr>
            <w:tcW w:w="4320" w:type="dxa"/>
            <w:vAlign w:val="bottom"/>
            <w:shd w:val="clear" w:color="auto" w:fill="CCEEFF"/>
          </w:tcPr>
          <w:p>
            <w:pPr>
              <w:spacing w:after="0"/>
              <w:rPr>
                <w:sz w:val="20"/>
                <w:szCs w:val="20"/>
                <w:color w:val="auto"/>
              </w:rPr>
            </w:pPr>
            <w:r>
              <w:rPr>
                <w:rFonts w:ascii="Arial" w:cs="Arial" w:eastAsia="Arial" w:hAnsi="Arial"/>
                <w:sz w:val="16"/>
                <w:szCs w:val="16"/>
                <w:color w:val="auto"/>
              </w:rPr>
              <w:t>Stock-based compensation</w:t>
            </w:r>
          </w:p>
        </w:tc>
        <w:tc>
          <w:tcPr>
            <w:tcW w:w="420" w:type="dxa"/>
            <w:vAlign w:val="bottom"/>
            <w:shd w:val="clear" w:color="auto" w:fill="CCEEFF"/>
          </w:tcPr>
          <w:p>
            <w:pPr>
              <w:jc w:val="center"/>
              <w:ind w:left="20"/>
              <w:spacing w:after="0"/>
              <w:rPr>
                <w:sz w:val="20"/>
                <w:szCs w:val="20"/>
                <w:color w:val="auto"/>
              </w:rPr>
            </w:pPr>
            <w:r>
              <w:rPr>
                <w:rFonts w:ascii="Arial" w:cs="Arial" w:eastAsia="Arial" w:hAnsi="Arial"/>
                <w:sz w:val="16"/>
                <w:szCs w:val="16"/>
                <w:color w:val="auto"/>
                <w:w w:val="99"/>
              </w:rPr>
              <w:t>—</w:t>
            </w:r>
          </w:p>
        </w:tc>
        <w:tc>
          <w:tcPr>
            <w:tcW w:w="220" w:type="dxa"/>
            <w:vAlign w:val="bottom"/>
            <w:shd w:val="clear" w:color="auto" w:fill="CCEEFF"/>
          </w:tcPr>
          <w:p>
            <w:pPr>
              <w:spacing w:after="0"/>
              <w:rPr>
                <w:sz w:val="17"/>
                <w:szCs w:val="17"/>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17"/>
                <w:szCs w:val="17"/>
                <w:color w:val="auto"/>
              </w:rPr>
            </w:pPr>
          </w:p>
        </w:tc>
        <w:tc>
          <w:tcPr>
            <w:tcW w:w="680" w:type="dxa"/>
            <w:vAlign w:val="bottom"/>
            <w:gridSpan w:val="2"/>
            <w:shd w:val="clear" w:color="auto" w:fill="CCEEFF"/>
          </w:tcPr>
          <w:p>
            <w:pPr>
              <w:jc w:val="right"/>
              <w:ind w:right="36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7"/>
                <w:szCs w:val="17"/>
                <w:color w:val="auto"/>
              </w:rPr>
            </w:pPr>
          </w:p>
        </w:tc>
        <w:tc>
          <w:tcPr>
            <w:tcW w:w="340" w:type="dxa"/>
            <w:vAlign w:val="bottom"/>
            <w:shd w:val="clear" w:color="auto" w:fill="CCEEFF"/>
          </w:tcPr>
          <w:p>
            <w:pPr>
              <w:ind w:left="100"/>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66.1</w:t>
            </w: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36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34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66.1</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320" w:type="dxa"/>
            <w:vAlign w:val="bottom"/>
          </w:tcPr>
          <w:p>
            <w:pPr>
              <w:spacing w:after="0"/>
              <w:rPr>
                <w:sz w:val="20"/>
                <w:szCs w:val="20"/>
                <w:color w:val="auto"/>
              </w:rPr>
            </w:pPr>
            <w:r>
              <w:rPr>
                <w:rFonts w:ascii="Arial" w:cs="Arial" w:eastAsia="Arial" w:hAnsi="Arial"/>
                <w:sz w:val="16"/>
                <w:szCs w:val="16"/>
                <w:color w:val="auto"/>
              </w:rPr>
              <w:t>Other comprehensive income</w:t>
            </w:r>
          </w:p>
        </w:tc>
        <w:tc>
          <w:tcPr>
            <w:tcW w:w="420" w:type="dxa"/>
            <w:vAlign w:val="bottom"/>
          </w:tcPr>
          <w:p>
            <w:pPr>
              <w:jc w:val="center"/>
              <w:ind w:left="20"/>
              <w:spacing w:after="0"/>
              <w:rPr>
                <w:sz w:val="20"/>
                <w:szCs w:val="20"/>
                <w:color w:val="auto"/>
              </w:rPr>
            </w:pPr>
            <w:r>
              <w:rPr>
                <w:rFonts w:ascii="Arial" w:cs="Arial" w:eastAsia="Arial" w:hAnsi="Arial"/>
                <w:sz w:val="16"/>
                <w:szCs w:val="16"/>
                <w:color w:val="auto"/>
                <w:w w:val="99"/>
              </w:rPr>
              <w:t>—</w:t>
            </w:r>
          </w:p>
        </w:tc>
        <w:tc>
          <w:tcPr>
            <w:tcW w:w="220" w:type="dxa"/>
            <w:vAlign w:val="bottom"/>
          </w:tcPr>
          <w:p>
            <w:pPr>
              <w:spacing w:after="0"/>
              <w:rPr>
                <w:sz w:val="17"/>
                <w:szCs w:val="17"/>
                <w:color w:val="auto"/>
              </w:rPr>
            </w:pPr>
          </w:p>
        </w:tc>
        <w:tc>
          <w:tcPr>
            <w:tcW w:w="520" w:type="dxa"/>
            <w:vAlign w:val="bottom"/>
          </w:tcPr>
          <w:p>
            <w:pPr>
              <w:jc w:val="right"/>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7"/>
                <w:szCs w:val="17"/>
                <w:color w:val="auto"/>
              </w:rPr>
            </w:pPr>
          </w:p>
        </w:tc>
        <w:tc>
          <w:tcPr>
            <w:tcW w:w="680" w:type="dxa"/>
            <w:vAlign w:val="bottom"/>
            <w:gridSpan w:val="2"/>
          </w:tcPr>
          <w:p>
            <w:pPr>
              <w:jc w:val="right"/>
              <w:ind w:right="36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7"/>
                <w:szCs w:val="17"/>
                <w:color w:val="auto"/>
              </w:rPr>
            </w:pPr>
          </w:p>
        </w:tc>
        <w:tc>
          <w:tcPr>
            <w:tcW w:w="340" w:type="dxa"/>
            <w:vAlign w:val="bottom"/>
          </w:tcPr>
          <w:p>
            <w:pPr>
              <w:ind w:left="10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40" w:type="dxa"/>
            <w:vAlign w:val="bottom"/>
            <w:gridSpan w:val="2"/>
          </w:tcPr>
          <w:p>
            <w:pPr>
              <w:jc w:val="right"/>
              <w:ind w:right="36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7"/>
                <w:szCs w:val="17"/>
                <w:color w:val="auto"/>
              </w:rPr>
            </w:pPr>
          </w:p>
        </w:tc>
        <w:tc>
          <w:tcPr>
            <w:tcW w:w="1000" w:type="dxa"/>
            <w:vAlign w:val="bottom"/>
            <w:gridSpan w:val="2"/>
          </w:tcPr>
          <w:p>
            <w:pPr>
              <w:jc w:val="right"/>
              <w:ind w:right="260"/>
              <w:spacing w:after="0"/>
              <w:rPr>
                <w:sz w:val="20"/>
                <w:szCs w:val="20"/>
                <w:color w:val="auto"/>
              </w:rPr>
            </w:pPr>
            <w:r>
              <w:rPr>
                <w:rFonts w:ascii="Arial" w:cs="Arial" w:eastAsia="Arial" w:hAnsi="Arial"/>
                <w:sz w:val="16"/>
                <w:szCs w:val="16"/>
                <w:color w:val="auto"/>
              </w:rPr>
              <w:t>0.1</w:t>
            </w:r>
          </w:p>
        </w:tc>
        <w:tc>
          <w:tcPr>
            <w:tcW w:w="16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0.1</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320" w:type="dxa"/>
            <w:vAlign w:val="bottom"/>
            <w:shd w:val="clear" w:color="auto" w:fill="CCEEFF"/>
          </w:tcPr>
          <w:p>
            <w:pPr>
              <w:spacing w:after="0"/>
              <w:rPr>
                <w:sz w:val="20"/>
                <w:szCs w:val="20"/>
                <w:color w:val="auto"/>
              </w:rPr>
            </w:pPr>
            <w:r>
              <w:rPr>
                <w:rFonts w:ascii="Arial" w:cs="Arial" w:eastAsia="Arial" w:hAnsi="Arial"/>
                <w:sz w:val="16"/>
                <w:szCs w:val="16"/>
                <w:color w:val="auto"/>
              </w:rPr>
              <w:t>Net loss</w:t>
            </w:r>
          </w:p>
        </w:tc>
        <w:tc>
          <w:tcPr>
            <w:tcW w:w="420" w:type="dxa"/>
            <w:vAlign w:val="bottom"/>
            <w:shd w:val="clear" w:color="auto" w:fill="CCEEFF"/>
          </w:tcPr>
          <w:p>
            <w:pPr>
              <w:jc w:val="center"/>
              <w:ind w:left="20"/>
              <w:spacing w:after="0"/>
              <w:rPr>
                <w:sz w:val="20"/>
                <w:szCs w:val="20"/>
                <w:color w:val="auto"/>
              </w:rPr>
            </w:pPr>
            <w:r>
              <w:rPr>
                <w:rFonts w:ascii="Arial" w:cs="Arial" w:eastAsia="Arial" w:hAnsi="Arial"/>
                <w:sz w:val="16"/>
                <w:szCs w:val="16"/>
                <w:color w:val="auto"/>
                <w:w w:val="99"/>
              </w:rPr>
              <w:t>—</w:t>
            </w:r>
          </w:p>
        </w:tc>
        <w:tc>
          <w:tcPr>
            <w:tcW w:w="220" w:type="dxa"/>
            <w:vAlign w:val="bottom"/>
            <w:shd w:val="clear" w:color="auto" w:fill="CCEEFF"/>
          </w:tcPr>
          <w:p>
            <w:pPr>
              <w:spacing w:after="0"/>
              <w:rPr>
                <w:sz w:val="17"/>
                <w:szCs w:val="17"/>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17"/>
                <w:szCs w:val="17"/>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340" w:type="dxa"/>
            <w:vAlign w:val="bottom"/>
            <w:shd w:val="clear" w:color="auto" w:fill="CCEEFF"/>
          </w:tcPr>
          <w:p>
            <w:pPr>
              <w:ind w:left="100"/>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8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(325.9)</w:t>
            </w:r>
          </w:p>
        </w:tc>
        <w:tc>
          <w:tcPr>
            <w:tcW w:w="18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34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(325.9)</w:t>
            </w:r>
          </w:p>
        </w:tc>
        <w:tc>
          <w:tcPr>
            <w:tcW w:w="0" w:type="dxa"/>
            <w:vAlign w:val="bottom"/>
          </w:tcPr>
          <w:p>
            <w:pPr>
              <w:spacing w:after="0"/>
              <w:rPr>
                <w:sz w:val="1"/>
                <w:szCs w:val="1"/>
                <w:color w:val="auto"/>
              </w:rPr>
            </w:pPr>
          </w:p>
        </w:tc>
      </w:tr>
      <w:tr>
        <w:trPr>
          <w:trHeight w:val="20"/>
        </w:trPr>
        <w:tc>
          <w:tcPr>
            <w:tcW w:w="4320" w:type="dxa"/>
            <w:vAlign w:val="bottom"/>
            <w:vMerge w:val="restart"/>
          </w:tcPr>
          <w:p>
            <w:pPr>
              <w:spacing w:after="0"/>
              <w:rPr>
                <w:sz w:val="20"/>
                <w:szCs w:val="20"/>
                <w:color w:val="auto"/>
              </w:rPr>
            </w:pPr>
            <w:r>
              <w:rPr>
                <w:rFonts w:ascii="Arial" w:cs="Arial" w:eastAsia="Arial" w:hAnsi="Arial"/>
                <w:sz w:val="16"/>
                <w:szCs w:val="16"/>
                <w:b w:val="1"/>
                <w:bCs w:val="1"/>
                <w:color w:val="auto"/>
              </w:rPr>
              <w:t>Balance at December 31, 2015</w:t>
            </w:r>
          </w:p>
        </w:tc>
        <w:tc>
          <w:tcPr>
            <w:tcW w:w="4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7"/>
        </w:trPr>
        <w:tc>
          <w:tcPr>
            <w:tcW w:w="4320" w:type="dxa"/>
            <w:vAlign w:val="bottom"/>
            <w:vMerge w:val="continue"/>
          </w:tcPr>
          <w:p>
            <w:pPr>
              <w:spacing w:after="0"/>
              <w:rPr>
                <w:sz w:val="17"/>
                <w:szCs w:val="17"/>
                <w:color w:val="auto"/>
              </w:rPr>
            </w:pPr>
          </w:p>
        </w:tc>
        <w:tc>
          <w:tcPr>
            <w:tcW w:w="420" w:type="dxa"/>
            <w:vAlign w:val="bottom"/>
          </w:tcPr>
          <w:p>
            <w:pPr>
              <w:jc w:val="center"/>
              <w:spacing w:after="0"/>
              <w:rPr>
                <w:sz w:val="20"/>
                <w:szCs w:val="20"/>
                <w:color w:val="auto"/>
              </w:rPr>
            </w:pPr>
            <w:r>
              <w:rPr>
                <w:rFonts w:ascii="Arial" w:cs="Arial" w:eastAsia="Arial" w:hAnsi="Arial"/>
                <w:sz w:val="16"/>
                <w:szCs w:val="16"/>
                <w:color w:val="auto"/>
                <w:w w:val="89"/>
              </w:rPr>
              <w:t>221.4</w:t>
            </w:r>
          </w:p>
        </w:tc>
        <w:tc>
          <w:tcPr>
            <w:tcW w:w="220" w:type="dxa"/>
            <w:vAlign w:val="bottom"/>
          </w:tcPr>
          <w:p>
            <w:pPr>
              <w:spacing w:after="0"/>
              <w:rPr>
                <w:sz w:val="17"/>
                <w:szCs w:val="17"/>
                <w:color w:val="auto"/>
              </w:rPr>
            </w:pPr>
          </w:p>
        </w:tc>
        <w:tc>
          <w:tcPr>
            <w:tcW w:w="520" w:type="dxa"/>
            <w:vAlign w:val="bottom"/>
          </w:tcPr>
          <w:p>
            <w:pPr>
              <w:jc w:val="right"/>
              <w:spacing w:after="0"/>
              <w:rPr>
                <w:sz w:val="20"/>
                <w:szCs w:val="20"/>
                <w:color w:val="auto"/>
              </w:rPr>
            </w:pPr>
            <w:r>
              <w:rPr>
                <w:rFonts w:ascii="Arial" w:cs="Arial" w:eastAsia="Arial" w:hAnsi="Arial"/>
                <w:sz w:val="16"/>
                <w:szCs w:val="16"/>
                <w:color w:val="auto"/>
              </w:rPr>
              <w:t>615.3</w:t>
            </w:r>
          </w:p>
        </w:tc>
        <w:tc>
          <w:tcPr>
            <w:tcW w:w="220" w:type="dxa"/>
            <w:vAlign w:val="bottom"/>
          </w:tcPr>
          <w:p>
            <w:pPr>
              <w:spacing w:after="0"/>
              <w:rPr>
                <w:sz w:val="17"/>
                <w:szCs w:val="17"/>
                <w:color w:val="auto"/>
              </w:rPr>
            </w:pPr>
          </w:p>
        </w:tc>
        <w:tc>
          <w:tcPr>
            <w:tcW w:w="680" w:type="dxa"/>
            <w:vAlign w:val="bottom"/>
            <w:gridSpan w:val="2"/>
          </w:tcPr>
          <w:p>
            <w:pPr>
              <w:jc w:val="right"/>
              <w:ind w:right="260"/>
              <w:spacing w:after="0"/>
              <w:rPr>
                <w:sz w:val="20"/>
                <w:szCs w:val="20"/>
                <w:color w:val="auto"/>
              </w:rPr>
            </w:pPr>
            <w:r>
              <w:rPr>
                <w:rFonts w:ascii="Arial" w:cs="Arial" w:eastAsia="Arial" w:hAnsi="Arial"/>
                <w:sz w:val="16"/>
                <w:szCs w:val="16"/>
                <w:color w:val="auto"/>
                <w:w w:val="99"/>
              </w:rPr>
              <w:t>281.1</w:t>
            </w:r>
          </w:p>
        </w:tc>
        <w:tc>
          <w:tcPr>
            <w:tcW w:w="180" w:type="dxa"/>
            <w:vAlign w:val="bottom"/>
          </w:tcPr>
          <w:p>
            <w:pPr>
              <w:spacing w:after="0"/>
              <w:rPr>
                <w:sz w:val="17"/>
                <w:szCs w:val="17"/>
                <w:color w:val="auto"/>
              </w:rPr>
            </w:pPr>
          </w:p>
        </w:tc>
        <w:tc>
          <w:tcPr>
            <w:tcW w:w="340" w:type="dxa"/>
            <w:vAlign w:val="bottom"/>
          </w:tcPr>
          <w:p>
            <w:pPr>
              <w:ind w:left="10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297.3</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6"/>
                <w:szCs w:val="16"/>
                <w:color w:val="auto"/>
              </w:rPr>
              <w:t>(727.3)</w:t>
            </w:r>
          </w:p>
        </w:tc>
        <w:tc>
          <w:tcPr>
            <w:tcW w:w="180" w:type="dxa"/>
            <w:vAlign w:val="bottom"/>
          </w:tcPr>
          <w:p>
            <w:pPr>
              <w:spacing w:after="0"/>
              <w:rPr>
                <w:sz w:val="17"/>
                <w:szCs w:val="17"/>
                <w:color w:val="auto"/>
              </w:rPr>
            </w:pPr>
          </w:p>
        </w:tc>
        <w:tc>
          <w:tcPr>
            <w:tcW w:w="1000" w:type="dxa"/>
            <w:vAlign w:val="bottom"/>
            <w:gridSpan w:val="2"/>
          </w:tcPr>
          <w:p>
            <w:pPr>
              <w:jc w:val="right"/>
              <w:ind w:right="260"/>
              <w:spacing w:after="0"/>
              <w:rPr>
                <w:sz w:val="20"/>
                <w:szCs w:val="20"/>
                <w:color w:val="auto"/>
              </w:rPr>
            </w:pPr>
            <w:r>
              <w:rPr>
                <w:rFonts w:ascii="Arial" w:cs="Arial" w:eastAsia="Arial" w:hAnsi="Arial"/>
                <w:sz w:val="16"/>
                <w:szCs w:val="16"/>
                <w:color w:val="auto"/>
              </w:rPr>
              <w:t>0.3</w:t>
            </w:r>
          </w:p>
        </w:tc>
        <w:tc>
          <w:tcPr>
            <w:tcW w:w="16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185.6</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4320" w:type="dxa"/>
            <w:vAlign w:val="bottom"/>
            <w:shd w:val="clear" w:color="auto" w:fill="CCEEFF"/>
          </w:tcPr>
          <w:p>
            <w:pPr>
              <w:spacing w:after="0"/>
              <w:rPr>
                <w:sz w:val="20"/>
                <w:szCs w:val="20"/>
                <w:color w:val="auto"/>
              </w:rPr>
            </w:pPr>
            <w:r>
              <w:rPr>
                <w:rFonts w:ascii="Arial" w:cs="Arial" w:eastAsia="Arial" w:hAnsi="Arial"/>
                <w:sz w:val="16"/>
                <w:szCs w:val="16"/>
                <w:color w:val="auto"/>
              </w:rPr>
              <w:t>Vesting of early exercised stock options</w:t>
            </w:r>
          </w:p>
        </w:tc>
        <w:tc>
          <w:tcPr>
            <w:tcW w:w="420" w:type="dxa"/>
            <w:vAlign w:val="bottom"/>
            <w:shd w:val="clear" w:color="auto" w:fill="CCEEFF"/>
          </w:tcPr>
          <w:p>
            <w:pPr>
              <w:jc w:val="center"/>
              <w:ind w:left="20"/>
              <w:spacing w:after="0"/>
              <w:rPr>
                <w:sz w:val="20"/>
                <w:szCs w:val="20"/>
                <w:color w:val="auto"/>
              </w:rPr>
            </w:pPr>
            <w:r>
              <w:rPr>
                <w:rFonts w:ascii="Arial" w:cs="Arial" w:eastAsia="Arial" w:hAnsi="Arial"/>
                <w:sz w:val="16"/>
                <w:szCs w:val="16"/>
                <w:color w:val="auto"/>
                <w:w w:val="99"/>
              </w:rPr>
              <w:t>—</w:t>
            </w:r>
          </w:p>
        </w:tc>
        <w:tc>
          <w:tcPr>
            <w:tcW w:w="220" w:type="dxa"/>
            <w:vAlign w:val="bottom"/>
            <w:shd w:val="clear" w:color="auto" w:fill="CCEEFF"/>
          </w:tcPr>
          <w:p>
            <w:pPr>
              <w:spacing w:after="0"/>
              <w:rPr>
                <w:sz w:val="17"/>
                <w:szCs w:val="17"/>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17"/>
                <w:szCs w:val="17"/>
                <w:color w:val="auto"/>
              </w:rPr>
            </w:pPr>
          </w:p>
        </w:tc>
        <w:tc>
          <w:tcPr>
            <w:tcW w:w="680" w:type="dxa"/>
            <w:vAlign w:val="bottom"/>
            <w:gridSpan w:val="2"/>
            <w:shd w:val="clear" w:color="auto" w:fill="CCEEFF"/>
          </w:tcPr>
          <w:p>
            <w:pPr>
              <w:jc w:val="right"/>
              <w:ind w:right="36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7"/>
                <w:szCs w:val="17"/>
                <w:color w:val="auto"/>
              </w:rPr>
            </w:pPr>
          </w:p>
        </w:tc>
        <w:tc>
          <w:tcPr>
            <w:tcW w:w="340" w:type="dxa"/>
            <w:vAlign w:val="bottom"/>
            <w:shd w:val="clear" w:color="auto" w:fill="CCEEFF"/>
          </w:tcPr>
          <w:p>
            <w:pPr>
              <w:ind w:left="100"/>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0.5</w:t>
            </w: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36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34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0.5</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3"/>
        </w:trPr>
        <w:tc>
          <w:tcPr>
            <w:tcW w:w="4320" w:type="dxa"/>
            <w:vAlign w:val="bottom"/>
          </w:tcPr>
          <w:p>
            <w:pPr>
              <w:spacing w:after="0"/>
              <w:rPr>
                <w:sz w:val="20"/>
                <w:szCs w:val="20"/>
                <w:color w:val="auto"/>
              </w:rPr>
            </w:pPr>
            <w:r>
              <w:rPr>
                <w:rFonts w:ascii="Arial" w:cs="Arial" w:eastAsia="Arial" w:hAnsi="Arial"/>
                <w:sz w:val="16"/>
                <w:szCs w:val="16"/>
                <w:color w:val="auto"/>
              </w:rPr>
              <w:t>Issuance of common stock, options and awards related to</w:t>
            </w:r>
          </w:p>
        </w:tc>
        <w:tc>
          <w:tcPr>
            <w:tcW w:w="4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4320" w:type="dxa"/>
            <w:vAlign w:val="bottom"/>
          </w:tcPr>
          <w:p>
            <w:pPr>
              <w:ind w:left="180"/>
              <w:spacing w:after="0"/>
              <w:rPr>
                <w:sz w:val="20"/>
                <w:szCs w:val="20"/>
                <w:color w:val="auto"/>
              </w:rPr>
            </w:pPr>
            <w:r>
              <w:rPr>
                <w:rFonts w:ascii="Arial" w:cs="Arial" w:eastAsia="Arial" w:hAnsi="Arial"/>
                <w:sz w:val="16"/>
                <w:szCs w:val="16"/>
                <w:color w:val="auto"/>
              </w:rPr>
              <w:t>acquisitions</w:t>
            </w:r>
          </w:p>
        </w:tc>
        <w:tc>
          <w:tcPr>
            <w:tcW w:w="420" w:type="dxa"/>
            <w:vAlign w:val="bottom"/>
          </w:tcPr>
          <w:p>
            <w:pPr>
              <w:jc w:val="center"/>
              <w:ind w:left="20"/>
              <w:spacing w:after="0"/>
              <w:rPr>
                <w:sz w:val="20"/>
                <w:szCs w:val="20"/>
                <w:color w:val="auto"/>
              </w:rPr>
            </w:pPr>
            <w:r>
              <w:rPr>
                <w:rFonts w:ascii="Arial" w:cs="Arial" w:eastAsia="Arial" w:hAnsi="Arial"/>
                <w:sz w:val="16"/>
                <w:szCs w:val="16"/>
                <w:color w:val="auto"/>
                <w:w w:val="99"/>
              </w:rPr>
              <w:t>—</w:t>
            </w:r>
          </w:p>
        </w:tc>
        <w:tc>
          <w:tcPr>
            <w:tcW w:w="22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6"/>
                <w:szCs w:val="16"/>
                <w:color w:val="auto"/>
              </w:rPr>
              <w:t>—</w:t>
            </w:r>
          </w:p>
        </w:tc>
        <w:tc>
          <w:tcPr>
            <w:tcW w:w="900" w:type="dxa"/>
            <w:vAlign w:val="bottom"/>
            <w:gridSpan w:val="3"/>
          </w:tcPr>
          <w:p>
            <w:pPr>
              <w:jc w:val="right"/>
              <w:ind w:right="260"/>
              <w:spacing w:after="0"/>
              <w:rPr>
                <w:sz w:val="20"/>
                <w:szCs w:val="20"/>
                <w:color w:val="auto"/>
              </w:rPr>
            </w:pPr>
            <w:r>
              <w:rPr>
                <w:rFonts w:ascii="Arial" w:cs="Arial" w:eastAsia="Arial" w:hAnsi="Arial"/>
                <w:sz w:val="16"/>
                <w:szCs w:val="16"/>
                <w:color w:val="auto"/>
              </w:rPr>
              <w:t>0.1</w:t>
            </w:r>
          </w:p>
        </w:tc>
        <w:tc>
          <w:tcPr>
            <w:tcW w:w="180" w:type="dxa"/>
            <w:vAlign w:val="bottom"/>
          </w:tcPr>
          <w:p>
            <w:pPr>
              <w:spacing w:after="0"/>
              <w:rPr>
                <w:sz w:val="18"/>
                <w:szCs w:val="18"/>
                <w:color w:val="auto"/>
              </w:rPr>
            </w:pPr>
          </w:p>
        </w:tc>
        <w:tc>
          <w:tcPr>
            <w:tcW w:w="340" w:type="dxa"/>
            <w:vAlign w:val="bottom"/>
          </w:tcPr>
          <w:p>
            <w:pPr>
              <w:ind w:left="10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0.7</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gridSpan w:val="2"/>
          </w:tcPr>
          <w:p>
            <w:pPr>
              <w:jc w:val="right"/>
              <w:ind w:right="36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8"/>
                <w:szCs w:val="18"/>
                <w:color w:val="auto"/>
              </w:rPr>
            </w:pPr>
          </w:p>
        </w:tc>
        <w:tc>
          <w:tcPr>
            <w:tcW w:w="1000" w:type="dxa"/>
            <w:vAlign w:val="bottom"/>
            <w:gridSpan w:val="2"/>
          </w:tcPr>
          <w:p>
            <w:pPr>
              <w:jc w:val="right"/>
              <w:ind w:right="34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0.7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4320" w:type="dxa"/>
            <w:vAlign w:val="bottom"/>
            <w:shd w:val="clear" w:color="auto" w:fill="CCEEFF"/>
          </w:tcPr>
          <w:p>
            <w:pPr>
              <w:spacing w:after="0"/>
              <w:rPr>
                <w:sz w:val="20"/>
                <w:szCs w:val="20"/>
                <w:color w:val="auto"/>
              </w:rPr>
            </w:pPr>
            <w:r>
              <w:rPr>
                <w:rFonts w:ascii="Arial" w:cs="Arial" w:eastAsia="Arial" w:hAnsi="Arial"/>
                <w:sz w:val="16"/>
                <w:szCs w:val="16"/>
                <w:color w:val="auto"/>
              </w:rPr>
              <w:t>Repurchase of unvested common stock (related to early</w:t>
            </w:r>
          </w:p>
        </w:tc>
        <w:tc>
          <w:tcPr>
            <w:tcW w:w="4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4320" w:type="dxa"/>
            <w:vAlign w:val="bottom"/>
            <w:shd w:val="clear" w:color="auto" w:fill="CCEEFF"/>
          </w:tcPr>
          <w:p>
            <w:pPr>
              <w:ind w:left="180"/>
              <w:spacing w:after="0"/>
              <w:rPr>
                <w:sz w:val="20"/>
                <w:szCs w:val="20"/>
                <w:color w:val="auto"/>
              </w:rPr>
            </w:pPr>
            <w:r>
              <w:rPr>
                <w:rFonts w:ascii="Arial" w:cs="Arial" w:eastAsia="Arial" w:hAnsi="Arial"/>
                <w:sz w:val="16"/>
                <w:szCs w:val="16"/>
                <w:color w:val="auto"/>
              </w:rPr>
              <w:t>exercised stock options)</w:t>
            </w:r>
          </w:p>
        </w:tc>
        <w:tc>
          <w:tcPr>
            <w:tcW w:w="420" w:type="dxa"/>
            <w:vAlign w:val="bottom"/>
            <w:shd w:val="clear" w:color="auto" w:fill="CCEEFF"/>
          </w:tcPr>
          <w:p>
            <w:pPr>
              <w:jc w:val="center"/>
              <w:ind w:left="20"/>
              <w:spacing w:after="0"/>
              <w:rPr>
                <w:sz w:val="20"/>
                <w:szCs w:val="20"/>
                <w:color w:val="auto"/>
              </w:rPr>
            </w:pPr>
            <w:r>
              <w:rPr>
                <w:rFonts w:ascii="Arial" w:cs="Arial" w:eastAsia="Arial" w:hAnsi="Arial"/>
                <w:sz w:val="16"/>
                <w:szCs w:val="16"/>
                <w:color w:val="auto"/>
                <w:w w:val="99"/>
              </w:rPr>
              <w:t>—</w:t>
            </w:r>
          </w:p>
        </w:tc>
        <w:tc>
          <w:tcPr>
            <w:tcW w:w="22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00" w:type="dxa"/>
            <w:vAlign w:val="bottom"/>
            <w:gridSpan w:val="3"/>
            <w:shd w:val="clear" w:color="auto" w:fill="CCEEFF"/>
          </w:tcPr>
          <w:p>
            <w:pPr>
              <w:jc w:val="right"/>
              <w:ind w:right="220"/>
              <w:spacing w:after="0"/>
              <w:rPr>
                <w:sz w:val="20"/>
                <w:szCs w:val="20"/>
                <w:color w:val="auto"/>
              </w:rPr>
            </w:pPr>
            <w:r>
              <w:rPr>
                <w:rFonts w:ascii="Arial" w:cs="Arial" w:eastAsia="Arial" w:hAnsi="Arial"/>
                <w:sz w:val="16"/>
                <w:szCs w:val="16"/>
                <w:color w:val="auto"/>
              </w:rPr>
              <w:t>(0.4)</w:t>
            </w:r>
          </w:p>
        </w:tc>
        <w:tc>
          <w:tcPr>
            <w:tcW w:w="180" w:type="dxa"/>
            <w:vAlign w:val="bottom"/>
            <w:shd w:val="clear" w:color="auto" w:fill="CCEEFF"/>
          </w:tcPr>
          <w:p>
            <w:pPr>
              <w:spacing w:after="0"/>
              <w:rPr>
                <w:sz w:val="18"/>
                <w:szCs w:val="18"/>
                <w:color w:val="auto"/>
              </w:rPr>
            </w:pPr>
          </w:p>
        </w:tc>
        <w:tc>
          <w:tcPr>
            <w:tcW w:w="340" w:type="dxa"/>
            <w:vAlign w:val="bottom"/>
            <w:shd w:val="clear" w:color="auto" w:fill="CCEEFF"/>
          </w:tcPr>
          <w:p>
            <w:pPr>
              <w:ind w:left="100"/>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(0.1)</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6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34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(0.1)</w:t>
            </w:r>
          </w:p>
        </w:tc>
        <w:tc>
          <w:tcPr>
            <w:tcW w:w="0" w:type="dxa"/>
            <w:vAlign w:val="bottom"/>
          </w:tcPr>
          <w:p>
            <w:pPr>
              <w:spacing w:after="0"/>
              <w:rPr>
                <w:sz w:val="1"/>
                <w:szCs w:val="1"/>
                <w:color w:val="auto"/>
              </w:rPr>
            </w:pPr>
          </w:p>
        </w:tc>
      </w:tr>
      <w:tr>
        <w:trPr>
          <w:trHeight w:val="203"/>
        </w:trPr>
        <w:tc>
          <w:tcPr>
            <w:tcW w:w="4320" w:type="dxa"/>
            <w:vAlign w:val="bottom"/>
          </w:tcPr>
          <w:p>
            <w:pPr>
              <w:spacing w:after="0"/>
              <w:rPr>
                <w:sz w:val="20"/>
                <w:szCs w:val="20"/>
                <w:color w:val="auto"/>
              </w:rPr>
            </w:pPr>
            <w:r>
              <w:rPr>
                <w:rFonts w:ascii="Arial" w:cs="Arial" w:eastAsia="Arial" w:hAnsi="Arial"/>
                <w:sz w:val="16"/>
                <w:szCs w:val="16"/>
                <w:color w:val="auto"/>
              </w:rPr>
              <w:t>Stock-based compensation</w:t>
            </w:r>
          </w:p>
        </w:tc>
        <w:tc>
          <w:tcPr>
            <w:tcW w:w="420" w:type="dxa"/>
            <w:vAlign w:val="bottom"/>
          </w:tcPr>
          <w:p>
            <w:pPr>
              <w:jc w:val="center"/>
              <w:ind w:left="20"/>
              <w:spacing w:after="0"/>
              <w:rPr>
                <w:sz w:val="20"/>
                <w:szCs w:val="20"/>
                <w:color w:val="auto"/>
              </w:rPr>
            </w:pPr>
            <w:r>
              <w:rPr>
                <w:rFonts w:ascii="Arial" w:cs="Arial" w:eastAsia="Arial" w:hAnsi="Arial"/>
                <w:sz w:val="16"/>
                <w:szCs w:val="16"/>
                <w:color w:val="auto"/>
                <w:w w:val="99"/>
              </w:rPr>
              <w:t>—</w:t>
            </w:r>
          </w:p>
        </w:tc>
        <w:tc>
          <w:tcPr>
            <w:tcW w:w="220" w:type="dxa"/>
            <w:vAlign w:val="bottom"/>
          </w:tcPr>
          <w:p>
            <w:pPr>
              <w:spacing w:after="0"/>
              <w:rPr>
                <w:sz w:val="17"/>
                <w:szCs w:val="17"/>
                <w:color w:val="auto"/>
              </w:rPr>
            </w:pPr>
          </w:p>
        </w:tc>
        <w:tc>
          <w:tcPr>
            <w:tcW w:w="520" w:type="dxa"/>
            <w:vAlign w:val="bottom"/>
          </w:tcPr>
          <w:p>
            <w:pPr>
              <w:jc w:val="right"/>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7"/>
                <w:szCs w:val="17"/>
                <w:color w:val="auto"/>
              </w:rPr>
            </w:pPr>
          </w:p>
        </w:tc>
        <w:tc>
          <w:tcPr>
            <w:tcW w:w="680" w:type="dxa"/>
            <w:vAlign w:val="bottom"/>
            <w:gridSpan w:val="2"/>
          </w:tcPr>
          <w:p>
            <w:pPr>
              <w:jc w:val="right"/>
              <w:ind w:right="36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7"/>
                <w:szCs w:val="17"/>
                <w:color w:val="auto"/>
              </w:rPr>
            </w:pPr>
          </w:p>
        </w:tc>
        <w:tc>
          <w:tcPr>
            <w:tcW w:w="340" w:type="dxa"/>
            <w:vAlign w:val="bottom"/>
          </w:tcPr>
          <w:p>
            <w:pPr>
              <w:ind w:left="10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147.6</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40" w:type="dxa"/>
            <w:vAlign w:val="bottom"/>
            <w:gridSpan w:val="2"/>
          </w:tcPr>
          <w:p>
            <w:pPr>
              <w:jc w:val="right"/>
              <w:ind w:right="36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7"/>
                <w:szCs w:val="17"/>
                <w:color w:val="auto"/>
              </w:rPr>
            </w:pPr>
          </w:p>
        </w:tc>
        <w:tc>
          <w:tcPr>
            <w:tcW w:w="1000" w:type="dxa"/>
            <w:vAlign w:val="bottom"/>
            <w:gridSpan w:val="2"/>
          </w:tcPr>
          <w:p>
            <w:pPr>
              <w:jc w:val="right"/>
              <w:ind w:right="34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147.6</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320" w:type="dxa"/>
            <w:vAlign w:val="bottom"/>
            <w:shd w:val="clear" w:color="auto" w:fill="CCEEFF"/>
          </w:tcPr>
          <w:p>
            <w:pPr>
              <w:spacing w:after="0"/>
              <w:rPr>
                <w:sz w:val="20"/>
                <w:szCs w:val="20"/>
                <w:color w:val="auto"/>
              </w:rPr>
            </w:pPr>
            <w:r>
              <w:rPr>
                <w:rFonts w:ascii="Arial" w:cs="Arial" w:eastAsia="Arial" w:hAnsi="Arial"/>
                <w:sz w:val="16"/>
                <w:szCs w:val="16"/>
                <w:color w:val="auto"/>
              </w:rPr>
              <w:t>Other comprehensive loss</w:t>
            </w:r>
          </w:p>
        </w:tc>
        <w:tc>
          <w:tcPr>
            <w:tcW w:w="420" w:type="dxa"/>
            <w:vAlign w:val="bottom"/>
            <w:shd w:val="clear" w:color="auto" w:fill="CCEEFF"/>
          </w:tcPr>
          <w:p>
            <w:pPr>
              <w:jc w:val="center"/>
              <w:ind w:left="20"/>
              <w:spacing w:after="0"/>
              <w:rPr>
                <w:sz w:val="20"/>
                <w:szCs w:val="20"/>
                <w:color w:val="auto"/>
              </w:rPr>
            </w:pPr>
            <w:r>
              <w:rPr>
                <w:rFonts w:ascii="Arial" w:cs="Arial" w:eastAsia="Arial" w:hAnsi="Arial"/>
                <w:sz w:val="16"/>
                <w:szCs w:val="16"/>
                <w:color w:val="auto"/>
                <w:w w:val="99"/>
              </w:rPr>
              <w:t>—</w:t>
            </w:r>
          </w:p>
        </w:tc>
        <w:tc>
          <w:tcPr>
            <w:tcW w:w="220" w:type="dxa"/>
            <w:vAlign w:val="bottom"/>
            <w:shd w:val="clear" w:color="auto" w:fill="CCEEFF"/>
          </w:tcPr>
          <w:p>
            <w:pPr>
              <w:spacing w:after="0"/>
              <w:rPr>
                <w:sz w:val="17"/>
                <w:szCs w:val="17"/>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17"/>
                <w:szCs w:val="17"/>
                <w:color w:val="auto"/>
              </w:rPr>
            </w:pPr>
          </w:p>
        </w:tc>
        <w:tc>
          <w:tcPr>
            <w:tcW w:w="680" w:type="dxa"/>
            <w:vAlign w:val="bottom"/>
            <w:gridSpan w:val="2"/>
            <w:shd w:val="clear" w:color="auto" w:fill="CCEEFF"/>
          </w:tcPr>
          <w:p>
            <w:pPr>
              <w:jc w:val="right"/>
              <w:ind w:right="36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7"/>
                <w:szCs w:val="17"/>
                <w:color w:val="auto"/>
              </w:rPr>
            </w:pPr>
          </w:p>
        </w:tc>
        <w:tc>
          <w:tcPr>
            <w:tcW w:w="340" w:type="dxa"/>
            <w:vAlign w:val="bottom"/>
            <w:shd w:val="clear" w:color="auto" w:fill="CCEEFF"/>
          </w:tcPr>
          <w:p>
            <w:pPr>
              <w:ind w:left="100"/>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36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(1.3)</w:t>
            </w:r>
          </w:p>
        </w:tc>
        <w:tc>
          <w:tcPr>
            <w:tcW w:w="16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(1.3)</w:t>
            </w:r>
          </w:p>
        </w:tc>
        <w:tc>
          <w:tcPr>
            <w:tcW w:w="0" w:type="dxa"/>
            <w:vAlign w:val="bottom"/>
          </w:tcPr>
          <w:p>
            <w:pPr>
              <w:spacing w:after="0"/>
              <w:rPr>
                <w:sz w:val="1"/>
                <w:szCs w:val="1"/>
                <w:color w:val="auto"/>
              </w:rPr>
            </w:pPr>
          </w:p>
        </w:tc>
      </w:tr>
      <w:tr>
        <w:trPr>
          <w:trHeight w:val="203"/>
        </w:trPr>
        <w:tc>
          <w:tcPr>
            <w:tcW w:w="4320" w:type="dxa"/>
            <w:vAlign w:val="bottom"/>
          </w:tcPr>
          <w:p>
            <w:pPr>
              <w:spacing w:after="0"/>
              <w:rPr>
                <w:sz w:val="20"/>
                <w:szCs w:val="20"/>
                <w:color w:val="auto"/>
              </w:rPr>
            </w:pPr>
            <w:r>
              <w:rPr>
                <w:rFonts w:ascii="Arial" w:cs="Arial" w:eastAsia="Arial" w:hAnsi="Arial"/>
                <w:sz w:val="16"/>
                <w:szCs w:val="16"/>
                <w:color w:val="auto"/>
              </w:rPr>
              <w:t>Net loss</w:t>
            </w:r>
          </w:p>
        </w:tc>
        <w:tc>
          <w:tcPr>
            <w:tcW w:w="420" w:type="dxa"/>
            <w:vAlign w:val="bottom"/>
          </w:tcPr>
          <w:p>
            <w:pPr>
              <w:jc w:val="center"/>
              <w:ind w:left="20"/>
              <w:spacing w:after="0"/>
              <w:rPr>
                <w:sz w:val="20"/>
                <w:szCs w:val="20"/>
                <w:color w:val="auto"/>
              </w:rPr>
            </w:pPr>
            <w:r>
              <w:rPr>
                <w:rFonts w:ascii="Arial" w:cs="Arial" w:eastAsia="Arial" w:hAnsi="Arial"/>
                <w:sz w:val="16"/>
                <w:szCs w:val="16"/>
                <w:color w:val="auto"/>
                <w:w w:val="99"/>
              </w:rPr>
              <w:t>—</w:t>
            </w:r>
          </w:p>
        </w:tc>
        <w:tc>
          <w:tcPr>
            <w:tcW w:w="220" w:type="dxa"/>
            <w:vAlign w:val="bottom"/>
          </w:tcPr>
          <w:p>
            <w:pPr>
              <w:spacing w:after="0"/>
              <w:rPr>
                <w:sz w:val="17"/>
                <w:szCs w:val="17"/>
                <w:color w:val="auto"/>
              </w:rPr>
            </w:pPr>
          </w:p>
        </w:tc>
        <w:tc>
          <w:tcPr>
            <w:tcW w:w="520" w:type="dxa"/>
            <w:vAlign w:val="bottom"/>
          </w:tcPr>
          <w:p>
            <w:pPr>
              <w:jc w:val="right"/>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7"/>
                <w:szCs w:val="17"/>
                <w:color w:val="auto"/>
              </w:rPr>
            </w:pPr>
          </w:p>
        </w:tc>
        <w:tc>
          <w:tcPr>
            <w:tcW w:w="400" w:type="dxa"/>
            <w:vAlign w:val="bottom"/>
          </w:tcPr>
          <w:p>
            <w:pPr>
              <w:jc w:val="right"/>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40" w:type="dxa"/>
            <w:vAlign w:val="bottom"/>
          </w:tcPr>
          <w:p>
            <w:pPr>
              <w:ind w:left="10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tcPr>
          <w:p>
            <w:pPr>
              <w:jc w:val="right"/>
              <w:ind w:right="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6"/>
                <w:szCs w:val="16"/>
                <w:color w:val="auto"/>
              </w:rPr>
              <w:t>(210.2)</w:t>
            </w:r>
          </w:p>
        </w:tc>
        <w:tc>
          <w:tcPr>
            <w:tcW w:w="180" w:type="dxa"/>
            <w:vAlign w:val="bottom"/>
          </w:tcPr>
          <w:p>
            <w:pPr>
              <w:spacing w:after="0"/>
              <w:rPr>
                <w:sz w:val="17"/>
                <w:szCs w:val="17"/>
                <w:color w:val="auto"/>
              </w:rPr>
            </w:pPr>
          </w:p>
        </w:tc>
        <w:tc>
          <w:tcPr>
            <w:tcW w:w="1000" w:type="dxa"/>
            <w:vAlign w:val="bottom"/>
            <w:gridSpan w:val="2"/>
          </w:tcPr>
          <w:p>
            <w:pPr>
              <w:jc w:val="right"/>
              <w:ind w:right="34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7"/>
                <w:szCs w:val="17"/>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6"/>
                <w:szCs w:val="16"/>
                <w:color w:val="auto"/>
              </w:rPr>
              <w:t>(210.2)</w:t>
            </w:r>
          </w:p>
        </w:tc>
        <w:tc>
          <w:tcPr>
            <w:tcW w:w="0" w:type="dxa"/>
            <w:vAlign w:val="bottom"/>
          </w:tcPr>
          <w:p>
            <w:pPr>
              <w:spacing w:after="0"/>
              <w:rPr>
                <w:sz w:val="1"/>
                <w:szCs w:val="1"/>
                <w:color w:val="auto"/>
              </w:rPr>
            </w:pPr>
          </w:p>
        </w:tc>
      </w:tr>
      <w:tr>
        <w:trPr>
          <w:trHeight w:val="27"/>
        </w:trPr>
        <w:tc>
          <w:tcPr>
            <w:tcW w:w="4320" w:type="dxa"/>
            <w:vAlign w:val="bottom"/>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432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Balance at December 31, 2016</w:t>
            </w:r>
          </w:p>
        </w:tc>
        <w:tc>
          <w:tcPr>
            <w:tcW w:w="42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9"/>
              </w:rPr>
              <w:t>221.4</w:t>
            </w:r>
          </w:p>
        </w:tc>
        <w:tc>
          <w:tcPr>
            <w:tcW w:w="220" w:type="dxa"/>
            <w:vAlign w:val="bottom"/>
            <w:shd w:val="clear" w:color="auto" w:fill="CCEEFF"/>
          </w:tcPr>
          <w:p>
            <w:pPr>
              <w:spacing w:after="0"/>
              <w:rPr>
                <w:sz w:val="17"/>
                <w:szCs w:val="17"/>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615.3</w:t>
            </w:r>
          </w:p>
        </w:tc>
        <w:tc>
          <w:tcPr>
            <w:tcW w:w="220" w:type="dxa"/>
            <w:vAlign w:val="bottom"/>
            <w:shd w:val="clear" w:color="auto" w:fill="CCEEFF"/>
          </w:tcPr>
          <w:p>
            <w:pPr>
              <w:spacing w:after="0"/>
              <w:rPr>
                <w:sz w:val="17"/>
                <w:szCs w:val="17"/>
                <w:color w:val="auto"/>
              </w:rPr>
            </w:pPr>
          </w:p>
        </w:tc>
        <w:tc>
          <w:tcPr>
            <w:tcW w:w="680" w:type="dxa"/>
            <w:vAlign w:val="bottom"/>
            <w:gridSpan w:val="2"/>
            <w:shd w:val="clear" w:color="auto" w:fill="CCEEFF"/>
          </w:tcPr>
          <w:p>
            <w:pPr>
              <w:jc w:val="right"/>
              <w:ind w:right="260"/>
              <w:spacing w:after="0"/>
              <w:rPr>
                <w:sz w:val="20"/>
                <w:szCs w:val="20"/>
                <w:color w:val="auto"/>
              </w:rPr>
            </w:pPr>
            <w:r>
              <w:rPr>
                <w:rFonts w:ascii="Arial" w:cs="Arial" w:eastAsia="Arial" w:hAnsi="Arial"/>
                <w:sz w:val="16"/>
                <w:szCs w:val="16"/>
                <w:color w:val="auto"/>
                <w:w w:val="99"/>
              </w:rPr>
              <w:t>280.8</w:t>
            </w:r>
          </w:p>
        </w:tc>
        <w:tc>
          <w:tcPr>
            <w:tcW w:w="180" w:type="dxa"/>
            <w:vAlign w:val="bottom"/>
            <w:shd w:val="clear" w:color="auto" w:fill="CCEEFF"/>
          </w:tcPr>
          <w:p>
            <w:pPr>
              <w:spacing w:after="0"/>
              <w:rPr>
                <w:sz w:val="17"/>
                <w:szCs w:val="17"/>
                <w:color w:val="auto"/>
              </w:rPr>
            </w:pPr>
          </w:p>
        </w:tc>
        <w:tc>
          <w:tcPr>
            <w:tcW w:w="340" w:type="dxa"/>
            <w:vAlign w:val="bottom"/>
            <w:shd w:val="clear" w:color="auto" w:fill="CCEEFF"/>
          </w:tcPr>
          <w:p>
            <w:pPr>
              <w:ind w:left="100"/>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446.0</w:t>
            </w: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(937.5)</w:t>
            </w:r>
          </w:p>
        </w:tc>
        <w:tc>
          <w:tcPr>
            <w:tcW w:w="18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(1.0)</w:t>
            </w:r>
          </w:p>
        </w:tc>
        <w:tc>
          <w:tcPr>
            <w:tcW w:w="16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122.8</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3"/>
        </w:trPr>
        <w:tc>
          <w:tcPr>
            <w:tcW w:w="4320" w:type="dxa"/>
            <w:vAlign w:val="bottom"/>
          </w:tcPr>
          <w:p>
            <w:pPr>
              <w:spacing w:after="0"/>
              <w:rPr>
                <w:sz w:val="20"/>
                <w:szCs w:val="20"/>
                <w:color w:val="auto"/>
              </w:rPr>
            </w:pPr>
            <w:r>
              <w:rPr>
                <w:rFonts w:ascii="Arial" w:cs="Arial" w:eastAsia="Arial" w:hAnsi="Arial"/>
                <w:sz w:val="16"/>
                <w:szCs w:val="16"/>
                <w:color w:val="auto"/>
              </w:rPr>
              <w:t>Cumulative-effect adjustment from adoption of ASU 2016-09</w:t>
            </w:r>
          </w:p>
        </w:tc>
        <w:tc>
          <w:tcPr>
            <w:tcW w:w="4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4320" w:type="dxa"/>
            <w:vAlign w:val="bottom"/>
          </w:tcPr>
          <w:p>
            <w:pPr>
              <w:ind w:left="180"/>
              <w:spacing w:after="0"/>
              <w:rPr>
                <w:sz w:val="20"/>
                <w:szCs w:val="20"/>
                <w:color w:val="auto"/>
              </w:rPr>
            </w:pPr>
            <w:r>
              <w:rPr>
                <w:rFonts w:ascii="Arial" w:cs="Arial" w:eastAsia="Arial" w:hAnsi="Arial"/>
                <w:sz w:val="16"/>
                <w:szCs w:val="16"/>
                <w:color w:val="auto"/>
              </w:rPr>
              <w:t>(unaudited)</w:t>
            </w:r>
          </w:p>
        </w:tc>
        <w:tc>
          <w:tcPr>
            <w:tcW w:w="420" w:type="dxa"/>
            <w:vAlign w:val="bottom"/>
          </w:tcPr>
          <w:p>
            <w:pPr>
              <w:jc w:val="center"/>
              <w:ind w:left="20"/>
              <w:spacing w:after="0"/>
              <w:rPr>
                <w:sz w:val="20"/>
                <w:szCs w:val="20"/>
                <w:color w:val="auto"/>
              </w:rPr>
            </w:pPr>
            <w:r>
              <w:rPr>
                <w:rFonts w:ascii="Arial" w:cs="Arial" w:eastAsia="Arial" w:hAnsi="Arial"/>
                <w:sz w:val="16"/>
                <w:szCs w:val="16"/>
                <w:color w:val="auto"/>
                <w:w w:val="99"/>
              </w:rPr>
              <w:t>—</w:t>
            </w:r>
          </w:p>
        </w:tc>
        <w:tc>
          <w:tcPr>
            <w:tcW w:w="22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8"/>
                <w:szCs w:val="18"/>
                <w:color w:val="auto"/>
              </w:rPr>
            </w:pPr>
          </w:p>
        </w:tc>
        <w:tc>
          <w:tcPr>
            <w:tcW w:w="680" w:type="dxa"/>
            <w:vAlign w:val="bottom"/>
            <w:gridSpan w:val="2"/>
          </w:tcPr>
          <w:p>
            <w:pPr>
              <w:jc w:val="right"/>
              <w:ind w:right="36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8"/>
                <w:szCs w:val="18"/>
                <w:color w:val="auto"/>
              </w:rPr>
            </w:pPr>
          </w:p>
        </w:tc>
        <w:tc>
          <w:tcPr>
            <w:tcW w:w="340" w:type="dxa"/>
            <w:vAlign w:val="bottom"/>
          </w:tcPr>
          <w:p>
            <w:pPr>
              <w:ind w:left="10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0.5</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6"/>
                <w:szCs w:val="16"/>
                <w:color w:val="auto"/>
              </w:rPr>
              <w:t>(0.5)</w:t>
            </w:r>
          </w:p>
        </w:tc>
        <w:tc>
          <w:tcPr>
            <w:tcW w:w="180" w:type="dxa"/>
            <w:vAlign w:val="bottom"/>
          </w:tcPr>
          <w:p>
            <w:pPr>
              <w:spacing w:after="0"/>
              <w:rPr>
                <w:sz w:val="18"/>
                <w:szCs w:val="18"/>
                <w:color w:val="auto"/>
              </w:rPr>
            </w:pPr>
          </w:p>
        </w:tc>
        <w:tc>
          <w:tcPr>
            <w:tcW w:w="1000" w:type="dxa"/>
            <w:vAlign w:val="bottom"/>
            <w:gridSpan w:val="2"/>
          </w:tcPr>
          <w:p>
            <w:pPr>
              <w:jc w:val="right"/>
              <w:ind w:right="34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76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5"/>
        </w:trPr>
        <w:tc>
          <w:tcPr>
            <w:tcW w:w="4320" w:type="dxa"/>
            <w:vAlign w:val="bottom"/>
            <w:shd w:val="clear" w:color="auto" w:fill="CCEEFF"/>
          </w:tcPr>
          <w:p>
            <w:pPr>
              <w:spacing w:after="0"/>
              <w:rPr>
                <w:sz w:val="20"/>
                <w:szCs w:val="20"/>
                <w:color w:val="auto"/>
              </w:rPr>
            </w:pPr>
            <w:r>
              <w:rPr>
                <w:rFonts w:ascii="Arial" w:cs="Arial" w:eastAsia="Arial" w:hAnsi="Arial"/>
                <w:sz w:val="16"/>
                <w:szCs w:val="16"/>
                <w:color w:val="auto"/>
              </w:rPr>
              <w:t>Release of restricted stock units (unaudited)</w:t>
            </w:r>
          </w:p>
        </w:tc>
        <w:tc>
          <w:tcPr>
            <w:tcW w:w="420" w:type="dxa"/>
            <w:vAlign w:val="bottom"/>
            <w:shd w:val="clear" w:color="auto" w:fill="CCEEFF"/>
          </w:tcPr>
          <w:p>
            <w:pPr>
              <w:jc w:val="center"/>
              <w:ind w:left="20"/>
              <w:spacing w:after="0"/>
              <w:rPr>
                <w:sz w:val="20"/>
                <w:szCs w:val="20"/>
                <w:color w:val="auto"/>
              </w:rPr>
            </w:pPr>
            <w:r>
              <w:rPr>
                <w:rFonts w:ascii="Arial" w:cs="Arial" w:eastAsia="Arial" w:hAnsi="Arial"/>
                <w:sz w:val="16"/>
                <w:szCs w:val="16"/>
                <w:color w:val="auto"/>
                <w:w w:val="99"/>
              </w:rPr>
              <w:t>—</w:t>
            </w:r>
          </w:p>
        </w:tc>
        <w:tc>
          <w:tcPr>
            <w:tcW w:w="220" w:type="dxa"/>
            <w:vAlign w:val="bottom"/>
            <w:shd w:val="clear" w:color="auto" w:fill="CCEEFF"/>
          </w:tcPr>
          <w:p>
            <w:pPr>
              <w:spacing w:after="0"/>
              <w:rPr>
                <w:sz w:val="17"/>
                <w:szCs w:val="17"/>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00" w:type="dxa"/>
            <w:vAlign w:val="bottom"/>
            <w:gridSpan w:val="3"/>
            <w:shd w:val="clear" w:color="auto" w:fill="CCEEFF"/>
          </w:tcPr>
          <w:p>
            <w:pPr>
              <w:jc w:val="right"/>
              <w:ind w:right="260"/>
              <w:spacing w:after="0"/>
              <w:rPr>
                <w:sz w:val="20"/>
                <w:szCs w:val="20"/>
                <w:color w:val="auto"/>
              </w:rPr>
            </w:pPr>
            <w:r>
              <w:rPr>
                <w:rFonts w:ascii="Arial" w:cs="Arial" w:eastAsia="Arial" w:hAnsi="Arial"/>
                <w:sz w:val="16"/>
                <w:szCs w:val="16"/>
                <w:color w:val="auto"/>
              </w:rPr>
              <w:t>18.5</w:t>
            </w:r>
          </w:p>
        </w:tc>
        <w:tc>
          <w:tcPr>
            <w:tcW w:w="180" w:type="dxa"/>
            <w:vAlign w:val="bottom"/>
            <w:shd w:val="clear" w:color="auto" w:fill="CCEEFF"/>
          </w:tcPr>
          <w:p>
            <w:pPr>
              <w:spacing w:after="0"/>
              <w:rPr>
                <w:sz w:val="17"/>
                <w:szCs w:val="17"/>
                <w:color w:val="auto"/>
              </w:rPr>
            </w:pPr>
          </w:p>
        </w:tc>
        <w:tc>
          <w:tcPr>
            <w:tcW w:w="340" w:type="dxa"/>
            <w:vAlign w:val="bottom"/>
            <w:shd w:val="clear" w:color="auto" w:fill="CCEEFF"/>
          </w:tcPr>
          <w:p>
            <w:pPr>
              <w:ind w:left="100"/>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36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34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93"/>
        </w:trPr>
        <w:tc>
          <w:tcPr>
            <w:tcW w:w="4320" w:type="dxa"/>
            <w:vAlign w:val="bottom"/>
          </w:tcPr>
          <w:p>
            <w:pPr>
              <w:spacing w:after="0"/>
              <w:rPr>
                <w:sz w:val="20"/>
                <w:szCs w:val="20"/>
                <w:color w:val="auto"/>
              </w:rPr>
            </w:pPr>
            <w:r>
              <w:rPr>
                <w:rFonts w:ascii="Arial" w:cs="Arial" w:eastAsia="Arial" w:hAnsi="Arial"/>
                <w:sz w:val="16"/>
                <w:szCs w:val="16"/>
                <w:color w:val="auto"/>
                <w:w w:val="94"/>
              </w:rPr>
              <w:t>Shares repurchased for tax withholdings on release of restricted</w:t>
            </w:r>
          </w:p>
        </w:tc>
        <w:tc>
          <w:tcPr>
            <w:tcW w:w="4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4320" w:type="dxa"/>
            <w:vAlign w:val="bottom"/>
          </w:tcPr>
          <w:p>
            <w:pPr>
              <w:ind w:left="180"/>
              <w:spacing w:after="0"/>
              <w:rPr>
                <w:sz w:val="20"/>
                <w:szCs w:val="20"/>
                <w:color w:val="auto"/>
              </w:rPr>
            </w:pPr>
            <w:r>
              <w:rPr>
                <w:rFonts w:ascii="Arial" w:cs="Arial" w:eastAsia="Arial" w:hAnsi="Arial"/>
                <w:sz w:val="16"/>
                <w:szCs w:val="16"/>
                <w:color w:val="auto"/>
              </w:rPr>
              <w:t>stock (unaudited)</w:t>
            </w:r>
          </w:p>
        </w:tc>
        <w:tc>
          <w:tcPr>
            <w:tcW w:w="420" w:type="dxa"/>
            <w:vAlign w:val="bottom"/>
          </w:tcPr>
          <w:p>
            <w:pPr>
              <w:jc w:val="center"/>
              <w:ind w:left="20"/>
              <w:spacing w:after="0"/>
              <w:rPr>
                <w:sz w:val="20"/>
                <w:szCs w:val="20"/>
                <w:color w:val="auto"/>
              </w:rPr>
            </w:pPr>
            <w:r>
              <w:rPr>
                <w:rFonts w:ascii="Arial" w:cs="Arial" w:eastAsia="Arial" w:hAnsi="Arial"/>
                <w:sz w:val="16"/>
                <w:szCs w:val="16"/>
                <w:color w:val="auto"/>
                <w:w w:val="99"/>
              </w:rPr>
              <w:t>—</w:t>
            </w:r>
          </w:p>
        </w:tc>
        <w:tc>
          <w:tcPr>
            <w:tcW w:w="22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6"/>
                <w:szCs w:val="16"/>
                <w:color w:val="auto"/>
              </w:rPr>
              <w:t>—</w:t>
            </w:r>
          </w:p>
        </w:tc>
        <w:tc>
          <w:tcPr>
            <w:tcW w:w="900" w:type="dxa"/>
            <w:vAlign w:val="bottom"/>
            <w:gridSpan w:val="3"/>
          </w:tcPr>
          <w:p>
            <w:pPr>
              <w:jc w:val="right"/>
              <w:ind w:right="220"/>
              <w:spacing w:after="0"/>
              <w:rPr>
                <w:sz w:val="20"/>
                <w:szCs w:val="20"/>
                <w:color w:val="auto"/>
              </w:rPr>
            </w:pPr>
            <w:r>
              <w:rPr>
                <w:rFonts w:ascii="Arial" w:cs="Arial" w:eastAsia="Arial" w:hAnsi="Arial"/>
                <w:sz w:val="16"/>
                <w:szCs w:val="16"/>
                <w:color w:val="auto"/>
              </w:rPr>
              <w:t>(6.8)</w:t>
            </w:r>
          </w:p>
        </w:tc>
        <w:tc>
          <w:tcPr>
            <w:tcW w:w="180" w:type="dxa"/>
            <w:vAlign w:val="bottom"/>
          </w:tcPr>
          <w:p>
            <w:pPr>
              <w:spacing w:after="0"/>
              <w:rPr>
                <w:sz w:val="18"/>
                <w:szCs w:val="18"/>
                <w:color w:val="auto"/>
              </w:rPr>
            </w:pPr>
          </w:p>
        </w:tc>
        <w:tc>
          <w:tcPr>
            <w:tcW w:w="340" w:type="dxa"/>
            <w:vAlign w:val="bottom"/>
          </w:tcPr>
          <w:p>
            <w:pPr>
              <w:ind w:left="10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120"/>
              <w:spacing w:after="0"/>
              <w:rPr>
                <w:sz w:val="20"/>
                <w:szCs w:val="20"/>
                <w:color w:val="auto"/>
              </w:rPr>
            </w:pPr>
            <w:r>
              <w:rPr>
                <w:rFonts w:ascii="Arial" w:cs="Arial" w:eastAsia="Arial" w:hAnsi="Arial"/>
                <w:sz w:val="16"/>
                <w:szCs w:val="16"/>
                <w:color w:val="auto"/>
              </w:rPr>
              <w:t>(72.2)</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gridSpan w:val="2"/>
          </w:tcPr>
          <w:p>
            <w:pPr>
              <w:jc w:val="right"/>
              <w:ind w:right="36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8"/>
                <w:szCs w:val="18"/>
                <w:color w:val="auto"/>
              </w:rPr>
            </w:pPr>
          </w:p>
        </w:tc>
        <w:tc>
          <w:tcPr>
            <w:tcW w:w="1000" w:type="dxa"/>
            <w:vAlign w:val="bottom"/>
            <w:gridSpan w:val="2"/>
          </w:tcPr>
          <w:p>
            <w:pPr>
              <w:jc w:val="right"/>
              <w:ind w:right="34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6"/>
                <w:szCs w:val="16"/>
                <w:color w:val="auto"/>
              </w:rPr>
              <w:t>(72.2)</w:t>
            </w:r>
          </w:p>
        </w:tc>
        <w:tc>
          <w:tcPr>
            <w:tcW w:w="0" w:type="dxa"/>
            <w:vAlign w:val="bottom"/>
          </w:tcPr>
          <w:p>
            <w:pPr>
              <w:spacing w:after="0"/>
              <w:rPr>
                <w:sz w:val="1"/>
                <w:szCs w:val="1"/>
                <w:color w:val="auto"/>
              </w:rPr>
            </w:pPr>
          </w:p>
        </w:tc>
      </w:tr>
      <w:tr>
        <w:trPr>
          <w:trHeight w:val="205"/>
        </w:trPr>
        <w:tc>
          <w:tcPr>
            <w:tcW w:w="4320" w:type="dxa"/>
            <w:vAlign w:val="bottom"/>
            <w:shd w:val="clear" w:color="auto" w:fill="CCEEFF"/>
          </w:tcPr>
          <w:p>
            <w:pPr>
              <w:spacing w:after="0"/>
              <w:rPr>
                <w:sz w:val="20"/>
                <w:szCs w:val="20"/>
                <w:color w:val="auto"/>
              </w:rPr>
            </w:pPr>
            <w:r>
              <w:rPr>
                <w:rFonts w:ascii="Arial" w:cs="Arial" w:eastAsia="Arial" w:hAnsi="Arial"/>
                <w:sz w:val="16"/>
                <w:szCs w:val="16"/>
                <w:color w:val="auto"/>
                <w:w w:val="96"/>
              </w:rPr>
              <w:t>Donation of common stock to charitable foundation (unaudited)</w:t>
            </w:r>
          </w:p>
        </w:tc>
        <w:tc>
          <w:tcPr>
            <w:tcW w:w="420" w:type="dxa"/>
            <w:vAlign w:val="bottom"/>
            <w:shd w:val="clear" w:color="auto" w:fill="CCEEFF"/>
          </w:tcPr>
          <w:p>
            <w:pPr>
              <w:jc w:val="center"/>
              <w:ind w:left="20"/>
              <w:spacing w:after="0"/>
              <w:rPr>
                <w:sz w:val="20"/>
                <w:szCs w:val="20"/>
                <w:color w:val="auto"/>
              </w:rPr>
            </w:pPr>
            <w:r>
              <w:rPr>
                <w:rFonts w:ascii="Arial" w:cs="Arial" w:eastAsia="Arial" w:hAnsi="Arial"/>
                <w:sz w:val="16"/>
                <w:szCs w:val="16"/>
                <w:color w:val="auto"/>
                <w:w w:val="99"/>
              </w:rPr>
              <w:t>—</w:t>
            </w:r>
          </w:p>
        </w:tc>
        <w:tc>
          <w:tcPr>
            <w:tcW w:w="220" w:type="dxa"/>
            <w:vAlign w:val="bottom"/>
            <w:shd w:val="clear" w:color="auto" w:fill="CCEEFF"/>
          </w:tcPr>
          <w:p>
            <w:pPr>
              <w:spacing w:after="0"/>
              <w:rPr>
                <w:sz w:val="17"/>
                <w:szCs w:val="17"/>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00" w:type="dxa"/>
            <w:vAlign w:val="bottom"/>
            <w:gridSpan w:val="3"/>
            <w:shd w:val="clear" w:color="auto" w:fill="CCEEFF"/>
          </w:tcPr>
          <w:p>
            <w:pPr>
              <w:jc w:val="right"/>
              <w:ind w:right="260"/>
              <w:spacing w:after="0"/>
              <w:rPr>
                <w:sz w:val="20"/>
                <w:szCs w:val="20"/>
                <w:color w:val="auto"/>
              </w:rPr>
            </w:pPr>
            <w:r>
              <w:rPr>
                <w:rFonts w:ascii="Arial" w:cs="Arial" w:eastAsia="Arial" w:hAnsi="Arial"/>
                <w:sz w:val="16"/>
                <w:szCs w:val="16"/>
                <w:color w:val="auto"/>
              </w:rPr>
              <w:t>0.9</w:t>
            </w:r>
          </w:p>
        </w:tc>
        <w:tc>
          <w:tcPr>
            <w:tcW w:w="180" w:type="dxa"/>
            <w:vAlign w:val="bottom"/>
            <w:shd w:val="clear" w:color="auto" w:fill="CCEEFF"/>
          </w:tcPr>
          <w:p>
            <w:pPr>
              <w:spacing w:after="0"/>
              <w:rPr>
                <w:sz w:val="17"/>
                <w:szCs w:val="17"/>
                <w:color w:val="auto"/>
              </w:rPr>
            </w:pPr>
          </w:p>
        </w:tc>
        <w:tc>
          <w:tcPr>
            <w:tcW w:w="340" w:type="dxa"/>
            <w:vAlign w:val="bottom"/>
            <w:shd w:val="clear" w:color="auto" w:fill="CCEEFF"/>
          </w:tcPr>
          <w:p>
            <w:pPr>
              <w:ind w:left="100"/>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9.4</w:t>
            </w: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36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34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9.4</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320" w:type="dxa"/>
            <w:vAlign w:val="bottom"/>
          </w:tcPr>
          <w:p>
            <w:pPr>
              <w:spacing w:after="0"/>
              <w:rPr>
                <w:sz w:val="20"/>
                <w:szCs w:val="20"/>
                <w:color w:val="auto"/>
              </w:rPr>
            </w:pPr>
            <w:r>
              <w:rPr>
                <w:rFonts w:ascii="Arial" w:cs="Arial" w:eastAsia="Arial" w:hAnsi="Arial"/>
                <w:sz w:val="16"/>
                <w:szCs w:val="16"/>
                <w:color w:val="auto"/>
              </w:rPr>
              <w:t>Exercise of stock options and awards (unaudited)</w:t>
            </w:r>
          </w:p>
        </w:tc>
        <w:tc>
          <w:tcPr>
            <w:tcW w:w="420" w:type="dxa"/>
            <w:vAlign w:val="bottom"/>
          </w:tcPr>
          <w:p>
            <w:pPr>
              <w:jc w:val="center"/>
              <w:ind w:left="20"/>
              <w:spacing w:after="0"/>
              <w:rPr>
                <w:sz w:val="20"/>
                <w:szCs w:val="20"/>
                <w:color w:val="auto"/>
              </w:rPr>
            </w:pPr>
            <w:r>
              <w:rPr>
                <w:rFonts w:ascii="Arial" w:cs="Arial" w:eastAsia="Arial" w:hAnsi="Arial"/>
                <w:sz w:val="16"/>
                <w:szCs w:val="16"/>
                <w:color w:val="auto"/>
                <w:w w:val="99"/>
              </w:rPr>
              <w:t>—</w:t>
            </w:r>
          </w:p>
        </w:tc>
        <w:tc>
          <w:tcPr>
            <w:tcW w:w="220" w:type="dxa"/>
            <w:vAlign w:val="bottom"/>
          </w:tcPr>
          <w:p>
            <w:pPr>
              <w:spacing w:after="0"/>
              <w:rPr>
                <w:sz w:val="17"/>
                <w:szCs w:val="17"/>
                <w:color w:val="auto"/>
              </w:rPr>
            </w:pPr>
          </w:p>
        </w:tc>
        <w:tc>
          <w:tcPr>
            <w:tcW w:w="520" w:type="dxa"/>
            <w:vAlign w:val="bottom"/>
          </w:tcPr>
          <w:p>
            <w:pPr>
              <w:jc w:val="right"/>
              <w:spacing w:after="0"/>
              <w:rPr>
                <w:sz w:val="20"/>
                <w:szCs w:val="20"/>
                <w:color w:val="auto"/>
              </w:rPr>
            </w:pPr>
            <w:r>
              <w:rPr>
                <w:rFonts w:ascii="Arial" w:cs="Arial" w:eastAsia="Arial" w:hAnsi="Arial"/>
                <w:sz w:val="16"/>
                <w:szCs w:val="16"/>
                <w:color w:val="auto"/>
              </w:rPr>
              <w:t>—</w:t>
            </w:r>
          </w:p>
        </w:tc>
        <w:tc>
          <w:tcPr>
            <w:tcW w:w="900" w:type="dxa"/>
            <w:vAlign w:val="bottom"/>
            <w:gridSpan w:val="3"/>
          </w:tcPr>
          <w:p>
            <w:pPr>
              <w:jc w:val="right"/>
              <w:ind w:right="260"/>
              <w:spacing w:after="0"/>
              <w:rPr>
                <w:sz w:val="20"/>
                <w:szCs w:val="20"/>
                <w:color w:val="auto"/>
              </w:rPr>
            </w:pPr>
            <w:r>
              <w:rPr>
                <w:rFonts w:ascii="Arial" w:cs="Arial" w:eastAsia="Arial" w:hAnsi="Arial"/>
                <w:sz w:val="16"/>
                <w:szCs w:val="16"/>
                <w:color w:val="auto"/>
              </w:rPr>
              <w:t>0.2</w:t>
            </w:r>
          </w:p>
        </w:tc>
        <w:tc>
          <w:tcPr>
            <w:tcW w:w="180" w:type="dxa"/>
            <w:vAlign w:val="bottom"/>
          </w:tcPr>
          <w:p>
            <w:pPr>
              <w:spacing w:after="0"/>
              <w:rPr>
                <w:sz w:val="17"/>
                <w:szCs w:val="17"/>
                <w:color w:val="auto"/>
              </w:rPr>
            </w:pPr>
          </w:p>
        </w:tc>
        <w:tc>
          <w:tcPr>
            <w:tcW w:w="340" w:type="dxa"/>
            <w:vAlign w:val="bottom"/>
          </w:tcPr>
          <w:p>
            <w:pPr>
              <w:ind w:left="10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0.5</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40" w:type="dxa"/>
            <w:vAlign w:val="bottom"/>
            <w:gridSpan w:val="2"/>
          </w:tcPr>
          <w:p>
            <w:pPr>
              <w:jc w:val="right"/>
              <w:ind w:right="36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7"/>
                <w:szCs w:val="17"/>
                <w:color w:val="auto"/>
              </w:rPr>
            </w:pPr>
          </w:p>
        </w:tc>
        <w:tc>
          <w:tcPr>
            <w:tcW w:w="1000" w:type="dxa"/>
            <w:vAlign w:val="bottom"/>
            <w:gridSpan w:val="2"/>
          </w:tcPr>
          <w:p>
            <w:pPr>
              <w:jc w:val="right"/>
              <w:ind w:right="34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0.5</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3"/>
        </w:trPr>
        <w:tc>
          <w:tcPr>
            <w:tcW w:w="4320" w:type="dxa"/>
            <w:vAlign w:val="bottom"/>
            <w:shd w:val="clear" w:color="auto" w:fill="CCEEFF"/>
          </w:tcPr>
          <w:p>
            <w:pPr>
              <w:spacing w:after="0"/>
              <w:rPr>
                <w:sz w:val="20"/>
                <w:szCs w:val="20"/>
                <w:color w:val="auto"/>
              </w:rPr>
            </w:pPr>
            <w:r>
              <w:rPr>
                <w:rFonts w:ascii="Arial" w:cs="Arial" w:eastAsia="Arial" w:hAnsi="Arial"/>
                <w:sz w:val="16"/>
                <w:szCs w:val="16"/>
                <w:color w:val="auto"/>
              </w:rPr>
              <w:t>Repurchase of unvested common stock (related to early</w:t>
            </w:r>
          </w:p>
        </w:tc>
        <w:tc>
          <w:tcPr>
            <w:tcW w:w="4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2"/>
        </w:trPr>
        <w:tc>
          <w:tcPr>
            <w:tcW w:w="4320" w:type="dxa"/>
            <w:vAlign w:val="bottom"/>
            <w:shd w:val="clear" w:color="auto" w:fill="CCEEFF"/>
          </w:tcPr>
          <w:p>
            <w:pPr>
              <w:ind w:left="180"/>
              <w:spacing w:after="0"/>
              <w:rPr>
                <w:sz w:val="20"/>
                <w:szCs w:val="20"/>
                <w:color w:val="auto"/>
              </w:rPr>
            </w:pPr>
            <w:r>
              <w:rPr>
                <w:rFonts w:ascii="Arial" w:cs="Arial" w:eastAsia="Arial" w:hAnsi="Arial"/>
                <w:sz w:val="16"/>
                <w:szCs w:val="16"/>
                <w:color w:val="auto"/>
              </w:rPr>
              <w:t>exercised stock options) (unaudited)</w:t>
            </w:r>
          </w:p>
        </w:tc>
        <w:tc>
          <w:tcPr>
            <w:tcW w:w="420" w:type="dxa"/>
            <w:vAlign w:val="bottom"/>
            <w:shd w:val="clear" w:color="auto" w:fill="CCEEFF"/>
          </w:tcPr>
          <w:p>
            <w:pPr>
              <w:jc w:val="center"/>
              <w:ind w:left="20"/>
              <w:spacing w:after="0"/>
              <w:rPr>
                <w:sz w:val="20"/>
                <w:szCs w:val="20"/>
                <w:color w:val="auto"/>
              </w:rPr>
            </w:pPr>
            <w:r>
              <w:rPr>
                <w:rFonts w:ascii="Arial" w:cs="Arial" w:eastAsia="Arial" w:hAnsi="Arial"/>
                <w:sz w:val="16"/>
                <w:szCs w:val="16"/>
                <w:color w:val="auto"/>
                <w:w w:val="99"/>
              </w:rPr>
              <w:t>—</w:t>
            </w:r>
          </w:p>
        </w:tc>
        <w:tc>
          <w:tcPr>
            <w:tcW w:w="22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00" w:type="dxa"/>
            <w:vAlign w:val="bottom"/>
            <w:gridSpan w:val="3"/>
            <w:shd w:val="clear" w:color="auto" w:fill="CCEEFF"/>
          </w:tcPr>
          <w:p>
            <w:pPr>
              <w:jc w:val="right"/>
              <w:ind w:right="220"/>
              <w:spacing w:after="0"/>
              <w:rPr>
                <w:sz w:val="20"/>
                <w:szCs w:val="20"/>
                <w:color w:val="auto"/>
              </w:rPr>
            </w:pPr>
            <w:r>
              <w:rPr>
                <w:rFonts w:ascii="Arial" w:cs="Arial" w:eastAsia="Arial" w:hAnsi="Arial"/>
                <w:sz w:val="16"/>
                <w:szCs w:val="16"/>
                <w:color w:val="auto"/>
              </w:rPr>
              <w:t>(0.4)</w:t>
            </w:r>
          </w:p>
        </w:tc>
        <w:tc>
          <w:tcPr>
            <w:tcW w:w="180" w:type="dxa"/>
            <w:vAlign w:val="bottom"/>
            <w:shd w:val="clear" w:color="auto" w:fill="CCEEFF"/>
          </w:tcPr>
          <w:p>
            <w:pPr>
              <w:spacing w:after="0"/>
              <w:rPr>
                <w:sz w:val="18"/>
                <w:szCs w:val="18"/>
                <w:color w:val="auto"/>
              </w:rPr>
            </w:pPr>
          </w:p>
        </w:tc>
        <w:tc>
          <w:tcPr>
            <w:tcW w:w="340" w:type="dxa"/>
            <w:vAlign w:val="bottom"/>
            <w:shd w:val="clear" w:color="auto" w:fill="CCEEFF"/>
          </w:tcPr>
          <w:p>
            <w:pPr>
              <w:ind w:left="100"/>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6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34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3"/>
        </w:trPr>
        <w:tc>
          <w:tcPr>
            <w:tcW w:w="4320" w:type="dxa"/>
            <w:vAlign w:val="bottom"/>
          </w:tcPr>
          <w:p>
            <w:pPr>
              <w:spacing w:after="0"/>
              <w:rPr>
                <w:sz w:val="20"/>
                <w:szCs w:val="20"/>
                <w:color w:val="auto"/>
              </w:rPr>
            </w:pPr>
            <w:r>
              <w:rPr>
                <w:rFonts w:ascii="Arial" w:cs="Arial" w:eastAsia="Arial" w:hAnsi="Arial"/>
                <w:sz w:val="16"/>
                <w:szCs w:val="16"/>
                <w:color w:val="auto"/>
              </w:rPr>
              <w:t>Stock-based compensation (unaudited)</w:t>
            </w:r>
          </w:p>
        </w:tc>
        <w:tc>
          <w:tcPr>
            <w:tcW w:w="420" w:type="dxa"/>
            <w:vAlign w:val="bottom"/>
          </w:tcPr>
          <w:p>
            <w:pPr>
              <w:jc w:val="center"/>
              <w:ind w:left="20"/>
              <w:spacing w:after="0"/>
              <w:rPr>
                <w:sz w:val="20"/>
                <w:szCs w:val="20"/>
                <w:color w:val="auto"/>
              </w:rPr>
            </w:pPr>
            <w:r>
              <w:rPr>
                <w:rFonts w:ascii="Arial" w:cs="Arial" w:eastAsia="Arial" w:hAnsi="Arial"/>
                <w:sz w:val="16"/>
                <w:szCs w:val="16"/>
                <w:color w:val="auto"/>
                <w:w w:val="99"/>
              </w:rPr>
              <w:t>—</w:t>
            </w:r>
          </w:p>
        </w:tc>
        <w:tc>
          <w:tcPr>
            <w:tcW w:w="220" w:type="dxa"/>
            <w:vAlign w:val="bottom"/>
          </w:tcPr>
          <w:p>
            <w:pPr>
              <w:spacing w:after="0"/>
              <w:rPr>
                <w:sz w:val="17"/>
                <w:szCs w:val="17"/>
                <w:color w:val="auto"/>
              </w:rPr>
            </w:pPr>
          </w:p>
        </w:tc>
        <w:tc>
          <w:tcPr>
            <w:tcW w:w="520" w:type="dxa"/>
            <w:vAlign w:val="bottom"/>
          </w:tcPr>
          <w:p>
            <w:pPr>
              <w:jc w:val="right"/>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7"/>
                <w:szCs w:val="17"/>
                <w:color w:val="auto"/>
              </w:rPr>
            </w:pPr>
          </w:p>
        </w:tc>
        <w:tc>
          <w:tcPr>
            <w:tcW w:w="680" w:type="dxa"/>
            <w:vAlign w:val="bottom"/>
            <w:gridSpan w:val="2"/>
          </w:tcPr>
          <w:p>
            <w:pPr>
              <w:jc w:val="right"/>
              <w:ind w:right="36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7"/>
                <w:szCs w:val="17"/>
                <w:color w:val="auto"/>
              </w:rPr>
            </w:pPr>
          </w:p>
        </w:tc>
        <w:tc>
          <w:tcPr>
            <w:tcW w:w="340" w:type="dxa"/>
            <w:vAlign w:val="bottom"/>
          </w:tcPr>
          <w:p>
            <w:pPr>
              <w:ind w:left="10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gridSpan w:val="2"/>
          </w:tcPr>
          <w:p>
            <w:pPr>
              <w:jc w:val="right"/>
              <w:ind w:right="160"/>
              <w:spacing w:after="0"/>
              <w:rPr>
                <w:sz w:val="20"/>
                <w:szCs w:val="20"/>
                <w:color w:val="auto"/>
              </w:rPr>
            </w:pPr>
            <w:r>
              <w:rPr>
                <w:rFonts w:ascii="Arial" w:cs="Arial" w:eastAsia="Arial" w:hAnsi="Arial"/>
                <w:sz w:val="16"/>
                <w:szCs w:val="16"/>
                <w:color w:val="auto"/>
              </w:rPr>
              <w:t>117.2</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40" w:type="dxa"/>
            <w:vAlign w:val="bottom"/>
            <w:gridSpan w:val="2"/>
          </w:tcPr>
          <w:p>
            <w:pPr>
              <w:jc w:val="right"/>
              <w:ind w:right="36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7"/>
                <w:szCs w:val="17"/>
                <w:color w:val="auto"/>
              </w:rPr>
            </w:pPr>
          </w:p>
        </w:tc>
        <w:tc>
          <w:tcPr>
            <w:tcW w:w="1000" w:type="dxa"/>
            <w:vAlign w:val="bottom"/>
            <w:gridSpan w:val="2"/>
          </w:tcPr>
          <w:p>
            <w:pPr>
              <w:jc w:val="right"/>
              <w:ind w:right="34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7"/>
                <w:szCs w:val="17"/>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6"/>
                <w:szCs w:val="16"/>
                <w:color w:val="auto"/>
              </w:rPr>
              <w:t>117.2</w:t>
            </w:r>
          </w:p>
        </w:tc>
        <w:tc>
          <w:tcPr>
            <w:tcW w:w="0" w:type="dxa"/>
            <w:vAlign w:val="bottom"/>
          </w:tcPr>
          <w:p>
            <w:pPr>
              <w:spacing w:after="0"/>
              <w:rPr>
                <w:sz w:val="1"/>
                <w:szCs w:val="1"/>
                <w:color w:val="auto"/>
              </w:rPr>
            </w:pPr>
          </w:p>
        </w:tc>
      </w:tr>
      <w:tr>
        <w:trPr>
          <w:trHeight w:val="203"/>
        </w:trPr>
        <w:tc>
          <w:tcPr>
            <w:tcW w:w="4320" w:type="dxa"/>
            <w:vAlign w:val="bottom"/>
            <w:shd w:val="clear" w:color="auto" w:fill="CCEEFF"/>
          </w:tcPr>
          <w:p>
            <w:pPr>
              <w:spacing w:after="0"/>
              <w:rPr>
                <w:sz w:val="20"/>
                <w:szCs w:val="20"/>
                <w:color w:val="auto"/>
              </w:rPr>
            </w:pPr>
            <w:r>
              <w:rPr>
                <w:rFonts w:ascii="Arial" w:cs="Arial" w:eastAsia="Arial" w:hAnsi="Arial"/>
                <w:sz w:val="16"/>
                <w:szCs w:val="16"/>
                <w:color w:val="auto"/>
              </w:rPr>
              <w:t>Other comprehensive income (unaudited)</w:t>
            </w:r>
          </w:p>
        </w:tc>
        <w:tc>
          <w:tcPr>
            <w:tcW w:w="420" w:type="dxa"/>
            <w:vAlign w:val="bottom"/>
            <w:shd w:val="clear" w:color="auto" w:fill="CCEEFF"/>
          </w:tcPr>
          <w:p>
            <w:pPr>
              <w:jc w:val="center"/>
              <w:ind w:left="20"/>
              <w:spacing w:after="0"/>
              <w:rPr>
                <w:sz w:val="20"/>
                <w:szCs w:val="20"/>
                <w:color w:val="auto"/>
              </w:rPr>
            </w:pPr>
            <w:r>
              <w:rPr>
                <w:rFonts w:ascii="Arial" w:cs="Arial" w:eastAsia="Arial" w:hAnsi="Arial"/>
                <w:sz w:val="16"/>
                <w:szCs w:val="16"/>
                <w:color w:val="auto"/>
                <w:w w:val="99"/>
              </w:rPr>
              <w:t>—</w:t>
            </w:r>
          </w:p>
        </w:tc>
        <w:tc>
          <w:tcPr>
            <w:tcW w:w="220" w:type="dxa"/>
            <w:vAlign w:val="bottom"/>
            <w:shd w:val="clear" w:color="auto" w:fill="CCEEFF"/>
          </w:tcPr>
          <w:p>
            <w:pPr>
              <w:spacing w:after="0"/>
              <w:rPr>
                <w:sz w:val="17"/>
                <w:szCs w:val="17"/>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17"/>
                <w:szCs w:val="17"/>
                <w:color w:val="auto"/>
              </w:rPr>
            </w:pPr>
          </w:p>
        </w:tc>
        <w:tc>
          <w:tcPr>
            <w:tcW w:w="680" w:type="dxa"/>
            <w:vAlign w:val="bottom"/>
            <w:gridSpan w:val="2"/>
            <w:shd w:val="clear" w:color="auto" w:fill="CCEEFF"/>
          </w:tcPr>
          <w:p>
            <w:pPr>
              <w:jc w:val="right"/>
              <w:ind w:right="36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7"/>
                <w:szCs w:val="17"/>
                <w:color w:val="auto"/>
              </w:rPr>
            </w:pPr>
          </w:p>
        </w:tc>
        <w:tc>
          <w:tcPr>
            <w:tcW w:w="340" w:type="dxa"/>
            <w:vAlign w:val="bottom"/>
            <w:shd w:val="clear" w:color="auto" w:fill="CCEEFF"/>
          </w:tcPr>
          <w:p>
            <w:pPr>
              <w:ind w:left="100"/>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36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5.3</w:t>
            </w:r>
          </w:p>
        </w:tc>
        <w:tc>
          <w:tcPr>
            <w:tcW w:w="16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5.3</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320" w:type="dxa"/>
            <w:vAlign w:val="bottom"/>
          </w:tcPr>
          <w:p>
            <w:pPr>
              <w:spacing w:after="0"/>
              <w:rPr>
                <w:sz w:val="20"/>
                <w:szCs w:val="20"/>
                <w:color w:val="auto"/>
              </w:rPr>
            </w:pPr>
            <w:r>
              <w:rPr>
                <w:rFonts w:ascii="Arial" w:cs="Arial" w:eastAsia="Arial" w:hAnsi="Arial"/>
                <w:sz w:val="16"/>
                <w:szCs w:val="16"/>
                <w:color w:val="auto"/>
              </w:rPr>
              <w:t>Net loss (unaudited)</w:t>
            </w:r>
          </w:p>
        </w:tc>
        <w:tc>
          <w:tcPr>
            <w:tcW w:w="420" w:type="dxa"/>
            <w:vAlign w:val="bottom"/>
          </w:tcPr>
          <w:p>
            <w:pPr>
              <w:jc w:val="center"/>
              <w:ind w:left="20"/>
              <w:spacing w:after="0"/>
              <w:rPr>
                <w:sz w:val="20"/>
                <w:szCs w:val="20"/>
                <w:color w:val="auto"/>
              </w:rPr>
            </w:pPr>
            <w:r>
              <w:rPr>
                <w:rFonts w:ascii="Arial" w:cs="Arial" w:eastAsia="Arial" w:hAnsi="Arial"/>
                <w:sz w:val="16"/>
                <w:szCs w:val="16"/>
                <w:color w:val="auto"/>
                <w:w w:val="99"/>
              </w:rPr>
              <w:t>—</w:t>
            </w:r>
          </w:p>
        </w:tc>
        <w:tc>
          <w:tcPr>
            <w:tcW w:w="220" w:type="dxa"/>
            <w:vAlign w:val="bottom"/>
          </w:tcPr>
          <w:p>
            <w:pPr>
              <w:spacing w:after="0"/>
              <w:rPr>
                <w:sz w:val="17"/>
                <w:szCs w:val="17"/>
                <w:color w:val="auto"/>
              </w:rPr>
            </w:pPr>
          </w:p>
        </w:tc>
        <w:tc>
          <w:tcPr>
            <w:tcW w:w="520" w:type="dxa"/>
            <w:vAlign w:val="bottom"/>
          </w:tcPr>
          <w:p>
            <w:pPr>
              <w:jc w:val="right"/>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7"/>
                <w:szCs w:val="17"/>
                <w:color w:val="auto"/>
              </w:rPr>
            </w:pPr>
          </w:p>
        </w:tc>
        <w:tc>
          <w:tcPr>
            <w:tcW w:w="400" w:type="dxa"/>
            <w:vAlign w:val="bottom"/>
          </w:tcPr>
          <w:p>
            <w:pPr>
              <w:jc w:val="right"/>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40" w:type="dxa"/>
            <w:vAlign w:val="bottom"/>
          </w:tcPr>
          <w:p>
            <w:pPr>
              <w:ind w:left="10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tcPr>
          <w:p>
            <w:pPr>
              <w:jc w:val="right"/>
              <w:ind w:right="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6"/>
                <w:szCs w:val="16"/>
                <w:color w:val="auto"/>
              </w:rPr>
              <w:t>(74.0)</w:t>
            </w:r>
          </w:p>
        </w:tc>
        <w:tc>
          <w:tcPr>
            <w:tcW w:w="180" w:type="dxa"/>
            <w:vAlign w:val="bottom"/>
          </w:tcPr>
          <w:p>
            <w:pPr>
              <w:spacing w:after="0"/>
              <w:rPr>
                <w:sz w:val="17"/>
                <w:szCs w:val="17"/>
                <w:color w:val="auto"/>
              </w:rPr>
            </w:pPr>
          </w:p>
        </w:tc>
        <w:tc>
          <w:tcPr>
            <w:tcW w:w="1000" w:type="dxa"/>
            <w:vAlign w:val="bottom"/>
            <w:gridSpan w:val="2"/>
          </w:tcPr>
          <w:p>
            <w:pPr>
              <w:jc w:val="right"/>
              <w:ind w:right="34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7"/>
                <w:szCs w:val="17"/>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6"/>
                <w:szCs w:val="16"/>
                <w:color w:val="auto"/>
              </w:rPr>
              <w:t>(74.0)</w:t>
            </w:r>
          </w:p>
        </w:tc>
        <w:tc>
          <w:tcPr>
            <w:tcW w:w="0" w:type="dxa"/>
            <w:vAlign w:val="bottom"/>
          </w:tcPr>
          <w:p>
            <w:pPr>
              <w:spacing w:after="0"/>
              <w:rPr>
                <w:sz w:val="1"/>
                <w:szCs w:val="1"/>
                <w:color w:val="auto"/>
              </w:rPr>
            </w:pPr>
          </w:p>
        </w:tc>
      </w:tr>
      <w:tr>
        <w:trPr>
          <w:trHeight w:val="27"/>
        </w:trPr>
        <w:tc>
          <w:tcPr>
            <w:tcW w:w="4320" w:type="dxa"/>
            <w:vAlign w:val="bottom"/>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432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 xml:space="preserve">Balance at September 30, 2017 </w:t>
            </w:r>
            <w:r>
              <w:rPr>
                <w:rFonts w:ascii="Arial" w:cs="Arial" w:eastAsia="Arial" w:hAnsi="Arial"/>
                <w:sz w:val="16"/>
                <w:szCs w:val="16"/>
                <w:color w:val="auto"/>
              </w:rPr>
              <w:t>(unaudited)</w:t>
            </w:r>
          </w:p>
        </w:tc>
        <w:tc>
          <w:tcPr>
            <w:tcW w:w="42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9"/>
              </w:rPr>
              <w:t>221.4</w:t>
            </w:r>
          </w:p>
        </w:tc>
        <w:tc>
          <w:tcPr>
            <w:tcW w:w="220" w:type="dxa"/>
            <w:vAlign w:val="bottom"/>
            <w:shd w:val="clear" w:color="auto" w:fill="CCEEFF"/>
          </w:tcPr>
          <w:p>
            <w:pPr>
              <w:spacing w:after="0"/>
              <w:rPr>
                <w:sz w:val="17"/>
                <w:szCs w:val="17"/>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3"/>
              </w:rPr>
              <w:t>$ 615.3</w:t>
            </w:r>
          </w:p>
        </w:tc>
        <w:tc>
          <w:tcPr>
            <w:tcW w:w="220" w:type="dxa"/>
            <w:vAlign w:val="bottom"/>
            <w:shd w:val="clear" w:color="auto" w:fill="CCEEFF"/>
          </w:tcPr>
          <w:p>
            <w:pPr>
              <w:spacing w:after="0"/>
              <w:rPr>
                <w:sz w:val="17"/>
                <w:szCs w:val="17"/>
                <w:color w:val="auto"/>
              </w:rPr>
            </w:pPr>
          </w:p>
        </w:tc>
        <w:tc>
          <w:tcPr>
            <w:tcW w:w="680" w:type="dxa"/>
            <w:vAlign w:val="bottom"/>
            <w:gridSpan w:val="2"/>
            <w:shd w:val="clear" w:color="auto" w:fill="CCEEFF"/>
          </w:tcPr>
          <w:p>
            <w:pPr>
              <w:jc w:val="right"/>
              <w:ind w:right="260"/>
              <w:spacing w:after="0"/>
              <w:rPr>
                <w:sz w:val="20"/>
                <w:szCs w:val="20"/>
                <w:color w:val="auto"/>
              </w:rPr>
            </w:pPr>
            <w:r>
              <w:rPr>
                <w:rFonts w:ascii="Arial" w:cs="Arial" w:eastAsia="Arial" w:hAnsi="Arial"/>
                <w:sz w:val="16"/>
                <w:szCs w:val="16"/>
                <w:color w:val="auto"/>
                <w:w w:val="99"/>
              </w:rPr>
              <w:t>293.2</w:t>
            </w:r>
          </w:p>
        </w:tc>
        <w:tc>
          <w:tcPr>
            <w:tcW w:w="180" w:type="dxa"/>
            <w:vAlign w:val="bottom"/>
            <w:shd w:val="clear" w:color="auto" w:fill="CCEEFF"/>
          </w:tcPr>
          <w:p>
            <w:pPr>
              <w:spacing w:after="0"/>
              <w:rPr>
                <w:sz w:val="20"/>
                <w:szCs w:val="20"/>
                <w:color w:val="auto"/>
              </w:rPr>
            </w:pPr>
            <w:r>
              <w:rPr>
                <w:rFonts w:ascii="Arial" w:cs="Arial" w:eastAsia="Arial" w:hAnsi="Arial"/>
                <w:sz w:val="16"/>
                <w:szCs w:val="16"/>
                <w:color w:val="auto"/>
              </w:rPr>
              <w:t>$</w:t>
            </w:r>
          </w:p>
        </w:tc>
        <w:tc>
          <w:tcPr>
            <w:tcW w:w="340" w:type="dxa"/>
            <w:vAlign w:val="bottom"/>
            <w:shd w:val="clear" w:color="auto" w:fill="CCEEFF"/>
          </w:tcPr>
          <w:p>
            <w:pPr>
              <w:ind w:left="100"/>
              <w:spacing w:after="0"/>
              <w:rPr>
                <w:sz w:val="20"/>
                <w:szCs w:val="20"/>
                <w:color w:val="auto"/>
              </w:rPr>
            </w:pPr>
            <w:r>
              <w:rPr>
                <w:rFonts w:ascii="Arial" w:cs="Arial" w:eastAsia="Arial" w:hAnsi="Arial"/>
                <w:sz w:val="16"/>
                <w:szCs w:val="16"/>
                <w:color w:val="auto"/>
              </w:rPr>
              <w:t>—</w:t>
            </w:r>
          </w:p>
        </w:tc>
        <w:tc>
          <w:tcPr>
            <w:tcW w:w="300" w:type="dxa"/>
            <w:vAlign w:val="bottom"/>
            <w:gridSpan w:val="2"/>
            <w:shd w:val="clear" w:color="auto" w:fill="CCEEFF"/>
          </w:tcPr>
          <w:p>
            <w:pPr>
              <w:ind w:left="200"/>
              <w:spacing w:after="0"/>
              <w:rPr>
                <w:sz w:val="20"/>
                <w:szCs w:val="20"/>
                <w:color w:val="auto"/>
              </w:rPr>
            </w:pPr>
            <w:r>
              <w:rPr>
                <w:rFonts w:ascii="Arial" w:cs="Arial" w:eastAsia="Arial" w:hAnsi="Arial"/>
                <w:sz w:val="16"/>
                <w:szCs w:val="16"/>
                <w:color w:val="auto"/>
                <w:w w:val="8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501.4</w:t>
            </w:r>
          </w:p>
        </w:tc>
        <w:tc>
          <w:tcPr>
            <w:tcW w:w="160" w:type="dxa"/>
            <w:vAlign w:val="bottom"/>
            <w:shd w:val="clear" w:color="auto" w:fill="CCEEFF"/>
          </w:tcPr>
          <w:p>
            <w:pPr>
              <w:spacing w:after="0"/>
              <w:rPr>
                <w:sz w:val="17"/>
                <w:szCs w:val="17"/>
                <w:color w:val="auto"/>
              </w:rPr>
            </w:pPr>
          </w:p>
        </w:tc>
        <w:tc>
          <w:tcPr>
            <w:tcW w:w="260" w:type="dxa"/>
            <w:vAlign w:val="bottom"/>
            <w:gridSpan w:val="2"/>
            <w:shd w:val="clear" w:color="auto" w:fill="CCEEFF"/>
          </w:tcPr>
          <w:p>
            <w:pPr>
              <w:ind w:left="100"/>
              <w:spacing w:after="0"/>
              <w:rPr>
                <w:sz w:val="20"/>
                <w:szCs w:val="20"/>
                <w:color w:val="auto"/>
              </w:rPr>
            </w:pPr>
            <w:r>
              <w:rPr>
                <w:rFonts w:ascii="Arial" w:cs="Arial" w:eastAsia="Arial" w:hAnsi="Arial"/>
                <w:sz w:val="16"/>
                <w:szCs w:val="16"/>
                <w:color w:val="auto"/>
              </w:rPr>
              <w:t>$</w:t>
            </w: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(1,012.0)</w:t>
            </w:r>
          </w:p>
        </w:tc>
        <w:tc>
          <w:tcPr>
            <w:tcW w:w="180" w:type="dxa"/>
            <w:vAlign w:val="bottom"/>
            <w:shd w:val="clear" w:color="auto" w:fill="CCEEFF"/>
          </w:tcPr>
          <w:p>
            <w:pPr>
              <w:jc w:val="right"/>
              <w:ind w:right="26"/>
              <w:spacing w:after="0"/>
              <w:rPr>
                <w:sz w:val="20"/>
                <w:szCs w:val="20"/>
                <w:color w:val="auto"/>
              </w:rPr>
            </w:pPr>
            <w:r>
              <w:rPr>
                <w:rFonts w:ascii="Arial" w:cs="Arial" w:eastAsia="Arial" w:hAnsi="Arial"/>
                <w:sz w:val="15"/>
                <w:szCs w:val="15"/>
                <w:color w:val="auto"/>
                <w:w w:val="71"/>
              </w:rPr>
              <w:t>$</w:t>
            </w:r>
          </w:p>
        </w:tc>
        <w:tc>
          <w:tcPr>
            <w:tcW w:w="1000" w:type="dxa"/>
            <w:vAlign w:val="bottom"/>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4.3</w:t>
            </w:r>
          </w:p>
        </w:tc>
        <w:tc>
          <w:tcPr>
            <w:tcW w:w="160" w:type="dxa"/>
            <w:vAlign w:val="bottom"/>
            <w:shd w:val="clear" w:color="auto" w:fill="CCEEFF"/>
          </w:tcPr>
          <w:p>
            <w:pPr>
              <w:spacing w:after="0"/>
              <w:rPr>
                <w:sz w:val="20"/>
                <w:szCs w:val="20"/>
                <w:color w:val="auto"/>
              </w:rPr>
            </w:pPr>
            <w:r>
              <w:rPr>
                <w:rFonts w:ascii="Arial" w:cs="Arial" w:eastAsia="Arial" w:hAnsi="Arial"/>
                <w:sz w:val="16"/>
                <w:szCs w:val="16"/>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109.0</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32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See accompanying Notes to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F-6</w:t>
      </w:r>
    </w:p>
    <w:p>
      <w:pPr>
        <w:sectPr>
          <w:pgSz w:w="11900" w:h="16838" w:orient="portrait"/>
          <w:cols w:equalWidth="0" w:num="1">
            <w:col w:w="11240"/>
          </w:cols>
          <w:pgMar w:left="320" w:top="459" w:right="339" w:bottom="1440" w:gutter="0" w:footer="0" w:header="0"/>
        </w:sectPr>
      </w:pPr>
    </w:p>
    <w:bookmarkStart w:id="165" w:name="page166"/>
    <w:bookmarkEnd w:id="16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DROPBOX,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(In millions)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00" w:type="dxa"/>
            <w:vAlign w:val="bottom"/>
            <w:gridSpan w:val="6"/>
            <w:vMerge w:val="restart"/>
          </w:tcPr>
          <w:p>
            <w:pPr>
              <w:jc w:val="right"/>
              <w:ind w:right="600"/>
              <w:spacing w:after="0"/>
              <w:rPr>
                <w:sz w:val="20"/>
                <w:szCs w:val="20"/>
                <w:color w:val="auto"/>
              </w:rPr>
            </w:pPr>
            <w:r>
              <w:rPr>
                <w:rFonts w:ascii="Arial" w:cs="Arial" w:eastAsia="Arial" w:hAnsi="Arial"/>
                <w:sz w:val="14"/>
                <w:szCs w:val="14"/>
                <w:b w:val="1"/>
                <w:bCs w:val="1"/>
                <w:color w:val="auto"/>
              </w:rPr>
              <w:t>Year ended</w:t>
            </w:r>
          </w:p>
        </w:tc>
        <w:tc>
          <w:tcPr>
            <w:tcW w:w="80" w:type="dxa"/>
            <w:vAlign w:val="bottom"/>
          </w:tcPr>
          <w:p>
            <w:pPr>
              <w:spacing w:after="0"/>
              <w:rPr>
                <w:sz w:val="14"/>
                <w:szCs w:val="14"/>
                <w:color w:val="auto"/>
              </w:rPr>
            </w:pPr>
          </w:p>
        </w:tc>
        <w:tc>
          <w:tcPr>
            <w:tcW w:w="1300" w:type="dxa"/>
            <w:vAlign w:val="bottom"/>
            <w:gridSpan w:val="6"/>
          </w:tcPr>
          <w:p>
            <w:pPr>
              <w:ind w:left="180"/>
              <w:spacing w:after="0"/>
              <w:rPr>
                <w:sz w:val="20"/>
                <w:szCs w:val="20"/>
                <w:color w:val="auto"/>
              </w:rPr>
            </w:pPr>
            <w:r>
              <w:rPr>
                <w:rFonts w:ascii="Arial" w:cs="Arial" w:eastAsia="Arial" w:hAnsi="Arial"/>
                <w:sz w:val="14"/>
                <w:szCs w:val="14"/>
                <w:b w:val="1"/>
                <w:bCs w:val="1"/>
                <w:color w:val="auto"/>
              </w:rPr>
              <w:t>Nine months</w:t>
            </w:r>
          </w:p>
        </w:tc>
        <w:tc>
          <w:tcPr>
            <w:tcW w:w="0" w:type="dxa"/>
            <w:vAlign w:val="bottom"/>
          </w:tcPr>
          <w:p>
            <w:pPr>
              <w:spacing w:after="0"/>
              <w:rPr>
                <w:sz w:val="1"/>
                <w:szCs w:val="1"/>
                <w:color w:val="auto"/>
              </w:rPr>
            </w:pPr>
          </w:p>
        </w:tc>
      </w:tr>
      <w:tr>
        <w:trPr>
          <w:trHeight w:val="148"/>
        </w:trPr>
        <w:tc>
          <w:tcPr>
            <w:tcW w:w="8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500" w:type="dxa"/>
            <w:vAlign w:val="bottom"/>
            <w:gridSpan w:val="6"/>
            <w:vMerge w:val="continue"/>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gridSpan w:val="4"/>
          </w:tcPr>
          <w:p>
            <w:pPr>
              <w:jc w:val="center"/>
              <w:ind w:left="244"/>
              <w:spacing w:after="0" w:line="149" w:lineRule="exact"/>
              <w:rPr>
                <w:sz w:val="20"/>
                <w:szCs w:val="20"/>
                <w:color w:val="auto"/>
              </w:rPr>
            </w:pPr>
            <w:r>
              <w:rPr>
                <w:rFonts w:ascii="Arial" w:cs="Arial" w:eastAsia="Arial" w:hAnsi="Arial"/>
                <w:sz w:val="14"/>
                <w:szCs w:val="14"/>
                <w:b w:val="1"/>
                <w:bCs w:val="1"/>
                <w:color w:val="auto"/>
                <w:w w:val="87"/>
              </w:rPr>
              <w:t>ended</w:t>
            </w:r>
          </w:p>
        </w:tc>
        <w:tc>
          <w:tcPr>
            <w:tcW w:w="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8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00" w:type="dxa"/>
            <w:vAlign w:val="bottom"/>
            <w:gridSpan w:val="6"/>
          </w:tcPr>
          <w:p>
            <w:pPr>
              <w:jc w:val="right"/>
              <w:ind w:right="540"/>
              <w:spacing w:after="0"/>
              <w:rPr>
                <w:sz w:val="20"/>
                <w:szCs w:val="20"/>
                <w:color w:val="auto"/>
              </w:rPr>
            </w:pPr>
            <w:r>
              <w:rPr>
                <w:rFonts w:ascii="Arial" w:cs="Arial" w:eastAsia="Arial" w:hAnsi="Arial"/>
                <w:sz w:val="14"/>
                <w:szCs w:val="14"/>
                <w:b w:val="1"/>
                <w:bCs w:val="1"/>
                <w:color w:val="auto"/>
              </w:rPr>
              <w:t>December 31,</w:t>
            </w:r>
          </w:p>
        </w:tc>
        <w:tc>
          <w:tcPr>
            <w:tcW w:w="80" w:type="dxa"/>
            <w:vAlign w:val="bottom"/>
          </w:tcPr>
          <w:p>
            <w:pPr>
              <w:spacing w:after="0"/>
              <w:rPr>
                <w:sz w:val="14"/>
                <w:szCs w:val="14"/>
                <w:color w:val="auto"/>
              </w:rPr>
            </w:pPr>
          </w:p>
        </w:tc>
        <w:tc>
          <w:tcPr>
            <w:tcW w:w="1300" w:type="dxa"/>
            <w:vAlign w:val="bottom"/>
            <w:gridSpan w:val="6"/>
          </w:tcPr>
          <w:p>
            <w:pPr>
              <w:jc w:val="center"/>
              <w:ind w:right="180"/>
              <w:spacing w:after="0"/>
              <w:rPr>
                <w:sz w:val="20"/>
                <w:szCs w:val="20"/>
                <w:color w:val="auto"/>
              </w:rPr>
            </w:pPr>
            <w:r>
              <w:rPr>
                <w:rFonts w:ascii="Arial" w:cs="Arial" w:eastAsia="Arial" w:hAnsi="Arial"/>
                <w:sz w:val="14"/>
                <w:szCs w:val="14"/>
                <w:b w:val="1"/>
                <w:bCs w:val="1"/>
                <w:color w:val="auto"/>
                <w:w w:val="91"/>
              </w:rPr>
              <w:t>September 30,</w:t>
            </w:r>
          </w:p>
        </w:tc>
        <w:tc>
          <w:tcPr>
            <w:tcW w:w="0" w:type="dxa"/>
            <w:vAlign w:val="bottom"/>
          </w:tcPr>
          <w:p>
            <w:pPr>
              <w:spacing w:after="0"/>
              <w:rPr>
                <w:sz w:val="1"/>
                <w:szCs w:val="1"/>
                <w:color w:val="auto"/>
              </w:rPr>
            </w:pPr>
          </w:p>
        </w:tc>
      </w:tr>
      <w:tr>
        <w:trPr>
          <w:trHeight w:val="142"/>
        </w:trPr>
        <w:tc>
          <w:tcPr>
            <w:tcW w:w="8260" w:type="dxa"/>
            <w:vAlign w:val="bottom"/>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400" w:type="dxa"/>
            <w:vAlign w:val="bottom"/>
            <w:tcBorders>
              <w:top w:val="single" w:sz="8" w:color="auto"/>
              <w:bottom w:val="single" w:sz="8" w:color="auto"/>
            </w:tcBorders>
          </w:tcPr>
          <w:p>
            <w:pPr>
              <w:jc w:val="right"/>
              <w:ind w:right="24"/>
              <w:spacing w:after="0" w:line="142" w:lineRule="exact"/>
              <w:rPr>
                <w:sz w:val="20"/>
                <w:szCs w:val="20"/>
                <w:color w:val="auto"/>
              </w:rPr>
            </w:pPr>
            <w:r>
              <w:rPr>
                <w:rFonts w:ascii="Arial" w:cs="Arial" w:eastAsia="Arial" w:hAnsi="Arial"/>
                <w:sz w:val="14"/>
                <w:szCs w:val="14"/>
                <w:b w:val="1"/>
                <w:bCs w:val="1"/>
                <w:color w:val="auto"/>
                <w:w w:val="89"/>
              </w:rPr>
              <w:t>2015</w:t>
            </w:r>
          </w:p>
        </w:tc>
        <w:tc>
          <w:tcPr>
            <w:tcW w:w="18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400" w:type="dxa"/>
            <w:vAlign w:val="bottom"/>
            <w:tcBorders>
              <w:top w:val="single" w:sz="8" w:color="auto"/>
              <w:bottom w:val="single" w:sz="8" w:color="auto"/>
            </w:tcBorders>
          </w:tcPr>
          <w:p>
            <w:pPr>
              <w:jc w:val="right"/>
              <w:ind w:right="24"/>
              <w:spacing w:after="0" w:line="142" w:lineRule="exact"/>
              <w:rPr>
                <w:sz w:val="20"/>
                <w:szCs w:val="20"/>
                <w:color w:val="auto"/>
              </w:rPr>
            </w:pPr>
            <w:r>
              <w:rPr>
                <w:rFonts w:ascii="Arial" w:cs="Arial" w:eastAsia="Arial" w:hAnsi="Arial"/>
                <w:sz w:val="14"/>
                <w:szCs w:val="14"/>
                <w:b w:val="1"/>
                <w:bCs w:val="1"/>
                <w:color w:val="auto"/>
                <w:w w:val="89"/>
              </w:rPr>
              <w:t>2016</w:t>
            </w:r>
          </w:p>
        </w:tc>
        <w:tc>
          <w:tcPr>
            <w:tcW w:w="300" w:type="dxa"/>
            <w:vAlign w:val="bottom"/>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400" w:type="dxa"/>
            <w:vAlign w:val="bottom"/>
            <w:tcBorders>
              <w:top w:val="single" w:sz="8" w:color="auto"/>
              <w:bottom w:val="single" w:sz="8" w:color="auto"/>
            </w:tcBorders>
          </w:tcPr>
          <w:p>
            <w:pPr>
              <w:ind w:left="20"/>
              <w:spacing w:after="0" w:line="142" w:lineRule="exact"/>
              <w:rPr>
                <w:sz w:val="20"/>
                <w:szCs w:val="20"/>
                <w:color w:val="auto"/>
              </w:rPr>
            </w:pPr>
            <w:r>
              <w:rPr>
                <w:rFonts w:ascii="Arial" w:cs="Arial" w:eastAsia="Arial" w:hAnsi="Arial"/>
                <w:sz w:val="14"/>
                <w:szCs w:val="14"/>
                <w:b w:val="1"/>
                <w:bCs w:val="1"/>
                <w:color w:val="auto"/>
              </w:rPr>
              <w:t>2016</w:t>
            </w:r>
          </w:p>
        </w:tc>
        <w:tc>
          <w:tcPr>
            <w:tcW w:w="180" w:type="dxa"/>
            <w:vAlign w:val="bottom"/>
            <w:tcBorders>
              <w:top w:val="single" w:sz="8" w:color="auto"/>
              <w:bottom w:val="single" w:sz="8" w:color="auto"/>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400" w:type="dxa"/>
            <w:vAlign w:val="bottom"/>
            <w:tcBorders>
              <w:top w:val="single" w:sz="8" w:color="auto"/>
              <w:bottom w:val="single" w:sz="8" w:color="auto"/>
            </w:tcBorders>
          </w:tcPr>
          <w:p>
            <w:pPr>
              <w:jc w:val="right"/>
              <w:ind w:right="24"/>
              <w:spacing w:after="0" w:line="142" w:lineRule="exact"/>
              <w:rPr>
                <w:sz w:val="20"/>
                <w:szCs w:val="20"/>
                <w:color w:val="auto"/>
              </w:rPr>
            </w:pPr>
            <w:r>
              <w:rPr>
                <w:rFonts w:ascii="Arial" w:cs="Arial" w:eastAsia="Arial" w:hAnsi="Arial"/>
                <w:sz w:val="14"/>
                <w:szCs w:val="14"/>
                <w:b w:val="1"/>
                <w:bCs w:val="1"/>
                <w:color w:val="auto"/>
                <w:w w:val="89"/>
              </w:rPr>
              <w:t>2017</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8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0" w:type="dxa"/>
            <w:vAlign w:val="bottom"/>
            <w:gridSpan w:val="5"/>
          </w:tcPr>
          <w:p>
            <w:pPr>
              <w:jc w:val="center"/>
              <w:spacing w:after="0" w:line="142" w:lineRule="exact"/>
              <w:rPr>
                <w:sz w:val="20"/>
                <w:szCs w:val="20"/>
                <w:color w:val="auto"/>
              </w:rPr>
            </w:pPr>
            <w:r>
              <w:rPr>
                <w:rFonts w:ascii="Arial" w:cs="Arial" w:eastAsia="Arial" w:hAnsi="Arial"/>
                <w:sz w:val="14"/>
                <w:szCs w:val="14"/>
                <w:i w:val="1"/>
                <w:iCs w:val="1"/>
                <w:color w:val="auto"/>
                <w:w w:val="95"/>
              </w:rPr>
              <w:t>(Unaudited)</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8260" w:type="dxa"/>
            <w:vAlign w:val="bottom"/>
            <w:shd w:val="clear" w:color="auto" w:fill="CCEEFF"/>
          </w:tcPr>
          <w:p>
            <w:pPr>
              <w:spacing w:after="0" w:line="162" w:lineRule="exact"/>
              <w:rPr>
                <w:sz w:val="20"/>
                <w:szCs w:val="20"/>
                <w:color w:val="auto"/>
              </w:rPr>
            </w:pPr>
            <w:r>
              <w:rPr>
                <w:rFonts w:ascii="Arial" w:cs="Arial" w:eastAsia="Arial" w:hAnsi="Arial"/>
                <w:sz w:val="15"/>
                <w:szCs w:val="15"/>
                <w:b w:val="1"/>
                <w:bCs w:val="1"/>
                <w:color w:val="auto"/>
              </w:rPr>
              <w:t>Cash flow from operating activities</w:t>
            </w:r>
          </w:p>
        </w:tc>
        <w:tc>
          <w:tcPr>
            <w:tcW w:w="10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8260" w:type="dxa"/>
            <w:vAlign w:val="bottom"/>
          </w:tcPr>
          <w:p>
            <w:pPr>
              <w:spacing w:after="0" w:line="162" w:lineRule="exact"/>
              <w:rPr>
                <w:sz w:val="20"/>
                <w:szCs w:val="20"/>
                <w:color w:val="auto"/>
              </w:rPr>
            </w:pPr>
            <w:r>
              <w:rPr>
                <w:rFonts w:ascii="Arial" w:cs="Arial" w:eastAsia="Arial" w:hAnsi="Arial"/>
                <w:sz w:val="15"/>
                <w:szCs w:val="15"/>
                <w:color w:val="auto"/>
              </w:rPr>
              <w:t>Net loss</w:t>
            </w:r>
          </w:p>
        </w:tc>
        <w:tc>
          <w:tcPr>
            <w:tcW w:w="100" w:type="dxa"/>
            <w:vAlign w:val="bottom"/>
          </w:tcPr>
          <w:p>
            <w:pPr>
              <w:jc w:val="right"/>
              <w:spacing w:after="0" w:line="162" w:lineRule="exact"/>
              <w:rPr>
                <w:sz w:val="20"/>
                <w:szCs w:val="20"/>
                <w:color w:val="auto"/>
              </w:rPr>
            </w:pPr>
            <w:r>
              <w:rPr>
                <w:rFonts w:ascii="Arial" w:cs="Arial" w:eastAsia="Arial" w:hAnsi="Arial"/>
                <w:sz w:val="15"/>
                <w:szCs w:val="15"/>
                <w:color w:val="auto"/>
                <w:w w:val="71"/>
              </w:rPr>
              <w:t>$</w:t>
            </w:r>
          </w:p>
        </w:tc>
        <w:tc>
          <w:tcPr>
            <w:tcW w:w="580" w:type="dxa"/>
            <w:vAlign w:val="bottom"/>
            <w:gridSpan w:val="2"/>
          </w:tcPr>
          <w:p>
            <w:pPr>
              <w:jc w:val="right"/>
              <w:ind w:right="140"/>
              <w:spacing w:after="0" w:line="162" w:lineRule="exact"/>
              <w:rPr>
                <w:sz w:val="20"/>
                <w:szCs w:val="20"/>
                <w:color w:val="auto"/>
              </w:rPr>
            </w:pPr>
            <w:r>
              <w:rPr>
                <w:rFonts w:ascii="Arial" w:cs="Arial" w:eastAsia="Arial" w:hAnsi="Arial"/>
                <w:sz w:val="15"/>
                <w:szCs w:val="15"/>
                <w:color w:val="auto"/>
                <w:w w:val="88"/>
              </w:rPr>
              <w:t>(325.9)</w:t>
            </w:r>
          </w:p>
        </w:tc>
        <w:tc>
          <w:tcPr>
            <w:tcW w:w="220" w:type="dxa"/>
            <w:vAlign w:val="bottom"/>
            <w:gridSpan w:val="2"/>
          </w:tcPr>
          <w:p>
            <w:pPr>
              <w:jc w:val="right"/>
              <w:spacing w:after="0" w:line="162" w:lineRule="exact"/>
              <w:rPr>
                <w:sz w:val="20"/>
                <w:szCs w:val="20"/>
                <w:color w:val="auto"/>
              </w:rPr>
            </w:pPr>
            <w:r>
              <w:rPr>
                <w:rFonts w:ascii="Arial" w:cs="Arial" w:eastAsia="Arial" w:hAnsi="Arial"/>
                <w:sz w:val="15"/>
                <w:szCs w:val="15"/>
                <w:color w:val="auto"/>
              </w:rPr>
              <w:t>$</w:t>
            </w:r>
          </w:p>
        </w:tc>
        <w:tc>
          <w:tcPr>
            <w:tcW w:w="700" w:type="dxa"/>
            <w:vAlign w:val="bottom"/>
            <w:gridSpan w:val="2"/>
          </w:tcPr>
          <w:p>
            <w:pPr>
              <w:jc w:val="right"/>
              <w:ind w:right="260"/>
              <w:spacing w:after="0" w:line="162" w:lineRule="exact"/>
              <w:rPr>
                <w:sz w:val="20"/>
                <w:szCs w:val="20"/>
                <w:color w:val="auto"/>
              </w:rPr>
            </w:pPr>
            <w:r>
              <w:rPr>
                <w:rFonts w:ascii="Arial" w:cs="Arial" w:eastAsia="Arial" w:hAnsi="Arial"/>
                <w:sz w:val="15"/>
                <w:szCs w:val="15"/>
                <w:color w:val="auto"/>
                <w:w w:val="88"/>
              </w:rPr>
              <w:t>(210.2)</w:t>
            </w:r>
          </w:p>
        </w:tc>
        <w:tc>
          <w:tcPr>
            <w:tcW w:w="80" w:type="dxa"/>
            <w:vAlign w:val="bottom"/>
          </w:tcPr>
          <w:p>
            <w:pPr>
              <w:spacing w:after="0"/>
              <w:rPr>
                <w:sz w:val="14"/>
                <w:szCs w:val="14"/>
                <w:color w:val="auto"/>
              </w:rPr>
            </w:pPr>
          </w:p>
        </w:tc>
        <w:tc>
          <w:tcPr>
            <w:tcW w:w="580" w:type="dxa"/>
            <w:vAlign w:val="bottom"/>
            <w:gridSpan w:val="2"/>
          </w:tcPr>
          <w:p>
            <w:pPr>
              <w:jc w:val="right"/>
              <w:ind w:right="120"/>
              <w:spacing w:after="0" w:line="162" w:lineRule="exact"/>
              <w:rPr>
                <w:sz w:val="20"/>
                <w:szCs w:val="20"/>
                <w:color w:val="auto"/>
              </w:rPr>
            </w:pPr>
            <w:r>
              <w:rPr>
                <w:rFonts w:ascii="Arial" w:cs="Arial" w:eastAsia="Arial" w:hAnsi="Arial"/>
                <w:sz w:val="15"/>
                <w:szCs w:val="15"/>
                <w:color w:val="auto"/>
                <w:w w:val="92"/>
              </w:rPr>
              <w:t>(181.1)</w:t>
            </w:r>
          </w:p>
        </w:tc>
        <w:tc>
          <w:tcPr>
            <w:tcW w:w="220" w:type="dxa"/>
            <w:vAlign w:val="bottom"/>
            <w:gridSpan w:val="2"/>
          </w:tcPr>
          <w:p>
            <w:pPr>
              <w:jc w:val="right"/>
              <w:spacing w:after="0" w:line="162" w:lineRule="exact"/>
              <w:rPr>
                <w:sz w:val="20"/>
                <w:szCs w:val="20"/>
                <w:color w:val="auto"/>
              </w:rPr>
            </w:pPr>
            <w:r>
              <w:rPr>
                <w:rFonts w:ascii="Arial" w:cs="Arial" w:eastAsia="Arial" w:hAnsi="Arial"/>
                <w:sz w:val="15"/>
                <w:szCs w:val="15"/>
                <w:color w:val="auto"/>
              </w:rPr>
              <w:t>$</w:t>
            </w:r>
          </w:p>
        </w:tc>
        <w:tc>
          <w:tcPr>
            <w:tcW w:w="500" w:type="dxa"/>
            <w:vAlign w:val="bottom"/>
            <w:gridSpan w:val="2"/>
          </w:tcPr>
          <w:p>
            <w:pPr>
              <w:jc w:val="right"/>
              <w:ind w:right="40"/>
              <w:spacing w:after="0" w:line="162" w:lineRule="exact"/>
              <w:rPr>
                <w:sz w:val="20"/>
                <w:szCs w:val="20"/>
                <w:color w:val="auto"/>
              </w:rPr>
            </w:pPr>
            <w:r>
              <w:rPr>
                <w:rFonts w:ascii="Arial" w:cs="Arial" w:eastAsia="Arial" w:hAnsi="Arial"/>
                <w:sz w:val="15"/>
                <w:szCs w:val="15"/>
                <w:color w:val="auto"/>
              </w:rPr>
              <w:t>(74.0)</w:t>
            </w:r>
          </w:p>
        </w:tc>
        <w:tc>
          <w:tcPr>
            <w:tcW w:w="0" w:type="dxa"/>
            <w:vAlign w:val="bottom"/>
          </w:tcPr>
          <w:p>
            <w:pPr>
              <w:spacing w:after="0"/>
              <w:rPr>
                <w:sz w:val="1"/>
                <w:szCs w:val="1"/>
                <w:color w:val="auto"/>
              </w:rPr>
            </w:pPr>
          </w:p>
        </w:tc>
      </w:tr>
      <w:tr>
        <w:trPr>
          <w:trHeight w:val="162"/>
        </w:trPr>
        <w:tc>
          <w:tcPr>
            <w:tcW w:w="8260" w:type="dxa"/>
            <w:vAlign w:val="bottom"/>
            <w:shd w:val="clear" w:color="auto" w:fill="CCEEFF"/>
          </w:tcPr>
          <w:p>
            <w:pPr>
              <w:spacing w:after="0" w:line="162" w:lineRule="exact"/>
              <w:rPr>
                <w:sz w:val="20"/>
                <w:szCs w:val="20"/>
                <w:color w:val="auto"/>
              </w:rPr>
            </w:pPr>
            <w:r>
              <w:rPr>
                <w:rFonts w:ascii="Arial" w:cs="Arial" w:eastAsia="Arial" w:hAnsi="Arial"/>
                <w:sz w:val="15"/>
                <w:szCs w:val="15"/>
                <w:color w:val="auto"/>
              </w:rPr>
              <w:t>Adjustments to reconcile net loss to net cash provided by operating activities:</w:t>
            </w:r>
          </w:p>
        </w:tc>
        <w:tc>
          <w:tcPr>
            <w:tcW w:w="10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8260" w:type="dxa"/>
            <w:vAlign w:val="bottom"/>
          </w:tcPr>
          <w:p>
            <w:pPr>
              <w:ind w:left="320"/>
              <w:spacing w:after="0" w:line="162" w:lineRule="exact"/>
              <w:rPr>
                <w:sz w:val="20"/>
                <w:szCs w:val="20"/>
                <w:color w:val="auto"/>
              </w:rPr>
            </w:pPr>
            <w:r>
              <w:rPr>
                <w:rFonts w:ascii="Arial" w:cs="Arial" w:eastAsia="Arial" w:hAnsi="Arial"/>
                <w:sz w:val="15"/>
                <w:szCs w:val="15"/>
                <w:color w:val="auto"/>
              </w:rPr>
              <w:t>Depreciation and amortization</w:t>
            </w:r>
          </w:p>
        </w:tc>
        <w:tc>
          <w:tcPr>
            <w:tcW w:w="100" w:type="dxa"/>
            <w:vAlign w:val="bottom"/>
          </w:tcPr>
          <w:p>
            <w:pPr>
              <w:spacing w:after="0"/>
              <w:rPr>
                <w:sz w:val="14"/>
                <w:szCs w:val="14"/>
                <w:color w:val="auto"/>
              </w:rPr>
            </w:pPr>
          </w:p>
        </w:tc>
        <w:tc>
          <w:tcPr>
            <w:tcW w:w="580" w:type="dxa"/>
            <w:vAlign w:val="bottom"/>
            <w:gridSpan w:val="2"/>
          </w:tcPr>
          <w:p>
            <w:pPr>
              <w:jc w:val="right"/>
              <w:ind w:right="180"/>
              <w:spacing w:after="0" w:line="162" w:lineRule="exact"/>
              <w:rPr>
                <w:sz w:val="20"/>
                <w:szCs w:val="20"/>
                <w:color w:val="auto"/>
              </w:rPr>
            </w:pPr>
            <w:r>
              <w:rPr>
                <w:rFonts w:ascii="Arial" w:cs="Arial" w:eastAsia="Arial" w:hAnsi="Arial"/>
                <w:sz w:val="15"/>
                <w:szCs w:val="15"/>
                <w:color w:val="auto"/>
              </w:rPr>
              <w:t>149.6</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gridSpan w:val="2"/>
          </w:tcPr>
          <w:p>
            <w:pPr>
              <w:jc w:val="right"/>
              <w:ind w:right="300"/>
              <w:spacing w:after="0" w:line="162" w:lineRule="exact"/>
              <w:rPr>
                <w:sz w:val="20"/>
                <w:szCs w:val="20"/>
                <w:color w:val="auto"/>
              </w:rPr>
            </w:pPr>
            <w:r>
              <w:rPr>
                <w:rFonts w:ascii="Arial" w:cs="Arial" w:eastAsia="Arial" w:hAnsi="Arial"/>
                <w:sz w:val="15"/>
                <w:szCs w:val="15"/>
                <w:color w:val="auto"/>
              </w:rPr>
              <w:t>191.6</w:t>
            </w:r>
          </w:p>
        </w:tc>
        <w:tc>
          <w:tcPr>
            <w:tcW w:w="80" w:type="dxa"/>
            <w:vAlign w:val="bottom"/>
          </w:tcPr>
          <w:p>
            <w:pPr>
              <w:spacing w:after="0"/>
              <w:rPr>
                <w:sz w:val="14"/>
                <w:szCs w:val="14"/>
                <w:color w:val="auto"/>
              </w:rPr>
            </w:pPr>
          </w:p>
        </w:tc>
        <w:tc>
          <w:tcPr>
            <w:tcW w:w="580" w:type="dxa"/>
            <w:vAlign w:val="bottom"/>
            <w:gridSpan w:val="2"/>
          </w:tcPr>
          <w:p>
            <w:pPr>
              <w:jc w:val="right"/>
              <w:ind w:right="180"/>
              <w:spacing w:after="0" w:line="162" w:lineRule="exact"/>
              <w:rPr>
                <w:sz w:val="20"/>
                <w:szCs w:val="20"/>
                <w:color w:val="auto"/>
              </w:rPr>
            </w:pPr>
            <w:r>
              <w:rPr>
                <w:rFonts w:ascii="Arial" w:cs="Arial" w:eastAsia="Arial" w:hAnsi="Arial"/>
                <w:sz w:val="15"/>
                <w:szCs w:val="15"/>
                <w:color w:val="auto"/>
              </w:rPr>
              <w:t>143.7</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00" w:type="dxa"/>
            <w:vAlign w:val="bottom"/>
            <w:gridSpan w:val="2"/>
          </w:tcPr>
          <w:p>
            <w:pPr>
              <w:jc w:val="right"/>
              <w:ind w:right="100"/>
              <w:spacing w:after="0" w:line="162" w:lineRule="exact"/>
              <w:rPr>
                <w:sz w:val="20"/>
                <w:szCs w:val="20"/>
                <w:color w:val="auto"/>
              </w:rPr>
            </w:pPr>
            <w:r>
              <w:rPr>
                <w:rFonts w:ascii="Arial" w:cs="Arial" w:eastAsia="Arial" w:hAnsi="Arial"/>
                <w:sz w:val="15"/>
                <w:szCs w:val="15"/>
                <w:color w:val="auto"/>
              </w:rPr>
              <w:t>138.9</w:t>
            </w:r>
          </w:p>
        </w:tc>
        <w:tc>
          <w:tcPr>
            <w:tcW w:w="0" w:type="dxa"/>
            <w:vAlign w:val="bottom"/>
          </w:tcPr>
          <w:p>
            <w:pPr>
              <w:spacing w:after="0"/>
              <w:rPr>
                <w:sz w:val="1"/>
                <w:szCs w:val="1"/>
                <w:color w:val="auto"/>
              </w:rPr>
            </w:pPr>
          </w:p>
        </w:tc>
      </w:tr>
      <w:tr>
        <w:trPr>
          <w:trHeight w:val="162"/>
        </w:trPr>
        <w:tc>
          <w:tcPr>
            <w:tcW w:w="8260" w:type="dxa"/>
            <w:vAlign w:val="bottom"/>
            <w:shd w:val="clear" w:color="auto" w:fill="CCEEFF"/>
          </w:tcPr>
          <w:p>
            <w:pPr>
              <w:ind w:left="320"/>
              <w:spacing w:after="0" w:line="162" w:lineRule="exact"/>
              <w:rPr>
                <w:sz w:val="20"/>
                <w:szCs w:val="20"/>
                <w:color w:val="auto"/>
              </w:rPr>
            </w:pPr>
            <w:r>
              <w:rPr>
                <w:rFonts w:ascii="Arial" w:cs="Arial" w:eastAsia="Arial" w:hAnsi="Arial"/>
                <w:sz w:val="15"/>
                <w:szCs w:val="15"/>
                <w:color w:val="auto"/>
              </w:rPr>
              <w:t>Stock-based compensation</w:t>
            </w:r>
          </w:p>
        </w:tc>
        <w:tc>
          <w:tcPr>
            <w:tcW w:w="100" w:type="dxa"/>
            <w:vAlign w:val="bottom"/>
            <w:shd w:val="clear" w:color="auto" w:fill="CCEEFF"/>
          </w:tcPr>
          <w:p>
            <w:pPr>
              <w:spacing w:after="0"/>
              <w:rPr>
                <w:sz w:val="14"/>
                <w:szCs w:val="14"/>
                <w:color w:val="auto"/>
              </w:rPr>
            </w:pPr>
          </w:p>
        </w:tc>
        <w:tc>
          <w:tcPr>
            <w:tcW w:w="580" w:type="dxa"/>
            <w:vAlign w:val="bottom"/>
            <w:gridSpan w:val="2"/>
            <w:shd w:val="clear" w:color="auto" w:fill="CCEEFF"/>
          </w:tcPr>
          <w:p>
            <w:pPr>
              <w:jc w:val="right"/>
              <w:ind w:right="180"/>
              <w:spacing w:after="0" w:line="162" w:lineRule="exact"/>
              <w:rPr>
                <w:sz w:val="20"/>
                <w:szCs w:val="20"/>
                <w:color w:val="auto"/>
              </w:rPr>
            </w:pPr>
            <w:r>
              <w:rPr>
                <w:rFonts w:ascii="Arial" w:cs="Arial" w:eastAsia="Arial" w:hAnsi="Arial"/>
                <w:sz w:val="15"/>
                <w:szCs w:val="15"/>
                <w:color w:val="auto"/>
              </w:rPr>
              <w:t>66.1</w:t>
            </w: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00" w:type="dxa"/>
            <w:vAlign w:val="bottom"/>
            <w:gridSpan w:val="2"/>
            <w:shd w:val="clear" w:color="auto" w:fill="CCEEFF"/>
          </w:tcPr>
          <w:p>
            <w:pPr>
              <w:jc w:val="right"/>
              <w:ind w:right="300"/>
              <w:spacing w:after="0" w:line="162" w:lineRule="exact"/>
              <w:rPr>
                <w:sz w:val="20"/>
                <w:szCs w:val="20"/>
                <w:color w:val="auto"/>
              </w:rPr>
            </w:pPr>
            <w:r>
              <w:rPr>
                <w:rFonts w:ascii="Arial" w:cs="Arial" w:eastAsia="Arial" w:hAnsi="Arial"/>
                <w:sz w:val="15"/>
                <w:szCs w:val="15"/>
                <w:color w:val="auto"/>
              </w:rPr>
              <w:t>147.6</w:t>
            </w:r>
          </w:p>
        </w:tc>
        <w:tc>
          <w:tcPr>
            <w:tcW w:w="80" w:type="dxa"/>
            <w:vAlign w:val="bottom"/>
            <w:shd w:val="clear" w:color="auto" w:fill="CCEEFF"/>
          </w:tcPr>
          <w:p>
            <w:pPr>
              <w:spacing w:after="0"/>
              <w:rPr>
                <w:sz w:val="14"/>
                <w:szCs w:val="14"/>
                <w:color w:val="auto"/>
              </w:rPr>
            </w:pPr>
          </w:p>
        </w:tc>
        <w:tc>
          <w:tcPr>
            <w:tcW w:w="580" w:type="dxa"/>
            <w:vAlign w:val="bottom"/>
            <w:gridSpan w:val="2"/>
            <w:shd w:val="clear" w:color="auto" w:fill="CCEEFF"/>
          </w:tcPr>
          <w:p>
            <w:pPr>
              <w:jc w:val="right"/>
              <w:ind w:right="180"/>
              <w:spacing w:after="0" w:line="162" w:lineRule="exact"/>
              <w:rPr>
                <w:sz w:val="20"/>
                <w:szCs w:val="20"/>
                <w:color w:val="auto"/>
              </w:rPr>
            </w:pPr>
            <w:r>
              <w:rPr>
                <w:rFonts w:ascii="Arial" w:cs="Arial" w:eastAsia="Arial" w:hAnsi="Arial"/>
                <w:sz w:val="15"/>
                <w:szCs w:val="15"/>
                <w:color w:val="auto"/>
              </w:rPr>
              <w:t>113.6</w:t>
            </w:r>
          </w:p>
        </w:tc>
        <w:tc>
          <w:tcPr>
            <w:tcW w:w="1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00" w:type="dxa"/>
            <w:vAlign w:val="bottom"/>
            <w:gridSpan w:val="2"/>
            <w:shd w:val="clear" w:color="auto" w:fill="CCEEFF"/>
          </w:tcPr>
          <w:p>
            <w:pPr>
              <w:jc w:val="right"/>
              <w:ind w:right="100"/>
              <w:spacing w:after="0" w:line="162" w:lineRule="exact"/>
              <w:rPr>
                <w:sz w:val="20"/>
                <w:szCs w:val="20"/>
                <w:color w:val="auto"/>
              </w:rPr>
            </w:pPr>
            <w:r>
              <w:rPr>
                <w:rFonts w:ascii="Arial" w:cs="Arial" w:eastAsia="Arial" w:hAnsi="Arial"/>
                <w:sz w:val="15"/>
                <w:szCs w:val="15"/>
                <w:color w:val="auto"/>
              </w:rPr>
              <w:t>117.2</w:t>
            </w:r>
          </w:p>
        </w:tc>
        <w:tc>
          <w:tcPr>
            <w:tcW w:w="0" w:type="dxa"/>
            <w:vAlign w:val="bottom"/>
          </w:tcPr>
          <w:p>
            <w:pPr>
              <w:spacing w:after="0"/>
              <w:rPr>
                <w:sz w:val="1"/>
                <w:szCs w:val="1"/>
                <w:color w:val="auto"/>
              </w:rPr>
            </w:pPr>
          </w:p>
        </w:tc>
      </w:tr>
      <w:tr>
        <w:trPr>
          <w:trHeight w:val="162"/>
        </w:trPr>
        <w:tc>
          <w:tcPr>
            <w:tcW w:w="8260" w:type="dxa"/>
            <w:vAlign w:val="bottom"/>
          </w:tcPr>
          <w:p>
            <w:pPr>
              <w:ind w:left="320"/>
              <w:spacing w:after="0" w:line="162" w:lineRule="exact"/>
              <w:rPr>
                <w:sz w:val="20"/>
                <w:szCs w:val="20"/>
                <w:color w:val="auto"/>
              </w:rPr>
            </w:pPr>
            <w:r>
              <w:rPr>
                <w:rFonts w:ascii="Arial" w:cs="Arial" w:eastAsia="Arial" w:hAnsi="Arial"/>
                <w:sz w:val="15"/>
                <w:szCs w:val="15"/>
                <w:color w:val="auto"/>
              </w:rPr>
              <w:t>Amortization of deferred commissions</w:t>
            </w:r>
          </w:p>
        </w:tc>
        <w:tc>
          <w:tcPr>
            <w:tcW w:w="100" w:type="dxa"/>
            <w:vAlign w:val="bottom"/>
          </w:tcPr>
          <w:p>
            <w:pPr>
              <w:spacing w:after="0"/>
              <w:rPr>
                <w:sz w:val="14"/>
                <w:szCs w:val="14"/>
                <w:color w:val="auto"/>
              </w:rPr>
            </w:pPr>
          </w:p>
        </w:tc>
        <w:tc>
          <w:tcPr>
            <w:tcW w:w="580" w:type="dxa"/>
            <w:vAlign w:val="bottom"/>
            <w:gridSpan w:val="2"/>
          </w:tcPr>
          <w:p>
            <w:pPr>
              <w:jc w:val="right"/>
              <w:ind w:right="180"/>
              <w:spacing w:after="0" w:line="162" w:lineRule="exact"/>
              <w:rPr>
                <w:sz w:val="20"/>
                <w:szCs w:val="20"/>
                <w:color w:val="auto"/>
              </w:rPr>
            </w:pPr>
            <w:r>
              <w:rPr>
                <w:rFonts w:ascii="Arial" w:cs="Arial" w:eastAsia="Arial" w:hAnsi="Arial"/>
                <w:sz w:val="15"/>
                <w:szCs w:val="15"/>
                <w:color w:val="auto"/>
              </w:rPr>
              <w:t>0.6</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gridSpan w:val="2"/>
          </w:tcPr>
          <w:p>
            <w:pPr>
              <w:jc w:val="right"/>
              <w:ind w:right="300"/>
              <w:spacing w:after="0" w:line="162" w:lineRule="exact"/>
              <w:rPr>
                <w:sz w:val="20"/>
                <w:szCs w:val="20"/>
                <w:color w:val="auto"/>
              </w:rPr>
            </w:pPr>
            <w:r>
              <w:rPr>
                <w:rFonts w:ascii="Arial" w:cs="Arial" w:eastAsia="Arial" w:hAnsi="Arial"/>
                <w:sz w:val="15"/>
                <w:szCs w:val="15"/>
                <w:color w:val="auto"/>
              </w:rPr>
              <w:t>3.7</w:t>
            </w:r>
          </w:p>
        </w:tc>
        <w:tc>
          <w:tcPr>
            <w:tcW w:w="80" w:type="dxa"/>
            <w:vAlign w:val="bottom"/>
          </w:tcPr>
          <w:p>
            <w:pPr>
              <w:spacing w:after="0"/>
              <w:rPr>
                <w:sz w:val="14"/>
                <w:szCs w:val="14"/>
                <w:color w:val="auto"/>
              </w:rPr>
            </w:pPr>
          </w:p>
        </w:tc>
        <w:tc>
          <w:tcPr>
            <w:tcW w:w="580" w:type="dxa"/>
            <w:vAlign w:val="bottom"/>
            <w:gridSpan w:val="2"/>
          </w:tcPr>
          <w:p>
            <w:pPr>
              <w:jc w:val="right"/>
              <w:ind w:right="180"/>
              <w:spacing w:after="0" w:line="162" w:lineRule="exact"/>
              <w:rPr>
                <w:sz w:val="20"/>
                <w:szCs w:val="20"/>
                <w:color w:val="auto"/>
              </w:rPr>
            </w:pPr>
            <w:r>
              <w:rPr>
                <w:rFonts w:ascii="Arial" w:cs="Arial" w:eastAsia="Arial" w:hAnsi="Arial"/>
                <w:sz w:val="15"/>
                <w:szCs w:val="15"/>
                <w:color w:val="auto"/>
              </w:rPr>
              <w:t>2.4</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00" w:type="dxa"/>
            <w:vAlign w:val="bottom"/>
            <w:gridSpan w:val="2"/>
          </w:tcPr>
          <w:p>
            <w:pPr>
              <w:jc w:val="right"/>
              <w:ind w:right="100"/>
              <w:spacing w:after="0" w:line="162" w:lineRule="exact"/>
              <w:rPr>
                <w:sz w:val="20"/>
                <w:szCs w:val="20"/>
                <w:color w:val="auto"/>
              </w:rPr>
            </w:pPr>
            <w:r>
              <w:rPr>
                <w:rFonts w:ascii="Arial" w:cs="Arial" w:eastAsia="Arial" w:hAnsi="Arial"/>
                <w:sz w:val="15"/>
                <w:szCs w:val="15"/>
                <w:color w:val="auto"/>
              </w:rPr>
              <w:t>5.5</w:t>
            </w:r>
          </w:p>
        </w:tc>
        <w:tc>
          <w:tcPr>
            <w:tcW w:w="0" w:type="dxa"/>
            <w:vAlign w:val="bottom"/>
          </w:tcPr>
          <w:p>
            <w:pPr>
              <w:spacing w:after="0"/>
              <w:rPr>
                <w:sz w:val="1"/>
                <w:szCs w:val="1"/>
                <w:color w:val="auto"/>
              </w:rPr>
            </w:pPr>
          </w:p>
        </w:tc>
      </w:tr>
      <w:tr>
        <w:trPr>
          <w:trHeight w:val="162"/>
        </w:trPr>
        <w:tc>
          <w:tcPr>
            <w:tcW w:w="8260" w:type="dxa"/>
            <w:vAlign w:val="bottom"/>
            <w:shd w:val="clear" w:color="auto" w:fill="CCEEFF"/>
          </w:tcPr>
          <w:p>
            <w:pPr>
              <w:ind w:left="320"/>
              <w:spacing w:after="0" w:line="162" w:lineRule="exact"/>
              <w:rPr>
                <w:sz w:val="20"/>
                <w:szCs w:val="20"/>
                <w:color w:val="auto"/>
              </w:rPr>
            </w:pPr>
            <w:r>
              <w:rPr>
                <w:rFonts w:ascii="Arial" w:cs="Arial" w:eastAsia="Arial" w:hAnsi="Arial"/>
                <w:sz w:val="15"/>
                <w:szCs w:val="15"/>
                <w:color w:val="auto"/>
              </w:rPr>
              <w:t>Donation of common stock to charitable foundation</w:t>
            </w:r>
          </w:p>
        </w:tc>
        <w:tc>
          <w:tcPr>
            <w:tcW w:w="100" w:type="dxa"/>
            <w:vAlign w:val="bottom"/>
            <w:shd w:val="clear" w:color="auto" w:fill="CCEEFF"/>
          </w:tcPr>
          <w:p>
            <w:pPr>
              <w:spacing w:after="0"/>
              <w:rPr>
                <w:sz w:val="14"/>
                <w:szCs w:val="14"/>
                <w:color w:val="auto"/>
              </w:rPr>
            </w:pPr>
          </w:p>
        </w:tc>
        <w:tc>
          <w:tcPr>
            <w:tcW w:w="580" w:type="dxa"/>
            <w:vAlign w:val="bottom"/>
            <w:gridSpan w:val="2"/>
            <w:shd w:val="clear" w:color="auto" w:fill="CCEEFF"/>
          </w:tcPr>
          <w:p>
            <w:pPr>
              <w:jc w:val="right"/>
              <w:ind w:right="260"/>
              <w:spacing w:after="0" w:line="162" w:lineRule="exact"/>
              <w:rPr>
                <w:sz w:val="20"/>
                <w:szCs w:val="20"/>
                <w:color w:val="auto"/>
              </w:rPr>
            </w:pPr>
            <w:r>
              <w:rPr>
                <w:rFonts w:ascii="Arial" w:cs="Arial" w:eastAsia="Arial" w:hAnsi="Arial"/>
                <w:sz w:val="15"/>
                <w:szCs w:val="15"/>
                <w:color w:val="auto"/>
              </w:rPr>
              <w:t>—</w:t>
            </w: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00" w:type="dxa"/>
            <w:vAlign w:val="bottom"/>
            <w:gridSpan w:val="2"/>
            <w:shd w:val="clear" w:color="auto" w:fill="CCEEFF"/>
          </w:tcPr>
          <w:p>
            <w:pPr>
              <w:jc w:val="right"/>
              <w:ind w:right="380"/>
              <w:spacing w:after="0" w:line="162" w:lineRule="exact"/>
              <w:rPr>
                <w:sz w:val="20"/>
                <w:szCs w:val="20"/>
                <w:color w:val="auto"/>
              </w:rPr>
            </w:pPr>
            <w:r>
              <w:rPr>
                <w:rFonts w:ascii="Arial" w:cs="Arial" w:eastAsia="Arial" w:hAnsi="Arial"/>
                <w:sz w:val="15"/>
                <w:szCs w:val="15"/>
                <w:color w:val="auto"/>
              </w:rPr>
              <w:t>—</w:t>
            </w:r>
          </w:p>
        </w:tc>
        <w:tc>
          <w:tcPr>
            <w:tcW w:w="80" w:type="dxa"/>
            <w:vAlign w:val="bottom"/>
            <w:shd w:val="clear" w:color="auto" w:fill="CCEEFF"/>
          </w:tcPr>
          <w:p>
            <w:pPr>
              <w:spacing w:after="0"/>
              <w:rPr>
                <w:sz w:val="14"/>
                <w:szCs w:val="14"/>
                <w:color w:val="auto"/>
              </w:rPr>
            </w:pPr>
          </w:p>
        </w:tc>
        <w:tc>
          <w:tcPr>
            <w:tcW w:w="580" w:type="dxa"/>
            <w:vAlign w:val="bottom"/>
            <w:gridSpan w:val="2"/>
            <w:shd w:val="clear" w:color="auto" w:fill="CCEEFF"/>
          </w:tcPr>
          <w:p>
            <w:pPr>
              <w:ind w:left="180"/>
              <w:spacing w:after="0" w:line="162" w:lineRule="exact"/>
              <w:rPr>
                <w:sz w:val="20"/>
                <w:szCs w:val="20"/>
                <w:color w:val="auto"/>
              </w:rPr>
            </w:pPr>
            <w:r>
              <w:rPr>
                <w:rFonts w:ascii="Arial" w:cs="Arial" w:eastAsia="Arial" w:hAnsi="Arial"/>
                <w:sz w:val="15"/>
                <w:szCs w:val="15"/>
                <w:color w:val="auto"/>
              </w:rPr>
              <w:t>—</w:t>
            </w:r>
          </w:p>
        </w:tc>
        <w:tc>
          <w:tcPr>
            <w:tcW w:w="1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00" w:type="dxa"/>
            <w:vAlign w:val="bottom"/>
            <w:gridSpan w:val="2"/>
            <w:shd w:val="clear" w:color="auto" w:fill="CCEEFF"/>
          </w:tcPr>
          <w:p>
            <w:pPr>
              <w:jc w:val="right"/>
              <w:ind w:right="100"/>
              <w:spacing w:after="0" w:line="162" w:lineRule="exact"/>
              <w:rPr>
                <w:sz w:val="20"/>
                <w:szCs w:val="20"/>
                <w:color w:val="auto"/>
              </w:rPr>
            </w:pPr>
            <w:r>
              <w:rPr>
                <w:rFonts w:ascii="Arial" w:cs="Arial" w:eastAsia="Arial" w:hAnsi="Arial"/>
                <w:sz w:val="15"/>
                <w:szCs w:val="15"/>
                <w:color w:val="auto"/>
              </w:rPr>
              <w:t>9.4</w:t>
            </w:r>
          </w:p>
        </w:tc>
        <w:tc>
          <w:tcPr>
            <w:tcW w:w="0" w:type="dxa"/>
            <w:vAlign w:val="bottom"/>
          </w:tcPr>
          <w:p>
            <w:pPr>
              <w:spacing w:after="0"/>
              <w:rPr>
                <w:sz w:val="1"/>
                <w:szCs w:val="1"/>
                <w:color w:val="auto"/>
              </w:rPr>
            </w:pPr>
          </w:p>
        </w:tc>
      </w:tr>
      <w:tr>
        <w:trPr>
          <w:trHeight w:val="162"/>
        </w:trPr>
        <w:tc>
          <w:tcPr>
            <w:tcW w:w="8260" w:type="dxa"/>
            <w:vAlign w:val="bottom"/>
          </w:tcPr>
          <w:p>
            <w:pPr>
              <w:ind w:left="320"/>
              <w:spacing w:after="0" w:line="162" w:lineRule="exact"/>
              <w:rPr>
                <w:sz w:val="20"/>
                <w:szCs w:val="20"/>
                <w:color w:val="auto"/>
              </w:rPr>
            </w:pPr>
            <w:r>
              <w:rPr>
                <w:rFonts w:ascii="Arial" w:cs="Arial" w:eastAsia="Arial" w:hAnsi="Arial"/>
                <w:sz w:val="15"/>
                <w:szCs w:val="15"/>
                <w:color w:val="auto"/>
              </w:rPr>
              <w:t>Other</w:t>
            </w:r>
          </w:p>
        </w:tc>
        <w:tc>
          <w:tcPr>
            <w:tcW w:w="100" w:type="dxa"/>
            <w:vAlign w:val="bottom"/>
          </w:tcPr>
          <w:p>
            <w:pPr>
              <w:spacing w:after="0"/>
              <w:rPr>
                <w:sz w:val="14"/>
                <w:szCs w:val="14"/>
                <w:color w:val="auto"/>
              </w:rPr>
            </w:pPr>
          </w:p>
        </w:tc>
        <w:tc>
          <w:tcPr>
            <w:tcW w:w="580" w:type="dxa"/>
            <w:vAlign w:val="bottom"/>
            <w:gridSpan w:val="2"/>
          </w:tcPr>
          <w:p>
            <w:pPr>
              <w:jc w:val="right"/>
              <w:ind w:right="180"/>
              <w:spacing w:after="0" w:line="162" w:lineRule="exact"/>
              <w:rPr>
                <w:sz w:val="20"/>
                <w:szCs w:val="20"/>
                <w:color w:val="auto"/>
              </w:rPr>
            </w:pPr>
            <w:r>
              <w:rPr>
                <w:rFonts w:ascii="Arial" w:cs="Arial" w:eastAsia="Arial" w:hAnsi="Arial"/>
                <w:sz w:val="15"/>
                <w:szCs w:val="15"/>
                <w:color w:val="auto"/>
              </w:rPr>
              <w:t>0.8</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gridSpan w:val="2"/>
          </w:tcPr>
          <w:p>
            <w:pPr>
              <w:jc w:val="right"/>
              <w:ind w:right="300"/>
              <w:spacing w:after="0" w:line="162" w:lineRule="exact"/>
              <w:rPr>
                <w:sz w:val="20"/>
                <w:szCs w:val="20"/>
                <w:color w:val="auto"/>
              </w:rPr>
            </w:pPr>
            <w:r>
              <w:rPr>
                <w:rFonts w:ascii="Arial" w:cs="Arial" w:eastAsia="Arial" w:hAnsi="Arial"/>
                <w:sz w:val="15"/>
                <w:szCs w:val="15"/>
                <w:color w:val="auto"/>
              </w:rPr>
              <w:t>1.1</w:t>
            </w:r>
          </w:p>
        </w:tc>
        <w:tc>
          <w:tcPr>
            <w:tcW w:w="80" w:type="dxa"/>
            <w:vAlign w:val="bottom"/>
          </w:tcPr>
          <w:p>
            <w:pPr>
              <w:spacing w:after="0"/>
              <w:rPr>
                <w:sz w:val="14"/>
                <w:szCs w:val="14"/>
                <w:color w:val="auto"/>
              </w:rPr>
            </w:pPr>
          </w:p>
        </w:tc>
        <w:tc>
          <w:tcPr>
            <w:tcW w:w="580" w:type="dxa"/>
            <w:vAlign w:val="bottom"/>
            <w:gridSpan w:val="2"/>
          </w:tcPr>
          <w:p>
            <w:pPr>
              <w:jc w:val="right"/>
              <w:ind w:right="120"/>
              <w:spacing w:after="0" w:line="162" w:lineRule="exact"/>
              <w:rPr>
                <w:sz w:val="20"/>
                <w:szCs w:val="20"/>
                <w:color w:val="auto"/>
              </w:rPr>
            </w:pPr>
            <w:r>
              <w:rPr>
                <w:rFonts w:ascii="Arial" w:cs="Arial" w:eastAsia="Arial" w:hAnsi="Arial"/>
                <w:sz w:val="15"/>
                <w:szCs w:val="15"/>
                <w:color w:val="auto"/>
              </w:rPr>
              <w:t>(1.9)</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00" w:type="dxa"/>
            <w:vAlign w:val="bottom"/>
            <w:gridSpan w:val="2"/>
          </w:tcPr>
          <w:p>
            <w:pPr>
              <w:jc w:val="right"/>
              <w:ind w:right="40"/>
              <w:spacing w:after="0" w:line="162" w:lineRule="exact"/>
              <w:rPr>
                <w:sz w:val="20"/>
                <w:szCs w:val="20"/>
                <w:color w:val="auto"/>
              </w:rPr>
            </w:pPr>
            <w:r>
              <w:rPr>
                <w:rFonts w:ascii="Arial" w:cs="Arial" w:eastAsia="Arial" w:hAnsi="Arial"/>
                <w:sz w:val="15"/>
                <w:szCs w:val="15"/>
                <w:color w:val="auto"/>
              </w:rPr>
              <w:t>(1.8)</w:t>
            </w:r>
          </w:p>
        </w:tc>
        <w:tc>
          <w:tcPr>
            <w:tcW w:w="0" w:type="dxa"/>
            <w:vAlign w:val="bottom"/>
          </w:tcPr>
          <w:p>
            <w:pPr>
              <w:spacing w:after="0"/>
              <w:rPr>
                <w:sz w:val="1"/>
                <w:szCs w:val="1"/>
                <w:color w:val="auto"/>
              </w:rPr>
            </w:pPr>
          </w:p>
        </w:tc>
      </w:tr>
      <w:tr>
        <w:trPr>
          <w:trHeight w:val="162"/>
        </w:trPr>
        <w:tc>
          <w:tcPr>
            <w:tcW w:w="8260" w:type="dxa"/>
            <w:vAlign w:val="bottom"/>
            <w:shd w:val="clear" w:color="auto" w:fill="CCEEFF"/>
          </w:tcPr>
          <w:p>
            <w:pPr>
              <w:spacing w:after="0" w:line="162" w:lineRule="exact"/>
              <w:rPr>
                <w:sz w:val="20"/>
                <w:szCs w:val="20"/>
                <w:color w:val="auto"/>
              </w:rPr>
            </w:pPr>
            <w:r>
              <w:rPr>
                <w:rFonts w:ascii="Arial" w:cs="Arial" w:eastAsia="Arial" w:hAnsi="Arial"/>
                <w:sz w:val="15"/>
                <w:szCs w:val="15"/>
                <w:color w:val="auto"/>
              </w:rPr>
              <w:t>Changes in operating assets and liabilities:</w:t>
            </w:r>
          </w:p>
        </w:tc>
        <w:tc>
          <w:tcPr>
            <w:tcW w:w="10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8260" w:type="dxa"/>
            <w:vAlign w:val="bottom"/>
          </w:tcPr>
          <w:p>
            <w:pPr>
              <w:ind w:left="320"/>
              <w:spacing w:after="0" w:line="162" w:lineRule="exact"/>
              <w:rPr>
                <w:sz w:val="20"/>
                <w:szCs w:val="20"/>
                <w:color w:val="auto"/>
              </w:rPr>
            </w:pPr>
            <w:r>
              <w:rPr>
                <w:rFonts w:ascii="Arial" w:cs="Arial" w:eastAsia="Arial" w:hAnsi="Arial"/>
                <w:sz w:val="15"/>
                <w:szCs w:val="15"/>
                <w:color w:val="auto"/>
              </w:rPr>
              <w:t>Trade and other receivables, net</w:t>
            </w:r>
          </w:p>
        </w:tc>
        <w:tc>
          <w:tcPr>
            <w:tcW w:w="100" w:type="dxa"/>
            <w:vAlign w:val="bottom"/>
          </w:tcPr>
          <w:p>
            <w:pPr>
              <w:spacing w:after="0"/>
              <w:rPr>
                <w:sz w:val="14"/>
                <w:szCs w:val="14"/>
                <w:color w:val="auto"/>
              </w:rPr>
            </w:pPr>
          </w:p>
        </w:tc>
        <w:tc>
          <w:tcPr>
            <w:tcW w:w="580" w:type="dxa"/>
            <w:vAlign w:val="bottom"/>
            <w:gridSpan w:val="2"/>
          </w:tcPr>
          <w:p>
            <w:pPr>
              <w:jc w:val="right"/>
              <w:ind w:right="140"/>
              <w:spacing w:after="0" w:line="162" w:lineRule="exact"/>
              <w:rPr>
                <w:sz w:val="20"/>
                <w:szCs w:val="20"/>
                <w:color w:val="auto"/>
              </w:rPr>
            </w:pPr>
            <w:r>
              <w:rPr>
                <w:rFonts w:ascii="Arial" w:cs="Arial" w:eastAsia="Arial" w:hAnsi="Arial"/>
                <w:sz w:val="15"/>
                <w:szCs w:val="15"/>
                <w:color w:val="auto"/>
              </w:rPr>
              <w:t>(9.9)</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gridSpan w:val="2"/>
          </w:tcPr>
          <w:p>
            <w:pPr>
              <w:jc w:val="right"/>
              <w:ind w:right="300"/>
              <w:spacing w:after="0" w:line="162" w:lineRule="exact"/>
              <w:rPr>
                <w:sz w:val="20"/>
                <w:szCs w:val="20"/>
                <w:color w:val="auto"/>
              </w:rPr>
            </w:pPr>
            <w:r>
              <w:rPr>
                <w:rFonts w:ascii="Arial" w:cs="Arial" w:eastAsia="Arial" w:hAnsi="Arial"/>
                <w:sz w:val="15"/>
                <w:szCs w:val="15"/>
                <w:color w:val="auto"/>
              </w:rPr>
              <w:t>1.0</w:t>
            </w:r>
          </w:p>
        </w:tc>
        <w:tc>
          <w:tcPr>
            <w:tcW w:w="80" w:type="dxa"/>
            <w:vAlign w:val="bottom"/>
          </w:tcPr>
          <w:p>
            <w:pPr>
              <w:spacing w:after="0"/>
              <w:rPr>
                <w:sz w:val="14"/>
                <w:szCs w:val="14"/>
                <w:color w:val="auto"/>
              </w:rPr>
            </w:pPr>
          </w:p>
        </w:tc>
        <w:tc>
          <w:tcPr>
            <w:tcW w:w="580" w:type="dxa"/>
            <w:vAlign w:val="bottom"/>
            <w:gridSpan w:val="2"/>
          </w:tcPr>
          <w:p>
            <w:pPr>
              <w:jc w:val="right"/>
              <w:ind w:right="180"/>
              <w:spacing w:after="0" w:line="162" w:lineRule="exact"/>
              <w:rPr>
                <w:sz w:val="20"/>
                <w:szCs w:val="20"/>
                <w:color w:val="auto"/>
              </w:rPr>
            </w:pPr>
            <w:r>
              <w:rPr>
                <w:rFonts w:ascii="Arial" w:cs="Arial" w:eastAsia="Arial" w:hAnsi="Arial"/>
                <w:sz w:val="15"/>
                <w:szCs w:val="15"/>
                <w:color w:val="auto"/>
              </w:rPr>
              <w:t>3.4</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00" w:type="dxa"/>
            <w:vAlign w:val="bottom"/>
            <w:gridSpan w:val="2"/>
          </w:tcPr>
          <w:p>
            <w:pPr>
              <w:jc w:val="right"/>
              <w:ind w:right="40"/>
              <w:spacing w:after="0" w:line="162" w:lineRule="exact"/>
              <w:rPr>
                <w:sz w:val="20"/>
                <w:szCs w:val="20"/>
                <w:color w:val="auto"/>
              </w:rPr>
            </w:pPr>
            <w:r>
              <w:rPr>
                <w:rFonts w:ascii="Arial" w:cs="Arial" w:eastAsia="Arial" w:hAnsi="Arial"/>
                <w:sz w:val="15"/>
                <w:szCs w:val="15"/>
                <w:color w:val="auto"/>
              </w:rPr>
              <w:t>(11.6)</w:t>
            </w:r>
          </w:p>
        </w:tc>
        <w:tc>
          <w:tcPr>
            <w:tcW w:w="0" w:type="dxa"/>
            <w:vAlign w:val="bottom"/>
          </w:tcPr>
          <w:p>
            <w:pPr>
              <w:spacing w:after="0"/>
              <w:rPr>
                <w:sz w:val="1"/>
                <w:szCs w:val="1"/>
                <w:color w:val="auto"/>
              </w:rPr>
            </w:pPr>
          </w:p>
        </w:tc>
      </w:tr>
      <w:tr>
        <w:trPr>
          <w:trHeight w:val="162"/>
        </w:trPr>
        <w:tc>
          <w:tcPr>
            <w:tcW w:w="8260" w:type="dxa"/>
            <w:vAlign w:val="bottom"/>
            <w:shd w:val="clear" w:color="auto" w:fill="CCEEFF"/>
          </w:tcPr>
          <w:p>
            <w:pPr>
              <w:ind w:left="320"/>
              <w:spacing w:after="0" w:line="162" w:lineRule="exact"/>
              <w:rPr>
                <w:sz w:val="20"/>
                <w:szCs w:val="20"/>
                <w:color w:val="auto"/>
              </w:rPr>
            </w:pPr>
            <w:r>
              <w:rPr>
                <w:rFonts w:ascii="Arial" w:cs="Arial" w:eastAsia="Arial" w:hAnsi="Arial"/>
                <w:sz w:val="15"/>
                <w:szCs w:val="15"/>
                <w:color w:val="auto"/>
              </w:rPr>
              <w:t>Prepaid expenses and other current assets</w:t>
            </w:r>
          </w:p>
        </w:tc>
        <w:tc>
          <w:tcPr>
            <w:tcW w:w="100" w:type="dxa"/>
            <w:vAlign w:val="bottom"/>
            <w:shd w:val="clear" w:color="auto" w:fill="CCEEFF"/>
          </w:tcPr>
          <w:p>
            <w:pPr>
              <w:spacing w:after="0"/>
              <w:rPr>
                <w:sz w:val="14"/>
                <w:szCs w:val="14"/>
                <w:color w:val="auto"/>
              </w:rPr>
            </w:pPr>
          </w:p>
        </w:tc>
        <w:tc>
          <w:tcPr>
            <w:tcW w:w="580" w:type="dxa"/>
            <w:vAlign w:val="bottom"/>
            <w:gridSpan w:val="2"/>
            <w:shd w:val="clear" w:color="auto" w:fill="CCEEFF"/>
          </w:tcPr>
          <w:p>
            <w:pPr>
              <w:jc w:val="right"/>
              <w:ind w:right="140"/>
              <w:spacing w:after="0" w:line="162" w:lineRule="exact"/>
              <w:rPr>
                <w:sz w:val="20"/>
                <w:szCs w:val="20"/>
                <w:color w:val="auto"/>
              </w:rPr>
            </w:pPr>
            <w:r>
              <w:rPr>
                <w:rFonts w:ascii="Arial" w:cs="Arial" w:eastAsia="Arial" w:hAnsi="Arial"/>
                <w:sz w:val="15"/>
                <w:szCs w:val="15"/>
                <w:color w:val="auto"/>
              </w:rPr>
              <w:t>(1.8)</w:t>
            </w: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00" w:type="dxa"/>
            <w:vAlign w:val="bottom"/>
            <w:gridSpan w:val="2"/>
            <w:shd w:val="clear" w:color="auto" w:fill="CCEEFF"/>
          </w:tcPr>
          <w:p>
            <w:pPr>
              <w:jc w:val="right"/>
              <w:ind w:right="380"/>
              <w:spacing w:after="0" w:line="162" w:lineRule="exact"/>
              <w:rPr>
                <w:sz w:val="20"/>
                <w:szCs w:val="20"/>
                <w:color w:val="auto"/>
              </w:rPr>
            </w:pPr>
            <w:r>
              <w:rPr>
                <w:rFonts w:ascii="Arial" w:cs="Arial" w:eastAsia="Arial" w:hAnsi="Arial"/>
                <w:sz w:val="15"/>
                <w:szCs w:val="15"/>
                <w:color w:val="auto"/>
              </w:rPr>
              <w:t>—</w:t>
            </w:r>
          </w:p>
        </w:tc>
        <w:tc>
          <w:tcPr>
            <w:tcW w:w="80" w:type="dxa"/>
            <w:vAlign w:val="bottom"/>
            <w:shd w:val="clear" w:color="auto" w:fill="CCEEFF"/>
          </w:tcPr>
          <w:p>
            <w:pPr>
              <w:spacing w:after="0"/>
              <w:rPr>
                <w:sz w:val="14"/>
                <w:szCs w:val="14"/>
                <w:color w:val="auto"/>
              </w:rPr>
            </w:pPr>
          </w:p>
        </w:tc>
        <w:tc>
          <w:tcPr>
            <w:tcW w:w="580" w:type="dxa"/>
            <w:vAlign w:val="bottom"/>
            <w:gridSpan w:val="2"/>
            <w:shd w:val="clear" w:color="auto" w:fill="CCEEFF"/>
          </w:tcPr>
          <w:p>
            <w:pPr>
              <w:jc w:val="right"/>
              <w:ind w:right="180"/>
              <w:spacing w:after="0" w:line="162" w:lineRule="exact"/>
              <w:rPr>
                <w:sz w:val="20"/>
                <w:szCs w:val="20"/>
                <w:color w:val="auto"/>
              </w:rPr>
            </w:pPr>
            <w:r>
              <w:rPr>
                <w:rFonts w:ascii="Arial" w:cs="Arial" w:eastAsia="Arial" w:hAnsi="Arial"/>
                <w:sz w:val="15"/>
                <w:szCs w:val="15"/>
                <w:color w:val="auto"/>
              </w:rPr>
              <w:t>8.6</w:t>
            </w:r>
          </w:p>
        </w:tc>
        <w:tc>
          <w:tcPr>
            <w:tcW w:w="1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00" w:type="dxa"/>
            <w:vAlign w:val="bottom"/>
            <w:gridSpan w:val="2"/>
            <w:shd w:val="clear" w:color="auto" w:fill="CCEEFF"/>
          </w:tcPr>
          <w:p>
            <w:pPr>
              <w:jc w:val="right"/>
              <w:ind w:right="100"/>
              <w:spacing w:after="0" w:line="162" w:lineRule="exact"/>
              <w:rPr>
                <w:sz w:val="20"/>
                <w:szCs w:val="20"/>
                <w:color w:val="auto"/>
              </w:rPr>
            </w:pPr>
            <w:r>
              <w:rPr>
                <w:rFonts w:ascii="Arial" w:cs="Arial" w:eastAsia="Arial" w:hAnsi="Arial"/>
                <w:sz w:val="15"/>
                <w:szCs w:val="15"/>
                <w:color w:val="auto"/>
              </w:rPr>
              <w:t>0.6</w:t>
            </w:r>
          </w:p>
        </w:tc>
        <w:tc>
          <w:tcPr>
            <w:tcW w:w="0" w:type="dxa"/>
            <w:vAlign w:val="bottom"/>
          </w:tcPr>
          <w:p>
            <w:pPr>
              <w:spacing w:after="0"/>
              <w:rPr>
                <w:sz w:val="1"/>
                <w:szCs w:val="1"/>
                <w:color w:val="auto"/>
              </w:rPr>
            </w:pPr>
          </w:p>
        </w:tc>
      </w:tr>
      <w:tr>
        <w:trPr>
          <w:trHeight w:val="162"/>
        </w:trPr>
        <w:tc>
          <w:tcPr>
            <w:tcW w:w="8260" w:type="dxa"/>
            <w:vAlign w:val="bottom"/>
          </w:tcPr>
          <w:p>
            <w:pPr>
              <w:ind w:left="320"/>
              <w:spacing w:after="0" w:line="162" w:lineRule="exact"/>
              <w:rPr>
                <w:sz w:val="20"/>
                <w:szCs w:val="20"/>
                <w:color w:val="auto"/>
              </w:rPr>
            </w:pPr>
            <w:r>
              <w:rPr>
                <w:rFonts w:ascii="Arial" w:cs="Arial" w:eastAsia="Arial" w:hAnsi="Arial"/>
                <w:sz w:val="15"/>
                <w:szCs w:val="15"/>
                <w:color w:val="auto"/>
              </w:rPr>
              <w:t>Other assets</w:t>
            </w:r>
          </w:p>
        </w:tc>
        <w:tc>
          <w:tcPr>
            <w:tcW w:w="100" w:type="dxa"/>
            <w:vAlign w:val="bottom"/>
          </w:tcPr>
          <w:p>
            <w:pPr>
              <w:spacing w:after="0"/>
              <w:rPr>
                <w:sz w:val="14"/>
                <w:szCs w:val="14"/>
                <w:color w:val="auto"/>
              </w:rPr>
            </w:pPr>
          </w:p>
        </w:tc>
        <w:tc>
          <w:tcPr>
            <w:tcW w:w="580" w:type="dxa"/>
            <w:vAlign w:val="bottom"/>
            <w:gridSpan w:val="2"/>
          </w:tcPr>
          <w:p>
            <w:pPr>
              <w:jc w:val="right"/>
              <w:ind w:right="180"/>
              <w:spacing w:after="0" w:line="162" w:lineRule="exact"/>
              <w:rPr>
                <w:sz w:val="20"/>
                <w:szCs w:val="20"/>
                <w:color w:val="auto"/>
              </w:rPr>
            </w:pPr>
            <w:r>
              <w:rPr>
                <w:rFonts w:ascii="Arial" w:cs="Arial" w:eastAsia="Arial" w:hAnsi="Arial"/>
                <w:sz w:val="15"/>
                <w:szCs w:val="15"/>
                <w:color w:val="auto"/>
              </w:rPr>
              <w:t>2.5</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gridSpan w:val="2"/>
          </w:tcPr>
          <w:p>
            <w:pPr>
              <w:jc w:val="right"/>
              <w:ind w:right="260"/>
              <w:spacing w:after="0" w:line="162" w:lineRule="exact"/>
              <w:rPr>
                <w:sz w:val="20"/>
                <w:szCs w:val="20"/>
                <w:color w:val="auto"/>
              </w:rPr>
            </w:pPr>
            <w:r>
              <w:rPr>
                <w:rFonts w:ascii="Arial" w:cs="Arial" w:eastAsia="Arial" w:hAnsi="Arial"/>
                <w:sz w:val="15"/>
                <w:szCs w:val="15"/>
                <w:color w:val="auto"/>
              </w:rPr>
              <w:t>(7.8)</w:t>
            </w:r>
          </w:p>
        </w:tc>
        <w:tc>
          <w:tcPr>
            <w:tcW w:w="80" w:type="dxa"/>
            <w:vAlign w:val="bottom"/>
          </w:tcPr>
          <w:p>
            <w:pPr>
              <w:spacing w:after="0"/>
              <w:rPr>
                <w:sz w:val="14"/>
                <w:szCs w:val="14"/>
                <w:color w:val="auto"/>
              </w:rPr>
            </w:pPr>
          </w:p>
        </w:tc>
        <w:tc>
          <w:tcPr>
            <w:tcW w:w="580" w:type="dxa"/>
            <w:vAlign w:val="bottom"/>
            <w:gridSpan w:val="2"/>
          </w:tcPr>
          <w:p>
            <w:pPr>
              <w:jc w:val="right"/>
              <w:ind w:right="120"/>
              <w:spacing w:after="0" w:line="162" w:lineRule="exact"/>
              <w:rPr>
                <w:sz w:val="20"/>
                <w:szCs w:val="20"/>
                <w:color w:val="auto"/>
              </w:rPr>
            </w:pPr>
            <w:r>
              <w:rPr>
                <w:rFonts w:ascii="Arial" w:cs="Arial" w:eastAsia="Arial" w:hAnsi="Arial"/>
                <w:sz w:val="15"/>
                <w:szCs w:val="15"/>
                <w:color w:val="auto"/>
              </w:rPr>
              <w:t>(10.2)</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00" w:type="dxa"/>
            <w:vAlign w:val="bottom"/>
            <w:gridSpan w:val="2"/>
          </w:tcPr>
          <w:p>
            <w:pPr>
              <w:jc w:val="right"/>
              <w:ind w:right="40"/>
              <w:spacing w:after="0" w:line="162" w:lineRule="exact"/>
              <w:rPr>
                <w:sz w:val="20"/>
                <w:szCs w:val="20"/>
                <w:color w:val="auto"/>
              </w:rPr>
            </w:pPr>
            <w:r>
              <w:rPr>
                <w:rFonts w:ascii="Arial" w:cs="Arial" w:eastAsia="Arial" w:hAnsi="Arial"/>
                <w:sz w:val="15"/>
                <w:szCs w:val="15"/>
                <w:color w:val="auto"/>
              </w:rPr>
              <w:t>(4.2)</w:t>
            </w:r>
          </w:p>
        </w:tc>
        <w:tc>
          <w:tcPr>
            <w:tcW w:w="0" w:type="dxa"/>
            <w:vAlign w:val="bottom"/>
          </w:tcPr>
          <w:p>
            <w:pPr>
              <w:spacing w:after="0"/>
              <w:rPr>
                <w:sz w:val="1"/>
                <w:szCs w:val="1"/>
                <w:color w:val="auto"/>
              </w:rPr>
            </w:pPr>
          </w:p>
        </w:tc>
      </w:tr>
      <w:tr>
        <w:trPr>
          <w:trHeight w:val="162"/>
        </w:trPr>
        <w:tc>
          <w:tcPr>
            <w:tcW w:w="8260" w:type="dxa"/>
            <w:vAlign w:val="bottom"/>
            <w:shd w:val="clear" w:color="auto" w:fill="CCEEFF"/>
          </w:tcPr>
          <w:p>
            <w:pPr>
              <w:ind w:left="320"/>
              <w:spacing w:after="0" w:line="162" w:lineRule="exact"/>
              <w:rPr>
                <w:sz w:val="20"/>
                <w:szCs w:val="20"/>
                <w:color w:val="auto"/>
              </w:rPr>
            </w:pPr>
            <w:r>
              <w:rPr>
                <w:rFonts w:ascii="Arial" w:cs="Arial" w:eastAsia="Arial" w:hAnsi="Arial"/>
                <w:sz w:val="15"/>
                <w:szCs w:val="15"/>
                <w:color w:val="auto"/>
              </w:rPr>
              <w:t>Accounts payable</w:t>
            </w:r>
          </w:p>
        </w:tc>
        <w:tc>
          <w:tcPr>
            <w:tcW w:w="100" w:type="dxa"/>
            <w:vAlign w:val="bottom"/>
            <w:shd w:val="clear" w:color="auto" w:fill="CCEEFF"/>
          </w:tcPr>
          <w:p>
            <w:pPr>
              <w:spacing w:after="0"/>
              <w:rPr>
                <w:sz w:val="14"/>
                <w:szCs w:val="14"/>
                <w:color w:val="auto"/>
              </w:rPr>
            </w:pPr>
          </w:p>
        </w:tc>
        <w:tc>
          <w:tcPr>
            <w:tcW w:w="580" w:type="dxa"/>
            <w:vAlign w:val="bottom"/>
            <w:gridSpan w:val="2"/>
            <w:shd w:val="clear" w:color="auto" w:fill="CCEEFF"/>
          </w:tcPr>
          <w:p>
            <w:pPr>
              <w:jc w:val="right"/>
              <w:ind w:right="180"/>
              <w:spacing w:after="0" w:line="162" w:lineRule="exact"/>
              <w:rPr>
                <w:sz w:val="20"/>
                <w:szCs w:val="20"/>
                <w:color w:val="auto"/>
              </w:rPr>
            </w:pPr>
            <w:r>
              <w:rPr>
                <w:rFonts w:ascii="Arial" w:cs="Arial" w:eastAsia="Arial" w:hAnsi="Arial"/>
                <w:sz w:val="15"/>
                <w:szCs w:val="15"/>
                <w:color w:val="auto"/>
              </w:rPr>
              <w:t>9.2</w:t>
            </w: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00" w:type="dxa"/>
            <w:vAlign w:val="bottom"/>
            <w:gridSpan w:val="2"/>
            <w:shd w:val="clear" w:color="auto" w:fill="CCEEFF"/>
          </w:tcPr>
          <w:p>
            <w:pPr>
              <w:jc w:val="right"/>
              <w:ind w:right="300"/>
              <w:spacing w:after="0" w:line="162" w:lineRule="exact"/>
              <w:rPr>
                <w:sz w:val="20"/>
                <w:szCs w:val="20"/>
                <w:color w:val="auto"/>
              </w:rPr>
            </w:pPr>
            <w:r>
              <w:rPr>
                <w:rFonts w:ascii="Arial" w:cs="Arial" w:eastAsia="Arial" w:hAnsi="Arial"/>
                <w:sz w:val="15"/>
                <w:szCs w:val="15"/>
                <w:color w:val="auto"/>
              </w:rPr>
              <w:t>5.5</w:t>
            </w:r>
          </w:p>
        </w:tc>
        <w:tc>
          <w:tcPr>
            <w:tcW w:w="80" w:type="dxa"/>
            <w:vAlign w:val="bottom"/>
            <w:shd w:val="clear" w:color="auto" w:fill="CCEEFF"/>
          </w:tcPr>
          <w:p>
            <w:pPr>
              <w:spacing w:after="0"/>
              <w:rPr>
                <w:sz w:val="14"/>
                <w:szCs w:val="14"/>
                <w:color w:val="auto"/>
              </w:rPr>
            </w:pPr>
          </w:p>
        </w:tc>
        <w:tc>
          <w:tcPr>
            <w:tcW w:w="580" w:type="dxa"/>
            <w:vAlign w:val="bottom"/>
            <w:gridSpan w:val="2"/>
            <w:shd w:val="clear" w:color="auto" w:fill="CCEEFF"/>
          </w:tcPr>
          <w:p>
            <w:pPr>
              <w:jc w:val="right"/>
              <w:ind w:right="180"/>
              <w:spacing w:after="0" w:line="162" w:lineRule="exact"/>
              <w:rPr>
                <w:sz w:val="20"/>
                <w:szCs w:val="20"/>
                <w:color w:val="auto"/>
              </w:rPr>
            </w:pPr>
            <w:r>
              <w:rPr>
                <w:rFonts w:ascii="Arial" w:cs="Arial" w:eastAsia="Arial" w:hAnsi="Arial"/>
                <w:sz w:val="15"/>
                <w:szCs w:val="15"/>
                <w:color w:val="auto"/>
              </w:rPr>
              <w:t>0.3</w:t>
            </w:r>
          </w:p>
        </w:tc>
        <w:tc>
          <w:tcPr>
            <w:tcW w:w="1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00" w:type="dxa"/>
            <w:vAlign w:val="bottom"/>
            <w:gridSpan w:val="2"/>
            <w:shd w:val="clear" w:color="auto" w:fill="CCEEFF"/>
          </w:tcPr>
          <w:p>
            <w:pPr>
              <w:jc w:val="right"/>
              <w:ind w:right="40"/>
              <w:spacing w:after="0" w:line="162" w:lineRule="exact"/>
              <w:rPr>
                <w:sz w:val="20"/>
                <w:szCs w:val="20"/>
                <w:color w:val="auto"/>
              </w:rPr>
            </w:pPr>
            <w:r>
              <w:rPr>
                <w:rFonts w:ascii="Arial" w:cs="Arial" w:eastAsia="Arial" w:hAnsi="Arial"/>
                <w:sz w:val="15"/>
                <w:szCs w:val="15"/>
                <w:color w:val="auto"/>
              </w:rPr>
              <w:t>(0.1)</w:t>
            </w:r>
          </w:p>
        </w:tc>
        <w:tc>
          <w:tcPr>
            <w:tcW w:w="0" w:type="dxa"/>
            <w:vAlign w:val="bottom"/>
          </w:tcPr>
          <w:p>
            <w:pPr>
              <w:spacing w:after="0"/>
              <w:rPr>
                <w:sz w:val="1"/>
                <w:szCs w:val="1"/>
                <w:color w:val="auto"/>
              </w:rPr>
            </w:pPr>
          </w:p>
        </w:tc>
      </w:tr>
      <w:tr>
        <w:trPr>
          <w:trHeight w:val="162"/>
        </w:trPr>
        <w:tc>
          <w:tcPr>
            <w:tcW w:w="8260" w:type="dxa"/>
            <w:vAlign w:val="bottom"/>
          </w:tcPr>
          <w:p>
            <w:pPr>
              <w:ind w:left="320"/>
              <w:spacing w:after="0" w:line="162" w:lineRule="exact"/>
              <w:rPr>
                <w:sz w:val="20"/>
                <w:szCs w:val="20"/>
                <w:color w:val="auto"/>
              </w:rPr>
            </w:pPr>
            <w:r>
              <w:rPr>
                <w:rFonts w:ascii="Arial" w:cs="Arial" w:eastAsia="Arial" w:hAnsi="Arial"/>
                <w:sz w:val="15"/>
                <w:szCs w:val="15"/>
                <w:color w:val="auto"/>
              </w:rPr>
              <w:t>Accrued and other current liabilities</w:t>
            </w:r>
          </w:p>
        </w:tc>
        <w:tc>
          <w:tcPr>
            <w:tcW w:w="100" w:type="dxa"/>
            <w:vAlign w:val="bottom"/>
          </w:tcPr>
          <w:p>
            <w:pPr>
              <w:spacing w:after="0"/>
              <w:rPr>
                <w:sz w:val="14"/>
                <w:szCs w:val="14"/>
                <w:color w:val="auto"/>
              </w:rPr>
            </w:pPr>
          </w:p>
        </w:tc>
        <w:tc>
          <w:tcPr>
            <w:tcW w:w="580" w:type="dxa"/>
            <w:vAlign w:val="bottom"/>
            <w:gridSpan w:val="2"/>
          </w:tcPr>
          <w:p>
            <w:pPr>
              <w:jc w:val="right"/>
              <w:ind w:right="180"/>
              <w:spacing w:after="0" w:line="162" w:lineRule="exact"/>
              <w:rPr>
                <w:sz w:val="20"/>
                <w:szCs w:val="20"/>
                <w:color w:val="auto"/>
              </w:rPr>
            </w:pPr>
            <w:r>
              <w:rPr>
                <w:rFonts w:ascii="Arial" w:cs="Arial" w:eastAsia="Arial" w:hAnsi="Arial"/>
                <w:sz w:val="15"/>
                <w:szCs w:val="15"/>
                <w:color w:val="auto"/>
              </w:rPr>
              <w:t>21.7</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gridSpan w:val="2"/>
          </w:tcPr>
          <w:p>
            <w:pPr>
              <w:jc w:val="right"/>
              <w:ind w:right="260"/>
              <w:spacing w:after="0" w:line="162" w:lineRule="exact"/>
              <w:rPr>
                <w:sz w:val="20"/>
                <w:szCs w:val="20"/>
                <w:color w:val="auto"/>
              </w:rPr>
            </w:pPr>
            <w:r>
              <w:rPr>
                <w:rFonts w:ascii="Arial" w:cs="Arial" w:eastAsia="Arial" w:hAnsi="Arial"/>
                <w:sz w:val="15"/>
                <w:szCs w:val="15"/>
                <w:color w:val="auto"/>
              </w:rPr>
              <w:t>(12.4)</w:t>
            </w:r>
          </w:p>
        </w:tc>
        <w:tc>
          <w:tcPr>
            <w:tcW w:w="80" w:type="dxa"/>
            <w:vAlign w:val="bottom"/>
          </w:tcPr>
          <w:p>
            <w:pPr>
              <w:spacing w:after="0"/>
              <w:rPr>
                <w:sz w:val="14"/>
                <w:szCs w:val="14"/>
                <w:color w:val="auto"/>
              </w:rPr>
            </w:pPr>
          </w:p>
        </w:tc>
        <w:tc>
          <w:tcPr>
            <w:tcW w:w="580" w:type="dxa"/>
            <w:vAlign w:val="bottom"/>
            <w:gridSpan w:val="2"/>
          </w:tcPr>
          <w:p>
            <w:pPr>
              <w:jc w:val="right"/>
              <w:ind w:right="120"/>
              <w:spacing w:after="0" w:line="162" w:lineRule="exact"/>
              <w:rPr>
                <w:sz w:val="20"/>
                <w:szCs w:val="20"/>
                <w:color w:val="auto"/>
              </w:rPr>
            </w:pPr>
            <w:r>
              <w:rPr>
                <w:rFonts w:ascii="Arial" w:cs="Arial" w:eastAsia="Arial" w:hAnsi="Arial"/>
                <w:sz w:val="15"/>
                <w:szCs w:val="15"/>
                <w:color w:val="auto"/>
              </w:rPr>
              <w:t>(5.0)</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00" w:type="dxa"/>
            <w:vAlign w:val="bottom"/>
            <w:gridSpan w:val="2"/>
          </w:tcPr>
          <w:p>
            <w:pPr>
              <w:jc w:val="right"/>
              <w:ind w:right="100"/>
              <w:spacing w:after="0" w:line="162" w:lineRule="exact"/>
              <w:rPr>
                <w:sz w:val="20"/>
                <w:szCs w:val="20"/>
                <w:color w:val="auto"/>
              </w:rPr>
            </w:pPr>
            <w:r>
              <w:rPr>
                <w:rFonts w:ascii="Arial" w:cs="Arial" w:eastAsia="Arial" w:hAnsi="Arial"/>
                <w:sz w:val="15"/>
                <w:szCs w:val="15"/>
                <w:color w:val="auto"/>
              </w:rPr>
              <w:t>26.0</w:t>
            </w:r>
          </w:p>
        </w:tc>
        <w:tc>
          <w:tcPr>
            <w:tcW w:w="0" w:type="dxa"/>
            <w:vAlign w:val="bottom"/>
          </w:tcPr>
          <w:p>
            <w:pPr>
              <w:spacing w:after="0"/>
              <w:rPr>
                <w:sz w:val="1"/>
                <w:szCs w:val="1"/>
                <w:color w:val="auto"/>
              </w:rPr>
            </w:pPr>
          </w:p>
        </w:tc>
      </w:tr>
      <w:tr>
        <w:trPr>
          <w:trHeight w:val="162"/>
        </w:trPr>
        <w:tc>
          <w:tcPr>
            <w:tcW w:w="8260" w:type="dxa"/>
            <w:vAlign w:val="bottom"/>
            <w:shd w:val="clear" w:color="auto" w:fill="CCEEFF"/>
          </w:tcPr>
          <w:p>
            <w:pPr>
              <w:ind w:left="320"/>
              <w:spacing w:after="0" w:line="162" w:lineRule="exact"/>
              <w:rPr>
                <w:sz w:val="20"/>
                <w:szCs w:val="20"/>
                <w:color w:val="auto"/>
              </w:rPr>
            </w:pPr>
            <w:r>
              <w:rPr>
                <w:rFonts w:ascii="Arial" w:cs="Arial" w:eastAsia="Arial" w:hAnsi="Arial"/>
                <w:sz w:val="15"/>
                <w:szCs w:val="15"/>
                <w:color w:val="auto"/>
              </w:rPr>
              <w:t>Accrued compensation and benefits</w:t>
            </w:r>
          </w:p>
        </w:tc>
        <w:tc>
          <w:tcPr>
            <w:tcW w:w="100" w:type="dxa"/>
            <w:vAlign w:val="bottom"/>
            <w:shd w:val="clear" w:color="auto" w:fill="CCEEFF"/>
          </w:tcPr>
          <w:p>
            <w:pPr>
              <w:spacing w:after="0"/>
              <w:rPr>
                <w:sz w:val="14"/>
                <w:szCs w:val="14"/>
                <w:color w:val="auto"/>
              </w:rPr>
            </w:pPr>
          </w:p>
        </w:tc>
        <w:tc>
          <w:tcPr>
            <w:tcW w:w="580" w:type="dxa"/>
            <w:vAlign w:val="bottom"/>
            <w:gridSpan w:val="2"/>
            <w:shd w:val="clear" w:color="auto" w:fill="CCEEFF"/>
          </w:tcPr>
          <w:p>
            <w:pPr>
              <w:jc w:val="right"/>
              <w:ind w:right="140"/>
              <w:spacing w:after="0" w:line="162" w:lineRule="exact"/>
              <w:rPr>
                <w:sz w:val="20"/>
                <w:szCs w:val="20"/>
                <w:color w:val="auto"/>
              </w:rPr>
            </w:pPr>
            <w:r>
              <w:rPr>
                <w:rFonts w:ascii="Arial" w:cs="Arial" w:eastAsia="Arial" w:hAnsi="Arial"/>
                <w:sz w:val="15"/>
                <w:szCs w:val="15"/>
                <w:color w:val="auto"/>
              </w:rPr>
              <w:t>(9.0)</w:t>
            </w: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00" w:type="dxa"/>
            <w:vAlign w:val="bottom"/>
            <w:gridSpan w:val="2"/>
            <w:shd w:val="clear" w:color="auto" w:fill="CCEEFF"/>
          </w:tcPr>
          <w:p>
            <w:pPr>
              <w:jc w:val="right"/>
              <w:ind w:right="300"/>
              <w:spacing w:after="0" w:line="162" w:lineRule="exact"/>
              <w:rPr>
                <w:sz w:val="20"/>
                <w:szCs w:val="20"/>
                <w:color w:val="auto"/>
              </w:rPr>
            </w:pPr>
            <w:r>
              <w:rPr>
                <w:rFonts w:ascii="Arial" w:cs="Arial" w:eastAsia="Arial" w:hAnsi="Arial"/>
                <w:sz w:val="15"/>
                <w:szCs w:val="15"/>
                <w:color w:val="auto"/>
              </w:rPr>
              <w:t>35.6</w:t>
            </w:r>
          </w:p>
        </w:tc>
        <w:tc>
          <w:tcPr>
            <w:tcW w:w="80" w:type="dxa"/>
            <w:vAlign w:val="bottom"/>
            <w:shd w:val="clear" w:color="auto" w:fill="CCEEFF"/>
          </w:tcPr>
          <w:p>
            <w:pPr>
              <w:spacing w:after="0"/>
              <w:rPr>
                <w:sz w:val="14"/>
                <w:szCs w:val="14"/>
                <w:color w:val="auto"/>
              </w:rPr>
            </w:pPr>
          </w:p>
        </w:tc>
        <w:tc>
          <w:tcPr>
            <w:tcW w:w="580" w:type="dxa"/>
            <w:vAlign w:val="bottom"/>
            <w:gridSpan w:val="2"/>
            <w:shd w:val="clear" w:color="auto" w:fill="CCEEFF"/>
          </w:tcPr>
          <w:p>
            <w:pPr>
              <w:jc w:val="right"/>
              <w:ind w:right="180"/>
              <w:spacing w:after="0" w:line="162" w:lineRule="exact"/>
              <w:rPr>
                <w:sz w:val="20"/>
                <w:szCs w:val="20"/>
                <w:color w:val="auto"/>
              </w:rPr>
            </w:pPr>
            <w:r>
              <w:rPr>
                <w:rFonts w:ascii="Arial" w:cs="Arial" w:eastAsia="Arial" w:hAnsi="Arial"/>
                <w:sz w:val="15"/>
                <w:szCs w:val="15"/>
                <w:color w:val="auto"/>
              </w:rPr>
              <w:t>28.3</w:t>
            </w:r>
          </w:p>
        </w:tc>
        <w:tc>
          <w:tcPr>
            <w:tcW w:w="1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00" w:type="dxa"/>
            <w:vAlign w:val="bottom"/>
            <w:gridSpan w:val="2"/>
            <w:shd w:val="clear" w:color="auto" w:fill="CCEEFF"/>
          </w:tcPr>
          <w:p>
            <w:pPr>
              <w:jc w:val="right"/>
              <w:ind w:right="100"/>
              <w:spacing w:after="0" w:line="162" w:lineRule="exact"/>
              <w:rPr>
                <w:sz w:val="20"/>
                <w:szCs w:val="20"/>
                <w:color w:val="auto"/>
              </w:rPr>
            </w:pPr>
            <w:r>
              <w:rPr>
                <w:rFonts w:ascii="Arial" w:cs="Arial" w:eastAsia="Arial" w:hAnsi="Arial"/>
                <w:sz w:val="15"/>
                <w:szCs w:val="15"/>
                <w:color w:val="auto"/>
              </w:rPr>
              <w:t>4.2</w:t>
            </w:r>
          </w:p>
        </w:tc>
        <w:tc>
          <w:tcPr>
            <w:tcW w:w="0" w:type="dxa"/>
            <w:vAlign w:val="bottom"/>
          </w:tcPr>
          <w:p>
            <w:pPr>
              <w:spacing w:after="0"/>
              <w:rPr>
                <w:sz w:val="1"/>
                <w:szCs w:val="1"/>
                <w:color w:val="auto"/>
              </w:rPr>
            </w:pPr>
          </w:p>
        </w:tc>
      </w:tr>
      <w:tr>
        <w:trPr>
          <w:trHeight w:val="162"/>
        </w:trPr>
        <w:tc>
          <w:tcPr>
            <w:tcW w:w="8260" w:type="dxa"/>
            <w:vAlign w:val="bottom"/>
          </w:tcPr>
          <w:p>
            <w:pPr>
              <w:ind w:left="320"/>
              <w:spacing w:after="0" w:line="162" w:lineRule="exact"/>
              <w:rPr>
                <w:sz w:val="20"/>
                <w:szCs w:val="20"/>
                <w:color w:val="auto"/>
              </w:rPr>
            </w:pPr>
            <w:r>
              <w:rPr>
                <w:rFonts w:ascii="Arial" w:cs="Arial" w:eastAsia="Arial" w:hAnsi="Arial"/>
                <w:sz w:val="15"/>
                <w:szCs w:val="15"/>
                <w:color w:val="auto"/>
              </w:rPr>
              <w:t>Deferred revenue</w:t>
            </w:r>
          </w:p>
        </w:tc>
        <w:tc>
          <w:tcPr>
            <w:tcW w:w="100" w:type="dxa"/>
            <w:vAlign w:val="bottom"/>
          </w:tcPr>
          <w:p>
            <w:pPr>
              <w:spacing w:after="0"/>
              <w:rPr>
                <w:sz w:val="14"/>
                <w:szCs w:val="14"/>
                <w:color w:val="auto"/>
              </w:rPr>
            </w:pPr>
          </w:p>
        </w:tc>
        <w:tc>
          <w:tcPr>
            <w:tcW w:w="580" w:type="dxa"/>
            <w:vAlign w:val="bottom"/>
            <w:gridSpan w:val="2"/>
          </w:tcPr>
          <w:p>
            <w:pPr>
              <w:jc w:val="right"/>
              <w:ind w:right="180"/>
              <w:spacing w:after="0" w:line="162" w:lineRule="exact"/>
              <w:rPr>
                <w:sz w:val="20"/>
                <w:szCs w:val="20"/>
                <w:color w:val="auto"/>
              </w:rPr>
            </w:pPr>
            <w:r>
              <w:rPr>
                <w:rFonts w:ascii="Arial" w:cs="Arial" w:eastAsia="Arial" w:hAnsi="Arial"/>
                <w:sz w:val="15"/>
                <w:szCs w:val="15"/>
                <w:color w:val="auto"/>
              </w:rPr>
              <w:t>82.0</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gridSpan w:val="2"/>
          </w:tcPr>
          <w:p>
            <w:pPr>
              <w:jc w:val="right"/>
              <w:ind w:right="300"/>
              <w:spacing w:after="0" w:line="162" w:lineRule="exact"/>
              <w:rPr>
                <w:sz w:val="20"/>
                <w:szCs w:val="20"/>
                <w:color w:val="auto"/>
              </w:rPr>
            </w:pPr>
            <w:r>
              <w:rPr>
                <w:rFonts w:ascii="Arial" w:cs="Arial" w:eastAsia="Arial" w:hAnsi="Arial"/>
                <w:sz w:val="15"/>
                <w:szCs w:val="15"/>
                <w:color w:val="auto"/>
              </w:rPr>
              <w:t>87.6</w:t>
            </w:r>
          </w:p>
        </w:tc>
        <w:tc>
          <w:tcPr>
            <w:tcW w:w="80" w:type="dxa"/>
            <w:vAlign w:val="bottom"/>
          </w:tcPr>
          <w:p>
            <w:pPr>
              <w:spacing w:after="0"/>
              <w:rPr>
                <w:sz w:val="14"/>
                <w:szCs w:val="14"/>
                <w:color w:val="auto"/>
              </w:rPr>
            </w:pPr>
          </w:p>
        </w:tc>
        <w:tc>
          <w:tcPr>
            <w:tcW w:w="580" w:type="dxa"/>
            <w:vAlign w:val="bottom"/>
            <w:gridSpan w:val="2"/>
          </w:tcPr>
          <w:p>
            <w:pPr>
              <w:jc w:val="right"/>
              <w:ind w:right="180"/>
              <w:spacing w:after="0" w:line="162" w:lineRule="exact"/>
              <w:rPr>
                <w:sz w:val="20"/>
                <w:szCs w:val="20"/>
                <w:color w:val="auto"/>
              </w:rPr>
            </w:pPr>
            <w:r>
              <w:rPr>
                <w:rFonts w:ascii="Arial" w:cs="Arial" w:eastAsia="Arial" w:hAnsi="Arial"/>
                <w:sz w:val="15"/>
                <w:szCs w:val="15"/>
                <w:color w:val="auto"/>
              </w:rPr>
              <w:t>70.4</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00" w:type="dxa"/>
            <w:vAlign w:val="bottom"/>
            <w:gridSpan w:val="2"/>
          </w:tcPr>
          <w:p>
            <w:pPr>
              <w:jc w:val="right"/>
              <w:ind w:right="100"/>
              <w:spacing w:after="0" w:line="162" w:lineRule="exact"/>
              <w:rPr>
                <w:sz w:val="20"/>
                <w:szCs w:val="20"/>
                <w:color w:val="auto"/>
              </w:rPr>
            </w:pPr>
            <w:r>
              <w:rPr>
                <w:rFonts w:ascii="Arial" w:cs="Arial" w:eastAsia="Arial" w:hAnsi="Arial"/>
                <w:sz w:val="15"/>
                <w:szCs w:val="15"/>
                <w:color w:val="auto"/>
              </w:rPr>
              <w:t>52.5</w:t>
            </w:r>
          </w:p>
        </w:tc>
        <w:tc>
          <w:tcPr>
            <w:tcW w:w="0" w:type="dxa"/>
            <w:vAlign w:val="bottom"/>
          </w:tcPr>
          <w:p>
            <w:pPr>
              <w:spacing w:after="0"/>
              <w:rPr>
                <w:sz w:val="1"/>
                <w:szCs w:val="1"/>
                <w:color w:val="auto"/>
              </w:rPr>
            </w:pPr>
          </w:p>
        </w:tc>
      </w:tr>
      <w:tr>
        <w:trPr>
          <w:trHeight w:val="162"/>
        </w:trPr>
        <w:tc>
          <w:tcPr>
            <w:tcW w:w="8260" w:type="dxa"/>
            <w:vAlign w:val="bottom"/>
            <w:shd w:val="clear" w:color="auto" w:fill="CCEEFF"/>
          </w:tcPr>
          <w:p>
            <w:pPr>
              <w:ind w:left="320"/>
              <w:spacing w:after="0" w:line="162" w:lineRule="exact"/>
              <w:rPr>
                <w:sz w:val="20"/>
                <w:szCs w:val="20"/>
                <w:color w:val="auto"/>
              </w:rPr>
            </w:pPr>
            <w:r>
              <w:rPr>
                <w:rFonts w:ascii="Arial" w:cs="Arial" w:eastAsia="Arial" w:hAnsi="Arial"/>
                <w:sz w:val="15"/>
                <w:szCs w:val="15"/>
                <w:color w:val="auto"/>
              </w:rPr>
              <w:t>Non-current liabilities</w:t>
            </w:r>
          </w:p>
        </w:tc>
        <w:tc>
          <w:tcPr>
            <w:tcW w:w="100" w:type="dxa"/>
            <w:vAlign w:val="bottom"/>
            <w:shd w:val="clear" w:color="auto" w:fill="CCEEFF"/>
          </w:tcPr>
          <w:p>
            <w:pPr>
              <w:spacing w:after="0"/>
              <w:rPr>
                <w:sz w:val="14"/>
                <w:szCs w:val="14"/>
                <w:color w:val="auto"/>
              </w:rPr>
            </w:pPr>
          </w:p>
        </w:tc>
        <w:tc>
          <w:tcPr>
            <w:tcW w:w="400" w:type="dxa"/>
            <w:vAlign w:val="bottom"/>
            <w:shd w:val="clear" w:color="auto" w:fill="CCEEFF"/>
          </w:tcPr>
          <w:p>
            <w:pPr>
              <w:jc w:val="right"/>
              <w:spacing w:after="0" w:line="162" w:lineRule="exact"/>
              <w:rPr>
                <w:sz w:val="20"/>
                <w:szCs w:val="20"/>
                <w:color w:val="auto"/>
              </w:rPr>
            </w:pPr>
            <w:r>
              <w:rPr>
                <w:rFonts w:ascii="Arial" w:cs="Arial" w:eastAsia="Arial" w:hAnsi="Arial"/>
                <w:sz w:val="15"/>
                <w:szCs w:val="15"/>
                <w:color w:val="auto"/>
              </w:rPr>
              <w:t>28.9</w:t>
            </w:r>
          </w:p>
        </w:tc>
        <w:tc>
          <w:tcPr>
            <w:tcW w:w="1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00" w:type="dxa"/>
            <w:vAlign w:val="bottom"/>
            <w:shd w:val="clear" w:color="auto" w:fill="CCEEFF"/>
          </w:tcPr>
          <w:p>
            <w:pPr>
              <w:jc w:val="right"/>
              <w:spacing w:after="0" w:line="162" w:lineRule="exact"/>
              <w:rPr>
                <w:sz w:val="20"/>
                <w:szCs w:val="20"/>
                <w:color w:val="auto"/>
              </w:rPr>
            </w:pPr>
            <w:r>
              <w:rPr>
                <w:rFonts w:ascii="Arial" w:cs="Arial" w:eastAsia="Arial" w:hAnsi="Arial"/>
                <w:sz w:val="15"/>
                <w:szCs w:val="15"/>
                <w:color w:val="auto"/>
              </w:rPr>
              <w:t>9.3</w:t>
            </w:r>
          </w:p>
        </w:tc>
        <w:tc>
          <w:tcPr>
            <w:tcW w:w="3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80" w:type="dxa"/>
            <w:vAlign w:val="bottom"/>
            <w:gridSpan w:val="2"/>
            <w:shd w:val="clear" w:color="auto" w:fill="CCEEFF"/>
          </w:tcPr>
          <w:p>
            <w:pPr>
              <w:jc w:val="right"/>
              <w:ind w:right="180"/>
              <w:spacing w:after="0" w:line="162" w:lineRule="exact"/>
              <w:rPr>
                <w:sz w:val="20"/>
                <w:szCs w:val="20"/>
                <w:color w:val="auto"/>
              </w:rPr>
            </w:pPr>
            <w:r>
              <w:rPr>
                <w:rFonts w:ascii="Arial" w:cs="Arial" w:eastAsia="Arial" w:hAnsi="Arial"/>
                <w:sz w:val="15"/>
                <w:szCs w:val="15"/>
                <w:color w:val="auto"/>
              </w:rPr>
              <w:t>14.2</w:t>
            </w:r>
          </w:p>
        </w:tc>
        <w:tc>
          <w:tcPr>
            <w:tcW w:w="1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00" w:type="dxa"/>
            <w:vAlign w:val="bottom"/>
            <w:gridSpan w:val="2"/>
            <w:shd w:val="clear" w:color="auto" w:fill="CCEEFF"/>
          </w:tcPr>
          <w:p>
            <w:pPr>
              <w:jc w:val="right"/>
              <w:ind w:right="40"/>
              <w:spacing w:after="0" w:line="162" w:lineRule="exact"/>
              <w:rPr>
                <w:sz w:val="20"/>
                <w:szCs w:val="20"/>
                <w:color w:val="auto"/>
              </w:rPr>
            </w:pPr>
            <w:r>
              <w:rPr>
                <w:rFonts w:ascii="Arial" w:cs="Arial" w:eastAsia="Arial" w:hAnsi="Arial"/>
                <w:sz w:val="15"/>
                <w:szCs w:val="15"/>
                <w:color w:val="auto"/>
              </w:rPr>
              <w:t>(3.4)</w:t>
            </w:r>
          </w:p>
        </w:tc>
        <w:tc>
          <w:tcPr>
            <w:tcW w:w="0" w:type="dxa"/>
            <w:vAlign w:val="bottom"/>
          </w:tcPr>
          <w:p>
            <w:pPr>
              <w:spacing w:after="0"/>
              <w:rPr>
                <w:sz w:val="1"/>
                <w:szCs w:val="1"/>
                <w:color w:val="auto"/>
              </w:rPr>
            </w:pPr>
          </w:p>
        </w:tc>
      </w:tr>
      <w:tr>
        <w:trPr>
          <w:trHeight w:val="20"/>
        </w:trPr>
        <w:tc>
          <w:tcPr>
            <w:tcW w:w="8260" w:type="dxa"/>
            <w:vAlign w:val="bottom"/>
            <w:vMerge w:val="restart"/>
          </w:tcPr>
          <w:p>
            <w:pPr>
              <w:spacing w:after="0"/>
              <w:rPr>
                <w:sz w:val="20"/>
                <w:szCs w:val="20"/>
                <w:color w:val="auto"/>
              </w:rPr>
            </w:pPr>
            <w:r>
              <w:rPr>
                <w:rFonts w:ascii="Arial" w:cs="Arial" w:eastAsia="Arial" w:hAnsi="Arial"/>
                <w:sz w:val="15"/>
                <w:szCs w:val="15"/>
                <w:b w:val="1"/>
                <w:bCs w:val="1"/>
                <w:color w:val="auto"/>
              </w:rPr>
              <w:t>Net cash provided by operating activities</w:t>
            </w:r>
          </w:p>
        </w:tc>
        <w:tc>
          <w:tcPr>
            <w:tcW w:w="1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826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400" w:type="dxa"/>
            <w:vAlign w:val="bottom"/>
          </w:tcPr>
          <w:p>
            <w:pPr>
              <w:jc w:val="right"/>
              <w:spacing w:after="0" w:line="169" w:lineRule="exact"/>
              <w:rPr>
                <w:sz w:val="20"/>
                <w:szCs w:val="20"/>
                <w:color w:val="auto"/>
              </w:rPr>
            </w:pPr>
            <w:r>
              <w:rPr>
                <w:rFonts w:ascii="Arial" w:cs="Arial" w:eastAsia="Arial" w:hAnsi="Arial"/>
                <w:sz w:val="15"/>
                <w:szCs w:val="15"/>
                <w:color w:val="auto"/>
              </w:rPr>
              <w:t>14.8</w:t>
            </w:r>
          </w:p>
        </w:tc>
        <w:tc>
          <w:tcPr>
            <w:tcW w:w="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0" w:type="dxa"/>
            <w:vAlign w:val="bottom"/>
          </w:tcPr>
          <w:p>
            <w:pPr>
              <w:jc w:val="right"/>
              <w:spacing w:after="0" w:line="169" w:lineRule="exact"/>
              <w:rPr>
                <w:sz w:val="20"/>
                <w:szCs w:val="20"/>
                <w:color w:val="auto"/>
              </w:rPr>
            </w:pPr>
            <w:r>
              <w:rPr>
                <w:rFonts w:ascii="Arial" w:cs="Arial" w:eastAsia="Arial" w:hAnsi="Arial"/>
                <w:sz w:val="15"/>
                <w:szCs w:val="15"/>
                <w:color w:val="auto"/>
              </w:rPr>
              <w:t>252.6</w:t>
            </w:r>
          </w:p>
        </w:tc>
        <w:tc>
          <w:tcPr>
            <w:tcW w:w="3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80" w:type="dxa"/>
            <w:vAlign w:val="bottom"/>
            <w:gridSpan w:val="2"/>
          </w:tcPr>
          <w:p>
            <w:pPr>
              <w:jc w:val="right"/>
              <w:ind w:right="180"/>
              <w:spacing w:after="0" w:line="169" w:lineRule="exact"/>
              <w:rPr>
                <w:sz w:val="20"/>
                <w:szCs w:val="20"/>
                <w:color w:val="auto"/>
              </w:rPr>
            </w:pPr>
            <w:r>
              <w:rPr>
                <w:rFonts w:ascii="Arial" w:cs="Arial" w:eastAsia="Arial" w:hAnsi="Arial"/>
                <w:sz w:val="15"/>
                <w:szCs w:val="15"/>
                <w:color w:val="auto"/>
              </w:rPr>
              <w:t>186.7</w:t>
            </w: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00" w:type="dxa"/>
            <w:vAlign w:val="bottom"/>
            <w:gridSpan w:val="2"/>
          </w:tcPr>
          <w:p>
            <w:pPr>
              <w:jc w:val="right"/>
              <w:ind w:right="100"/>
              <w:spacing w:after="0" w:line="169" w:lineRule="exact"/>
              <w:rPr>
                <w:sz w:val="20"/>
                <w:szCs w:val="20"/>
                <w:color w:val="auto"/>
              </w:rPr>
            </w:pPr>
            <w:r>
              <w:rPr>
                <w:rFonts w:ascii="Arial" w:cs="Arial" w:eastAsia="Arial" w:hAnsi="Arial"/>
                <w:sz w:val="15"/>
                <w:szCs w:val="15"/>
                <w:color w:val="auto"/>
              </w:rPr>
              <w:t>259.2</w:t>
            </w:r>
          </w:p>
        </w:tc>
        <w:tc>
          <w:tcPr>
            <w:tcW w:w="0" w:type="dxa"/>
            <w:vAlign w:val="bottom"/>
          </w:tcPr>
          <w:p>
            <w:pPr>
              <w:spacing w:after="0"/>
              <w:rPr>
                <w:sz w:val="1"/>
                <w:szCs w:val="1"/>
                <w:color w:val="auto"/>
              </w:rPr>
            </w:pPr>
          </w:p>
        </w:tc>
      </w:tr>
      <w:tr>
        <w:trPr>
          <w:trHeight w:val="162"/>
        </w:trPr>
        <w:tc>
          <w:tcPr>
            <w:tcW w:w="8260" w:type="dxa"/>
            <w:vAlign w:val="bottom"/>
            <w:shd w:val="clear" w:color="auto" w:fill="CCEEFF"/>
          </w:tcPr>
          <w:p>
            <w:pPr>
              <w:spacing w:after="0" w:line="162" w:lineRule="exact"/>
              <w:rPr>
                <w:sz w:val="20"/>
                <w:szCs w:val="20"/>
                <w:color w:val="auto"/>
              </w:rPr>
            </w:pPr>
            <w:r>
              <w:rPr>
                <w:rFonts w:ascii="Arial" w:cs="Arial" w:eastAsia="Arial" w:hAnsi="Arial"/>
                <w:sz w:val="15"/>
                <w:szCs w:val="15"/>
                <w:b w:val="1"/>
                <w:bCs w:val="1"/>
                <w:color w:val="auto"/>
              </w:rPr>
              <w:t>Cash flow from investing activities</w:t>
            </w:r>
          </w:p>
        </w:tc>
        <w:tc>
          <w:tcPr>
            <w:tcW w:w="100" w:type="dxa"/>
            <w:vAlign w:val="bottom"/>
            <w:tcBorders>
              <w:top w:val="single" w:sz="8" w:color="auto"/>
            </w:tcBorders>
            <w:shd w:val="clear" w:color="auto" w:fill="CCEEFF"/>
          </w:tcPr>
          <w:p>
            <w:pPr>
              <w:spacing w:after="0"/>
              <w:rPr>
                <w:sz w:val="14"/>
                <w:szCs w:val="14"/>
                <w:color w:val="auto"/>
              </w:rPr>
            </w:pPr>
          </w:p>
        </w:tc>
        <w:tc>
          <w:tcPr>
            <w:tcW w:w="400" w:type="dxa"/>
            <w:vAlign w:val="bottom"/>
            <w:tcBorders>
              <w:top w:val="single" w:sz="8" w:color="auto"/>
            </w:tcBorders>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spacing w:after="0"/>
              <w:rPr>
                <w:sz w:val="14"/>
                <w:szCs w:val="14"/>
                <w:color w:val="auto"/>
              </w:rPr>
            </w:pPr>
          </w:p>
        </w:tc>
        <w:tc>
          <w:tcPr>
            <w:tcW w:w="400" w:type="dxa"/>
            <w:vAlign w:val="bottom"/>
            <w:tcBorders>
              <w:top w:val="single" w:sz="8" w:color="auto"/>
            </w:tcBorders>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80" w:type="dxa"/>
            <w:vAlign w:val="bottom"/>
            <w:tcBorders>
              <w:top w:val="single" w:sz="8" w:color="auto"/>
            </w:tcBorders>
            <w:shd w:val="clear" w:color="auto" w:fill="CCEEFF"/>
          </w:tcPr>
          <w:p>
            <w:pPr>
              <w:spacing w:after="0"/>
              <w:rPr>
                <w:sz w:val="14"/>
                <w:szCs w:val="14"/>
                <w:color w:val="auto"/>
              </w:rPr>
            </w:pPr>
          </w:p>
        </w:tc>
        <w:tc>
          <w:tcPr>
            <w:tcW w:w="400" w:type="dxa"/>
            <w:vAlign w:val="bottom"/>
            <w:tcBorders>
              <w:top w:val="single" w:sz="8" w:color="auto"/>
            </w:tcBorders>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0" w:type="dxa"/>
            <w:vAlign w:val="bottom"/>
            <w:tcBorders>
              <w:top w:val="single" w:sz="8" w:color="auto"/>
            </w:tcBorders>
            <w:shd w:val="clear" w:color="auto" w:fill="CCEEFF"/>
          </w:tcPr>
          <w:p>
            <w:pPr>
              <w:spacing w:after="0"/>
              <w:rPr>
                <w:sz w:val="14"/>
                <w:szCs w:val="14"/>
                <w:color w:val="auto"/>
              </w:rPr>
            </w:pPr>
          </w:p>
        </w:tc>
        <w:tc>
          <w:tcPr>
            <w:tcW w:w="400" w:type="dxa"/>
            <w:vAlign w:val="bottom"/>
            <w:tcBorders>
              <w:top w:val="single" w:sz="8" w:color="auto"/>
            </w:tcBorders>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8260" w:type="dxa"/>
            <w:vAlign w:val="bottom"/>
          </w:tcPr>
          <w:p>
            <w:pPr>
              <w:ind w:left="320"/>
              <w:spacing w:after="0" w:line="162" w:lineRule="exact"/>
              <w:rPr>
                <w:sz w:val="20"/>
                <w:szCs w:val="20"/>
                <w:color w:val="auto"/>
              </w:rPr>
            </w:pPr>
            <w:r>
              <w:rPr>
                <w:rFonts w:ascii="Arial" w:cs="Arial" w:eastAsia="Arial" w:hAnsi="Arial"/>
                <w:sz w:val="15"/>
                <w:szCs w:val="15"/>
                <w:color w:val="auto"/>
              </w:rPr>
              <w:t>Capital expenditures</w:t>
            </w:r>
          </w:p>
        </w:tc>
        <w:tc>
          <w:tcPr>
            <w:tcW w:w="100" w:type="dxa"/>
            <w:vAlign w:val="bottom"/>
          </w:tcPr>
          <w:p>
            <w:pPr>
              <w:spacing w:after="0"/>
              <w:rPr>
                <w:sz w:val="14"/>
                <w:szCs w:val="14"/>
                <w:color w:val="auto"/>
              </w:rPr>
            </w:pPr>
          </w:p>
        </w:tc>
        <w:tc>
          <w:tcPr>
            <w:tcW w:w="580" w:type="dxa"/>
            <w:vAlign w:val="bottom"/>
            <w:gridSpan w:val="2"/>
          </w:tcPr>
          <w:p>
            <w:pPr>
              <w:jc w:val="right"/>
              <w:ind w:right="140"/>
              <w:spacing w:after="0" w:line="162" w:lineRule="exact"/>
              <w:rPr>
                <w:sz w:val="20"/>
                <w:szCs w:val="20"/>
                <w:color w:val="auto"/>
              </w:rPr>
            </w:pPr>
            <w:r>
              <w:rPr>
                <w:rFonts w:ascii="Arial" w:cs="Arial" w:eastAsia="Arial" w:hAnsi="Arial"/>
                <w:sz w:val="15"/>
                <w:szCs w:val="15"/>
                <w:color w:val="auto"/>
              </w:rPr>
              <w:t>(78.7)</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gridSpan w:val="2"/>
          </w:tcPr>
          <w:p>
            <w:pPr>
              <w:jc w:val="right"/>
              <w:ind w:right="260"/>
              <w:spacing w:after="0" w:line="162" w:lineRule="exact"/>
              <w:rPr>
                <w:sz w:val="20"/>
                <w:szCs w:val="20"/>
                <w:color w:val="auto"/>
              </w:rPr>
            </w:pPr>
            <w:r>
              <w:rPr>
                <w:rFonts w:ascii="Arial" w:cs="Arial" w:eastAsia="Arial" w:hAnsi="Arial"/>
                <w:sz w:val="15"/>
                <w:szCs w:val="15"/>
                <w:color w:val="auto"/>
                <w:w w:val="88"/>
              </w:rPr>
              <w:t>(115.2)</w:t>
            </w:r>
          </w:p>
        </w:tc>
        <w:tc>
          <w:tcPr>
            <w:tcW w:w="80" w:type="dxa"/>
            <w:vAlign w:val="bottom"/>
          </w:tcPr>
          <w:p>
            <w:pPr>
              <w:spacing w:after="0"/>
              <w:rPr>
                <w:sz w:val="14"/>
                <w:szCs w:val="14"/>
                <w:color w:val="auto"/>
              </w:rPr>
            </w:pPr>
          </w:p>
        </w:tc>
        <w:tc>
          <w:tcPr>
            <w:tcW w:w="580" w:type="dxa"/>
            <w:vAlign w:val="bottom"/>
            <w:gridSpan w:val="2"/>
          </w:tcPr>
          <w:p>
            <w:pPr>
              <w:jc w:val="right"/>
              <w:ind w:right="120"/>
              <w:spacing w:after="0" w:line="162" w:lineRule="exact"/>
              <w:rPr>
                <w:sz w:val="20"/>
                <w:szCs w:val="20"/>
                <w:color w:val="auto"/>
              </w:rPr>
            </w:pPr>
            <w:r>
              <w:rPr>
                <w:rFonts w:ascii="Arial" w:cs="Arial" w:eastAsia="Arial" w:hAnsi="Arial"/>
                <w:sz w:val="15"/>
                <w:szCs w:val="15"/>
                <w:color w:val="auto"/>
                <w:w w:val="92"/>
              </w:rPr>
              <w:t>(111.6)</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00" w:type="dxa"/>
            <w:vAlign w:val="bottom"/>
            <w:gridSpan w:val="2"/>
          </w:tcPr>
          <w:p>
            <w:pPr>
              <w:jc w:val="right"/>
              <w:ind w:right="40"/>
              <w:spacing w:after="0" w:line="162" w:lineRule="exact"/>
              <w:rPr>
                <w:sz w:val="20"/>
                <w:szCs w:val="20"/>
                <w:color w:val="auto"/>
              </w:rPr>
            </w:pPr>
            <w:r>
              <w:rPr>
                <w:rFonts w:ascii="Arial" w:cs="Arial" w:eastAsia="Arial" w:hAnsi="Arial"/>
                <w:sz w:val="15"/>
                <w:szCs w:val="15"/>
                <w:color w:val="auto"/>
              </w:rPr>
              <w:t>(12.0)</w:t>
            </w:r>
          </w:p>
        </w:tc>
        <w:tc>
          <w:tcPr>
            <w:tcW w:w="0" w:type="dxa"/>
            <w:vAlign w:val="bottom"/>
          </w:tcPr>
          <w:p>
            <w:pPr>
              <w:spacing w:after="0"/>
              <w:rPr>
                <w:sz w:val="1"/>
                <w:szCs w:val="1"/>
                <w:color w:val="auto"/>
              </w:rPr>
            </w:pPr>
          </w:p>
        </w:tc>
      </w:tr>
      <w:tr>
        <w:trPr>
          <w:trHeight w:val="162"/>
        </w:trPr>
        <w:tc>
          <w:tcPr>
            <w:tcW w:w="8260" w:type="dxa"/>
            <w:vAlign w:val="bottom"/>
            <w:shd w:val="clear" w:color="auto" w:fill="CCEEFF"/>
          </w:tcPr>
          <w:p>
            <w:pPr>
              <w:ind w:left="320"/>
              <w:spacing w:after="0" w:line="162" w:lineRule="exact"/>
              <w:rPr>
                <w:sz w:val="20"/>
                <w:szCs w:val="20"/>
                <w:color w:val="auto"/>
              </w:rPr>
            </w:pPr>
            <w:r>
              <w:rPr>
                <w:rFonts w:ascii="Arial" w:cs="Arial" w:eastAsia="Arial" w:hAnsi="Arial"/>
                <w:sz w:val="15"/>
                <w:szCs w:val="15"/>
                <w:color w:val="auto"/>
              </w:rPr>
              <w:t>Purchase of intangible assets</w:t>
            </w:r>
          </w:p>
        </w:tc>
        <w:tc>
          <w:tcPr>
            <w:tcW w:w="100" w:type="dxa"/>
            <w:vAlign w:val="bottom"/>
            <w:shd w:val="clear" w:color="auto" w:fill="CCEEFF"/>
          </w:tcPr>
          <w:p>
            <w:pPr>
              <w:spacing w:after="0"/>
              <w:rPr>
                <w:sz w:val="14"/>
                <w:szCs w:val="14"/>
                <w:color w:val="auto"/>
              </w:rPr>
            </w:pPr>
          </w:p>
        </w:tc>
        <w:tc>
          <w:tcPr>
            <w:tcW w:w="580" w:type="dxa"/>
            <w:vAlign w:val="bottom"/>
            <w:gridSpan w:val="2"/>
            <w:shd w:val="clear" w:color="auto" w:fill="CCEEFF"/>
          </w:tcPr>
          <w:p>
            <w:pPr>
              <w:jc w:val="right"/>
              <w:ind w:right="140"/>
              <w:spacing w:after="0" w:line="162" w:lineRule="exact"/>
              <w:rPr>
                <w:sz w:val="20"/>
                <w:szCs w:val="20"/>
                <w:color w:val="auto"/>
              </w:rPr>
            </w:pPr>
            <w:r>
              <w:rPr>
                <w:rFonts w:ascii="Arial" w:cs="Arial" w:eastAsia="Arial" w:hAnsi="Arial"/>
                <w:sz w:val="15"/>
                <w:szCs w:val="15"/>
                <w:color w:val="auto"/>
              </w:rPr>
              <w:t>(4.6)</w:t>
            </w: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00" w:type="dxa"/>
            <w:vAlign w:val="bottom"/>
            <w:gridSpan w:val="2"/>
            <w:shd w:val="clear" w:color="auto" w:fill="CCEEFF"/>
          </w:tcPr>
          <w:p>
            <w:pPr>
              <w:jc w:val="right"/>
              <w:ind w:right="260"/>
              <w:spacing w:after="0" w:line="162" w:lineRule="exact"/>
              <w:rPr>
                <w:sz w:val="20"/>
                <w:szCs w:val="20"/>
                <w:color w:val="auto"/>
              </w:rPr>
            </w:pPr>
            <w:r>
              <w:rPr>
                <w:rFonts w:ascii="Arial" w:cs="Arial" w:eastAsia="Arial" w:hAnsi="Arial"/>
                <w:sz w:val="15"/>
                <w:szCs w:val="15"/>
                <w:color w:val="auto"/>
              </w:rPr>
              <w:t>(8.5)</w:t>
            </w:r>
          </w:p>
        </w:tc>
        <w:tc>
          <w:tcPr>
            <w:tcW w:w="80" w:type="dxa"/>
            <w:vAlign w:val="bottom"/>
            <w:shd w:val="clear" w:color="auto" w:fill="CCEEFF"/>
          </w:tcPr>
          <w:p>
            <w:pPr>
              <w:spacing w:after="0"/>
              <w:rPr>
                <w:sz w:val="14"/>
                <w:szCs w:val="14"/>
                <w:color w:val="auto"/>
              </w:rPr>
            </w:pPr>
          </w:p>
        </w:tc>
        <w:tc>
          <w:tcPr>
            <w:tcW w:w="580" w:type="dxa"/>
            <w:vAlign w:val="bottom"/>
            <w:gridSpan w:val="2"/>
            <w:shd w:val="clear" w:color="auto" w:fill="CCEEFF"/>
          </w:tcPr>
          <w:p>
            <w:pPr>
              <w:jc w:val="right"/>
              <w:ind w:right="120"/>
              <w:spacing w:after="0" w:line="162" w:lineRule="exact"/>
              <w:rPr>
                <w:sz w:val="20"/>
                <w:szCs w:val="20"/>
                <w:color w:val="auto"/>
              </w:rPr>
            </w:pPr>
            <w:r>
              <w:rPr>
                <w:rFonts w:ascii="Arial" w:cs="Arial" w:eastAsia="Arial" w:hAnsi="Arial"/>
                <w:sz w:val="15"/>
                <w:szCs w:val="15"/>
                <w:color w:val="auto"/>
              </w:rPr>
              <w:t>(8.5)</w:t>
            </w:r>
          </w:p>
        </w:tc>
        <w:tc>
          <w:tcPr>
            <w:tcW w:w="1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00" w:type="dxa"/>
            <w:vAlign w:val="bottom"/>
            <w:gridSpan w:val="2"/>
            <w:shd w:val="clear" w:color="auto" w:fill="CCEEFF"/>
          </w:tcPr>
          <w:p>
            <w:pPr>
              <w:jc w:val="right"/>
              <w:ind w:right="40"/>
              <w:spacing w:after="0" w:line="162" w:lineRule="exact"/>
              <w:rPr>
                <w:sz w:val="20"/>
                <w:szCs w:val="20"/>
                <w:color w:val="auto"/>
              </w:rPr>
            </w:pPr>
            <w:r>
              <w:rPr>
                <w:rFonts w:ascii="Arial" w:cs="Arial" w:eastAsia="Arial" w:hAnsi="Arial"/>
                <w:sz w:val="15"/>
                <w:szCs w:val="15"/>
                <w:color w:val="auto"/>
              </w:rPr>
              <w:t>(0.8)</w:t>
            </w:r>
          </w:p>
        </w:tc>
        <w:tc>
          <w:tcPr>
            <w:tcW w:w="0" w:type="dxa"/>
            <w:vAlign w:val="bottom"/>
          </w:tcPr>
          <w:p>
            <w:pPr>
              <w:spacing w:after="0"/>
              <w:rPr>
                <w:sz w:val="1"/>
                <w:szCs w:val="1"/>
                <w:color w:val="auto"/>
              </w:rPr>
            </w:pPr>
          </w:p>
        </w:tc>
      </w:tr>
      <w:tr>
        <w:trPr>
          <w:trHeight w:val="162"/>
        </w:trPr>
        <w:tc>
          <w:tcPr>
            <w:tcW w:w="8260" w:type="dxa"/>
            <w:vAlign w:val="bottom"/>
          </w:tcPr>
          <w:p>
            <w:pPr>
              <w:ind w:left="320"/>
              <w:spacing w:after="0" w:line="162" w:lineRule="exact"/>
              <w:rPr>
                <w:sz w:val="20"/>
                <w:szCs w:val="20"/>
                <w:color w:val="auto"/>
              </w:rPr>
            </w:pPr>
            <w:r>
              <w:rPr>
                <w:rFonts w:ascii="Arial" w:cs="Arial" w:eastAsia="Arial" w:hAnsi="Arial"/>
                <w:sz w:val="15"/>
                <w:szCs w:val="15"/>
                <w:color w:val="auto"/>
              </w:rPr>
              <w:t>Cash received from equipment rebates</w:t>
            </w:r>
          </w:p>
        </w:tc>
        <w:tc>
          <w:tcPr>
            <w:tcW w:w="100" w:type="dxa"/>
            <w:vAlign w:val="bottom"/>
          </w:tcPr>
          <w:p>
            <w:pPr>
              <w:spacing w:after="0"/>
              <w:rPr>
                <w:sz w:val="14"/>
                <w:szCs w:val="14"/>
                <w:color w:val="auto"/>
              </w:rPr>
            </w:pPr>
          </w:p>
        </w:tc>
        <w:tc>
          <w:tcPr>
            <w:tcW w:w="580" w:type="dxa"/>
            <w:vAlign w:val="bottom"/>
            <w:gridSpan w:val="2"/>
          </w:tcPr>
          <w:p>
            <w:pPr>
              <w:jc w:val="right"/>
              <w:ind w:right="260"/>
              <w:spacing w:after="0" w:line="162" w:lineRule="exact"/>
              <w:rPr>
                <w:sz w:val="20"/>
                <w:szCs w:val="20"/>
                <w:color w:val="auto"/>
              </w:rPr>
            </w:pPr>
            <w:r>
              <w:rPr>
                <w:rFonts w:ascii="Arial" w:cs="Arial" w:eastAsia="Arial" w:hAnsi="Arial"/>
                <w:sz w:val="15"/>
                <w:szCs w:val="15"/>
                <w:color w:val="auto"/>
              </w:rPr>
              <w:t>—</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gridSpan w:val="2"/>
          </w:tcPr>
          <w:p>
            <w:pPr>
              <w:jc w:val="right"/>
              <w:ind w:right="300"/>
              <w:spacing w:after="0" w:line="162" w:lineRule="exact"/>
              <w:rPr>
                <w:sz w:val="20"/>
                <w:szCs w:val="20"/>
                <w:color w:val="auto"/>
              </w:rPr>
            </w:pPr>
            <w:r>
              <w:rPr>
                <w:rFonts w:ascii="Arial" w:cs="Arial" w:eastAsia="Arial" w:hAnsi="Arial"/>
                <w:sz w:val="15"/>
                <w:szCs w:val="15"/>
                <w:color w:val="auto"/>
              </w:rPr>
              <w:t>3.6</w:t>
            </w:r>
          </w:p>
        </w:tc>
        <w:tc>
          <w:tcPr>
            <w:tcW w:w="80" w:type="dxa"/>
            <w:vAlign w:val="bottom"/>
          </w:tcPr>
          <w:p>
            <w:pPr>
              <w:spacing w:after="0"/>
              <w:rPr>
                <w:sz w:val="14"/>
                <w:szCs w:val="14"/>
                <w:color w:val="auto"/>
              </w:rPr>
            </w:pPr>
          </w:p>
        </w:tc>
        <w:tc>
          <w:tcPr>
            <w:tcW w:w="580" w:type="dxa"/>
            <w:vAlign w:val="bottom"/>
            <w:gridSpan w:val="2"/>
          </w:tcPr>
          <w:p>
            <w:pPr>
              <w:jc w:val="right"/>
              <w:ind w:right="180"/>
              <w:spacing w:after="0" w:line="162" w:lineRule="exact"/>
              <w:rPr>
                <w:sz w:val="20"/>
                <w:szCs w:val="20"/>
                <w:color w:val="auto"/>
              </w:rPr>
            </w:pPr>
            <w:r>
              <w:rPr>
                <w:rFonts w:ascii="Arial" w:cs="Arial" w:eastAsia="Arial" w:hAnsi="Arial"/>
                <w:sz w:val="15"/>
                <w:szCs w:val="15"/>
                <w:color w:val="auto"/>
              </w:rPr>
              <w:t>3.6</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00" w:type="dxa"/>
            <w:vAlign w:val="bottom"/>
            <w:gridSpan w:val="2"/>
          </w:tcPr>
          <w:p>
            <w:pPr>
              <w:jc w:val="right"/>
              <w:ind w:right="100"/>
              <w:spacing w:after="0" w:line="162" w:lineRule="exact"/>
              <w:rPr>
                <w:sz w:val="20"/>
                <w:szCs w:val="20"/>
                <w:color w:val="auto"/>
              </w:rPr>
            </w:pPr>
            <w:r>
              <w:rPr>
                <w:rFonts w:ascii="Arial" w:cs="Arial" w:eastAsia="Arial" w:hAnsi="Arial"/>
                <w:sz w:val="15"/>
                <w:szCs w:val="15"/>
                <w:color w:val="auto"/>
              </w:rPr>
              <w:t>1.9</w:t>
            </w:r>
          </w:p>
        </w:tc>
        <w:tc>
          <w:tcPr>
            <w:tcW w:w="0" w:type="dxa"/>
            <w:vAlign w:val="bottom"/>
          </w:tcPr>
          <w:p>
            <w:pPr>
              <w:spacing w:after="0"/>
              <w:rPr>
                <w:sz w:val="1"/>
                <w:szCs w:val="1"/>
                <w:color w:val="auto"/>
              </w:rPr>
            </w:pPr>
          </w:p>
        </w:tc>
      </w:tr>
      <w:tr>
        <w:trPr>
          <w:trHeight w:val="162"/>
        </w:trPr>
        <w:tc>
          <w:tcPr>
            <w:tcW w:w="8260" w:type="dxa"/>
            <w:vAlign w:val="bottom"/>
            <w:shd w:val="clear" w:color="auto" w:fill="CCEEFF"/>
          </w:tcPr>
          <w:p>
            <w:pPr>
              <w:ind w:left="320"/>
              <w:spacing w:after="0" w:line="162" w:lineRule="exact"/>
              <w:rPr>
                <w:sz w:val="20"/>
                <w:szCs w:val="20"/>
                <w:color w:val="auto"/>
              </w:rPr>
            </w:pPr>
            <w:r>
              <w:rPr>
                <w:rFonts w:ascii="Arial" w:cs="Arial" w:eastAsia="Arial" w:hAnsi="Arial"/>
                <w:sz w:val="15"/>
                <w:szCs w:val="15"/>
                <w:color w:val="auto"/>
              </w:rPr>
              <w:t>Business acquisitions, net of cash acquired</w:t>
            </w:r>
          </w:p>
        </w:tc>
        <w:tc>
          <w:tcPr>
            <w:tcW w:w="100" w:type="dxa"/>
            <w:vAlign w:val="bottom"/>
            <w:shd w:val="clear" w:color="auto" w:fill="CCEEFF"/>
          </w:tcPr>
          <w:p>
            <w:pPr>
              <w:spacing w:after="0"/>
              <w:rPr>
                <w:sz w:val="14"/>
                <w:szCs w:val="14"/>
                <w:color w:val="auto"/>
              </w:rPr>
            </w:pPr>
          </w:p>
        </w:tc>
        <w:tc>
          <w:tcPr>
            <w:tcW w:w="580" w:type="dxa"/>
            <w:vAlign w:val="bottom"/>
            <w:gridSpan w:val="2"/>
            <w:shd w:val="clear" w:color="auto" w:fill="CCEEFF"/>
          </w:tcPr>
          <w:p>
            <w:pPr>
              <w:jc w:val="right"/>
              <w:ind w:right="140"/>
              <w:spacing w:after="0" w:line="162" w:lineRule="exact"/>
              <w:rPr>
                <w:sz w:val="20"/>
                <w:szCs w:val="20"/>
                <w:color w:val="auto"/>
              </w:rPr>
            </w:pPr>
            <w:r>
              <w:rPr>
                <w:rFonts w:ascii="Arial" w:cs="Arial" w:eastAsia="Arial" w:hAnsi="Arial"/>
                <w:sz w:val="15"/>
                <w:szCs w:val="15"/>
                <w:color w:val="auto"/>
              </w:rPr>
              <w:t>(2.3)</w:t>
            </w: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00" w:type="dxa"/>
            <w:vAlign w:val="bottom"/>
            <w:gridSpan w:val="2"/>
            <w:shd w:val="clear" w:color="auto" w:fill="CCEEFF"/>
          </w:tcPr>
          <w:p>
            <w:pPr>
              <w:jc w:val="right"/>
              <w:ind w:right="380"/>
              <w:spacing w:after="0" w:line="162" w:lineRule="exact"/>
              <w:rPr>
                <w:sz w:val="20"/>
                <w:szCs w:val="20"/>
                <w:color w:val="auto"/>
              </w:rPr>
            </w:pPr>
            <w:r>
              <w:rPr>
                <w:rFonts w:ascii="Arial" w:cs="Arial" w:eastAsia="Arial" w:hAnsi="Arial"/>
                <w:sz w:val="15"/>
                <w:szCs w:val="15"/>
                <w:color w:val="auto"/>
              </w:rPr>
              <w:t>—</w:t>
            </w:r>
          </w:p>
        </w:tc>
        <w:tc>
          <w:tcPr>
            <w:tcW w:w="80" w:type="dxa"/>
            <w:vAlign w:val="bottom"/>
            <w:shd w:val="clear" w:color="auto" w:fill="CCEEFF"/>
          </w:tcPr>
          <w:p>
            <w:pPr>
              <w:spacing w:after="0"/>
              <w:rPr>
                <w:sz w:val="14"/>
                <w:szCs w:val="14"/>
                <w:color w:val="auto"/>
              </w:rPr>
            </w:pPr>
          </w:p>
        </w:tc>
        <w:tc>
          <w:tcPr>
            <w:tcW w:w="580" w:type="dxa"/>
            <w:vAlign w:val="bottom"/>
            <w:gridSpan w:val="2"/>
            <w:shd w:val="clear" w:color="auto" w:fill="CCEEFF"/>
          </w:tcPr>
          <w:p>
            <w:pPr>
              <w:ind w:left="180"/>
              <w:spacing w:after="0" w:line="162" w:lineRule="exact"/>
              <w:rPr>
                <w:sz w:val="20"/>
                <w:szCs w:val="20"/>
                <w:color w:val="auto"/>
              </w:rPr>
            </w:pPr>
            <w:r>
              <w:rPr>
                <w:rFonts w:ascii="Arial" w:cs="Arial" w:eastAsia="Arial" w:hAnsi="Arial"/>
                <w:sz w:val="15"/>
                <w:szCs w:val="15"/>
                <w:color w:val="auto"/>
              </w:rPr>
              <w:t>—</w:t>
            </w:r>
          </w:p>
        </w:tc>
        <w:tc>
          <w:tcPr>
            <w:tcW w:w="1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00" w:type="dxa"/>
            <w:vAlign w:val="bottom"/>
            <w:gridSpan w:val="2"/>
            <w:shd w:val="clear" w:color="auto" w:fill="CCEEFF"/>
          </w:tcPr>
          <w:p>
            <w:pPr>
              <w:jc w:val="right"/>
              <w:ind w:right="180"/>
              <w:spacing w:after="0" w:line="162" w:lineRule="exact"/>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62"/>
        </w:trPr>
        <w:tc>
          <w:tcPr>
            <w:tcW w:w="8260" w:type="dxa"/>
            <w:vAlign w:val="bottom"/>
          </w:tcPr>
          <w:p>
            <w:pPr>
              <w:ind w:left="320"/>
              <w:spacing w:after="0" w:line="162" w:lineRule="exact"/>
              <w:rPr>
                <w:sz w:val="20"/>
                <w:szCs w:val="20"/>
                <w:color w:val="auto"/>
              </w:rPr>
            </w:pPr>
            <w:r>
              <w:rPr>
                <w:rFonts w:ascii="Arial" w:cs="Arial" w:eastAsia="Arial" w:hAnsi="Arial"/>
                <w:sz w:val="15"/>
                <w:szCs w:val="15"/>
                <w:color w:val="auto"/>
              </w:rPr>
              <w:t>Cash received from sales of equipment</w:t>
            </w:r>
          </w:p>
        </w:tc>
        <w:tc>
          <w:tcPr>
            <w:tcW w:w="100" w:type="dxa"/>
            <w:vAlign w:val="bottom"/>
          </w:tcPr>
          <w:p>
            <w:pPr>
              <w:spacing w:after="0"/>
              <w:rPr>
                <w:sz w:val="14"/>
                <w:szCs w:val="14"/>
                <w:color w:val="auto"/>
              </w:rPr>
            </w:pPr>
          </w:p>
        </w:tc>
        <w:tc>
          <w:tcPr>
            <w:tcW w:w="400" w:type="dxa"/>
            <w:vAlign w:val="bottom"/>
          </w:tcPr>
          <w:p>
            <w:pPr>
              <w:jc w:val="right"/>
              <w:ind w:right="4"/>
              <w:spacing w:after="0" w:line="162" w:lineRule="exact"/>
              <w:rPr>
                <w:sz w:val="20"/>
                <w:szCs w:val="20"/>
                <w:color w:val="auto"/>
              </w:rPr>
            </w:pPr>
            <w:r>
              <w:rPr>
                <w:rFonts w:ascii="Arial" w:cs="Arial" w:eastAsia="Arial" w:hAnsi="Arial"/>
                <w:sz w:val="15"/>
                <w:szCs w:val="15"/>
                <w:color w:val="auto"/>
              </w:rPr>
              <w:t>—</w:t>
            </w: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0" w:type="dxa"/>
            <w:vAlign w:val="bottom"/>
          </w:tcPr>
          <w:p>
            <w:pPr>
              <w:jc w:val="right"/>
              <w:spacing w:after="0" w:line="162" w:lineRule="exact"/>
              <w:rPr>
                <w:sz w:val="20"/>
                <w:szCs w:val="20"/>
                <w:color w:val="auto"/>
              </w:rPr>
            </w:pPr>
            <w:r>
              <w:rPr>
                <w:rFonts w:ascii="Arial" w:cs="Arial" w:eastAsia="Arial" w:hAnsi="Arial"/>
                <w:sz w:val="15"/>
                <w:szCs w:val="15"/>
                <w:color w:val="auto"/>
              </w:rPr>
              <w:t>2.1</w:t>
            </w:r>
          </w:p>
        </w:tc>
        <w:tc>
          <w:tcPr>
            <w:tcW w:w="3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gridSpan w:val="2"/>
          </w:tcPr>
          <w:p>
            <w:pPr>
              <w:jc w:val="right"/>
              <w:ind w:right="180"/>
              <w:spacing w:after="0" w:line="162" w:lineRule="exact"/>
              <w:rPr>
                <w:sz w:val="20"/>
                <w:szCs w:val="20"/>
                <w:color w:val="auto"/>
              </w:rPr>
            </w:pPr>
            <w:r>
              <w:rPr>
                <w:rFonts w:ascii="Arial" w:cs="Arial" w:eastAsia="Arial" w:hAnsi="Arial"/>
                <w:sz w:val="15"/>
                <w:szCs w:val="15"/>
                <w:color w:val="auto"/>
              </w:rPr>
              <w:t>1.8</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00" w:type="dxa"/>
            <w:vAlign w:val="bottom"/>
            <w:gridSpan w:val="2"/>
          </w:tcPr>
          <w:p>
            <w:pPr>
              <w:jc w:val="right"/>
              <w:ind w:right="180"/>
              <w:spacing w:after="0" w:line="162" w:lineRule="exact"/>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27"/>
        </w:trPr>
        <w:tc>
          <w:tcPr>
            <w:tcW w:w="82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2"/>
        </w:trPr>
        <w:tc>
          <w:tcPr>
            <w:tcW w:w="8260" w:type="dxa"/>
            <w:vAlign w:val="bottom"/>
            <w:shd w:val="clear" w:color="auto" w:fill="CCEEFF"/>
          </w:tcPr>
          <w:p>
            <w:pPr>
              <w:spacing w:after="0" w:line="162" w:lineRule="exact"/>
              <w:rPr>
                <w:sz w:val="20"/>
                <w:szCs w:val="20"/>
                <w:color w:val="auto"/>
              </w:rPr>
            </w:pPr>
            <w:r>
              <w:rPr>
                <w:rFonts w:ascii="Arial" w:cs="Arial" w:eastAsia="Arial" w:hAnsi="Arial"/>
                <w:sz w:val="15"/>
                <w:szCs w:val="15"/>
                <w:b w:val="1"/>
                <w:bCs w:val="1"/>
                <w:color w:val="auto"/>
              </w:rPr>
              <w:t>Net cash used in investing activities</w:t>
            </w:r>
          </w:p>
        </w:tc>
        <w:tc>
          <w:tcPr>
            <w:tcW w:w="100" w:type="dxa"/>
            <w:vAlign w:val="bottom"/>
            <w:shd w:val="clear" w:color="auto" w:fill="CCEEFF"/>
          </w:tcPr>
          <w:p>
            <w:pPr>
              <w:spacing w:after="0"/>
              <w:rPr>
                <w:sz w:val="14"/>
                <w:szCs w:val="14"/>
                <w:color w:val="auto"/>
              </w:rPr>
            </w:pPr>
          </w:p>
        </w:tc>
        <w:tc>
          <w:tcPr>
            <w:tcW w:w="580" w:type="dxa"/>
            <w:vAlign w:val="bottom"/>
            <w:gridSpan w:val="2"/>
            <w:shd w:val="clear" w:color="auto" w:fill="CCEEFF"/>
          </w:tcPr>
          <w:p>
            <w:pPr>
              <w:jc w:val="right"/>
              <w:ind w:right="140"/>
              <w:spacing w:after="0" w:line="162" w:lineRule="exact"/>
              <w:rPr>
                <w:sz w:val="20"/>
                <w:szCs w:val="20"/>
                <w:color w:val="auto"/>
              </w:rPr>
            </w:pPr>
            <w:r>
              <w:rPr>
                <w:rFonts w:ascii="Arial" w:cs="Arial" w:eastAsia="Arial" w:hAnsi="Arial"/>
                <w:sz w:val="15"/>
                <w:szCs w:val="15"/>
                <w:color w:val="auto"/>
              </w:rPr>
              <w:t>(85.6)</w:t>
            </w: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00" w:type="dxa"/>
            <w:vAlign w:val="bottom"/>
            <w:gridSpan w:val="2"/>
            <w:shd w:val="clear" w:color="auto" w:fill="CCEEFF"/>
          </w:tcPr>
          <w:p>
            <w:pPr>
              <w:jc w:val="right"/>
              <w:ind w:right="260"/>
              <w:spacing w:after="0" w:line="162" w:lineRule="exact"/>
              <w:rPr>
                <w:sz w:val="20"/>
                <w:szCs w:val="20"/>
                <w:color w:val="auto"/>
              </w:rPr>
            </w:pPr>
            <w:r>
              <w:rPr>
                <w:rFonts w:ascii="Arial" w:cs="Arial" w:eastAsia="Arial" w:hAnsi="Arial"/>
                <w:sz w:val="15"/>
                <w:szCs w:val="15"/>
                <w:color w:val="auto"/>
                <w:w w:val="88"/>
              </w:rPr>
              <w:t>(118.0)</w:t>
            </w:r>
          </w:p>
        </w:tc>
        <w:tc>
          <w:tcPr>
            <w:tcW w:w="80" w:type="dxa"/>
            <w:vAlign w:val="bottom"/>
            <w:shd w:val="clear" w:color="auto" w:fill="CCEEFF"/>
          </w:tcPr>
          <w:p>
            <w:pPr>
              <w:spacing w:after="0"/>
              <w:rPr>
                <w:sz w:val="14"/>
                <w:szCs w:val="14"/>
                <w:color w:val="auto"/>
              </w:rPr>
            </w:pPr>
          </w:p>
        </w:tc>
        <w:tc>
          <w:tcPr>
            <w:tcW w:w="580" w:type="dxa"/>
            <w:vAlign w:val="bottom"/>
            <w:gridSpan w:val="2"/>
            <w:shd w:val="clear" w:color="auto" w:fill="CCEEFF"/>
          </w:tcPr>
          <w:p>
            <w:pPr>
              <w:jc w:val="right"/>
              <w:ind w:right="120"/>
              <w:spacing w:after="0" w:line="162" w:lineRule="exact"/>
              <w:rPr>
                <w:sz w:val="20"/>
                <w:szCs w:val="20"/>
                <w:color w:val="auto"/>
              </w:rPr>
            </w:pPr>
            <w:r>
              <w:rPr>
                <w:rFonts w:ascii="Arial" w:cs="Arial" w:eastAsia="Arial" w:hAnsi="Arial"/>
                <w:sz w:val="15"/>
                <w:szCs w:val="15"/>
                <w:color w:val="auto"/>
                <w:w w:val="92"/>
              </w:rPr>
              <w:t>(114.7)</w:t>
            </w:r>
          </w:p>
        </w:tc>
        <w:tc>
          <w:tcPr>
            <w:tcW w:w="1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00" w:type="dxa"/>
            <w:vAlign w:val="bottom"/>
            <w:gridSpan w:val="2"/>
            <w:shd w:val="clear" w:color="auto" w:fill="CCEEFF"/>
          </w:tcPr>
          <w:p>
            <w:pPr>
              <w:jc w:val="right"/>
              <w:ind w:right="40"/>
              <w:spacing w:after="0" w:line="162" w:lineRule="exact"/>
              <w:rPr>
                <w:sz w:val="20"/>
                <w:szCs w:val="20"/>
                <w:color w:val="auto"/>
              </w:rPr>
            </w:pPr>
            <w:r>
              <w:rPr>
                <w:rFonts w:ascii="Arial" w:cs="Arial" w:eastAsia="Arial" w:hAnsi="Arial"/>
                <w:sz w:val="15"/>
                <w:szCs w:val="15"/>
                <w:color w:val="auto"/>
              </w:rPr>
              <w:t>(10.9)</w:t>
            </w:r>
          </w:p>
        </w:tc>
        <w:tc>
          <w:tcPr>
            <w:tcW w:w="0" w:type="dxa"/>
            <w:vAlign w:val="bottom"/>
          </w:tcPr>
          <w:p>
            <w:pPr>
              <w:spacing w:after="0"/>
              <w:rPr>
                <w:sz w:val="1"/>
                <w:szCs w:val="1"/>
                <w:color w:val="auto"/>
              </w:rPr>
            </w:pPr>
          </w:p>
        </w:tc>
      </w:tr>
      <w:tr>
        <w:trPr>
          <w:trHeight w:val="169"/>
        </w:trPr>
        <w:tc>
          <w:tcPr>
            <w:tcW w:w="8260" w:type="dxa"/>
            <w:vAlign w:val="bottom"/>
          </w:tcPr>
          <w:p>
            <w:pPr>
              <w:spacing w:after="0" w:line="169" w:lineRule="exact"/>
              <w:rPr>
                <w:sz w:val="20"/>
                <w:szCs w:val="20"/>
                <w:color w:val="auto"/>
              </w:rPr>
            </w:pPr>
            <w:r>
              <w:rPr>
                <w:rFonts w:ascii="Arial" w:cs="Arial" w:eastAsia="Arial" w:hAnsi="Arial"/>
                <w:sz w:val="15"/>
                <w:szCs w:val="15"/>
                <w:b w:val="1"/>
                <w:bCs w:val="1"/>
                <w:color w:val="auto"/>
              </w:rPr>
              <w:t>Cash flow from financing activities</w:t>
            </w:r>
          </w:p>
        </w:tc>
        <w:tc>
          <w:tcPr>
            <w:tcW w:w="100" w:type="dxa"/>
            <w:vAlign w:val="bottom"/>
            <w:tcBorders>
              <w:top w:val="single" w:sz="8" w:color="auto"/>
            </w:tcBorders>
          </w:tcPr>
          <w:p>
            <w:pPr>
              <w:spacing w:after="0"/>
              <w:rPr>
                <w:sz w:val="14"/>
                <w:szCs w:val="14"/>
                <w:color w:val="auto"/>
              </w:rPr>
            </w:pPr>
          </w:p>
        </w:tc>
        <w:tc>
          <w:tcPr>
            <w:tcW w:w="400" w:type="dxa"/>
            <w:vAlign w:val="bottom"/>
            <w:tcBorders>
              <w:top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400" w:type="dxa"/>
            <w:vAlign w:val="bottom"/>
            <w:tcBorders>
              <w:top w:val="single" w:sz="8" w:color="auto"/>
            </w:tcBorders>
          </w:tcPr>
          <w:p>
            <w:pPr>
              <w:spacing w:after="0"/>
              <w:rPr>
                <w:sz w:val="14"/>
                <w:szCs w:val="14"/>
                <w:color w:val="auto"/>
              </w:rPr>
            </w:pPr>
          </w:p>
        </w:tc>
        <w:tc>
          <w:tcPr>
            <w:tcW w:w="300" w:type="dxa"/>
            <w:vAlign w:val="bottom"/>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400" w:type="dxa"/>
            <w:vAlign w:val="bottom"/>
            <w:tcBorders>
              <w:top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40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8260" w:type="dxa"/>
            <w:vAlign w:val="bottom"/>
            <w:shd w:val="clear" w:color="auto" w:fill="CCEEFF"/>
          </w:tcPr>
          <w:p>
            <w:pPr>
              <w:ind w:left="320"/>
              <w:spacing w:after="0" w:line="162" w:lineRule="exact"/>
              <w:rPr>
                <w:sz w:val="20"/>
                <w:szCs w:val="20"/>
                <w:color w:val="auto"/>
              </w:rPr>
            </w:pPr>
            <w:r>
              <w:rPr>
                <w:rFonts w:ascii="Arial" w:cs="Arial" w:eastAsia="Arial" w:hAnsi="Arial"/>
                <w:sz w:val="15"/>
                <w:szCs w:val="15"/>
                <w:color w:val="auto"/>
              </w:rPr>
              <w:t>Principal payments on capital lease obligations</w:t>
            </w:r>
            <w:r>
              <w:rPr>
                <w:rFonts w:ascii="Arial" w:cs="Arial" w:eastAsia="Arial" w:hAnsi="Arial"/>
                <w:sz w:val="13"/>
                <w:szCs w:val="13"/>
                <w:color w:val="auto"/>
              </w:rPr>
              <w:t>(1)</w:t>
            </w:r>
          </w:p>
        </w:tc>
        <w:tc>
          <w:tcPr>
            <w:tcW w:w="100" w:type="dxa"/>
            <w:vAlign w:val="bottom"/>
            <w:shd w:val="clear" w:color="auto" w:fill="CCEEFF"/>
          </w:tcPr>
          <w:p>
            <w:pPr>
              <w:spacing w:after="0"/>
              <w:rPr>
                <w:sz w:val="14"/>
                <w:szCs w:val="14"/>
                <w:color w:val="auto"/>
              </w:rPr>
            </w:pPr>
          </w:p>
        </w:tc>
        <w:tc>
          <w:tcPr>
            <w:tcW w:w="580" w:type="dxa"/>
            <w:vAlign w:val="bottom"/>
            <w:gridSpan w:val="2"/>
            <w:shd w:val="clear" w:color="auto" w:fill="CCEEFF"/>
          </w:tcPr>
          <w:p>
            <w:pPr>
              <w:jc w:val="right"/>
              <w:ind w:right="140"/>
              <w:spacing w:after="0" w:line="162" w:lineRule="exact"/>
              <w:rPr>
                <w:sz w:val="20"/>
                <w:szCs w:val="20"/>
                <w:color w:val="auto"/>
              </w:rPr>
            </w:pPr>
            <w:r>
              <w:rPr>
                <w:rFonts w:ascii="Arial" w:cs="Arial" w:eastAsia="Arial" w:hAnsi="Arial"/>
                <w:sz w:val="15"/>
                <w:szCs w:val="15"/>
                <w:color w:val="auto"/>
                <w:w w:val="88"/>
              </w:rPr>
              <w:t>(101.2)</w:t>
            </w: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00" w:type="dxa"/>
            <w:vAlign w:val="bottom"/>
            <w:gridSpan w:val="2"/>
            <w:shd w:val="clear" w:color="auto" w:fill="CCEEFF"/>
          </w:tcPr>
          <w:p>
            <w:pPr>
              <w:jc w:val="right"/>
              <w:ind w:right="260"/>
              <w:spacing w:after="0" w:line="162" w:lineRule="exact"/>
              <w:rPr>
                <w:sz w:val="20"/>
                <w:szCs w:val="20"/>
                <w:color w:val="auto"/>
              </w:rPr>
            </w:pPr>
            <w:r>
              <w:rPr>
                <w:rFonts w:ascii="Arial" w:cs="Arial" w:eastAsia="Arial" w:hAnsi="Arial"/>
                <w:sz w:val="15"/>
                <w:szCs w:val="15"/>
                <w:color w:val="auto"/>
                <w:w w:val="88"/>
              </w:rPr>
              <w:t>(137.9)</w:t>
            </w:r>
          </w:p>
        </w:tc>
        <w:tc>
          <w:tcPr>
            <w:tcW w:w="80" w:type="dxa"/>
            <w:vAlign w:val="bottom"/>
            <w:shd w:val="clear" w:color="auto" w:fill="CCEEFF"/>
          </w:tcPr>
          <w:p>
            <w:pPr>
              <w:spacing w:after="0"/>
              <w:rPr>
                <w:sz w:val="14"/>
                <w:szCs w:val="14"/>
                <w:color w:val="auto"/>
              </w:rPr>
            </w:pPr>
          </w:p>
        </w:tc>
        <w:tc>
          <w:tcPr>
            <w:tcW w:w="580" w:type="dxa"/>
            <w:vAlign w:val="bottom"/>
            <w:gridSpan w:val="2"/>
            <w:shd w:val="clear" w:color="auto" w:fill="CCEEFF"/>
          </w:tcPr>
          <w:p>
            <w:pPr>
              <w:jc w:val="right"/>
              <w:ind w:right="120"/>
              <w:spacing w:after="0" w:line="162" w:lineRule="exact"/>
              <w:rPr>
                <w:sz w:val="20"/>
                <w:szCs w:val="20"/>
                <w:color w:val="auto"/>
              </w:rPr>
            </w:pPr>
            <w:r>
              <w:rPr>
                <w:rFonts w:ascii="Arial" w:cs="Arial" w:eastAsia="Arial" w:hAnsi="Arial"/>
                <w:sz w:val="15"/>
                <w:szCs w:val="15"/>
                <w:color w:val="auto"/>
                <w:w w:val="92"/>
              </w:rPr>
              <w:t>(103.1)</w:t>
            </w:r>
          </w:p>
        </w:tc>
        <w:tc>
          <w:tcPr>
            <w:tcW w:w="1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00" w:type="dxa"/>
            <w:vAlign w:val="bottom"/>
            <w:gridSpan w:val="2"/>
            <w:shd w:val="clear" w:color="auto" w:fill="CCEEFF"/>
          </w:tcPr>
          <w:p>
            <w:pPr>
              <w:jc w:val="right"/>
              <w:ind w:right="40"/>
              <w:spacing w:after="0" w:line="162" w:lineRule="exact"/>
              <w:rPr>
                <w:sz w:val="20"/>
                <w:szCs w:val="20"/>
                <w:color w:val="auto"/>
              </w:rPr>
            </w:pPr>
            <w:r>
              <w:rPr>
                <w:rFonts w:ascii="Arial" w:cs="Arial" w:eastAsia="Arial" w:hAnsi="Arial"/>
                <w:sz w:val="15"/>
                <w:szCs w:val="15"/>
                <w:color w:val="auto"/>
                <w:w w:val="92"/>
              </w:rPr>
              <w:t>(102.3)</w:t>
            </w:r>
          </w:p>
        </w:tc>
        <w:tc>
          <w:tcPr>
            <w:tcW w:w="0" w:type="dxa"/>
            <w:vAlign w:val="bottom"/>
          </w:tcPr>
          <w:p>
            <w:pPr>
              <w:spacing w:after="0"/>
              <w:rPr>
                <w:sz w:val="1"/>
                <w:szCs w:val="1"/>
                <w:color w:val="auto"/>
              </w:rPr>
            </w:pPr>
          </w:p>
        </w:tc>
      </w:tr>
      <w:tr>
        <w:trPr>
          <w:trHeight w:val="162"/>
        </w:trPr>
        <w:tc>
          <w:tcPr>
            <w:tcW w:w="8260" w:type="dxa"/>
            <w:vAlign w:val="bottom"/>
          </w:tcPr>
          <w:p>
            <w:pPr>
              <w:ind w:left="320"/>
              <w:spacing w:after="0" w:line="162" w:lineRule="exact"/>
              <w:rPr>
                <w:sz w:val="20"/>
                <w:szCs w:val="20"/>
                <w:color w:val="auto"/>
              </w:rPr>
            </w:pPr>
            <w:r>
              <w:rPr>
                <w:rFonts w:ascii="Arial" w:cs="Arial" w:eastAsia="Arial" w:hAnsi="Arial"/>
                <w:sz w:val="15"/>
                <w:szCs w:val="15"/>
                <w:color w:val="auto"/>
              </w:rPr>
              <w:t>Principal payments against note payable</w:t>
            </w:r>
          </w:p>
        </w:tc>
        <w:tc>
          <w:tcPr>
            <w:tcW w:w="100" w:type="dxa"/>
            <w:vAlign w:val="bottom"/>
          </w:tcPr>
          <w:p>
            <w:pPr>
              <w:spacing w:after="0"/>
              <w:rPr>
                <w:sz w:val="14"/>
                <w:szCs w:val="14"/>
                <w:color w:val="auto"/>
              </w:rPr>
            </w:pPr>
          </w:p>
        </w:tc>
        <w:tc>
          <w:tcPr>
            <w:tcW w:w="580" w:type="dxa"/>
            <w:vAlign w:val="bottom"/>
            <w:gridSpan w:val="2"/>
          </w:tcPr>
          <w:p>
            <w:pPr>
              <w:jc w:val="right"/>
              <w:ind w:right="260"/>
              <w:spacing w:after="0" w:line="162" w:lineRule="exact"/>
              <w:rPr>
                <w:sz w:val="20"/>
                <w:szCs w:val="20"/>
                <w:color w:val="auto"/>
              </w:rPr>
            </w:pPr>
            <w:r>
              <w:rPr>
                <w:rFonts w:ascii="Arial" w:cs="Arial" w:eastAsia="Arial" w:hAnsi="Arial"/>
                <w:sz w:val="15"/>
                <w:szCs w:val="15"/>
                <w:color w:val="auto"/>
              </w:rPr>
              <w:t>—</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gridSpan w:val="2"/>
          </w:tcPr>
          <w:p>
            <w:pPr>
              <w:jc w:val="right"/>
              <w:ind w:right="260"/>
              <w:spacing w:after="0" w:line="162" w:lineRule="exact"/>
              <w:rPr>
                <w:sz w:val="20"/>
                <w:szCs w:val="20"/>
                <w:color w:val="auto"/>
              </w:rPr>
            </w:pPr>
            <w:r>
              <w:rPr>
                <w:rFonts w:ascii="Arial" w:cs="Arial" w:eastAsia="Arial" w:hAnsi="Arial"/>
                <w:sz w:val="15"/>
                <w:szCs w:val="15"/>
                <w:color w:val="auto"/>
              </w:rPr>
              <w:t>(3.8)</w:t>
            </w:r>
          </w:p>
        </w:tc>
        <w:tc>
          <w:tcPr>
            <w:tcW w:w="80" w:type="dxa"/>
            <w:vAlign w:val="bottom"/>
          </w:tcPr>
          <w:p>
            <w:pPr>
              <w:spacing w:after="0"/>
              <w:rPr>
                <w:sz w:val="14"/>
                <w:szCs w:val="14"/>
                <w:color w:val="auto"/>
              </w:rPr>
            </w:pPr>
          </w:p>
        </w:tc>
        <w:tc>
          <w:tcPr>
            <w:tcW w:w="580" w:type="dxa"/>
            <w:vAlign w:val="bottom"/>
            <w:gridSpan w:val="2"/>
          </w:tcPr>
          <w:p>
            <w:pPr>
              <w:jc w:val="right"/>
              <w:ind w:right="120"/>
              <w:spacing w:after="0" w:line="162" w:lineRule="exact"/>
              <w:rPr>
                <w:sz w:val="20"/>
                <w:szCs w:val="20"/>
                <w:color w:val="auto"/>
              </w:rPr>
            </w:pPr>
            <w:r>
              <w:rPr>
                <w:rFonts w:ascii="Arial" w:cs="Arial" w:eastAsia="Arial" w:hAnsi="Arial"/>
                <w:sz w:val="15"/>
                <w:szCs w:val="15"/>
                <w:color w:val="auto"/>
              </w:rPr>
              <w:t>(2.8)</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00" w:type="dxa"/>
            <w:vAlign w:val="bottom"/>
            <w:gridSpan w:val="2"/>
          </w:tcPr>
          <w:p>
            <w:pPr>
              <w:jc w:val="right"/>
              <w:ind w:right="40"/>
              <w:spacing w:after="0" w:line="162" w:lineRule="exact"/>
              <w:rPr>
                <w:sz w:val="20"/>
                <w:szCs w:val="20"/>
                <w:color w:val="auto"/>
              </w:rPr>
            </w:pPr>
            <w:r>
              <w:rPr>
                <w:rFonts w:ascii="Arial" w:cs="Arial" w:eastAsia="Arial" w:hAnsi="Arial"/>
                <w:sz w:val="15"/>
                <w:szCs w:val="15"/>
                <w:color w:val="auto"/>
              </w:rPr>
              <w:t>(2.9)</w:t>
            </w:r>
          </w:p>
        </w:tc>
        <w:tc>
          <w:tcPr>
            <w:tcW w:w="0" w:type="dxa"/>
            <w:vAlign w:val="bottom"/>
          </w:tcPr>
          <w:p>
            <w:pPr>
              <w:spacing w:after="0"/>
              <w:rPr>
                <w:sz w:val="1"/>
                <w:szCs w:val="1"/>
                <w:color w:val="auto"/>
              </w:rPr>
            </w:pPr>
          </w:p>
        </w:tc>
      </w:tr>
      <w:tr>
        <w:trPr>
          <w:trHeight w:val="162"/>
        </w:trPr>
        <w:tc>
          <w:tcPr>
            <w:tcW w:w="8260" w:type="dxa"/>
            <w:vAlign w:val="bottom"/>
            <w:shd w:val="clear" w:color="auto" w:fill="CCEEFF"/>
          </w:tcPr>
          <w:p>
            <w:pPr>
              <w:ind w:left="320"/>
              <w:spacing w:after="0" w:line="162" w:lineRule="exact"/>
              <w:rPr>
                <w:sz w:val="20"/>
                <w:szCs w:val="20"/>
                <w:color w:val="auto"/>
              </w:rPr>
            </w:pPr>
            <w:r>
              <w:rPr>
                <w:rFonts w:ascii="Arial" w:cs="Arial" w:eastAsia="Arial" w:hAnsi="Arial"/>
                <w:sz w:val="15"/>
                <w:szCs w:val="15"/>
                <w:color w:val="auto"/>
              </w:rPr>
              <w:t>Principal payments against financing lease obligation</w:t>
            </w:r>
          </w:p>
        </w:tc>
        <w:tc>
          <w:tcPr>
            <w:tcW w:w="100" w:type="dxa"/>
            <w:vAlign w:val="bottom"/>
            <w:shd w:val="clear" w:color="auto" w:fill="CCEEFF"/>
          </w:tcPr>
          <w:p>
            <w:pPr>
              <w:spacing w:after="0"/>
              <w:rPr>
                <w:sz w:val="14"/>
                <w:szCs w:val="14"/>
                <w:color w:val="auto"/>
              </w:rPr>
            </w:pPr>
          </w:p>
        </w:tc>
        <w:tc>
          <w:tcPr>
            <w:tcW w:w="580" w:type="dxa"/>
            <w:vAlign w:val="bottom"/>
            <w:gridSpan w:val="2"/>
            <w:shd w:val="clear" w:color="auto" w:fill="CCEEFF"/>
          </w:tcPr>
          <w:p>
            <w:pPr>
              <w:jc w:val="right"/>
              <w:ind w:right="140"/>
              <w:spacing w:after="0" w:line="162" w:lineRule="exact"/>
              <w:rPr>
                <w:sz w:val="20"/>
                <w:szCs w:val="20"/>
                <w:color w:val="auto"/>
              </w:rPr>
            </w:pPr>
            <w:r>
              <w:rPr>
                <w:rFonts w:ascii="Arial" w:cs="Arial" w:eastAsia="Arial" w:hAnsi="Arial"/>
                <w:sz w:val="15"/>
                <w:szCs w:val="15"/>
                <w:color w:val="auto"/>
              </w:rPr>
              <w:t>(1.8)</w:t>
            </w: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00" w:type="dxa"/>
            <w:vAlign w:val="bottom"/>
            <w:gridSpan w:val="2"/>
            <w:shd w:val="clear" w:color="auto" w:fill="CCEEFF"/>
          </w:tcPr>
          <w:p>
            <w:pPr>
              <w:jc w:val="right"/>
              <w:ind w:right="260"/>
              <w:spacing w:after="0" w:line="162" w:lineRule="exact"/>
              <w:rPr>
                <w:sz w:val="20"/>
                <w:szCs w:val="20"/>
                <w:color w:val="auto"/>
              </w:rPr>
            </w:pPr>
            <w:r>
              <w:rPr>
                <w:rFonts w:ascii="Arial" w:cs="Arial" w:eastAsia="Arial" w:hAnsi="Arial"/>
                <w:sz w:val="15"/>
                <w:szCs w:val="15"/>
                <w:color w:val="auto"/>
              </w:rPr>
              <w:t>(1.6)</w:t>
            </w:r>
          </w:p>
        </w:tc>
        <w:tc>
          <w:tcPr>
            <w:tcW w:w="80" w:type="dxa"/>
            <w:vAlign w:val="bottom"/>
            <w:shd w:val="clear" w:color="auto" w:fill="CCEEFF"/>
          </w:tcPr>
          <w:p>
            <w:pPr>
              <w:spacing w:after="0"/>
              <w:rPr>
                <w:sz w:val="14"/>
                <w:szCs w:val="14"/>
                <w:color w:val="auto"/>
              </w:rPr>
            </w:pPr>
          </w:p>
        </w:tc>
        <w:tc>
          <w:tcPr>
            <w:tcW w:w="580" w:type="dxa"/>
            <w:vAlign w:val="bottom"/>
            <w:gridSpan w:val="2"/>
            <w:shd w:val="clear" w:color="auto" w:fill="CCEEFF"/>
          </w:tcPr>
          <w:p>
            <w:pPr>
              <w:jc w:val="right"/>
              <w:ind w:right="120"/>
              <w:spacing w:after="0" w:line="162" w:lineRule="exact"/>
              <w:rPr>
                <w:sz w:val="20"/>
                <w:szCs w:val="20"/>
                <w:color w:val="auto"/>
              </w:rPr>
            </w:pPr>
            <w:r>
              <w:rPr>
                <w:rFonts w:ascii="Arial" w:cs="Arial" w:eastAsia="Arial" w:hAnsi="Arial"/>
                <w:sz w:val="15"/>
                <w:szCs w:val="15"/>
                <w:color w:val="auto"/>
              </w:rPr>
              <w:t>(1.1)</w:t>
            </w:r>
          </w:p>
        </w:tc>
        <w:tc>
          <w:tcPr>
            <w:tcW w:w="1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00" w:type="dxa"/>
            <w:vAlign w:val="bottom"/>
            <w:gridSpan w:val="2"/>
            <w:shd w:val="clear" w:color="auto" w:fill="CCEEFF"/>
          </w:tcPr>
          <w:p>
            <w:pPr>
              <w:jc w:val="right"/>
              <w:ind w:right="40"/>
              <w:spacing w:after="0" w:line="162" w:lineRule="exact"/>
              <w:rPr>
                <w:sz w:val="20"/>
                <w:szCs w:val="20"/>
                <w:color w:val="auto"/>
              </w:rPr>
            </w:pPr>
            <w:r>
              <w:rPr>
                <w:rFonts w:ascii="Arial" w:cs="Arial" w:eastAsia="Arial" w:hAnsi="Arial"/>
                <w:sz w:val="15"/>
                <w:szCs w:val="15"/>
                <w:color w:val="auto"/>
              </w:rPr>
              <w:t>(1.6)</w:t>
            </w:r>
          </w:p>
        </w:tc>
        <w:tc>
          <w:tcPr>
            <w:tcW w:w="0" w:type="dxa"/>
            <w:vAlign w:val="bottom"/>
          </w:tcPr>
          <w:p>
            <w:pPr>
              <w:spacing w:after="0"/>
              <w:rPr>
                <w:sz w:val="1"/>
                <w:szCs w:val="1"/>
                <w:color w:val="auto"/>
              </w:rPr>
            </w:pPr>
          </w:p>
        </w:tc>
      </w:tr>
      <w:tr>
        <w:trPr>
          <w:trHeight w:val="162"/>
        </w:trPr>
        <w:tc>
          <w:tcPr>
            <w:tcW w:w="8260" w:type="dxa"/>
            <w:vAlign w:val="bottom"/>
          </w:tcPr>
          <w:p>
            <w:pPr>
              <w:ind w:left="320"/>
              <w:spacing w:after="0" w:line="162" w:lineRule="exact"/>
              <w:rPr>
                <w:sz w:val="20"/>
                <w:szCs w:val="20"/>
                <w:color w:val="auto"/>
              </w:rPr>
            </w:pPr>
            <w:r>
              <w:rPr>
                <w:rFonts w:ascii="Arial" w:cs="Arial" w:eastAsia="Arial" w:hAnsi="Arial"/>
                <w:sz w:val="15"/>
                <w:szCs w:val="15"/>
                <w:color w:val="auto"/>
              </w:rPr>
              <w:t>Proceeds from sale-leaseback agreement</w:t>
            </w:r>
          </w:p>
        </w:tc>
        <w:tc>
          <w:tcPr>
            <w:tcW w:w="100" w:type="dxa"/>
            <w:vAlign w:val="bottom"/>
          </w:tcPr>
          <w:p>
            <w:pPr>
              <w:spacing w:after="0"/>
              <w:rPr>
                <w:sz w:val="14"/>
                <w:szCs w:val="14"/>
                <w:color w:val="auto"/>
              </w:rPr>
            </w:pPr>
          </w:p>
        </w:tc>
        <w:tc>
          <w:tcPr>
            <w:tcW w:w="580" w:type="dxa"/>
            <w:vAlign w:val="bottom"/>
            <w:gridSpan w:val="2"/>
          </w:tcPr>
          <w:p>
            <w:pPr>
              <w:jc w:val="right"/>
              <w:ind w:right="260"/>
              <w:spacing w:after="0" w:line="162" w:lineRule="exact"/>
              <w:rPr>
                <w:sz w:val="20"/>
                <w:szCs w:val="20"/>
                <w:color w:val="auto"/>
              </w:rPr>
            </w:pPr>
            <w:r>
              <w:rPr>
                <w:rFonts w:ascii="Arial" w:cs="Arial" w:eastAsia="Arial" w:hAnsi="Arial"/>
                <w:sz w:val="15"/>
                <w:szCs w:val="15"/>
                <w:color w:val="auto"/>
              </w:rPr>
              <w:t>—</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gridSpan w:val="2"/>
          </w:tcPr>
          <w:p>
            <w:pPr>
              <w:jc w:val="right"/>
              <w:ind w:right="300"/>
              <w:spacing w:after="0" w:line="162" w:lineRule="exact"/>
              <w:rPr>
                <w:sz w:val="20"/>
                <w:szCs w:val="20"/>
                <w:color w:val="auto"/>
              </w:rPr>
            </w:pPr>
            <w:r>
              <w:rPr>
                <w:rFonts w:ascii="Arial" w:cs="Arial" w:eastAsia="Arial" w:hAnsi="Arial"/>
                <w:sz w:val="15"/>
                <w:szCs w:val="15"/>
                <w:color w:val="auto"/>
              </w:rPr>
              <w:t>8.8</w:t>
            </w:r>
          </w:p>
        </w:tc>
        <w:tc>
          <w:tcPr>
            <w:tcW w:w="80" w:type="dxa"/>
            <w:vAlign w:val="bottom"/>
          </w:tcPr>
          <w:p>
            <w:pPr>
              <w:spacing w:after="0"/>
              <w:rPr>
                <w:sz w:val="14"/>
                <w:szCs w:val="14"/>
                <w:color w:val="auto"/>
              </w:rPr>
            </w:pPr>
          </w:p>
        </w:tc>
        <w:tc>
          <w:tcPr>
            <w:tcW w:w="580" w:type="dxa"/>
            <w:vAlign w:val="bottom"/>
            <w:gridSpan w:val="2"/>
          </w:tcPr>
          <w:p>
            <w:pPr>
              <w:jc w:val="right"/>
              <w:ind w:right="180"/>
              <w:spacing w:after="0" w:line="162" w:lineRule="exact"/>
              <w:rPr>
                <w:sz w:val="20"/>
                <w:szCs w:val="20"/>
                <w:color w:val="auto"/>
              </w:rPr>
            </w:pPr>
            <w:r>
              <w:rPr>
                <w:rFonts w:ascii="Arial" w:cs="Arial" w:eastAsia="Arial" w:hAnsi="Arial"/>
                <w:sz w:val="15"/>
                <w:szCs w:val="15"/>
                <w:color w:val="auto"/>
              </w:rPr>
              <w:t>8.8</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00" w:type="dxa"/>
            <w:vAlign w:val="bottom"/>
            <w:gridSpan w:val="2"/>
          </w:tcPr>
          <w:p>
            <w:pPr>
              <w:jc w:val="right"/>
              <w:ind w:right="180"/>
              <w:spacing w:after="0" w:line="162" w:lineRule="exact"/>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62"/>
        </w:trPr>
        <w:tc>
          <w:tcPr>
            <w:tcW w:w="8260" w:type="dxa"/>
            <w:vAlign w:val="bottom"/>
            <w:shd w:val="clear" w:color="auto" w:fill="CCEEFF"/>
          </w:tcPr>
          <w:p>
            <w:pPr>
              <w:ind w:left="320"/>
              <w:spacing w:after="0" w:line="162" w:lineRule="exact"/>
              <w:rPr>
                <w:sz w:val="20"/>
                <w:szCs w:val="20"/>
                <w:color w:val="auto"/>
              </w:rPr>
            </w:pPr>
            <w:r>
              <w:rPr>
                <w:rFonts w:ascii="Arial" w:cs="Arial" w:eastAsia="Arial" w:hAnsi="Arial"/>
                <w:sz w:val="15"/>
                <w:szCs w:val="15"/>
                <w:color w:val="auto"/>
              </w:rPr>
              <w:t>Proceeds from issuance of note payable</w:t>
            </w:r>
          </w:p>
        </w:tc>
        <w:tc>
          <w:tcPr>
            <w:tcW w:w="100" w:type="dxa"/>
            <w:vAlign w:val="bottom"/>
            <w:shd w:val="clear" w:color="auto" w:fill="CCEEFF"/>
          </w:tcPr>
          <w:p>
            <w:pPr>
              <w:spacing w:after="0"/>
              <w:rPr>
                <w:sz w:val="14"/>
                <w:szCs w:val="14"/>
                <w:color w:val="auto"/>
              </w:rPr>
            </w:pPr>
          </w:p>
        </w:tc>
        <w:tc>
          <w:tcPr>
            <w:tcW w:w="580" w:type="dxa"/>
            <w:vAlign w:val="bottom"/>
            <w:gridSpan w:val="2"/>
            <w:shd w:val="clear" w:color="auto" w:fill="CCEEFF"/>
          </w:tcPr>
          <w:p>
            <w:pPr>
              <w:jc w:val="right"/>
              <w:ind w:right="180"/>
              <w:spacing w:after="0" w:line="162" w:lineRule="exact"/>
              <w:rPr>
                <w:sz w:val="20"/>
                <w:szCs w:val="20"/>
                <w:color w:val="auto"/>
              </w:rPr>
            </w:pPr>
            <w:r>
              <w:rPr>
                <w:rFonts w:ascii="Arial" w:cs="Arial" w:eastAsia="Arial" w:hAnsi="Arial"/>
                <w:sz w:val="15"/>
                <w:szCs w:val="15"/>
                <w:color w:val="auto"/>
              </w:rPr>
              <w:t>11.9</w:t>
            </w: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00" w:type="dxa"/>
            <w:vAlign w:val="bottom"/>
            <w:gridSpan w:val="2"/>
            <w:shd w:val="clear" w:color="auto" w:fill="CCEEFF"/>
          </w:tcPr>
          <w:p>
            <w:pPr>
              <w:jc w:val="right"/>
              <w:ind w:right="380"/>
              <w:spacing w:after="0" w:line="162" w:lineRule="exact"/>
              <w:rPr>
                <w:sz w:val="20"/>
                <w:szCs w:val="20"/>
                <w:color w:val="auto"/>
              </w:rPr>
            </w:pPr>
            <w:r>
              <w:rPr>
                <w:rFonts w:ascii="Arial" w:cs="Arial" w:eastAsia="Arial" w:hAnsi="Arial"/>
                <w:sz w:val="15"/>
                <w:szCs w:val="15"/>
                <w:color w:val="auto"/>
              </w:rPr>
              <w:t>—</w:t>
            </w:r>
          </w:p>
        </w:tc>
        <w:tc>
          <w:tcPr>
            <w:tcW w:w="80" w:type="dxa"/>
            <w:vAlign w:val="bottom"/>
            <w:shd w:val="clear" w:color="auto" w:fill="CCEEFF"/>
          </w:tcPr>
          <w:p>
            <w:pPr>
              <w:spacing w:after="0"/>
              <w:rPr>
                <w:sz w:val="14"/>
                <w:szCs w:val="14"/>
                <w:color w:val="auto"/>
              </w:rPr>
            </w:pPr>
          </w:p>
        </w:tc>
        <w:tc>
          <w:tcPr>
            <w:tcW w:w="580" w:type="dxa"/>
            <w:vAlign w:val="bottom"/>
            <w:gridSpan w:val="2"/>
            <w:shd w:val="clear" w:color="auto" w:fill="CCEEFF"/>
          </w:tcPr>
          <w:p>
            <w:pPr>
              <w:ind w:left="180"/>
              <w:spacing w:after="0" w:line="162" w:lineRule="exact"/>
              <w:rPr>
                <w:sz w:val="20"/>
                <w:szCs w:val="20"/>
                <w:color w:val="auto"/>
              </w:rPr>
            </w:pPr>
            <w:r>
              <w:rPr>
                <w:rFonts w:ascii="Arial" w:cs="Arial" w:eastAsia="Arial" w:hAnsi="Arial"/>
                <w:sz w:val="15"/>
                <w:szCs w:val="15"/>
                <w:color w:val="auto"/>
              </w:rPr>
              <w:t>—</w:t>
            </w:r>
          </w:p>
        </w:tc>
        <w:tc>
          <w:tcPr>
            <w:tcW w:w="1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00" w:type="dxa"/>
            <w:vAlign w:val="bottom"/>
            <w:gridSpan w:val="2"/>
            <w:shd w:val="clear" w:color="auto" w:fill="CCEEFF"/>
          </w:tcPr>
          <w:p>
            <w:pPr>
              <w:jc w:val="right"/>
              <w:ind w:right="180"/>
              <w:spacing w:after="0" w:line="162" w:lineRule="exact"/>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62"/>
        </w:trPr>
        <w:tc>
          <w:tcPr>
            <w:tcW w:w="8260" w:type="dxa"/>
            <w:vAlign w:val="bottom"/>
          </w:tcPr>
          <w:p>
            <w:pPr>
              <w:ind w:left="320"/>
              <w:spacing w:after="0" w:line="162" w:lineRule="exact"/>
              <w:rPr>
                <w:sz w:val="20"/>
                <w:szCs w:val="20"/>
                <w:color w:val="auto"/>
              </w:rPr>
            </w:pPr>
            <w:r>
              <w:rPr>
                <w:rFonts w:ascii="Arial" w:cs="Arial" w:eastAsia="Arial" w:hAnsi="Arial"/>
                <w:sz w:val="15"/>
                <w:szCs w:val="15"/>
                <w:color w:val="auto"/>
              </w:rPr>
              <w:t>Fees paid for revolving credit facility</w:t>
            </w:r>
          </w:p>
        </w:tc>
        <w:tc>
          <w:tcPr>
            <w:tcW w:w="100" w:type="dxa"/>
            <w:vAlign w:val="bottom"/>
          </w:tcPr>
          <w:p>
            <w:pPr>
              <w:spacing w:after="0"/>
              <w:rPr>
                <w:sz w:val="14"/>
                <w:szCs w:val="14"/>
                <w:color w:val="auto"/>
              </w:rPr>
            </w:pPr>
          </w:p>
        </w:tc>
        <w:tc>
          <w:tcPr>
            <w:tcW w:w="580" w:type="dxa"/>
            <w:vAlign w:val="bottom"/>
            <w:gridSpan w:val="2"/>
          </w:tcPr>
          <w:p>
            <w:pPr>
              <w:jc w:val="right"/>
              <w:ind w:right="260"/>
              <w:spacing w:after="0" w:line="162" w:lineRule="exact"/>
              <w:rPr>
                <w:sz w:val="20"/>
                <w:szCs w:val="20"/>
                <w:color w:val="auto"/>
              </w:rPr>
            </w:pPr>
            <w:r>
              <w:rPr>
                <w:rFonts w:ascii="Arial" w:cs="Arial" w:eastAsia="Arial" w:hAnsi="Arial"/>
                <w:sz w:val="15"/>
                <w:szCs w:val="15"/>
                <w:color w:val="auto"/>
              </w:rPr>
              <w:t>—</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gridSpan w:val="2"/>
          </w:tcPr>
          <w:p>
            <w:pPr>
              <w:jc w:val="right"/>
              <w:ind w:right="380"/>
              <w:spacing w:after="0" w:line="162" w:lineRule="exact"/>
              <w:rPr>
                <w:sz w:val="20"/>
                <w:szCs w:val="20"/>
                <w:color w:val="auto"/>
              </w:rPr>
            </w:pPr>
            <w:r>
              <w:rPr>
                <w:rFonts w:ascii="Arial" w:cs="Arial" w:eastAsia="Arial" w:hAnsi="Arial"/>
                <w:sz w:val="15"/>
                <w:szCs w:val="15"/>
                <w:color w:val="auto"/>
              </w:rPr>
              <w:t>—</w:t>
            </w:r>
          </w:p>
        </w:tc>
        <w:tc>
          <w:tcPr>
            <w:tcW w:w="80" w:type="dxa"/>
            <w:vAlign w:val="bottom"/>
          </w:tcPr>
          <w:p>
            <w:pPr>
              <w:spacing w:after="0"/>
              <w:rPr>
                <w:sz w:val="14"/>
                <w:szCs w:val="14"/>
                <w:color w:val="auto"/>
              </w:rPr>
            </w:pPr>
          </w:p>
        </w:tc>
        <w:tc>
          <w:tcPr>
            <w:tcW w:w="580" w:type="dxa"/>
            <w:vAlign w:val="bottom"/>
            <w:gridSpan w:val="2"/>
          </w:tcPr>
          <w:p>
            <w:pPr>
              <w:ind w:left="180"/>
              <w:spacing w:after="0" w:line="162" w:lineRule="exact"/>
              <w:rPr>
                <w:sz w:val="20"/>
                <w:szCs w:val="20"/>
                <w:color w:val="auto"/>
              </w:rPr>
            </w:pPr>
            <w:r>
              <w:rPr>
                <w:rFonts w:ascii="Arial" w:cs="Arial" w:eastAsia="Arial" w:hAnsi="Arial"/>
                <w:sz w:val="15"/>
                <w:szCs w:val="15"/>
                <w:color w:val="auto"/>
              </w:rPr>
              <w:t>—</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00" w:type="dxa"/>
            <w:vAlign w:val="bottom"/>
            <w:gridSpan w:val="2"/>
          </w:tcPr>
          <w:p>
            <w:pPr>
              <w:jc w:val="right"/>
              <w:ind w:right="40"/>
              <w:spacing w:after="0" w:line="162" w:lineRule="exact"/>
              <w:rPr>
                <w:sz w:val="20"/>
                <w:szCs w:val="20"/>
                <w:color w:val="auto"/>
              </w:rPr>
            </w:pPr>
            <w:r>
              <w:rPr>
                <w:rFonts w:ascii="Arial" w:cs="Arial" w:eastAsia="Arial" w:hAnsi="Arial"/>
                <w:sz w:val="15"/>
                <w:szCs w:val="15"/>
                <w:color w:val="auto"/>
              </w:rPr>
              <w:t>(2.6)</w:t>
            </w:r>
          </w:p>
        </w:tc>
        <w:tc>
          <w:tcPr>
            <w:tcW w:w="0" w:type="dxa"/>
            <w:vAlign w:val="bottom"/>
          </w:tcPr>
          <w:p>
            <w:pPr>
              <w:spacing w:after="0"/>
              <w:rPr>
                <w:sz w:val="1"/>
                <w:szCs w:val="1"/>
                <w:color w:val="auto"/>
              </w:rPr>
            </w:pPr>
          </w:p>
        </w:tc>
      </w:tr>
      <w:tr>
        <w:trPr>
          <w:trHeight w:val="162"/>
        </w:trPr>
        <w:tc>
          <w:tcPr>
            <w:tcW w:w="8260" w:type="dxa"/>
            <w:vAlign w:val="bottom"/>
            <w:shd w:val="clear" w:color="auto" w:fill="CCEEFF"/>
          </w:tcPr>
          <w:p>
            <w:pPr>
              <w:ind w:left="320"/>
              <w:spacing w:after="0" w:line="162" w:lineRule="exact"/>
              <w:rPr>
                <w:sz w:val="20"/>
                <w:szCs w:val="20"/>
                <w:color w:val="auto"/>
              </w:rPr>
            </w:pPr>
            <w:r>
              <w:rPr>
                <w:rFonts w:ascii="Arial" w:cs="Arial" w:eastAsia="Arial" w:hAnsi="Arial"/>
                <w:sz w:val="15"/>
                <w:szCs w:val="15"/>
                <w:color w:val="auto"/>
              </w:rPr>
              <w:t>Shares repurchased for tax withholdings on release of restricted stock</w:t>
            </w:r>
          </w:p>
        </w:tc>
        <w:tc>
          <w:tcPr>
            <w:tcW w:w="100" w:type="dxa"/>
            <w:vAlign w:val="bottom"/>
            <w:shd w:val="clear" w:color="auto" w:fill="CCEEFF"/>
          </w:tcPr>
          <w:p>
            <w:pPr>
              <w:spacing w:after="0"/>
              <w:rPr>
                <w:sz w:val="14"/>
                <w:szCs w:val="14"/>
                <w:color w:val="auto"/>
              </w:rPr>
            </w:pPr>
          </w:p>
        </w:tc>
        <w:tc>
          <w:tcPr>
            <w:tcW w:w="580" w:type="dxa"/>
            <w:vAlign w:val="bottom"/>
            <w:gridSpan w:val="2"/>
            <w:shd w:val="clear" w:color="auto" w:fill="CCEEFF"/>
          </w:tcPr>
          <w:p>
            <w:pPr>
              <w:jc w:val="right"/>
              <w:ind w:right="260"/>
              <w:spacing w:after="0" w:line="162" w:lineRule="exact"/>
              <w:rPr>
                <w:sz w:val="20"/>
                <w:szCs w:val="20"/>
                <w:color w:val="auto"/>
              </w:rPr>
            </w:pPr>
            <w:r>
              <w:rPr>
                <w:rFonts w:ascii="Arial" w:cs="Arial" w:eastAsia="Arial" w:hAnsi="Arial"/>
                <w:sz w:val="15"/>
                <w:szCs w:val="15"/>
                <w:color w:val="auto"/>
              </w:rPr>
              <w:t>—</w:t>
            </w: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00" w:type="dxa"/>
            <w:vAlign w:val="bottom"/>
            <w:gridSpan w:val="2"/>
            <w:shd w:val="clear" w:color="auto" w:fill="CCEEFF"/>
          </w:tcPr>
          <w:p>
            <w:pPr>
              <w:jc w:val="right"/>
              <w:ind w:right="380"/>
              <w:spacing w:after="0" w:line="162" w:lineRule="exact"/>
              <w:rPr>
                <w:sz w:val="20"/>
                <w:szCs w:val="20"/>
                <w:color w:val="auto"/>
              </w:rPr>
            </w:pPr>
            <w:r>
              <w:rPr>
                <w:rFonts w:ascii="Arial" w:cs="Arial" w:eastAsia="Arial" w:hAnsi="Arial"/>
                <w:sz w:val="15"/>
                <w:szCs w:val="15"/>
                <w:color w:val="auto"/>
              </w:rPr>
              <w:t>—</w:t>
            </w:r>
          </w:p>
        </w:tc>
        <w:tc>
          <w:tcPr>
            <w:tcW w:w="80" w:type="dxa"/>
            <w:vAlign w:val="bottom"/>
            <w:shd w:val="clear" w:color="auto" w:fill="CCEEFF"/>
          </w:tcPr>
          <w:p>
            <w:pPr>
              <w:spacing w:after="0"/>
              <w:rPr>
                <w:sz w:val="14"/>
                <w:szCs w:val="14"/>
                <w:color w:val="auto"/>
              </w:rPr>
            </w:pPr>
          </w:p>
        </w:tc>
        <w:tc>
          <w:tcPr>
            <w:tcW w:w="580" w:type="dxa"/>
            <w:vAlign w:val="bottom"/>
            <w:gridSpan w:val="2"/>
            <w:shd w:val="clear" w:color="auto" w:fill="CCEEFF"/>
          </w:tcPr>
          <w:p>
            <w:pPr>
              <w:ind w:left="180"/>
              <w:spacing w:after="0" w:line="162" w:lineRule="exact"/>
              <w:rPr>
                <w:sz w:val="20"/>
                <w:szCs w:val="20"/>
                <w:color w:val="auto"/>
              </w:rPr>
            </w:pPr>
            <w:r>
              <w:rPr>
                <w:rFonts w:ascii="Arial" w:cs="Arial" w:eastAsia="Arial" w:hAnsi="Arial"/>
                <w:sz w:val="15"/>
                <w:szCs w:val="15"/>
                <w:color w:val="auto"/>
              </w:rPr>
              <w:t>—</w:t>
            </w:r>
          </w:p>
        </w:tc>
        <w:tc>
          <w:tcPr>
            <w:tcW w:w="1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00" w:type="dxa"/>
            <w:vAlign w:val="bottom"/>
            <w:gridSpan w:val="2"/>
            <w:shd w:val="clear" w:color="auto" w:fill="CCEEFF"/>
          </w:tcPr>
          <w:p>
            <w:pPr>
              <w:jc w:val="right"/>
              <w:ind w:right="40"/>
              <w:spacing w:after="0" w:line="162" w:lineRule="exact"/>
              <w:rPr>
                <w:sz w:val="20"/>
                <w:szCs w:val="20"/>
                <w:color w:val="auto"/>
              </w:rPr>
            </w:pPr>
            <w:r>
              <w:rPr>
                <w:rFonts w:ascii="Arial" w:cs="Arial" w:eastAsia="Arial" w:hAnsi="Arial"/>
                <w:sz w:val="15"/>
                <w:szCs w:val="15"/>
                <w:color w:val="auto"/>
              </w:rPr>
              <w:t>(72.2)</w:t>
            </w:r>
          </w:p>
        </w:tc>
        <w:tc>
          <w:tcPr>
            <w:tcW w:w="0" w:type="dxa"/>
            <w:vAlign w:val="bottom"/>
          </w:tcPr>
          <w:p>
            <w:pPr>
              <w:spacing w:after="0"/>
              <w:rPr>
                <w:sz w:val="1"/>
                <w:szCs w:val="1"/>
                <w:color w:val="auto"/>
              </w:rPr>
            </w:pPr>
          </w:p>
        </w:tc>
      </w:tr>
      <w:tr>
        <w:trPr>
          <w:trHeight w:val="162"/>
        </w:trPr>
        <w:tc>
          <w:tcPr>
            <w:tcW w:w="8260" w:type="dxa"/>
            <w:vAlign w:val="bottom"/>
          </w:tcPr>
          <w:p>
            <w:pPr>
              <w:ind w:left="320"/>
              <w:spacing w:after="0" w:line="162" w:lineRule="exact"/>
              <w:rPr>
                <w:sz w:val="20"/>
                <w:szCs w:val="20"/>
                <w:color w:val="auto"/>
              </w:rPr>
            </w:pPr>
            <w:r>
              <w:rPr>
                <w:rFonts w:ascii="Arial" w:cs="Arial" w:eastAsia="Arial" w:hAnsi="Arial"/>
                <w:sz w:val="15"/>
                <w:szCs w:val="15"/>
                <w:color w:val="auto"/>
              </w:rPr>
              <w:t>Proceeds from issuance of common stock, net of repurchases</w:t>
            </w:r>
          </w:p>
        </w:tc>
        <w:tc>
          <w:tcPr>
            <w:tcW w:w="100" w:type="dxa"/>
            <w:vAlign w:val="bottom"/>
          </w:tcPr>
          <w:p>
            <w:pPr>
              <w:spacing w:after="0"/>
              <w:rPr>
                <w:sz w:val="14"/>
                <w:szCs w:val="14"/>
                <w:color w:val="auto"/>
              </w:rPr>
            </w:pPr>
          </w:p>
        </w:tc>
        <w:tc>
          <w:tcPr>
            <w:tcW w:w="400" w:type="dxa"/>
            <w:vAlign w:val="bottom"/>
          </w:tcPr>
          <w:p>
            <w:pPr>
              <w:jc w:val="right"/>
              <w:spacing w:after="0" w:line="162" w:lineRule="exact"/>
              <w:rPr>
                <w:sz w:val="20"/>
                <w:szCs w:val="20"/>
                <w:color w:val="auto"/>
              </w:rPr>
            </w:pPr>
            <w:r>
              <w:rPr>
                <w:rFonts w:ascii="Arial" w:cs="Arial" w:eastAsia="Arial" w:hAnsi="Arial"/>
                <w:sz w:val="15"/>
                <w:szCs w:val="15"/>
                <w:color w:val="auto"/>
              </w:rPr>
              <w:t>1.5</w:t>
            </w: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0" w:type="dxa"/>
            <w:vAlign w:val="bottom"/>
          </w:tcPr>
          <w:p>
            <w:pPr>
              <w:jc w:val="right"/>
              <w:ind w:right="4"/>
              <w:spacing w:after="0" w:line="162" w:lineRule="exact"/>
              <w:rPr>
                <w:sz w:val="20"/>
                <w:szCs w:val="20"/>
                <w:color w:val="auto"/>
              </w:rPr>
            </w:pPr>
            <w:r>
              <w:rPr>
                <w:rFonts w:ascii="Arial" w:cs="Arial" w:eastAsia="Arial" w:hAnsi="Arial"/>
                <w:sz w:val="15"/>
                <w:szCs w:val="15"/>
                <w:color w:val="auto"/>
              </w:rPr>
              <w:t>—</w:t>
            </w:r>
          </w:p>
        </w:tc>
        <w:tc>
          <w:tcPr>
            <w:tcW w:w="3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0" w:type="dxa"/>
            <w:vAlign w:val="bottom"/>
          </w:tcPr>
          <w:p>
            <w:pPr>
              <w:ind w:left="180"/>
              <w:spacing w:after="0" w:line="162" w:lineRule="exact"/>
              <w:rPr>
                <w:sz w:val="20"/>
                <w:szCs w:val="20"/>
                <w:color w:val="auto"/>
              </w:rPr>
            </w:pPr>
            <w:r>
              <w:rPr>
                <w:rFonts w:ascii="Arial" w:cs="Arial" w:eastAsia="Arial" w:hAnsi="Arial"/>
                <w:sz w:val="15"/>
                <w:szCs w:val="15"/>
                <w:color w:val="auto"/>
              </w:rPr>
              <w:t>—</w:t>
            </w: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00" w:type="dxa"/>
            <w:vAlign w:val="bottom"/>
            <w:gridSpan w:val="2"/>
          </w:tcPr>
          <w:p>
            <w:pPr>
              <w:jc w:val="right"/>
              <w:ind w:right="100"/>
              <w:spacing w:after="0" w:line="162" w:lineRule="exact"/>
              <w:rPr>
                <w:sz w:val="20"/>
                <w:szCs w:val="20"/>
                <w:color w:val="auto"/>
              </w:rPr>
            </w:pPr>
            <w:r>
              <w:rPr>
                <w:rFonts w:ascii="Arial" w:cs="Arial" w:eastAsia="Arial" w:hAnsi="Arial"/>
                <w:sz w:val="15"/>
                <w:szCs w:val="15"/>
                <w:color w:val="auto"/>
              </w:rPr>
              <w:t>0.5</w:t>
            </w:r>
          </w:p>
        </w:tc>
        <w:tc>
          <w:tcPr>
            <w:tcW w:w="0" w:type="dxa"/>
            <w:vAlign w:val="bottom"/>
          </w:tcPr>
          <w:p>
            <w:pPr>
              <w:spacing w:after="0"/>
              <w:rPr>
                <w:sz w:val="1"/>
                <w:szCs w:val="1"/>
                <w:color w:val="auto"/>
              </w:rPr>
            </w:pPr>
          </w:p>
        </w:tc>
      </w:tr>
      <w:tr>
        <w:trPr>
          <w:trHeight w:val="27"/>
        </w:trPr>
        <w:tc>
          <w:tcPr>
            <w:tcW w:w="82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2"/>
        </w:trPr>
        <w:tc>
          <w:tcPr>
            <w:tcW w:w="8260" w:type="dxa"/>
            <w:vAlign w:val="bottom"/>
            <w:shd w:val="clear" w:color="auto" w:fill="CCEEFF"/>
          </w:tcPr>
          <w:p>
            <w:pPr>
              <w:spacing w:after="0" w:line="162" w:lineRule="exact"/>
              <w:rPr>
                <w:sz w:val="20"/>
                <w:szCs w:val="20"/>
                <w:color w:val="auto"/>
              </w:rPr>
            </w:pPr>
            <w:r>
              <w:rPr>
                <w:rFonts w:ascii="Arial" w:cs="Arial" w:eastAsia="Arial" w:hAnsi="Arial"/>
                <w:sz w:val="15"/>
                <w:szCs w:val="15"/>
                <w:b w:val="1"/>
                <w:bCs w:val="1"/>
                <w:color w:val="auto"/>
              </w:rPr>
              <w:t>Net cash used in financing activities</w:t>
            </w:r>
          </w:p>
        </w:tc>
        <w:tc>
          <w:tcPr>
            <w:tcW w:w="100" w:type="dxa"/>
            <w:vAlign w:val="bottom"/>
            <w:shd w:val="clear" w:color="auto" w:fill="CCEEFF"/>
          </w:tcPr>
          <w:p>
            <w:pPr>
              <w:spacing w:after="0"/>
              <w:rPr>
                <w:sz w:val="14"/>
                <w:szCs w:val="14"/>
                <w:color w:val="auto"/>
              </w:rPr>
            </w:pPr>
          </w:p>
        </w:tc>
        <w:tc>
          <w:tcPr>
            <w:tcW w:w="580" w:type="dxa"/>
            <w:vAlign w:val="bottom"/>
            <w:gridSpan w:val="2"/>
            <w:shd w:val="clear" w:color="auto" w:fill="CCEEFF"/>
          </w:tcPr>
          <w:p>
            <w:pPr>
              <w:jc w:val="right"/>
              <w:ind w:right="140"/>
              <w:spacing w:after="0" w:line="162" w:lineRule="exact"/>
              <w:rPr>
                <w:sz w:val="20"/>
                <w:szCs w:val="20"/>
                <w:color w:val="auto"/>
              </w:rPr>
            </w:pPr>
            <w:r>
              <w:rPr>
                <w:rFonts w:ascii="Arial" w:cs="Arial" w:eastAsia="Arial" w:hAnsi="Arial"/>
                <w:sz w:val="15"/>
                <w:szCs w:val="15"/>
                <w:color w:val="auto"/>
              </w:rPr>
              <w:t>(89.6)</w:t>
            </w: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00" w:type="dxa"/>
            <w:vAlign w:val="bottom"/>
            <w:gridSpan w:val="2"/>
            <w:shd w:val="clear" w:color="auto" w:fill="CCEEFF"/>
          </w:tcPr>
          <w:p>
            <w:pPr>
              <w:jc w:val="right"/>
              <w:ind w:right="260"/>
              <w:spacing w:after="0" w:line="162" w:lineRule="exact"/>
              <w:rPr>
                <w:sz w:val="20"/>
                <w:szCs w:val="20"/>
                <w:color w:val="auto"/>
              </w:rPr>
            </w:pPr>
            <w:r>
              <w:rPr>
                <w:rFonts w:ascii="Arial" w:cs="Arial" w:eastAsia="Arial" w:hAnsi="Arial"/>
                <w:sz w:val="15"/>
                <w:szCs w:val="15"/>
                <w:color w:val="auto"/>
                <w:w w:val="88"/>
              </w:rPr>
              <w:t>(134.5)</w:t>
            </w:r>
          </w:p>
        </w:tc>
        <w:tc>
          <w:tcPr>
            <w:tcW w:w="80" w:type="dxa"/>
            <w:vAlign w:val="bottom"/>
            <w:shd w:val="clear" w:color="auto" w:fill="CCEEFF"/>
          </w:tcPr>
          <w:p>
            <w:pPr>
              <w:spacing w:after="0"/>
              <w:rPr>
                <w:sz w:val="14"/>
                <w:szCs w:val="14"/>
                <w:color w:val="auto"/>
              </w:rPr>
            </w:pPr>
          </w:p>
        </w:tc>
        <w:tc>
          <w:tcPr>
            <w:tcW w:w="580" w:type="dxa"/>
            <w:vAlign w:val="bottom"/>
            <w:gridSpan w:val="2"/>
            <w:shd w:val="clear" w:color="auto" w:fill="CCEEFF"/>
          </w:tcPr>
          <w:p>
            <w:pPr>
              <w:jc w:val="right"/>
              <w:ind w:right="120"/>
              <w:spacing w:after="0" w:line="162" w:lineRule="exact"/>
              <w:rPr>
                <w:sz w:val="20"/>
                <w:szCs w:val="20"/>
                <w:color w:val="auto"/>
              </w:rPr>
            </w:pPr>
            <w:r>
              <w:rPr>
                <w:rFonts w:ascii="Arial" w:cs="Arial" w:eastAsia="Arial" w:hAnsi="Arial"/>
                <w:sz w:val="15"/>
                <w:szCs w:val="15"/>
                <w:color w:val="auto"/>
              </w:rPr>
              <w:t>(98.2)</w:t>
            </w:r>
          </w:p>
        </w:tc>
        <w:tc>
          <w:tcPr>
            <w:tcW w:w="1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00" w:type="dxa"/>
            <w:vAlign w:val="bottom"/>
            <w:gridSpan w:val="2"/>
            <w:shd w:val="clear" w:color="auto" w:fill="CCEEFF"/>
          </w:tcPr>
          <w:p>
            <w:pPr>
              <w:jc w:val="right"/>
              <w:ind w:right="40"/>
              <w:spacing w:after="0" w:line="162" w:lineRule="exact"/>
              <w:rPr>
                <w:sz w:val="20"/>
                <w:szCs w:val="20"/>
                <w:color w:val="auto"/>
              </w:rPr>
            </w:pPr>
            <w:r>
              <w:rPr>
                <w:rFonts w:ascii="Arial" w:cs="Arial" w:eastAsia="Arial" w:hAnsi="Arial"/>
                <w:sz w:val="15"/>
                <w:szCs w:val="15"/>
                <w:color w:val="auto"/>
                <w:w w:val="92"/>
              </w:rPr>
              <w:t>(181.1)</w:t>
            </w:r>
          </w:p>
        </w:tc>
        <w:tc>
          <w:tcPr>
            <w:tcW w:w="0" w:type="dxa"/>
            <w:vAlign w:val="bottom"/>
          </w:tcPr>
          <w:p>
            <w:pPr>
              <w:spacing w:after="0"/>
              <w:rPr>
                <w:sz w:val="1"/>
                <w:szCs w:val="1"/>
                <w:color w:val="auto"/>
              </w:rPr>
            </w:pPr>
          </w:p>
        </w:tc>
      </w:tr>
      <w:tr>
        <w:trPr>
          <w:trHeight w:val="20"/>
        </w:trPr>
        <w:tc>
          <w:tcPr>
            <w:tcW w:w="8260" w:type="dxa"/>
            <w:vAlign w:val="bottom"/>
            <w:vMerge w:val="restart"/>
          </w:tcPr>
          <w:p>
            <w:pPr>
              <w:spacing w:after="0"/>
              <w:rPr>
                <w:sz w:val="20"/>
                <w:szCs w:val="20"/>
                <w:color w:val="auto"/>
              </w:rPr>
            </w:pPr>
            <w:r>
              <w:rPr>
                <w:rFonts w:ascii="Arial" w:cs="Arial" w:eastAsia="Arial" w:hAnsi="Arial"/>
                <w:sz w:val="15"/>
                <w:szCs w:val="15"/>
                <w:color w:val="auto"/>
              </w:rPr>
              <w:t>Effect of exchange rate changes on cash and cash equivalents</w:t>
            </w:r>
          </w:p>
        </w:tc>
        <w:tc>
          <w:tcPr>
            <w:tcW w:w="1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826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gridSpan w:val="2"/>
          </w:tcPr>
          <w:p>
            <w:pPr>
              <w:jc w:val="right"/>
              <w:ind w:right="140"/>
              <w:spacing w:after="0" w:line="169" w:lineRule="exact"/>
              <w:rPr>
                <w:sz w:val="20"/>
                <w:szCs w:val="20"/>
                <w:color w:val="auto"/>
              </w:rPr>
            </w:pPr>
            <w:r>
              <w:rPr>
                <w:rFonts w:ascii="Arial" w:cs="Arial" w:eastAsia="Arial" w:hAnsi="Arial"/>
                <w:sz w:val="15"/>
                <w:szCs w:val="15"/>
                <w:color w:val="auto"/>
              </w:rPr>
              <w:t>(0.9)</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gridSpan w:val="2"/>
          </w:tcPr>
          <w:p>
            <w:pPr>
              <w:jc w:val="right"/>
              <w:ind w:right="260"/>
              <w:spacing w:after="0" w:line="169" w:lineRule="exact"/>
              <w:rPr>
                <w:sz w:val="20"/>
                <w:szCs w:val="20"/>
                <w:color w:val="auto"/>
              </w:rPr>
            </w:pPr>
            <w:r>
              <w:rPr>
                <w:rFonts w:ascii="Arial" w:cs="Arial" w:eastAsia="Arial" w:hAnsi="Arial"/>
                <w:sz w:val="15"/>
                <w:szCs w:val="15"/>
                <w:color w:val="auto"/>
              </w:rPr>
              <w:t>(4.3)</w:t>
            </w:r>
          </w:p>
        </w:tc>
        <w:tc>
          <w:tcPr>
            <w:tcW w:w="80" w:type="dxa"/>
            <w:vAlign w:val="bottom"/>
          </w:tcPr>
          <w:p>
            <w:pPr>
              <w:spacing w:after="0"/>
              <w:rPr>
                <w:sz w:val="14"/>
                <w:szCs w:val="14"/>
                <w:color w:val="auto"/>
              </w:rPr>
            </w:pPr>
          </w:p>
        </w:tc>
        <w:tc>
          <w:tcPr>
            <w:tcW w:w="580" w:type="dxa"/>
            <w:vAlign w:val="bottom"/>
            <w:gridSpan w:val="2"/>
          </w:tcPr>
          <w:p>
            <w:pPr>
              <w:jc w:val="right"/>
              <w:ind w:right="180"/>
              <w:spacing w:after="0" w:line="169" w:lineRule="exact"/>
              <w:rPr>
                <w:sz w:val="20"/>
                <w:szCs w:val="20"/>
                <w:color w:val="auto"/>
              </w:rPr>
            </w:pPr>
            <w:r>
              <w:rPr>
                <w:rFonts w:ascii="Arial" w:cs="Arial" w:eastAsia="Arial" w:hAnsi="Arial"/>
                <w:sz w:val="15"/>
                <w:szCs w:val="15"/>
                <w:color w:val="auto"/>
              </w:rPr>
              <w:t>0.4</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00" w:type="dxa"/>
            <w:vAlign w:val="bottom"/>
            <w:gridSpan w:val="2"/>
          </w:tcPr>
          <w:p>
            <w:pPr>
              <w:jc w:val="right"/>
              <w:ind w:right="100"/>
              <w:spacing w:after="0" w:line="169" w:lineRule="exact"/>
              <w:rPr>
                <w:sz w:val="20"/>
                <w:szCs w:val="20"/>
                <w:color w:val="auto"/>
              </w:rPr>
            </w:pPr>
            <w:r>
              <w:rPr>
                <w:rFonts w:ascii="Arial" w:cs="Arial" w:eastAsia="Arial" w:hAnsi="Arial"/>
                <w:sz w:val="15"/>
                <w:szCs w:val="15"/>
                <w:color w:val="auto"/>
              </w:rPr>
              <w:t>2.8</w:t>
            </w:r>
          </w:p>
        </w:tc>
        <w:tc>
          <w:tcPr>
            <w:tcW w:w="0" w:type="dxa"/>
            <w:vAlign w:val="bottom"/>
          </w:tcPr>
          <w:p>
            <w:pPr>
              <w:spacing w:after="0"/>
              <w:rPr>
                <w:sz w:val="1"/>
                <w:szCs w:val="1"/>
                <w:color w:val="auto"/>
              </w:rPr>
            </w:pPr>
          </w:p>
        </w:tc>
      </w:tr>
      <w:tr>
        <w:trPr>
          <w:trHeight w:val="27"/>
        </w:trPr>
        <w:tc>
          <w:tcPr>
            <w:tcW w:w="82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2"/>
        </w:trPr>
        <w:tc>
          <w:tcPr>
            <w:tcW w:w="8260" w:type="dxa"/>
            <w:vAlign w:val="bottom"/>
            <w:shd w:val="clear" w:color="auto" w:fill="CCEEFF"/>
          </w:tcPr>
          <w:p>
            <w:pPr>
              <w:spacing w:after="0" w:line="162" w:lineRule="exact"/>
              <w:rPr>
                <w:sz w:val="20"/>
                <w:szCs w:val="20"/>
                <w:color w:val="auto"/>
              </w:rPr>
            </w:pPr>
            <w:r>
              <w:rPr>
                <w:rFonts w:ascii="Arial" w:cs="Arial" w:eastAsia="Arial" w:hAnsi="Arial"/>
                <w:sz w:val="15"/>
                <w:szCs w:val="15"/>
                <w:color w:val="auto"/>
              </w:rPr>
              <w:t>Change in cash, cash equivalents, and restricted cash</w:t>
            </w:r>
          </w:p>
        </w:tc>
        <w:tc>
          <w:tcPr>
            <w:tcW w:w="100" w:type="dxa"/>
            <w:vAlign w:val="bottom"/>
            <w:shd w:val="clear" w:color="auto" w:fill="CCEEFF"/>
          </w:tcPr>
          <w:p>
            <w:pPr>
              <w:spacing w:after="0"/>
              <w:rPr>
                <w:sz w:val="14"/>
                <w:szCs w:val="14"/>
                <w:color w:val="auto"/>
              </w:rPr>
            </w:pPr>
          </w:p>
        </w:tc>
        <w:tc>
          <w:tcPr>
            <w:tcW w:w="580" w:type="dxa"/>
            <w:vAlign w:val="bottom"/>
            <w:gridSpan w:val="2"/>
            <w:shd w:val="clear" w:color="auto" w:fill="CCEEFF"/>
          </w:tcPr>
          <w:p>
            <w:pPr>
              <w:jc w:val="right"/>
              <w:ind w:right="140"/>
              <w:spacing w:after="0" w:line="162" w:lineRule="exact"/>
              <w:rPr>
                <w:sz w:val="20"/>
                <w:szCs w:val="20"/>
                <w:color w:val="auto"/>
              </w:rPr>
            </w:pPr>
            <w:r>
              <w:rPr>
                <w:rFonts w:ascii="Arial" w:cs="Arial" w:eastAsia="Arial" w:hAnsi="Arial"/>
                <w:sz w:val="15"/>
                <w:szCs w:val="15"/>
                <w:color w:val="auto"/>
                <w:w w:val="88"/>
              </w:rPr>
              <w:t>(161.3)</w:t>
            </w: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00" w:type="dxa"/>
            <w:vAlign w:val="bottom"/>
            <w:gridSpan w:val="2"/>
            <w:shd w:val="clear" w:color="auto" w:fill="CCEEFF"/>
          </w:tcPr>
          <w:p>
            <w:pPr>
              <w:jc w:val="right"/>
              <w:ind w:right="260"/>
              <w:spacing w:after="0" w:line="162" w:lineRule="exact"/>
              <w:rPr>
                <w:sz w:val="20"/>
                <w:szCs w:val="20"/>
                <w:color w:val="auto"/>
              </w:rPr>
            </w:pPr>
            <w:r>
              <w:rPr>
                <w:rFonts w:ascii="Arial" w:cs="Arial" w:eastAsia="Arial" w:hAnsi="Arial"/>
                <w:sz w:val="15"/>
                <w:szCs w:val="15"/>
                <w:color w:val="auto"/>
              </w:rPr>
              <w:t>(4.2)</w:t>
            </w:r>
          </w:p>
        </w:tc>
        <w:tc>
          <w:tcPr>
            <w:tcW w:w="80" w:type="dxa"/>
            <w:vAlign w:val="bottom"/>
            <w:shd w:val="clear" w:color="auto" w:fill="CCEEFF"/>
          </w:tcPr>
          <w:p>
            <w:pPr>
              <w:spacing w:after="0"/>
              <w:rPr>
                <w:sz w:val="14"/>
                <w:szCs w:val="14"/>
                <w:color w:val="auto"/>
              </w:rPr>
            </w:pPr>
          </w:p>
        </w:tc>
        <w:tc>
          <w:tcPr>
            <w:tcW w:w="580" w:type="dxa"/>
            <w:vAlign w:val="bottom"/>
            <w:gridSpan w:val="2"/>
            <w:shd w:val="clear" w:color="auto" w:fill="CCEEFF"/>
          </w:tcPr>
          <w:p>
            <w:pPr>
              <w:jc w:val="right"/>
              <w:ind w:right="120"/>
              <w:spacing w:after="0" w:line="162" w:lineRule="exact"/>
              <w:rPr>
                <w:sz w:val="20"/>
                <w:szCs w:val="20"/>
                <w:color w:val="auto"/>
              </w:rPr>
            </w:pPr>
            <w:r>
              <w:rPr>
                <w:rFonts w:ascii="Arial" w:cs="Arial" w:eastAsia="Arial" w:hAnsi="Arial"/>
                <w:sz w:val="15"/>
                <w:szCs w:val="15"/>
                <w:color w:val="auto"/>
              </w:rPr>
              <w:t>(25.8)</w:t>
            </w:r>
          </w:p>
        </w:tc>
        <w:tc>
          <w:tcPr>
            <w:tcW w:w="1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00" w:type="dxa"/>
            <w:vAlign w:val="bottom"/>
            <w:gridSpan w:val="2"/>
            <w:shd w:val="clear" w:color="auto" w:fill="CCEEFF"/>
          </w:tcPr>
          <w:p>
            <w:pPr>
              <w:jc w:val="right"/>
              <w:ind w:right="100"/>
              <w:spacing w:after="0" w:line="162" w:lineRule="exact"/>
              <w:rPr>
                <w:sz w:val="20"/>
                <w:szCs w:val="20"/>
                <w:color w:val="auto"/>
              </w:rPr>
            </w:pPr>
            <w:r>
              <w:rPr>
                <w:rFonts w:ascii="Arial" w:cs="Arial" w:eastAsia="Arial" w:hAnsi="Arial"/>
                <w:sz w:val="15"/>
                <w:szCs w:val="15"/>
                <w:color w:val="auto"/>
              </w:rPr>
              <w:t>70.0</w:t>
            </w:r>
          </w:p>
        </w:tc>
        <w:tc>
          <w:tcPr>
            <w:tcW w:w="0" w:type="dxa"/>
            <w:vAlign w:val="bottom"/>
          </w:tcPr>
          <w:p>
            <w:pPr>
              <w:spacing w:after="0"/>
              <w:rPr>
                <w:sz w:val="1"/>
                <w:szCs w:val="1"/>
                <w:color w:val="auto"/>
              </w:rPr>
            </w:pPr>
          </w:p>
        </w:tc>
      </w:tr>
      <w:tr>
        <w:trPr>
          <w:trHeight w:val="162"/>
        </w:trPr>
        <w:tc>
          <w:tcPr>
            <w:tcW w:w="8260" w:type="dxa"/>
            <w:vAlign w:val="bottom"/>
          </w:tcPr>
          <w:p>
            <w:pPr>
              <w:spacing w:after="0" w:line="162" w:lineRule="exact"/>
              <w:rPr>
                <w:sz w:val="20"/>
                <w:szCs w:val="20"/>
                <w:color w:val="auto"/>
              </w:rPr>
            </w:pPr>
            <w:r>
              <w:rPr>
                <w:rFonts w:ascii="Arial" w:cs="Arial" w:eastAsia="Arial" w:hAnsi="Arial"/>
                <w:sz w:val="15"/>
                <w:szCs w:val="15"/>
                <w:color w:val="auto"/>
              </w:rPr>
              <w:t>Cash, cash equivalents, and restricted cash—beginning of period</w:t>
            </w:r>
          </w:p>
        </w:tc>
        <w:tc>
          <w:tcPr>
            <w:tcW w:w="100" w:type="dxa"/>
            <w:vAlign w:val="bottom"/>
          </w:tcPr>
          <w:p>
            <w:pPr>
              <w:spacing w:after="0"/>
              <w:rPr>
                <w:sz w:val="14"/>
                <w:szCs w:val="14"/>
                <w:color w:val="auto"/>
              </w:rPr>
            </w:pPr>
          </w:p>
        </w:tc>
        <w:tc>
          <w:tcPr>
            <w:tcW w:w="400" w:type="dxa"/>
            <w:vAlign w:val="bottom"/>
          </w:tcPr>
          <w:p>
            <w:pPr>
              <w:jc w:val="right"/>
              <w:spacing w:after="0" w:line="162" w:lineRule="exact"/>
              <w:rPr>
                <w:sz w:val="20"/>
                <w:szCs w:val="20"/>
                <w:color w:val="auto"/>
              </w:rPr>
            </w:pPr>
            <w:r>
              <w:rPr>
                <w:rFonts w:ascii="Arial" w:cs="Arial" w:eastAsia="Arial" w:hAnsi="Arial"/>
                <w:sz w:val="15"/>
                <w:szCs w:val="15"/>
                <w:color w:val="auto"/>
              </w:rPr>
              <w:t>518.2</w:t>
            </w: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0" w:type="dxa"/>
            <w:vAlign w:val="bottom"/>
          </w:tcPr>
          <w:p>
            <w:pPr>
              <w:jc w:val="right"/>
              <w:spacing w:after="0" w:line="162" w:lineRule="exact"/>
              <w:rPr>
                <w:sz w:val="20"/>
                <w:szCs w:val="20"/>
                <w:color w:val="auto"/>
              </w:rPr>
            </w:pPr>
            <w:r>
              <w:rPr>
                <w:rFonts w:ascii="Arial" w:cs="Arial" w:eastAsia="Arial" w:hAnsi="Arial"/>
                <w:sz w:val="15"/>
                <w:szCs w:val="15"/>
                <w:color w:val="auto"/>
              </w:rPr>
              <w:t>356.9</w:t>
            </w:r>
          </w:p>
        </w:tc>
        <w:tc>
          <w:tcPr>
            <w:tcW w:w="3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gridSpan w:val="2"/>
          </w:tcPr>
          <w:p>
            <w:pPr>
              <w:jc w:val="right"/>
              <w:ind w:right="180"/>
              <w:spacing w:after="0" w:line="162" w:lineRule="exact"/>
              <w:rPr>
                <w:sz w:val="20"/>
                <w:szCs w:val="20"/>
                <w:color w:val="auto"/>
              </w:rPr>
            </w:pPr>
            <w:r>
              <w:rPr>
                <w:rFonts w:ascii="Arial" w:cs="Arial" w:eastAsia="Arial" w:hAnsi="Arial"/>
                <w:sz w:val="15"/>
                <w:szCs w:val="15"/>
                <w:color w:val="auto"/>
              </w:rPr>
              <w:t>356.9</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00" w:type="dxa"/>
            <w:vAlign w:val="bottom"/>
            <w:gridSpan w:val="2"/>
          </w:tcPr>
          <w:p>
            <w:pPr>
              <w:jc w:val="right"/>
              <w:ind w:right="100"/>
              <w:spacing w:after="0" w:line="162" w:lineRule="exact"/>
              <w:rPr>
                <w:sz w:val="20"/>
                <w:szCs w:val="20"/>
                <w:color w:val="auto"/>
              </w:rPr>
            </w:pPr>
            <w:r>
              <w:rPr>
                <w:rFonts w:ascii="Arial" w:cs="Arial" w:eastAsia="Arial" w:hAnsi="Arial"/>
                <w:sz w:val="15"/>
                <w:szCs w:val="15"/>
                <w:color w:val="auto"/>
              </w:rPr>
              <w:t>352.7</w:t>
            </w:r>
          </w:p>
        </w:tc>
        <w:tc>
          <w:tcPr>
            <w:tcW w:w="0" w:type="dxa"/>
            <w:vAlign w:val="bottom"/>
          </w:tcPr>
          <w:p>
            <w:pPr>
              <w:spacing w:after="0"/>
              <w:rPr>
                <w:sz w:val="1"/>
                <w:szCs w:val="1"/>
                <w:color w:val="auto"/>
              </w:rPr>
            </w:pPr>
          </w:p>
        </w:tc>
      </w:tr>
      <w:tr>
        <w:trPr>
          <w:trHeight w:val="27"/>
        </w:trPr>
        <w:tc>
          <w:tcPr>
            <w:tcW w:w="82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2"/>
        </w:trPr>
        <w:tc>
          <w:tcPr>
            <w:tcW w:w="8260" w:type="dxa"/>
            <w:vAlign w:val="bottom"/>
            <w:shd w:val="clear" w:color="auto" w:fill="CCEEFF"/>
          </w:tcPr>
          <w:p>
            <w:pPr>
              <w:spacing w:after="0" w:line="162" w:lineRule="exact"/>
              <w:rPr>
                <w:sz w:val="20"/>
                <w:szCs w:val="20"/>
                <w:color w:val="auto"/>
              </w:rPr>
            </w:pPr>
            <w:r>
              <w:rPr>
                <w:rFonts w:ascii="Arial" w:cs="Arial" w:eastAsia="Arial" w:hAnsi="Arial"/>
                <w:sz w:val="15"/>
                <w:szCs w:val="15"/>
                <w:b w:val="1"/>
                <w:bCs w:val="1"/>
                <w:color w:val="auto"/>
              </w:rPr>
              <w:t>Cash, cash equivalents, and restricted cash—end of period</w:t>
            </w:r>
          </w:p>
        </w:tc>
        <w:tc>
          <w:tcPr>
            <w:tcW w:w="100" w:type="dxa"/>
            <w:vAlign w:val="bottom"/>
            <w:shd w:val="clear" w:color="auto" w:fill="CCEEFF"/>
          </w:tcPr>
          <w:p>
            <w:pPr>
              <w:jc w:val="right"/>
              <w:spacing w:after="0" w:line="162" w:lineRule="exact"/>
              <w:rPr>
                <w:sz w:val="20"/>
                <w:szCs w:val="20"/>
                <w:color w:val="auto"/>
              </w:rPr>
            </w:pPr>
            <w:r>
              <w:rPr>
                <w:rFonts w:ascii="Arial" w:cs="Arial" w:eastAsia="Arial" w:hAnsi="Arial"/>
                <w:sz w:val="15"/>
                <w:szCs w:val="15"/>
                <w:color w:val="auto"/>
                <w:w w:val="71"/>
              </w:rPr>
              <w:t>$</w:t>
            </w:r>
          </w:p>
        </w:tc>
        <w:tc>
          <w:tcPr>
            <w:tcW w:w="400" w:type="dxa"/>
            <w:vAlign w:val="bottom"/>
            <w:shd w:val="clear" w:color="auto" w:fill="CCEEFF"/>
          </w:tcPr>
          <w:p>
            <w:pPr>
              <w:jc w:val="right"/>
              <w:spacing w:after="0" w:line="162" w:lineRule="exact"/>
              <w:rPr>
                <w:sz w:val="20"/>
                <w:szCs w:val="20"/>
                <w:color w:val="auto"/>
              </w:rPr>
            </w:pPr>
            <w:r>
              <w:rPr>
                <w:rFonts w:ascii="Arial" w:cs="Arial" w:eastAsia="Arial" w:hAnsi="Arial"/>
                <w:sz w:val="15"/>
                <w:szCs w:val="15"/>
                <w:color w:val="auto"/>
              </w:rPr>
              <w:t>356.9</w:t>
            </w:r>
          </w:p>
        </w:tc>
        <w:tc>
          <w:tcPr>
            <w:tcW w:w="1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jc w:val="right"/>
              <w:spacing w:after="0" w:line="162" w:lineRule="exact"/>
              <w:rPr>
                <w:sz w:val="20"/>
                <w:szCs w:val="20"/>
                <w:color w:val="auto"/>
              </w:rPr>
            </w:pPr>
            <w:r>
              <w:rPr>
                <w:rFonts w:ascii="Arial" w:cs="Arial" w:eastAsia="Arial" w:hAnsi="Arial"/>
                <w:sz w:val="15"/>
                <w:szCs w:val="15"/>
                <w:color w:val="auto"/>
                <w:w w:val="71"/>
              </w:rPr>
              <w:t>$</w:t>
            </w:r>
          </w:p>
        </w:tc>
        <w:tc>
          <w:tcPr>
            <w:tcW w:w="400" w:type="dxa"/>
            <w:vAlign w:val="bottom"/>
            <w:shd w:val="clear" w:color="auto" w:fill="CCEEFF"/>
          </w:tcPr>
          <w:p>
            <w:pPr>
              <w:jc w:val="right"/>
              <w:spacing w:after="0" w:line="162" w:lineRule="exact"/>
              <w:rPr>
                <w:sz w:val="20"/>
                <w:szCs w:val="20"/>
                <w:color w:val="auto"/>
              </w:rPr>
            </w:pPr>
            <w:r>
              <w:rPr>
                <w:rFonts w:ascii="Arial" w:cs="Arial" w:eastAsia="Arial" w:hAnsi="Arial"/>
                <w:sz w:val="15"/>
                <w:szCs w:val="15"/>
                <w:color w:val="auto"/>
              </w:rPr>
              <w:t>352.7</w:t>
            </w:r>
          </w:p>
        </w:tc>
        <w:tc>
          <w:tcPr>
            <w:tcW w:w="300" w:type="dxa"/>
            <w:vAlign w:val="bottom"/>
            <w:shd w:val="clear" w:color="auto" w:fill="CCEEFF"/>
          </w:tcPr>
          <w:p>
            <w:pPr>
              <w:spacing w:after="0"/>
              <w:rPr>
                <w:sz w:val="14"/>
                <w:szCs w:val="14"/>
                <w:color w:val="auto"/>
              </w:rPr>
            </w:pPr>
          </w:p>
        </w:tc>
        <w:tc>
          <w:tcPr>
            <w:tcW w:w="80" w:type="dxa"/>
            <w:vAlign w:val="bottom"/>
            <w:shd w:val="clear" w:color="auto" w:fill="CCEEFF"/>
          </w:tcPr>
          <w:p>
            <w:pPr>
              <w:jc w:val="right"/>
              <w:spacing w:after="0" w:line="162" w:lineRule="exact"/>
              <w:rPr>
                <w:sz w:val="20"/>
                <w:szCs w:val="20"/>
                <w:color w:val="auto"/>
              </w:rPr>
            </w:pPr>
            <w:r>
              <w:rPr>
                <w:rFonts w:ascii="Arial" w:cs="Arial" w:eastAsia="Arial" w:hAnsi="Arial"/>
                <w:sz w:val="15"/>
                <w:szCs w:val="15"/>
                <w:color w:val="auto"/>
                <w:w w:val="71"/>
              </w:rPr>
              <w:t>$</w:t>
            </w:r>
          </w:p>
        </w:tc>
        <w:tc>
          <w:tcPr>
            <w:tcW w:w="580" w:type="dxa"/>
            <w:vAlign w:val="bottom"/>
            <w:gridSpan w:val="2"/>
            <w:shd w:val="clear" w:color="auto" w:fill="CCEEFF"/>
          </w:tcPr>
          <w:p>
            <w:pPr>
              <w:jc w:val="right"/>
              <w:ind w:right="180"/>
              <w:spacing w:after="0" w:line="162" w:lineRule="exact"/>
              <w:rPr>
                <w:sz w:val="20"/>
                <w:szCs w:val="20"/>
                <w:color w:val="auto"/>
              </w:rPr>
            </w:pPr>
            <w:r>
              <w:rPr>
                <w:rFonts w:ascii="Arial" w:cs="Arial" w:eastAsia="Arial" w:hAnsi="Arial"/>
                <w:sz w:val="15"/>
                <w:szCs w:val="15"/>
                <w:color w:val="auto"/>
              </w:rPr>
              <w:t>331.1</w:t>
            </w:r>
          </w:p>
        </w:tc>
        <w:tc>
          <w:tcPr>
            <w:tcW w:w="220" w:type="dxa"/>
            <w:vAlign w:val="bottom"/>
            <w:gridSpan w:val="2"/>
            <w:shd w:val="clear" w:color="auto" w:fill="CCEEFF"/>
          </w:tcPr>
          <w:p>
            <w:pPr>
              <w:jc w:val="right"/>
              <w:spacing w:after="0" w:line="162" w:lineRule="exact"/>
              <w:rPr>
                <w:sz w:val="20"/>
                <w:szCs w:val="20"/>
                <w:color w:val="auto"/>
              </w:rPr>
            </w:pPr>
            <w:r>
              <w:rPr>
                <w:rFonts w:ascii="Arial" w:cs="Arial" w:eastAsia="Arial" w:hAnsi="Arial"/>
                <w:sz w:val="15"/>
                <w:szCs w:val="15"/>
                <w:color w:val="auto"/>
              </w:rPr>
              <w:t>$</w:t>
            </w:r>
          </w:p>
        </w:tc>
        <w:tc>
          <w:tcPr>
            <w:tcW w:w="500" w:type="dxa"/>
            <w:vAlign w:val="bottom"/>
            <w:gridSpan w:val="2"/>
            <w:shd w:val="clear" w:color="auto" w:fill="CCEEFF"/>
          </w:tcPr>
          <w:p>
            <w:pPr>
              <w:jc w:val="right"/>
              <w:ind w:right="100"/>
              <w:spacing w:after="0" w:line="162" w:lineRule="exact"/>
              <w:rPr>
                <w:sz w:val="20"/>
                <w:szCs w:val="20"/>
                <w:color w:val="auto"/>
              </w:rPr>
            </w:pPr>
            <w:r>
              <w:rPr>
                <w:rFonts w:ascii="Arial" w:cs="Arial" w:eastAsia="Arial" w:hAnsi="Arial"/>
                <w:sz w:val="15"/>
                <w:szCs w:val="15"/>
                <w:color w:val="auto"/>
              </w:rPr>
              <w:t>422.7</w:t>
            </w:r>
          </w:p>
        </w:tc>
        <w:tc>
          <w:tcPr>
            <w:tcW w:w="0" w:type="dxa"/>
            <w:vAlign w:val="bottom"/>
          </w:tcPr>
          <w:p>
            <w:pPr>
              <w:spacing w:after="0"/>
              <w:rPr>
                <w:sz w:val="1"/>
                <w:szCs w:val="1"/>
                <w:color w:val="auto"/>
              </w:rPr>
            </w:pPr>
          </w:p>
        </w:tc>
      </w:tr>
      <w:tr>
        <w:trPr>
          <w:trHeight w:val="20"/>
        </w:trPr>
        <w:tc>
          <w:tcPr>
            <w:tcW w:w="8260" w:type="dxa"/>
            <w:vAlign w:val="bottom"/>
            <w:vMerge w:val="restart"/>
          </w:tcPr>
          <w:p>
            <w:pPr>
              <w:spacing w:after="0"/>
              <w:rPr>
                <w:sz w:val="20"/>
                <w:szCs w:val="20"/>
                <w:color w:val="auto"/>
              </w:rPr>
            </w:pPr>
            <w:r>
              <w:rPr>
                <w:rFonts w:ascii="Arial" w:cs="Arial" w:eastAsia="Arial" w:hAnsi="Arial"/>
                <w:sz w:val="15"/>
                <w:szCs w:val="15"/>
                <w:b w:val="1"/>
                <w:bCs w:val="1"/>
                <w:color w:val="auto"/>
              </w:rPr>
              <w:t>Supplemental cash flow data:</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8260" w:type="dxa"/>
            <w:vAlign w:val="bottom"/>
            <w:vMerge w:val="continue"/>
          </w:tcPr>
          <w:p>
            <w:pPr>
              <w:spacing w:after="0"/>
              <w:rPr>
                <w:sz w:val="13"/>
                <w:szCs w:val="13"/>
                <w:color w:val="auto"/>
              </w:rPr>
            </w:pPr>
          </w:p>
        </w:tc>
        <w:tc>
          <w:tcPr>
            <w:tcW w:w="1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8260" w:type="dxa"/>
            <w:vAlign w:val="bottom"/>
            <w:shd w:val="clear" w:color="auto" w:fill="CCEEFF"/>
          </w:tcPr>
          <w:p>
            <w:pPr>
              <w:ind w:left="320"/>
              <w:spacing w:after="0" w:line="162" w:lineRule="exact"/>
              <w:rPr>
                <w:sz w:val="20"/>
                <w:szCs w:val="20"/>
                <w:color w:val="auto"/>
              </w:rPr>
            </w:pPr>
            <w:r>
              <w:rPr>
                <w:rFonts w:ascii="Arial" w:cs="Arial" w:eastAsia="Arial" w:hAnsi="Arial"/>
                <w:sz w:val="15"/>
                <w:szCs w:val="15"/>
                <w:color w:val="auto"/>
              </w:rPr>
              <w:t>Cash paid during the period for:</w:t>
            </w:r>
          </w:p>
        </w:tc>
        <w:tc>
          <w:tcPr>
            <w:tcW w:w="10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8260" w:type="dxa"/>
            <w:vAlign w:val="bottom"/>
          </w:tcPr>
          <w:p>
            <w:pPr>
              <w:ind w:left="620"/>
              <w:spacing w:after="0" w:line="162" w:lineRule="exact"/>
              <w:rPr>
                <w:sz w:val="20"/>
                <w:szCs w:val="20"/>
                <w:color w:val="auto"/>
              </w:rPr>
            </w:pPr>
            <w:r>
              <w:rPr>
                <w:rFonts w:ascii="Arial" w:cs="Arial" w:eastAsia="Arial" w:hAnsi="Arial"/>
                <w:sz w:val="15"/>
                <w:szCs w:val="15"/>
                <w:color w:val="auto"/>
              </w:rPr>
              <w:t>Interest</w:t>
            </w:r>
          </w:p>
        </w:tc>
        <w:tc>
          <w:tcPr>
            <w:tcW w:w="100" w:type="dxa"/>
            <w:vAlign w:val="bottom"/>
          </w:tcPr>
          <w:p>
            <w:pPr>
              <w:jc w:val="right"/>
              <w:spacing w:after="0" w:line="162" w:lineRule="exact"/>
              <w:rPr>
                <w:sz w:val="20"/>
                <w:szCs w:val="20"/>
                <w:color w:val="auto"/>
              </w:rPr>
            </w:pPr>
            <w:r>
              <w:rPr>
                <w:rFonts w:ascii="Arial" w:cs="Arial" w:eastAsia="Arial" w:hAnsi="Arial"/>
                <w:sz w:val="15"/>
                <w:szCs w:val="15"/>
                <w:color w:val="auto"/>
                <w:w w:val="71"/>
              </w:rPr>
              <w:t>$</w:t>
            </w:r>
          </w:p>
        </w:tc>
        <w:tc>
          <w:tcPr>
            <w:tcW w:w="580" w:type="dxa"/>
            <w:vAlign w:val="bottom"/>
            <w:gridSpan w:val="2"/>
          </w:tcPr>
          <w:p>
            <w:pPr>
              <w:jc w:val="right"/>
              <w:ind w:right="180"/>
              <w:spacing w:after="0" w:line="162" w:lineRule="exact"/>
              <w:rPr>
                <w:sz w:val="20"/>
                <w:szCs w:val="20"/>
                <w:color w:val="auto"/>
              </w:rPr>
            </w:pPr>
            <w:r>
              <w:rPr>
                <w:rFonts w:ascii="Arial" w:cs="Arial" w:eastAsia="Arial" w:hAnsi="Arial"/>
                <w:sz w:val="15"/>
                <w:szCs w:val="15"/>
                <w:color w:val="auto"/>
              </w:rPr>
              <w:t>13.2</w:t>
            </w:r>
          </w:p>
        </w:tc>
        <w:tc>
          <w:tcPr>
            <w:tcW w:w="220" w:type="dxa"/>
            <w:vAlign w:val="bottom"/>
            <w:gridSpan w:val="2"/>
          </w:tcPr>
          <w:p>
            <w:pPr>
              <w:jc w:val="right"/>
              <w:spacing w:after="0" w:line="162" w:lineRule="exact"/>
              <w:rPr>
                <w:sz w:val="20"/>
                <w:szCs w:val="20"/>
                <w:color w:val="auto"/>
              </w:rPr>
            </w:pPr>
            <w:r>
              <w:rPr>
                <w:rFonts w:ascii="Arial" w:cs="Arial" w:eastAsia="Arial" w:hAnsi="Arial"/>
                <w:sz w:val="15"/>
                <w:szCs w:val="15"/>
                <w:color w:val="auto"/>
              </w:rPr>
              <w:t>$</w:t>
            </w:r>
          </w:p>
        </w:tc>
        <w:tc>
          <w:tcPr>
            <w:tcW w:w="700" w:type="dxa"/>
            <w:vAlign w:val="bottom"/>
            <w:gridSpan w:val="2"/>
          </w:tcPr>
          <w:p>
            <w:pPr>
              <w:jc w:val="right"/>
              <w:ind w:right="300"/>
              <w:spacing w:after="0" w:line="162" w:lineRule="exact"/>
              <w:rPr>
                <w:sz w:val="20"/>
                <w:szCs w:val="20"/>
                <w:color w:val="auto"/>
              </w:rPr>
            </w:pPr>
            <w:r>
              <w:rPr>
                <w:rFonts w:ascii="Arial" w:cs="Arial" w:eastAsia="Arial" w:hAnsi="Arial"/>
                <w:sz w:val="15"/>
                <w:szCs w:val="15"/>
                <w:color w:val="auto"/>
              </w:rPr>
              <w:t>14.9</w:t>
            </w:r>
          </w:p>
        </w:tc>
        <w:tc>
          <w:tcPr>
            <w:tcW w:w="80" w:type="dxa"/>
            <w:vAlign w:val="bottom"/>
          </w:tcPr>
          <w:p>
            <w:pPr>
              <w:jc w:val="right"/>
              <w:spacing w:after="0" w:line="162" w:lineRule="exact"/>
              <w:rPr>
                <w:sz w:val="20"/>
                <w:szCs w:val="20"/>
                <w:color w:val="auto"/>
              </w:rPr>
            </w:pPr>
            <w:r>
              <w:rPr>
                <w:rFonts w:ascii="Arial" w:cs="Arial" w:eastAsia="Arial" w:hAnsi="Arial"/>
                <w:sz w:val="15"/>
                <w:szCs w:val="15"/>
                <w:color w:val="auto"/>
                <w:w w:val="71"/>
              </w:rPr>
              <w:t>$</w:t>
            </w:r>
          </w:p>
        </w:tc>
        <w:tc>
          <w:tcPr>
            <w:tcW w:w="580" w:type="dxa"/>
            <w:vAlign w:val="bottom"/>
            <w:gridSpan w:val="2"/>
          </w:tcPr>
          <w:p>
            <w:pPr>
              <w:jc w:val="right"/>
              <w:ind w:right="180"/>
              <w:spacing w:after="0" w:line="162" w:lineRule="exact"/>
              <w:rPr>
                <w:sz w:val="20"/>
                <w:szCs w:val="20"/>
                <w:color w:val="auto"/>
              </w:rPr>
            </w:pPr>
            <w:r>
              <w:rPr>
                <w:rFonts w:ascii="Arial" w:cs="Arial" w:eastAsia="Arial" w:hAnsi="Arial"/>
                <w:sz w:val="15"/>
                <w:szCs w:val="15"/>
                <w:color w:val="auto"/>
              </w:rPr>
              <w:t>11.4</w:t>
            </w:r>
          </w:p>
        </w:tc>
        <w:tc>
          <w:tcPr>
            <w:tcW w:w="220" w:type="dxa"/>
            <w:vAlign w:val="bottom"/>
            <w:gridSpan w:val="2"/>
          </w:tcPr>
          <w:p>
            <w:pPr>
              <w:jc w:val="right"/>
              <w:spacing w:after="0" w:line="162" w:lineRule="exact"/>
              <w:rPr>
                <w:sz w:val="20"/>
                <w:szCs w:val="20"/>
                <w:color w:val="auto"/>
              </w:rPr>
            </w:pPr>
            <w:r>
              <w:rPr>
                <w:rFonts w:ascii="Arial" w:cs="Arial" w:eastAsia="Arial" w:hAnsi="Arial"/>
                <w:sz w:val="15"/>
                <w:szCs w:val="15"/>
                <w:color w:val="auto"/>
              </w:rPr>
              <w:t>$</w:t>
            </w:r>
          </w:p>
        </w:tc>
        <w:tc>
          <w:tcPr>
            <w:tcW w:w="500" w:type="dxa"/>
            <w:vAlign w:val="bottom"/>
            <w:gridSpan w:val="2"/>
          </w:tcPr>
          <w:p>
            <w:pPr>
              <w:jc w:val="right"/>
              <w:ind w:right="100"/>
              <w:spacing w:after="0" w:line="162" w:lineRule="exact"/>
              <w:rPr>
                <w:sz w:val="20"/>
                <w:szCs w:val="20"/>
                <w:color w:val="auto"/>
              </w:rPr>
            </w:pPr>
            <w:r>
              <w:rPr>
                <w:rFonts w:ascii="Arial" w:cs="Arial" w:eastAsia="Arial" w:hAnsi="Arial"/>
                <w:sz w:val="15"/>
                <w:szCs w:val="15"/>
                <w:color w:val="auto"/>
              </w:rPr>
              <w:t>9.4</w:t>
            </w:r>
          </w:p>
        </w:tc>
        <w:tc>
          <w:tcPr>
            <w:tcW w:w="0" w:type="dxa"/>
            <w:vAlign w:val="bottom"/>
          </w:tcPr>
          <w:p>
            <w:pPr>
              <w:spacing w:after="0"/>
              <w:rPr>
                <w:sz w:val="1"/>
                <w:szCs w:val="1"/>
                <w:color w:val="auto"/>
              </w:rPr>
            </w:pPr>
          </w:p>
        </w:tc>
      </w:tr>
      <w:tr>
        <w:trPr>
          <w:trHeight w:val="20"/>
        </w:trPr>
        <w:tc>
          <w:tcPr>
            <w:tcW w:w="82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8260" w:type="dxa"/>
            <w:vAlign w:val="bottom"/>
            <w:shd w:val="clear" w:color="auto" w:fill="CCEEFF"/>
          </w:tcPr>
          <w:p>
            <w:pPr>
              <w:ind w:left="620"/>
              <w:spacing w:after="0" w:line="156" w:lineRule="exact"/>
              <w:rPr>
                <w:sz w:val="20"/>
                <w:szCs w:val="20"/>
                <w:color w:val="auto"/>
              </w:rPr>
            </w:pPr>
            <w:r>
              <w:rPr>
                <w:rFonts w:ascii="Arial" w:cs="Arial" w:eastAsia="Arial" w:hAnsi="Arial"/>
                <w:sz w:val="15"/>
                <w:szCs w:val="15"/>
                <w:color w:val="auto"/>
              </w:rPr>
              <w:t>Income taxes</w:t>
            </w:r>
          </w:p>
        </w:tc>
        <w:tc>
          <w:tcPr>
            <w:tcW w:w="100" w:type="dxa"/>
            <w:vAlign w:val="bottom"/>
            <w:shd w:val="clear" w:color="auto" w:fill="CCEEFF"/>
          </w:tcPr>
          <w:p>
            <w:pPr>
              <w:jc w:val="right"/>
              <w:spacing w:after="0" w:line="156" w:lineRule="exact"/>
              <w:rPr>
                <w:sz w:val="20"/>
                <w:szCs w:val="20"/>
                <w:color w:val="auto"/>
              </w:rPr>
            </w:pPr>
            <w:r>
              <w:rPr>
                <w:rFonts w:ascii="Arial" w:cs="Arial" w:eastAsia="Arial" w:hAnsi="Arial"/>
                <w:sz w:val="15"/>
                <w:szCs w:val="15"/>
                <w:color w:val="auto"/>
                <w:w w:val="71"/>
              </w:rPr>
              <w:t>$</w:t>
            </w:r>
          </w:p>
        </w:tc>
        <w:tc>
          <w:tcPr>
            <w:tcW w:w="580" w:type="dxa"/>
            <w:vAlign w:val="bottom"/>
            <w:gridSpan w:val="2"/>
            <w:shd w:val="clear" w:color="auto" w:fill="CCEEFF"/>
          </w:tcPr>
          <w:p>
            <w:pPr>
              <w:jc w:val="right"/>
              <w:ind w:right="180"/>
              <w:spacing w:after="0" w:line="156" w:lineRule="exact"/>
              <w:rPr>
                <w:sz w:val="20"/>
                <w:szCs w:val="20"/>
                <w:color w:val="auto"/>
              </w:rPr>
            </w:pPr>
            <w:r>
              <w:rPr>
                <w:rFonts w:ascii="Arial" w:cs="Arial" w:eastAsia="Arial" w:hAnsi="Arial"/>
                <w:sz w:val="15"/>
                <w:szCs w:val="15"/>
                <w:color w:val="auto"/>
              </w:rPr>
              <w:t>0.2</w:t>
            </w:r>
          </w:p>
        </w:tc>
        <w:tc>
          <w:tcPr>
            <w:tcW w:w="220" w:type="dxa"/>
            <w:vAlign w:val="bottom"/>
            <w:gridSpan w:val="2"/>
            <w:shd w:val="clear" w:color="auto" w:fill="CCEEFF"/>
          </w:tcPr>
          <w:p>
            <w:pPr>
              <w:jc w:val="right"/>
              <w:spacing w:after="0" w:line="156" w:lineRule="exact"/>
              <w:rPr>
                <w:sz w:val="20"/>
                <w:szCs w:val="20"/>
                <w:color w:val="auto"/>
              </w:rPr>
            </w:pPr>
            <w:r>
              <w:rPr>
                <w:rFonts w:ascii="Arial" w:cs="Arial" w:eastAsia="Arial" w:hAnsi="Arial"/>
                <w:sz w:val="15"/>
                <w:szCs w:val="15"/>
                <w:color w:val="auto"/>
              </w:rPr>
              <w:t>$</w:t>
            </w:r>
          </w:p>
        </w:tc>
        <w:tc>
          <w:tcPr>
            <w:tcW w:w="700" w:type="dxa"/>
            <w:vAlign w:val="bottom"/>
            <w:gridSpan w:val="2"/>
            <w:shd w:val="clear" w:color="auto" w:fill="CCEEFF"/>
          </w:tcPr>
          <w:p>
            <w:pPr>
              <w:jc w:val="right"/>
              <w:ind w:right="300"/>
              <w:spacing w:after="0" w:line="156" w:lineRule="exact"/>
              <w:rPr>
                <w:sz w:val="20"/>
                <w:szCs w:val="20"/>
                <w:color w:val="auto"/>
              </w:rPr>
            </w:pPr>
            <w:r>
              <w:rPr>
                <w:rFonts w:ascii="Arial" w:cs="Arial" w:eastAsia="Arial" w:hAnsi="Arial"/>
                <w:sz w:val="15"/>
                <w:szCs w:val="15"/>
                <w:color w:val="auto"/>
              </w:rPr>
              <w:t>1.5</w:t>
            </w:r>
          </w:p>
        </w:tc>
        <w:tc>
          <w:tcPr>
            <w:tcW w:w="80" w:type="dxa"/>
            <w:vAlign w:val="bottom"/>
            <w:shd w:val="clear" w:color="auto" w:fill="CCEEFF"/>
          </w:tcPr>
          <w:p>
            <w:pPr>
              <w:jc w:val="right"/>
              <w:spacing w:after="0" w:line="156" w:lineRule="exact"/>
              <w:rPr>
                <w:sz w:val="20"/>
                <w:szCs w:val="20"/>
                <w:color w:val="auto"/>
              </w:rPr>
            </w:pPr>
            <w:r>
              <w:rPr>
                <w:rFonts w:ascii="Arial" w:cs="Arial" w:eastAsia="Arial" w:hAnsi="Arial"/>
                <w:sz w:val="15"/>
                <w:szCs w:val="15"/>
                <w:color w:val="auto"/>
                <w:w w:val="71"/>
              </w:rPr>
              <w:t>$</w:t>
            </w:r>
          </w:p>
        </w:tc>
        <w:tc>
          <w:tcPr>
            <w:tcW w:w="580" w:type="dxa"/>
            <w:vAlign w:val="bottom"/>
            <w:gridSpan w:val="2"/>
            <w:shd w:val="clear" w:color="auto" w:fill="CCEEFF"/>
          </w:tcPr>
          <w:p>
            <w:pPr>
              <w:jc w:val="right"/>
              <w:ind w:right="180"/>
              <w:spacing w:after="0" w:line="156" w:lineRule="exact"/>
              <w:rPr>
                <w:sz w:val="20"/>
                <w:szCs w:val="20"/>
                <w:color w:val="auto"/>
              </w:rPr>
            </w:pPr>
            <w:r>
              <w:rPr>
                <w:rFonts w:ascii="Arial" w:cs="Arial" w:eastAsia="Arial" w:hAnsi="Arial"/>
                <w:sz w:val="15"/>
                <w:szCs w:val="15"/>
                <w:color w:val="auto"/>
              </w:rPr>
              <w:t>0.8</w:t>
            </w:r>
          </w:p>
        </w:tc>
        <w:tc>
          <w:tcPr>
            <w:tcW w:w="220" w:type="dxa"/>
            <w:vAlign w:val="bottom"/>
            <w:gridSpan w:val="2"/>
            <w:shd w:val="clear" w:color="auto" w:fill="CCEEFF"/>
          </w:tcPr>
          <w:p>
            <w:pPr>
              <w:jc w:val="right"/>
              <w:spacing w:after="0" w:line="156" w:lineRule="exact"/>
              <w:rPr>
                <w:sz w:val="20"/>
                <w:szCs w:val="20"/>
                <w:color w:val="auto"/>
              </w:rPr>
            </w:pPr>
            <w:r>
              <w:rPr>
                <w:rFonts w:ascii="Arial" w:cs="Arial" w:eastAsia="Arial" w:hAnsi="Arial"/>
                <w:sz w:val="15"/>
                <w:szCs w:val="15"/>
                <w:color w:val="auto"/>
              </w:rPr>
              <w:t>$</w:t>
            </w:r>
          </w:p>
        </w:tc>
        <w:tc>
          <w:tcPr>
            <w:tcW w:w="500" w:type="dxa"/>
            <w:vAlign w:val="bottom"/>
            <w:gridSpan w:val="2"/>
            <w:shd w:val="clear" w:color="auto" w:fill="CCEEFF"/>
          </w:tcPr>
          <w:p>
            <w:pPr>
              <w:jc w:val="right"/>
              <w:ind w:right="100"/>
              <w:spacing w:after="0" w:line="156" w:lineRule="exact"/>
              <w:rPr>
                <w:sz w:val="20"/>
                <w:szCs w:val="20"/>
                <w:color w:val="auto"/>
              </w:rPr>
            </w:pPr>
            <w:r>
              <w:rPr>
                <w:rFonts w:ascii="Arial" w:cs="Arial" w:eastAsia="Arial" w:hAnsi="Arial"/>
                <w:sz w:val="15"/>
                <w:szCs w:val="15"/>
                <w:color w:val="auto"/>
              </w:rPr>
              <w:t>3.4</w:t>
            </w:r>
          </w:p>
        </w:tc>
        <w:tc>
          <w:tcPr>
            <w:tcW w:w="0" w:type="dxa"/>
            <w:vAlign w:val="bottom"/>
          </w:tcPr>
          <w:p>
            <w:pPr>
              <w:spacing w:after="0"/>
              <w:rPr>
                <w:sz w:val="1"/>
                <w:szCs w:val="1"/>
                <w:color w:val="auto"/>
              </w:rPr>
            </w:pPr>
          </w:p>
        </w:tc>
      </w:tr>
      <w:tr>
        <w:trPr>
          <w:trHeight w:val="20"/>
        </w:trPr>
        <w:tc>
          <w:tcPr>
            <w:tcW w:w="8260" w:type="dxa"/>
            <w:vAlign w:val="bottom"/>
            <w:vMerge w:val="restart"/>
          </w:tcPr>
          <w:p>
            <w:pPr>
              <w:ind w:left="320"/>
              <w:spacing w:after="0"/>
              <w:rPr>
                <w:sz w:val="20"/>
                <w:szCs w:val="20"/>
                <w:color w:val="auto"/>
              </w:rPr>
            </w:pPr>
            <w:r>
              <w:rPr>
                <w:rFonts w:ascii="Arial" w:cs="Arial" w:eastAsia="Arial" w:hAnsi="Arial"/>
                <w:sz w:val="15"/>
                <w:szCs w:val="15"/>
                <w:color w:val="auto"/>
              </w:rPr>
              <w:t>Non-cash investing and financing activities:</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8260" w:type="dxa"/>
            <w:vAlign w:val="bottom"/>
            <w:vMerge w:val="continue"/>
          </w:tcPr>
          <w:p>
            <w:pPr>
              <w:spacing w:after="0"/>
              <w:rPr>
                <w:sz w:val="13"/>
                <w:szCs w:val="13"/>
                <w:color w:val="auto"/>
              </w:rPr>
            </w:pPr>
          </w:p>
        </w:tc>
        <w:tc>
          <w:tcPr>
            <w:tcW w:w="1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8260" w:type="dxa"/>
            <w:vAlign w:val="bottom"/>
            <w:shd w:val="clear" w:color="auto" w:fill="CCEEFF"/>
          </w:tcPr>
          <w:p>
            <w:pPr>
              <w:ind w:left="620"/>
              <w:spacing w:after="0" w:line="162" w:lineRule="exact"/>
              <w:rPr>
                <w:sz w:val="20"/>
                <w:szCs w:val="20"/>
                <w:color w:val="auto"/>
              </w:rPr>
            </w:pPr>
            <w:r>
              <w:rPr>
                <w:rFonts w:ascii="Arial" w:cs="Arial" w:eastAsia="Arial" w:hAnsi="Arial"/>
                <w:sz w:val="15"/>
                <w:szCs w:val="15"/>
                <w:color w:val="auto"/>
              </w:rPr>
              <w:t>Property and equipment received and accrued in accounts payable and accrued liabilities</w:t>
            </w:r>
          </w:p>
        </w:tc>
        <w:tc>
          <w:tcPr>
            <w:tcW w:w="100" w:type="dxa"/>
            <w:vAlign w:val="bottom"/>
            <w:shd w:val="clear" w:color="auto" w:fill="CCEEFF"/>
          </w:tcPr>
          <w:p>
            <w:pPr>
              <w:jc w:val="right"/>
              <w:spacing w:after="0" w:line="162" w:lineRule="exact"/>
              <w:rPr>
                <w:sz w:val="20"/>
                <w:szCs w:val="20"/>
                <w:color w:val="auto"/>
              </w:rPr>
            </w:pPr>
            <w:r>
              <w:rPr>
                <w:rFonts w:ascii="Arial" w:cs="Arial" w:eastAsia="Arial" w:hAnsi="Arial"/>
                <w:sz w:val="15"/>
                <w:szCs w:val="15"/>
                <w:color w:val="auto"/>
                <w:w w:val="71"/>
              </w:rPr>
              <w:t>$</w:t>
            </w:r>
          </w:p>
        </w:tc>
        <w:tc>
          <w:tcPr>
            <w:tcW w:w="400" w:type="dxa"/>
            <w:vAlign w:val="bottom"/>
            <w:shd w:val="clear" w:color="auto" w:fill="CCEEFF"/>
          </w:tcPr>
          <w:p>
            <w:pPr>
              <w:jc w:val="right"/>
              <w:spacing w:after="0" w:line="162" w:lineRule="exact"/>
              <w:rPr>
                <w:sz w:val="20"/>
                <w:szCs w:val="20"/>
                <w:color w:val="auto"/>
              </w:rPr>
            </w:pPr>
            <w:r>
              <w:rPr>
                <w:rFonts w:ascii="Arial" w:cs="Arial" w:eastAsia="Arial" w:hAnsi="Arial"/>
                <w:sz w:val="15"/>
                <w:szCs w:val="15"/>
                <w:color w:val="auto"/>
              </w:rPr>
              <w:t>23.8</w:t>
            </w:r>
          </w:p>
        </w:tc>
        <w:tc>
          <w:tcPr>
            <w:tcW w:w="1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jc w:val="right"/>
              <w:spacing w:after="0" w:line="162" w:lineRule="exact"/>
              <w:rPr>
                <w:sz w:val="20"/>
                <w:szCs w:val="20"/>
                <w:color w:val="auto"/>
              </w:rPr>
            </w:pPr>
            <w:r>
              <w:rPr>
                <w:rFonts w:ascii="Arial" w:cs="Arial" w:eastAsia="Arial" w:hAnsi="Arial"/>
                <w:sz w:val="15"/>
                <w:szCs w:val="15"/>
                <w:color w:val="auto"/>
                <w:w w:val="71"/>
              </w:rPr>
              <w:t>$</w:t>
            </w:r>
          </w:p>
        </w:tc>
        <w:tc>
          <w:tcPr>
            <w:tcW w:w="400" w:type="dxa"/>
            <w:vAlign w:val="bottom"/>
            <w:shd w:val="clear" w:color="auto" w:fill="CCEEFF"/>
          </w:tcPr>
          <w:p>
            <w:pPr>
              <w:jc w:val="right"/>
              <w:spacing w:after="0" w:line="162" w:lineRule="exact"/>
              <w:rPr>
                <w:sz w:val="20"/>
                <w:szCs w:val="20"/>
                <w:color w:val="auto"/>
              </w:rPr>
            </w:pPr>
            <w:r>
              <w:rPr>
                <w:rFonts w:ascii="Arial" w:cs="Arial" w:eastAsia="Arial" w:hAnsi="Arial"/>
                <w:sz w:val="15"/>
                <w:szCs w:val="15"/>
                <w:color w:val="auto"/>
              </w:rPr>
              <w:t>7.6</w:t>
            </w:r>
          </w:p>
        </w:tc>
        <w:tc>
          <w:tcPr>
            <w:tcW w:w="300" w:type="dxa"/>
            <w:vAlign w:val="bottom"/>
            <w:shd w:val="clear" w:color="auto" w:fill="CCEEFF"/>
          </w:tcPr>
          <w:p>
            <w:pPr>
              <w:spacing w:after="0"/>
              <w:rPr>
                <w:sz w:val="14"/>
                <w:szCs w:val="14"/>
                <w:color w:val="auto"/>
              </w:rPr>
            </w:pPr>
          </w:p>
        </w:tc>
        <w:tc>
          <w:tcPr>
            <w:tcW w:w="80" w:type="dxa"/>
            <w:vAlign w:val="bottom"/>
            <w:shd w:val="clear" w:color="auto" w:fill="CCEEFF"/>
          </w:tcPr>
          <w:p>
            <w:pPr>
              <w:jc w:val="right"/>
              <w:spacing w:after="0" w:line="162" w:lineRule="exact"/>
              <w:rPr>
                <w:sz w:val="20"/>
                <w:szCs w:val="20"/>
                <w:color w:val="auto"/>
              </w:rPr>
            </w:pPr>
            <w:r>
              <w:rPr>
                <w:rFonts w:ascii="Arial" w:cs="Arial" w:eastAsia="Arial" w:hAnsi="Arial"/>
                <w:sz w:val="15"/>
                <w:szCs w:val="15"/>
                <w:color w:val="auto"/>
                <w:w w:val="71"/>
              </w:rPr>
              <w:t>$</w:t>
            </w:r>
          </w:p>
        </w:tc>
        <w:tc>
          <w:tcPr>
            <w:tcW w:w="580" w:type="dxa"/>
            <w:vAlign w:val="bottom"/>
            <w:gridSpan w:val="2"/>
            <w:shd w:val="clear" w:color="auto" w:fill="CCEEFF"/>
          </w:tcPr>
          <w:p>
            <w:pPr>
              <w:jc w:val="right"/>
              <w:ind w:right="180"/>
              <w:spacing w:after="0" w:line="162" w:lineRule="exact"/>
              <w:rPr>
                <w:sz w:val="20"/>
                <w:szCs w:val="20"/>
                <w:color w:val="auto"/>
              </w:rPr>
            </w:pPr>
            <w:r>
              <w:rPr>
                <w:rFonts w:ascii="Arial" w:cs="Arial" w:eastAsia="Arial" w:hAnsi="Arial"/>
                <w:sz w:val="15"/>
                <w:szCs w:val="15"/>
                <w:color w:val="auto"/>
              </w:rPr>
              <w:t>1.5</w:t>
            </w:r>
          </w:p>
        </w:tc>
        <w:tc>
          <w:tcPr>
            <w:tcW w:w="220" w:type="dxa"/>
            <w:vAlign w:val="bottom"/>
            <w:gridSpan w:val="2"/>
            <w:shd w:val="clear" w:color="auto" w:fill="CCEEFF"/>
          </w:tcPr>
          <w:p>
            <w:pPr>
              <w:jc w:val="right"/>
              <w:spacing w:after="0" w:line="162" w:lineRule="exact"/>
              <w:rPr>
                <w:sz w:val="20"/>
                <w:szCs w:val="20"/>
                <w:color w:val="auto"/>
              </w:rPr>
            </w:pPr>
            <w:r>
              <w:rPr>
                <w:rFonts w:ascii="Arial" w:cs="Arial" w:eastAsia="Arial" w:hAnsi="Arial"/>
                <w:sz w:val="15"/>
                <w:szCs w:val="15"/>
                <w:color w:val="auto"/>
              </w:rPr>
              <w:t>$</w:t>
            </w:r>
          </w:p>
        </w:tc>
        <w:tc>
          <w:tcPr>
            <w:tcW w:w="500" w:type="dxa"/>
            <w:vAlign w:val="bottom"/>
            <w:gridSpan w:val="2"/>
            <w:shd w:val="clear" w:color="auto" w:fill="CCEEFF"/>
          </w:tcPr>
          <w:p>
            <w:pPr>
              <w:jc w:val="right"/>
              <w:ind w:right="100"/>
              <w:spacing w:after="0" w:line="162" w:lineRule="exact"/>
              <w:rPr>
                <w:sz w:val="20"/>
                <w:szCs w:val="20"/>
                <w:color w:val="auto"/>
              </w:rPr>
            </w:pPr>
            <w:r>
              <w:rPr>
                <w:rFonts w:ascii="Arial" w:cs="Arial" w:eastAsia="Arial" w:hAnsi="Arial"/>
                <w:sz w:val="15"/>
                <w:szCs w:val="15"/>
                <w:color w:val="auto"/>
              </w:rPr>
              <w:t>4.2</w:t>
            </w:r>
          </w:p>
        </w:tc>
        <w:tc>
          <w:tcPr>
            <w:tcW w:w="0" w:type="dxa"/>
            <w:vAlign w:val="bottom"/>
          </w:tcPr>
          <w:p>
            <w:pPr>
              <w:spacing w:after="0"/>
              <w:rPr>
                <w:sz w:val="1"/>
                <w:szCs w:val="1"/>
                <w:color w:val="auto"/>
              </w:rPr>
            </w:pPr>
          </w:p>
        </w:tc>
      </w:tr>
      <w:tr>
        <w:trPr>
          <w:trHeight w:val="20"/>
        </w:trPr>
        <w:tc>
          <w:tcPr>
            <w:tcW w:w="8260" w:type="dxa"/>
            <w:vAlign w:val="bottom"/>
            <w:vMerge w:val="restart"/>
          </w:tcPr>
          <w:p>
            <w:pPr>
              <w:ind w:left="620"/>
              <w:spacing w:after="0"/>
              <w:rPr>
                <w:sz w:val="20"/>
                <w:szCs w:val="20"/>
                <w:color w:val="auto"/>
              </w:rPr>
            </w:pPr>
            <w:r>
              <w:rPr>
                <w:rFonts w:ascii="Arial" w:cs="Arial" w:eastAsia="Arial" w:hAnsi="Arial"/>
                <w:sz w:val="15"/>
                <w:szCs w:val="15"/>
                <w:color w:val="auto"/>
              </w:rPr>
              <w:t>Property and equipment acquired under capital leases</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8260" w:type="dxa"/>
            <w:vAlign w:val="bottom"/>
            <w:vMerge w:val="continue"/>
          </w:tcPr>
          <w:p>
            <w:pPr>
              <w:spacing w:after="0"/>
              <w:rPr>
                <w:sz w:val="13"/>
                <w:szCs w:val="13"/>
                <w:color w:val="auto"/>
              </w:rPr>
            </w:pPr>
          </w:p>
        </w:tc>
        <w:tc>
          <w:tcPr>
            <w:tcW w:w="100" w:type="dxa"/>
            <w:vAlign w:val="bottom"/>
          </w:tcPr>
          <w:p>
            <w:pPr>
              <w:jc w:val="right"/>
              <w:spacing w:after="0" w:line="156" w:lineRule="exact"/>
              <w:rPr>
                <w:sz w:val="20"/>
                <w:szCs w:val="20"/>
                <w:color w:val="auto"/>
              </w:rPr>
            </w:pPr>
            <w:r>
              <w:rPr>
                <w:rFonts w:ascii="Arial" w:cs="Arial" w:eastAsia="Arial" w:hAnsi="Arial"/>
                <w:sz w:val="15"/>
                <w:szCs w:val="15"/>
                <w:color w:val="auto"/>
                <w:w w:val="71"/>
              </w:rPr>
              <w:t>$</w:t>
            </w:r>
          </w:p>
        </w:tc>
        <w:tc>
          <w:tcPr>
            <w:tcW w:w="580" w:type="dxa"/>
            <w:vAlign w:val="bottom"/>
            <w:gridSpan w:val="2"/>
          </w:tcPr>
          <w:p>
            <w:pPr>
              <w:jc w:val="right"/>
              <w:ind w:right="180"/>
              <w:spacing w:after="0" w:line="156" w:lineRule="exact"/>
              <w:rPr>
                <w:sz w:val="20"/>
                <w:szCs w:val="20"/>
                <w:color w:val="auto"/>
              </w:rPr>
            </w:pPr>
            <w:r>
              <w:rPr>
                <w:rFonts w:ascii="Arial" w:cs="Arial" w:eastAsia="Arial" w:hAnsi="Arial"/>
                <w:sz w:val="15"/>
                <w:szCs w:val="15"/>
                <w:color w:val="auto"/>
              </w:rPr>
              <w:t>226.3</w:t>
            </w:r>
          </w:p>
        </w:tc>
        <w:tc>
          <w:tcPr>
            <w:tcW w:w="220" w:type="dxa"/>
            <w:vAlign w:val="bottom"/>
            <w:gridSpan w:val="2"/>
          </w:tcPr>
          <w:p>
            <w:pPr>
              <w:jc w:val="right"/>
              <w:spacing w:after="0" w:line="156" w:lineRule="exact"/>
              <w:rPr>
                <w:sz w:val="20"/>
                <w:szCs w:val="20"/>
                <w:color w:val="auto"/>
              </w:rPr>
            </w:pPr>
            <w:r>
              <w:rPr>
                <w:rFonts w:ascii="Arial" w:cs="Arial" w:eastAsia="Arial" w:hAnsi="Arial"/>
                <w:sz w:val="15"/>
                <w:szCs w:val="15"/>
                <w:color w:val="auto"/>
              </w:rPr>
              <w:t>$</w:t>
            </w:r>
          </w:p>
        </w:tc>
        <w:tc>
          <w:tcPr>
            <w:tcW w:w="700" w:type="dxa"/>
            <w:vAlign w:val="bottom"/>
            <w:gridSpan w:val="2"/>
          </w:tcPr>
          <w:p>
            <w:pPr>
              <w:jc w:val="right"/>
              <w:ind w:right="300"/>
              <w:spacing w:after="0" w:line="156" w:lineRule="exact"/>
              <w:rPr>
                <w:sz w:val="20"/>
                <w:szCs w:val="20"/>
                <w:color w:val="auto"/>
              </w:rPr>
            </w:pPr>
            <w:r>
              <w:rPr>
                <w:rFonts w:ascii="Arial" w:cs="Arial" w:eastAsia="Arial" w:hAnsi="Arial"/>
                <w:sz w:val="15"/>
                <w:szCs w:val="15"/>
                <w:color w:val="auto"/>
              </w:rPr>
              <w:t>92.2</w:t>
            </w:r>
          </w:p>
        </w:tc>
        <w:tc>
          <w:tcPr>
            <w:tcW w:w="80" w:type="dxa"/>
            <w:vAlign w:val="bottom"/>
          </w:tcPr>
          <w:p>
            <w:pPr>
              <w:jc w:val="right"/>
              <w:spacing w:after="0" w:line="156" w:lineRule="exact"/>
              <w:rPr>
                <w:sz w:val="20"/>
                <w:szCs w:val="20"/>
                <w:color w:val="auto"/>
              </w:rPr>
            </w:pPr>
            <w:r>
              <w:rPr>
                <w:rFonts w:ascii="Arial" w:cs="Arial" w:eastAsia="Arial" w:hAnsi="Arial"/>
                <w:sz w:val="15"/>
                <w:szCs w:val="15"/>
                <w:color w:val="auto"/>
                <w:w w:val="71"/>
              </w:rPr>
              <w:t>$</w:t>
            </w:r>
          </w:p>
        </w:tc>
        <w:tc>
          <w:tcPr>
            <w:tcW w:w="580" w:type="dxa"/>
            <w:vAlign w:val="bottom"/>
            <w:gridSpan w:val="2"/>
          </w:tcPr>
          <w:p>
            <w:pPr>
              <w:jc w:val="right"/>
              <w:ind w:right="180"/>
              <w:spacing w:after="0" w:line="156" w:lineRule="exact"/>
              <w:rPr>
                <w:sz w:val="20"/>
                <w:szCs w:val="20"/>
                <w:color w:val="auto"/>
              </w:rPr>
            </w:pPr>
            <w:r>
              <w:rPr>
                <w:rFonts w:ascii="Arial" w:cs="Arial" w:eastAsia="Arial" w:hAnsi="Arial"/>
                <w:sz w:val="15"/>
                <w:szCs w:val="15"/>
                <w:color w:val="auto"/>
              </w:rPr>
              <w:t>90.6</w:t>
            </w:r>
          </w:p>
        </w:tc>
        <w:tc>
          <w:tcPr>
            <w:tcW w:w="220" w:type="dxa"/>
            <w:vAlign w:val="bottom"/>
            <w:gridSpan w:val="2"/>
          </w:tcPr>
          <w:p>
            <w:pPr>
              <w:jc w:val="right"/>
              <w:spacing w:after="0" w:line="156" w:lineRule="exact"/>
              <w:rPr>
                <w:sz w:val="20"/>
                <w:szCs w:val="20"/>
                <w:color w:val="auto"/>
              </w:rPr>
            </w:pPr>
            <w:r>
              <w:rPr>
                <w:rFonts w:ascii="Arial" w:cs="Arial" w:eastAsia="Arial" w:hAnsi="Arial"/>
                <w:sz w:val="15"/>
                <w:szCs w:val="15"/>
                <w:color w:val="auto"/>
              </w:rPr>
              <w:t>$</w:t>
            </w:r>
          </w:p>
        </w:tc>
        <w:tc>
          <w:tcPr>
            <w:tcW w:w="500" w:type="dxa"/>
            <w:vAlign w:val="bottom"/>
            <w:gridSpan w:val="2"/>
          </w:tcPr>
          <w:p>
            <w:pPr>
              <w:jc w:val="right"/>
              <w:ind w:right="100"/>
              <w:spacing w:after="0" w:line="156" w:lineRule="exact"/>
              <w:rPr>
                <w:sz w:val="20"/>
                <w:szCs w:val="20"/>
                <w:color w:val="auto"/>
              </w:rPr>
            </w:pPr>
            <w:r>
              <w:rPr>
                <w:rFonts w:ascii="Arial" w:cs="Arial" w:eastAsia="Arial" w:hAnsi="Arial"/>
                <w:sz w:val="15"/>
                <w:szCs w:val="15"/>
                <w:color w:val="auto"/>
              </w:rPr>
              <w:t>18.4</w:t>
            </w:r>
          </w:p>
        </w:tc>
        <w:tc>
          <w:tcPr>
            <w:tcW w:w="0" w:type="dxa"/>
            <w:vAlign w:val="bottom"/>
          </w:tcPr>
          <w:p>
            <w:pPr>
              <w:spacing w:after="0"/>
              <w:rPr>
                <w:sz w:val="1"/>
                <w:szCs w:val="1"/>
                <w:color w:val="auto"/>
              </w:rPr>
            </w:pPr>
          </w:p>
        </w:tc>
      </w:tr>
      <w:tr>
        <w:trPr>
          <w:trHeight w:val="20"/>
        </w:trPr>
        <w:tc>
          <w:tcPr>
            <w:tcW w:w="82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8260" w:type="dxa"/>
            <w:vAlign w:val="bottom"/>
            <w:shd w:val="clear" w:color="auto" w:fill="CCEEFF"/>
          </w:tcPr>
          <w:p>
            <w:pPr>
              <w:ind w:left="620"/>
              <w:spacing w:after="0" w:line="156" w:lineRule="exact"/>
              <w:rPr>
                <w:sz w:val="20"/>
                <w:szCs w:val="20"/>
                <w:color w:val="auto"/>
              </w:rPr>
            </w:pPr>
            <w:r>
              <w:rPr>
                <w:rFonts w:ascii="Arial" w:cs="Arial" w:eastAsia="Arial" w:hAnsi="Arial"/>
                <w:sz w:val="15"/>
                <w:szCs w:val="15"/>
                <w:color w:val="auto"/>
              </w:rPr>
              <w:t>Fair value of shares issued related to acquisitions of businesses and other assets</w:t>
            </w:r>
          </w:p>
        </w:tc>
        <w:tc>
          <w:tcPr>
            <w:tcW w:w="100" w:type="dxa"/>
            <w:vAlign w:val="bottom"/>
            <w:shd w:val="clear" w:color="auto" w:fill="CCEEFF"/>
          </w:tcPr>
          <w:p>
            <w:pPr>
              <w:jc w:val="right"/>
              <w:spacing w:after="0" w:line="156" w:lineRule="exact"/>
              <w:rPr>
                <w:sz w:val="20"/>
                <w:szCs w:val="20"/>
                <w:color w:val="auto"/>
              </w:rPr>
            </w:pPr>
            <w:r>
              <w:rPr>
                <w:rFonts w:ascii="Arial" w:cs="Arial" w:eastAsia="Arial" w:hAnsi="Arial"/>
                <w:sz w:val="15"/>
                <w:szCs w:val="15"/>
                <w:color w:val="auto"/>
                <w:w w:val="71"/>
              </w:rPr>
              <w:t>$</w:t>
            </w:r>
          </w:p>
        </w:tc>
        <w:tc>
          <w:tcPr>
            <w:tcW w:w="580" w:type="dxa"/>
            <w:vAlign w:val="bottom"/>
            <w:gridSpan w:val="2"/>
            <w:shd w:val="clear" w:color="auto" w:fill="CCEEFF"/>
          </w:tcPr>
          <w:p>
            <w:pPr>
              <w:jc w:val="right"/>
              <w:ind w:right="180"/>
              <w:spacing w:after="0" w:line="156" w:lineRule="exact"/>
              <w:rPr>
                <w:sz w:val="20"/>
                <w:szCs w:val="20"/>
                <w:color w:val="auto"/>
              </w:rPr>
            </w:pPr>
            <w:r>
              <w:rPr>
                <w:rFonts w:ascii="Arial" w:cs="Arial" w:eastAsia="Arial" w:hAnsi="Arial"/>
                <w:sz w:val="15"/>
                <w:szCs w:val="15"/>
                <w:color w:val="auto"/>
              </w:rPr>
              <w:t>35.2</w:t>
            </w:r>
          </w:p>
        </w:tc>
        <w:tc>
          <w:tcPr>
            <w:tcW w:w="220" w:type="dxa"/>
            <w:vAlign w:val="bottom"/>
            <w:gridSpan w:val="2"/>
            <w:shd w:val="clear" w:color="auto" w:fill="CCEEFF"/>
          </w:tcPr>
          <w:p>
            <w:pPr>
              <w:jc w:val="right"/>
              <w:spacing w:after="0" w:line="156" w:lineRule="exact"/>
              <w:rPr>
                <w:sz w:val="20"/>
                <w:szCs w:val="20"/>
                <w:color w:val="auto"/>
              </w:rPr>
            </w:pPr>
            <w:r>
              <w:rPr>
                <w:rFonts w:ascii="Arial" w:cs="Arial" w:eastAsia="Arial" w:hAnsi="Arial"/>
                <w:sz w:val="15"/>
                <w:szCs w:val="15"/>
                <w:color w:val="auto"/>
              </w:rPr>
              <w:t>$</w:t>
            </w:r>
          </w:p>
        </w:tc>
        <w:tc>
          <w:tcPr>
            <w:tcW w:w="700" w:type="dxa"/>
            <w:vAlign w:val="bottom"/>
            <w:gridSpan w:val="2"/>
            <w:shd w:val="clear" w:color="auto" w:fill="CCEEFF"/>
          </w:tcPr>
          <w:p>
            <w:pPr>
              <w:jc w:val="right"/>
              <w:ind w:right="300"/>
              <w:spacing w:after="0" w:line="156" w:lineRule="exact"/>
              <w:rPr>
                <w:sz w:val="20"/>
                <w:szCs w:val="20"/>
                <w:color w:val="auto"/>
              </w:rPr>
            </w:pPr>
            <w:r>
              <w:rPr>
                <w:rFonts w:ascii="Arial" w:cs="Arial" w:eastAsia="Arial" w:hAnsi="Arial"/>
                <w:sz w:val="15"/>
                <w:szCs w:val="15"/>
                <w:color w:val="auto"/>
              </w:rPr>
              <w:t>0.7</w:t>
            </w:r>
          </w:p>
        </w:tc>
        <w:tc>
          <w:tcPr>
            <w:tcW w:w="80" w:type="dxa"/>
            <w:vAlign w:val="bottom"/>
            <w:shd w:val="clear" w:color="auto" w:fill="CCEEFF"/>
          </w:tcPr>
          <w:p>
            <w:pPr>
              <w:jc w:val="right"/>
              <w:spacing w:after="0" w:line="156" w:lineRule="exact"/>
              <w:rPr>
                <w:sz w:val="20"/>
                <w:szCs w:val="20"/>
                <w:color w:val="auto"/>
              </w:rPr>
            </w:pPr>
            <w:r>
              <w:rPr>
                <w:rFonts w:ascii="Arial" w:cs="Arial" w:eastAsia="Arial" w:hAnsi="Arial"/>
                <w:sz w:val="15"/>
                <w:szCs w:val="15"/>
                <w:color w:val="auto"/>
                <w:w w:val="71"/>
              </w:rPr>
              <w:t>$</w:t>
            </w:r>
          </w:p>
        </w:tc>
        <w:tc>
          <w:tcPr>
            <w:tcW w:w="580" w:type="dxa"/>
            <w:vAlign w:val="bottom"/>
            <w:gridSpan w:val="2"/>
            <w:shd w:val="clear" w:color="auto" w:fill="CCEEFF"/>
          </w:tcPr>
          <w:p>
            <w:pPr>
              <w:jc w:val="right"/>
              <w:ind w:right="180"/>
              <w:spacing w:after="0" w:line="156" w:lineRule="exact"/>
              <w:rPr>
                <w:sz w:val="20"/>
                <w:szCs w:val="20"/>
                <w:color w:val="auto"/>
              </w:rPr>
            </w:pPr>
            <w:r>
              <w:rPr>
                <w:rFonts w:ascii="Arial" w:cs="Arial" w:eastAsia="Arial" w:hAnsi="Arial"/>
                <w:sz w:val="15"/>
                <w:szCs w:val="15"/>
                <w:color w:val="auto"/>
              </w:rPr>
              <w:t>0.7</w:t>
            </w:r>
          </w:p>
        </w:tc>
        <w:tc>
          <w:tcPr>
            <w:tcW w:w="220" w:type="dxa"/>
            <w:vAlign w:val="bottom"/>
            <w:gridSpan w:val="2"/>
            <w:shd w:val="clear" w:color="auto" w:fill="CCEEFF"/>
          </w:tcPr>
          <w:p>
            <w:pPr>
              <w:jc w:val="right"/>
              <w:spacing w:after="0" w:line="156" w:lineRule="exact"/>
              <w:rPr>
                <w:sz w:val="20"/>
                <w:szCs w:val="20"/>
                <w:color w:val="auto"/>
              </w:rPr>
            </w:pPr>
            <w:r>
              <w:rPr>
                <w:rFonts w:ascii="Arial" w:cs="Arial" w:eastAsia="Arial" w:hAnsi="Arial"/>
                <w:sz w:val="15"/>
                <w:szCs w:val="15"/>
                <w:color w:val="auto"/>
              </w:rPr>
              <w:t>$</w:t>
            </w:r>
          </w:p>
        </w:tc>
        <w:tc>
          <w:tcPr>
            <w:tcW w:w="500" w:type="dxa"/>
            <w:vAlign w:val="bottom"/>
            <w:gridSpan w:val="2"/>
            <w:shd w:val="clear" w:color="auto" w:fill="CCEEFF"/>
          </w:tcPr>
          <w:p>
            <w:pPr>
              <w:jc w:val="right"/>
              <w:ind w:right="180"/>
              <w:spacing w:after="0" w:line="156" w:lineRule="exact"/>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20"/>
        </w:trPr>
        <w:tc>
          <w:tcPr>
            <w:tcW w:w="82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8" w:lineRule="exact"/>
        <w:rPr>
          <w:sz w:val="20"/>
          <w:szCs w:val="20"/>
          <w:color w:val="auto"/>
        </w:rPr>
      </w:pPr>
    </w:p>
    <w:p>
      <w:pPr>
        <w:ind w:left="340" w:hanging="332"/>
        <w:spacing w:after="0"/>
        <w:tabs>
          <w:tab w:leader="none" w:pos="340" w:val="left"/>
        </w:tabs>
        <w:numPr>
          <w:ilvl w:val="0"/>
          <w:numId w:val="101"/>
        </w:numPr>
        <w:rPr>
          <w:rFonts w:ascii="Arial" w:cs="Arial" w:eastAsia="Arial" w:hAnsi="Arial"/>
          <w:sz w:val="12"/>
          <w:szCs w:val="12"/>
          <w:color w:val="auto"/>
        </w:rPr>
      </w:pPr>
      <w:r>
        <w:rPr>
          <w:rFonts w:ascii="Arial" w:cs="Arial" w:eastAsia="Arial" w:hAnsi="Arial"/>
          <w:sz w:val="14"/>
          <w:szCs w:val="14"/>
          <w:color w:val="auto"/>
        </w:rPr>
        <w:t>Includes amounts attributable to related party transactions. See Note 15 for further details.</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See accompanying Notes to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F-7</w:t>
      </w:r>
    </w:p>
    <w:p>
      <w:pPr>
        <w:sectPr>
          <w:pgSz w:w="11900" w:h="16838" w:orient="portrait"/>
          <w:cols w:equalWidth="0" w:num="1">
            <w:col w:w="11240"/>
          </w:cols>
          <w:pgMar w:left="320" w:top="459" w:right="339" w:bottom="1440" w:gutter="0" w:footer="0" w:header="0"/>
        </w:sectPr>
      </w:pPr>
    </w:p>
    <w:bookmarkStart w:id="166" w:name="page167"/>
    <w:bookmarkEnd w:id="16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DROPBOX, INC.</w:t>
      </w:r>
    </w:p>
    <w:p>
      <w:pPr>
        <w:spacing w:after="0" w:line="27"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(Information as of September 30, 2017, and for the nine months ended September 30, 2016 and 2017, is unaudited)</w:t>
      </w:r>
    </w:p>
    <w:p>
      <w:pPr>
        <w:spacing w:after="0" w:line="103" w:lineRule="exact"/>
        <w:rPr>
          <w:sz w:val="20"/>
          <w:szCs w:val="20"/>
          <w:color w:val="auto"/>
        </w:rPr>
      </w:pPr>
    </w:p>
    <w:p>
      <w:pPr>
        <w:ind w:left="2760"/>
        <w:spacing w:after="0"/>
        <w:rPr>
          <w:sz w:val="20"/>
          <w:szCs w:val="20"/>
          <w:color w:val="auto"/>
        </w:rPr>
      </w:pPr>
      <w:r>
        <w:rPr>
          <w:rFonts w:ascii="Arial" w:cs="Arial" w:eastAsia="Arial" w:hAnsi="Arial"/>
          <w:sz w:val="18"/>
          <w:szCs w:val="18"/>
          <w:i w:val="1"/>
          <w:iCs w:val="1"/>
          <w:color w:val="auto"/>
        </w:rPr>
        <w:t>(Amounts in tables are in millions except per share data, or as otherwise noted)</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Description of the Business and Summary of Significant Accounting Policies</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Business</w:t>
      </w:r>
    </w:p>
    <w:p>
      <w:pPr>
        <w:spacing w:after="0" w:line="117" w:lineRule="exact"/>
        <w:rPr>
          <w:sz w:val="20"/>
          <w:szCs w:val="20"/>
          <w:color w:val="auto"/>
        </w:rPr>
      </w:pPr>
    </w:p>
    <w:p>
      <w:pPr>
        <w:ind w:right="520" w:firstLine="449"/>
        <w:spacing w:after="0" w:line="342" w:lineRule="auto"/>
        <w:rPr>
          <w:sz w:val="20"/>
          <w:szCs w:val="20"/>
          <w:color w:val="auto"/>
        </w:rPr>
      </w:pPr>
      <w:r>
        <w:rPr>
          <w:rFonts w:ascii="Arial" w:cs="Arial" w:eastAsia="Arial" w:hAnsi="Arial"/>
          <w:sz w:val="16"/>
          <w:szCs w:val="16"/>
          <w:color w:val="auto"/>
        </w:rPr>
        <w:t>Dropbox, Inc. (the “Company” or “Dropbox”) is a global collaboration platform. Dropbox was incorporated in May 2007 as Evenflow, Inc., a Delaware corporation, and changed its name to Dropbox, Inc. in October 2009. The Company is headquartered in San Francisco, California.</w:t>
      </w:r>
    </w:p>
    <w:p>
      <w:pPr>
        <w:spacing w:after="0" w:line="232"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Basis of presentation and consolidation</w:t>
      </w:r>
    </w:p>
    <w:p>
      <w:pPr>
        <w:spacing w:after="0" w:line="117" w:lineRule="exact"/>
        <w:rPr>
          <w:sz w:val="20"/>
          <w:szCs w:val="20"/>
          <w:color w:val="auto"/>
        </w:rPr>
      </w:pPr>
    </w:p>
    <w:p>
      <w:pPr>
        <w:ind w:firstLine="449"/>
        <w:spacing w:after="0" w:line="263" w:lineRule="auto"/>
        <w:rPr>
          <w:sz w:val="20"/>
          <w:szCs w:val="20"/>
          <w:color w:val="auto"/>
        </w:rPr>
      </w:pPr>
      <w:r>
        <w:rPr>
          <w:rFonts w:ascii="Arial" w:cs="Arial" w:eastAsia="Arial" w:hAnsi="Arial"/>
          <w:sz w:val="18"/>
          <w:szCs w:val="18"/>
          <w:color w:val="auto"/>
        </w:rPr>
        <w:t>The accompanying consolidated financial statements have been prepared in accordance with the United States of America generally accepted accounting principles (“GAAP”). The accompanying consolidated financial statements include the accounts of Dropbox and its wholly owned subsidiaries. All intercompany balances and transactions have been eliminated in consolidation.</w:t>
      </w:r>
    </w:p>
    <w:p>
      <w:pPr>
        <w:spacing w:after="0" w:line="184" w:lineRule="exact"/>
        <w:rPr>
          <w:sz w:val="20"/>
          <w:szCs w:val="20"/>
          <w:color w:val="auto"/>
        </w:rPr>
      </w:pPr>
    </w:p>
    <w:p>
      <w:pPr>
        <w:ind w:right="60" w:firstLine="449"/>
        <w:spacing w:after="0" w:line="293" w:lineRule="auto"/>
        <w:rPr>
          <w:sz w:val="20"/>
          <w:szCs w:val="20"/>
          <w:color w:val="auto"/>
        </w:rPr>
      </w:pPr>
      <w:r>
        <w:rPr>
          <w:rFonts w:ascii="Arial" w:cs="Arial" w:eastAsia="Arial" w:hAnsi="Arial"/>
          <w:sz w:val="16"/>
          <w:szCs w:val="16"/>
          <w:color w:val="auto"/>
        </w:rPr>
        <w:t xml:space="preserve">On January 1, 2017, the Company adopted the requirements of Accounting Standards Update (“ASU”) No. 2014-09, </w:t>
      </w:r>
      <w:r>
        <w:rPr>
          <w:rFonts w:ascii="Arial" w:cs="Arial" w:eastAsia="Arial" w:hAnsi="Arial"/>
          <w:sz w:val="16"/>
          <w:szCs w:val="16"/>
          <w:i w:val="1"/>
          <w:iCs w:val="1"/>
          <w:color w:val="auto"/>
        </w:rPr>
        <w:t>Revenue from Contracts with</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Customers </w:t>
      </w:r>
      <w:r>
        <w:rPr>
          <w:rFonts w:ascii="Arial" w:cs="Arial" w:eastAsia="Arial" w:hAnsi="Arial"/>
          <w:sz w:val="16"/>
          <w:szCs w:val="16"/>
          <w:color w:val="auto"/>
        </w:rPr>
        <w:t>(</w:t>
      </w:r>
      <w:r>
        <w:rPr>
          <w:rFonts w:ascii="Arial" w:cs="Arial" w:eastAsia="Arial" w:hAnsi="Arial"/>
          <w:sz w:val="16"/>
          <w:szCs w:val="16"/>
          <w:i w:val="1"/>
          <w:iCs w:val="1"/>
          <w:color w:val="auto"/>
        </w:rPr>
        <w:t>Topic 606</w:t>
      </w:r>
      <w:r>
        <w:rPr>
          <w:rFonts w:ascii="Arial" w:cs="Arial" w:eastAsia="Arial" w:hAnsi="Arial"/>
          <w:sz w:val="16"/>
          <w:szCs w:val="16"/>
          <w:color w:val="auto"/>
        </w:rPr>
        <w:t>) as discussed further in</w:t>
      </w:r>
      <w:r>
        <w:rPr>
          <w:rFonts w:ascii="Arial" w:cs="Arial" w:eastAsia="Arial" w:hAnsi="Arial"/>
          <w:sz w:val="16"/>
          <w:szCs w:val="16"/>
          <w:i w:val="1"/>
          <w:iCs w:val="1"/>
          <w:color w:val="auto"/>
        </w:rPr>
        <w:t xml:space="preserve"> Recently adopted accounting pronouncements </w:t>
      </w:r>
      <w:r>
        <w:rPr>
          <w:rFonts w:ascii="Arial" w:cs="Arial" w:eastAsia="Arial" w:hAnsi="Arial"/>
          <w:sz w:val="16"/>
          <w:szCs w:val="16"/>
          <w:color w:val="auto"/>
        </w:rPr>
        <w:t>below (“Topic 606”). Topic 606 establishes a principle for</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recognizing revenue upon the transfer of promised goods or services to customers, in an amount that reflects the expected consideration received in exchange for those goods or services. Topic 606 also includes Subtopic 340-40, </w:t>
      </w:r>
      <w:r>
        <w:rPr>
          <w:rFonts w:ascii="Arial" w:cs="Arial" w:eastAsia="Arial" w:hAnsi="Arial"/>
          <w:sz w:val="16"/>
          <w:szCs w:val="16"/>
          <w:i w:val="1"/>
          <w:iCs w:val="1"/>
          <w:color w:val="auto"/>
        </w:rPr>
        <w:t>Other Assets and Deferred Costs—Contracts with Customers</w:t>
      </w:r>
      <w:r>
        <w:rPr>
          <w:rFonts w:ascii="Arial" w:cs="Arial" w:eastAsia="Arial" w:hAnsi="Arial"/>
          <w:sz w:val="16"/>
          <w:szCs w:val="16"/>
          <w:color w:val="auto"/>
        </w:rPr>
        <w:t>, which requires the deferral of incremental costs of obtaining a contract with a customer. Collectively, references to Topic 606 used herein refer to both Topic 606 and Subtopic 340-40. The Company adopted Topic 606 with retrospective application to the beginning of the earliest period presented.</w:t>
      </w:r>
    </w:p>
    <w:p>
      <w:pPr>
        <w:spacing w:after="0" w:line="272"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Unaudited interim financial information</w:t>
      </w:r>
    </w:p>
    <w:p>
      <w:pPr>
        <w:spacing w:after="0" w:line="117" w:lineRule="exact"/>
        <w:rPr>
          <w:sz w:val="20"/>
          <w:szCs w:val="20"/>
          <w:color w:val="auto"/>
        </w:rPr>
      </w:pPr>
    </w:p>
    <w:p>
      <w:pPr>
        <w:ind w:firstLine="449"/>
        <w:spacing w:after="0" w:line="287" w:lineRule="auto"/>
        <w:rPr>
          <w:sz w:val="20"/>
          <w:szCs w:val="20"/>
          <w:color w:val="auto"/>
        </w:rPr>
      </w:pPr>
      <w:r>
        <w:rPr>
          <w:rFonts w:ascii="Arial" w:cs="Arial" w:eastAsia="Arial" w:hAnsi="Arial"/>
          <w:sz w:val="16"/>
          <w:szCs w:val="16"/>
          <w:color w:val="auto"/>
        </w:rPr>
        <w:t>The accompanying interim consolidated balance sheet as of September 30, 2017, the related interim consolidated statements of operations, comprehensive loss, and cash flows for the nine months ended September 30, 2016 and 2017, the consolidated statement of stockholders’ equity for the nine months ended September 30, 2017, and the related footnote disclosures, as of and for those periods, are unaudited. These unaudited interim consolidated financial statements have been prepared in accordance with GAAP applicable to interim financial statements. The interim consolidated financial statements are presented in accordance with the rules and regulations of the U.S. Securities and Exchange Commission and do not include all disclosures normally required in annual consolidated financial statements prepared in accordance with GAAP. In management’s opinion, the unaudited interim consolidated financial statements have been prepared on the same basis as the annual consolidated financial statements and include all adjustments, which include only normal recurring adjustments, necessary for the fair presentation of the Company’s financial position as of September 30, 2017, the Company’s consolidated statement of stockholders’ equity for the nine months ended September 30, 2017, the Company’s consolidated results of operations and cash flows for the nine months ended September 30, 2016 and 2017, and the related footnote disclosures, as of and for those periods. The results for the nine months ended September 30, 2017, are not necessarily indicative of the results expected for the full year.</w:t>
      </w:r>
    </w:p>
    <w:p>
      <w:pPr>
        <w:spacing w:after="0" w:line="280"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Unaudited pro forma balance sheet</w:t>
      </w:r>
    </w:p>
    <w:p>
      <w:pPr>
        <w:spacing w:after="0" w:line="117" w:lineRule="exact"/>
        <w:rPr>
          <w:sz w:val="20"/>
          <w:szCs w:val="20"/>
          <w:color w:val="auto"/>
        </w:rPr>
      </w:pPr>
    </w:p>
    <w:p>
      <w:pPr>
        <w:ind w:right="80" w:firstLine="449"/>
        <w:spacing w:after="0" w:line="277" w:lineRule="auto"/>
        <w:rPr>
          <w:sz w:val="20"/>
          <w:szCs w:val="20"/>
          <w:color w:val="auto"/>
        </w:rPr>
      </w:pPr>
      <w:r>
        <w:rPr>
          <w:rFonts w:ascii="Arial" w:cs="Arial" w:eastAsia="Arial" w:hAnsi="Arial"/>
          <w:sz w:val="18"/>
          <w:szCs w:val="18"/>
          <w:color w:val="auto"/>
        </w:rPr>
        <w:t>Subject to the satisfaction of certain conditions, immediately prior to the completion of the Company’s initial public offering, all of the 220,965,979 shares of convertible preferred stock will convert into an equivalent</w:t>
      </w:r>
    </w:p>
    <w:p>
      <w:pPr>
        <w:spacing w:after="0" w:line="10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F-8</w:t>
      </w:r>
    </w:p>
    <w:p>
      <w:pPr>
        <w:sectPr>
          <w:pgSz w:w="11900" w:h="16838" w:orient="portrait"/>
          <w:cols w:equalWidth="0" w:num="1">
            <w:col w:w="11180"/>
          </w:cols>
          <w:pgMar w:left="320" w:top="459" w:right="399" w:bottom="1440" w:gutter="0" w:footer="0" w:header="0"/>
        </w:sectPr>
      </w:pPr>
    </w:p>
    <w:bookmarkStart w:id="167" w:name="page168"/>
    <w:bookmarkEnd w:id="16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right="60"/>
        <w:spacing w:after="0" w:line="311" w:lineRule="auto"/>
        <w:rPr>
          <w:sz w:val="20"/>
          <w:szCs w:val="20"/>
          <w:color w:val="auto"/>
        </w:rPr>
      </w:pPr>
      <w:r>
        <w:rPr>
          <w:rFonts w:ascii="Arial" w:cs="Arial" w:eastAsia="Arial" w:hAnsi="Arial"/>
          <w:sz w:val="16"/>
          <w:szCs w:val="16"/>
          <w:color w:val="auto"/>
        </w:rPr>
        <w:t>number of shares of Class B common stock. Further, pursuant to transfer agreements with certain of the Company’s stockholders, 387,934 shares of the Company’s preferred stock and 3,914,934 shares of the Company’s Class B common stock will automatically convert into an equivalent numbers of shares of Class A common stock. The unaudited pro forma balance sheet information gives effect to these conversions as of September 30, 2017.</w:t>
      </w:r>
    </w:p>
    <w:p>
      <w:pPr>
        <w:spacing w:after="0" w:line="149" w:lineRule="exact"/>
        <w:rPr>
          <w:sz w:val="20"/>
          <w:szCs w:val="20"/>
          <w:color w:val="auto"/>
        </w:rPr>
      </w:pPr>
    </w:p>
    <w:p>
      <w:pPr>
        <w:ind w:right="40" w:firstLine="449"/>
        <w:spacing w:after="0" w:line="268" w:lineRule="auto"/>
        <w:rPr>
          <w:sz w:val="20"/>
          <w:szCs w:val="20"/>
          <w:color w:val="auto"/>
        </w:rPr>
      </w:pPr>
      <w:r>
        <w:rPr>
          <w:rFonts w:ascii="Arial" w:cs="Arial" w:eastAsia="Arial" w:hAnsi="Arial"/>
          <w:sz w:val="17"/>
          <w:szCs w:val="17"/>
          <w:color w:val="auto"/>
        </w:rPr>
        <w:t>As described in detail in “Stock-Based Compensation” below, the Company has granted restricted stock units (“RSUs”) that generally vest upon the satisfaction of a service-based vesting condition, and with respect to RSUs granted prior to August 2015, (“two-tier RSUs”), upon the satisfaction of both a service-based vesting condition and a liquidity event-related performance vesting condition (the “Performance Vesting Condition”). The Performance Vesting Condition is satisfied on the earlier of (i) an acquisition or change in control of the Company or (ii) the earlier of (a) six months after our initial public offering or (b) March 15 of the year following our initial public offering. At the time the Performance Vesting Condition becomes probable, the Company will recognize the cumulative stock-based compensation expense for the two-tier RSUs that have met their service-based vesting condition using the accelerated attribution method. Accordingly, the unaudited pro forma balance sheet information as of September 30, 2017, gives effect to stock-based compensation expense of approximately $415.4 million associated with two-tier RSUs using the accelerated attribution method. This pro forma adjustment related to stock-based compensation expense of approximately $415.4 million has been reflected as an increase to additional paid-in capital and within accumulated deficit. The unaudited pro forma balance sheet also gives effect to the assumed conversion of the two-tier RSUs that had satisfied the service-based vesting condition and the Performance Vesting Condition as of September 30, 2017, and will convert into 38,172,093 shares of Class B common stock. Share repurchases of common stock to satisfy the tax withholding obligation and payroll tax expenses have not been included in these pro forma adjustments.</w:t>
      </w:r>
    </w:p>
    <w:p>
      <w:pPr>
        <w:spacing w:after="0" w:line="186" w:lineRule="exact"/>
        <w:rPr>
          <w:sz w:val="20"/>
          <w:szCs w:val="20"/>
          <w:color w:val="auto"/>
        </w:rPr>
      </w:pPr>
    </w:p>
    <w:p>
      <w:pPr>
        <w:ind w:right="200" w:firstLine="449"/>
        <w:spacing w:after="0" w:line="277" w:lineRule="auto"/>
        <w:rPr>
          <w:sz w:val="20"/>
          <w:szCs w:val="20"/>
          <w:color w:val="auto"/>
        </w:rPr>
      </w:pPr>
      <w:r>
        <w:rPr>
          <w:rFonts w:ascii="Arial" w:cs="Arial" w:eastAsia="Arial" w:hAnsi="Arial"/>
          <w:sz w:val="18"/>
          <w:szCs w:val="18"/>
          <w:color w:val="auto"/>
        </w:rPr>
        <w:t>The shares of common stock issuable and the proceeds expected to be received upon the completion of an initial public offering are excluded from the pro forma balance sheet.</w:t>
      </w:r>
    </w:p>
    <w:p>
      <w:pPr>
        <w:spacing w:after="0" w:line="278"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Use of estimates</w:t>
      </w:r>
    </w:p>
    <w:p>
      <w:pPr>
        <w:spacing w:after="0" w:line="117" w:lineRule="exact"/>
        <w:rPr>
          <w:sz w:val="20"/>
          <w:szCs w:val="20"/>
          <w:color w:val="auto"/>
        </w:rPr>
      </w:pPr>
    </w:p>
    <w:p>
      <w:pPr>
        <w:ind w:right="60" w:firstLine="449"/>
        <w:spacing w:after="0" w:line="259" w:lineRule="auto"/>
        <w:rPr>
          <w:sz w:val="20"/>
          <w:szCs w:val="20"/>
          <w:color w:val="auto"/>
        </w:rPr>
      </w:pPr>
      <w:r>
        <w:rPr>
          <w:rFonts w:ascii="Arial" w:cs="Arial" w:eastAsia="Arial" w:hAnsi="Arial"/>
          <w:sz w:val="18"/>
          <w:szCs w:val="18"/>
          <w:color w:val="auto"/>
        </w:rPr>
        <w:t>The preparation of financial statements in conformity with GAAP requires management to make estimates and assumptions that affect the amounts reported and disclosed in the Company’s consolidated financial statements and accompanying notes. These estimates are based on information available as of the date of the consolidated financial statements. On a regular basis, management evaluates these estimates and assumptions. Actual results may differ materially from these estimates.</w:t>
      </w:r>
    </w:p>
    <w:p>
      <w:pPr>
        <w:spacing w:after="0" w:line="187" w:lineRule="exact"/>
        <w:rPr>
          <w:sz w:val="20"/>
          <w:szCs w:val="20"/>
          <w:color w:val="auto"/>
        </w:rPr>
      </w:pPr>
    </w:p>
    <w:p>
      <w:pPr>
        <w:ind w:right="360" w:firstLine="449"/>
        <w:spacing w:after="0" w:line="263" w:lineRule="auto"/>
        <w:rPr>
          <w:sz w:val="20"/>
          <w:szCs w:val="20"/>
          <w:color w:val="auto"/>
        </w:rPr>
      </w:pPr>
      <w:r>
        <w:rPr>
          <w:rFonts w:ascii="Arial" w:cs="Arial" w:eastAsia="Arial" w:hAnsi="Arial"/>
          <w:sz w:val="18"/>
          <w:szCs w:val="18"/>
          <w:color w:val="auto"/>
        </w:rPr>
        <w:t>The Company’s most significant estimates and judgments involve recognition of revenue, the measurement of the Company’s stock-based compensation, including the estimation of the underlying deemed fair value of common stock, the valuation of acquired intangible assets and goodwill from business combinations.</w:t>
      </w:r>
    </w:p>
    <w:p>
      <w:pPr>
        <w:spacing w:after="0" w:line="292"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Financial information about segments and geographic areas</w:t>
      </w:r>
    </w:p>
    <w:p>
      <w:pPr>
        <w:spacing w:after="0" w:line="117" w:lineRule="exact"/>
        <w:rPr>
          <w:sz w:val="20"/>
          <w:szCs w:val="20"/>
          <w:color w:val="auto"/>
        </w:rPr>
      </w:pPr>
    </w:p>
    <w:p>
      <w:pPr>
        <w:ind w:firstLine="449"/>
        <w:spacing w:after="0" w:line="279" w:lineRule="auto"/>
        <w:rPr>
          <w:sz w:val="20"/>
          <w:szCs w:val="20"/>
          <w:color w:val="auto"/>
        </w:rPr>
      </w:pPr>
      <w:r>
        <w:rPr>
          <w:rFonts w:ascii="Arial" w:cs="Arial" w:eastAsia="Arial" w:hAnsi="Arial"/>
          <w:sz w:val="17"/>
          <w:szCs w:val="17"/>
          <w:color w:val="auto"/>
        </w:rPr>
        <w:t>The Company manages its operations and allocates resources as a single operating segment. Further, the Company manages, monitors, and reports its financials as a single reporting segment. The Company’s chief operating decision-maker is its Chief Executive Officer, who reviews financial information presented on a consolidated basis for purposes of making operating decisions, assessing financial performance, and allocating resources. For information regarding the Company’s revenue by geographic area and long-lived assets by geographic area, see Note 16.</w:t>
      </w:r>
    </w:p>
    <w:p>
      <w:pPr>
        <w:spacing w:after="0" w:line="279"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Foreign currency transactions</w:t>
      </w:r>
    </w:p>
    <w:p>
      <w:pPr>
        <w:spacing w:after="0" w:line="117" w:lineRule="exact"/>
        <w:rPr>
          <w:sz w:val="20"/>
          <w:szCs w:val="20"/>
          <w:color w:val="auto"/>
        </w:rPr>
      </w:pPr>
    </w:p>
    <w:p>
      <w:pPr>
        <w:jc w:val="both"/>
        <w:ind w:right="60" w:firstLine="449"/>
        <w:spacing w:after="0" w:line="263" w:lineRule="auto"/>
        <w:rPr>
          <w:sz w:val="20"/>
          <w:szCs w:val="20"/>
          <w:color w:val="auto"/>
        </w:rPr>
      </w:pPr>
      <w:r>
        <w:rPr>
          <w:rFonts w:ascii="Arial" w:cs="Arial" w:eastAsia="Arial" w:hAnsi="Arial"/>
          <w:sz w:val="18"/>
          <w:szCs w:val="18"/>
          <w:color w:val="auto"/>
        </w:rPr>
        <w:t>The assets and liabilities of the Company’s foreign subsidiaries are translated from their respective functional currencies into U.S. dollars at the rates in effect at the balance sheet date and revenue and expense amounts are translated at the average exchange rate for the period. Foreign currency translation gains and losses are recorded in other comprehensive income (loss).</w:t>
      </w:r>
    </w:p>
    <w:p>
      <w:pPr>
        <w:spacing w:after="0" w:line="11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F-9</w:t>
      </w:r>
    </w:p>
    <w:p>
      <w:pPr>
        <w:sectPr>
          <w:pgSz w:w="11900" w:h="16838" w:orient="portrait"/>
          <w:cols w:equalWidth="0" w:num="1">
            <w:col w:w="11220"/>
          </w:cols>
          <w:pgMar w:left="320" w:top="459" w:right="359" w:bottom="1440" w:gutter="0" w:footer="0" w:header="0"/>
        </w:sectPr>
      </w:pPr>
    </w:p>
    <w:bookmarkStart w:id="168" w:name="page169"/>
    <w:bookmarkEnd w:id="16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right="20" w:firstLine="449"/>
        <w:spacing w:after="0" w:line="296" w:lineRule="auto"/>
        <w:rPr>
          <w:sz w:val="20"/>
          <w:szCs w:val="20"/>
          <w:color w:val="auto"/>
        </w:rPr>
      </w:pPr>
      <w:r>
        <w:rPr>
          <w:rFonts w:ascii="Arial" w:cs="Arial" w:eastAsia="Arial" w:hAnsi="Arial"/>
          <w:sz w:val="16"/>
          <w:szCs w:val="16"/>
          <w:color w:val="auto"/>
        </w:rPr>
        <w:t>Gains and losses realized from foreign currency transactions (those transactions denominated in currencies other than the foreign subsidiaries’ functional currency) are included in other income (expense), net. Monetary assets and liabilities are remeasured using foreign currency exchange rates at the end of the period, and non-monetary assets are remeasured based on historical exchange rates. The Company recorded $4.6 million and $3.6 million in net foreign currency transaction losses in the years ended December 31, 2015 and 2016, respectively. The Company recorded $2.1 million and $6.9 million in net foreign currency transaction gains in the nine months ended September 30, 2016 and 2017, respectively.</w:t>
      </w:r>
    </w:p>
    <w:p>
      <w:pPr>
        <w:spacing w:after="0" w:line="269"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117" w:lineRule="exact"/>
        <w:rPr>
          <w:sz w:val="20"/>
          <w:szCs w:val="20"/>
          <w:color w:val="auto"/>
        </w:rPr>
      </w:pPr>
    </w:p>
    <w:p>
      <w:pPr>
        <w:ind w:right="380" w:firstLine="449"/>
        <w:spacing w:after="0" w:line="311" w:lineRule="auto"/>
        <w:rPr>
          <w:sz w:val="20"/>
          <w:szCs w:val="20"/>
          <w:color w:val="auto"/>
        </w:rPr>
      </w:pPr>
      <w:r>
        <w:rPr>
          <w:rFonts w:ascii="Arial" w:cs="Arial" w:eastAsia="Arial" w:hAnsi="Arial"/>
          <w:sz w:val="16"/>
          <w:szCs w:val="16"/>
          <w:color w:val="auto"/>
        </w:rPr>
        <w:t>The Company adopted the requirements of Topic 606 as of January 1, 2017, utilizing the full retrospective method of transition. The impact of adopting Topic 606 on the Company’s revenue is not material to any of the periods presented. The primary impact of adopting Topic 606 relates to the deferral of incremental costs of obtaining customer contracts and the amortization of those costs over a longer period of benefit.</w:t>
      </w:r>
    </w:p>
    <w:p>
      <w:pPr>
        <w:spacing w:after="0" w:line="149" w:lineRule="exact"/>
        <w:rPr>
          <w:sz w:val="20"/>
          <w:szCs w:val="20"/>
          <w:color w:val="auto"/>
        </w:rPr>
      </w:pPr>
    </w:p>
    <w:p>
      <w:pPr>
        <w:ind w:right="160" w:firstLine="449"/>
        <w:spacing w:after="0" w:line="263" w:lineRule="auto"/>
        <w:rPr>
          <w:sz w:val="20"/>
          <w:szCs w:val="20"/>
          <w:color w:val="auto"/>
        </w:rPr>
      </w:pPr>
      <w:r>
        <w:rPr>
          <w:rFonts w:ascii="Arial" w:cs="Arial" w:eastAsia="Arial" w:hAnsi="Arial"/>
          <w:sz w:val="18"/>
          <w:szCs w:val="18"/>
          <w:color w:val="auto"/>
        </w:rPr>
        <w:t>The Company derives its revenue from subscription fees from customers for access to its platform. The Company’s policy is to exclude sales and other indirect taxes when measuring the transaction price of its subscription agreements. The Company accounts for revenue contracts with customers by applying the requirements of Topic 606, which includes the following steps:</w:t>
      </w:r>
    </w:p>
    <w:p>
      <w:pPr>
        <w:spacing w:after="0" w:line="89" w:lineRule="exact"/>
        <w:rPr>
          <w:sz w:val="20"/>
          <w:szCs w:val="20"/>
          <w:color w:val="auto"/>
        </w:rPr>
      </w:pPr>
    </w:p>
    <w:p>
      <w:pPr>
        <w:ind w:left="880" w:hanging="319"/>
        <w:spacing w:after="0"/>
        <w:tabs>
          <w:tab w:leader="none" w:pos="880" w:val="left"/>
        </w:tabs>
        <w:numPr>
          <w:ilvl w:val="0"/>
          <w:numId w:val="102"/>
        </w:numPr>
        <w:rPr>
          <w:rFonts w:ascii="Arial" w:cs="Arial" w:eastAsia="Arial" w:hAnsi="Arial"/>
          <w:sz w:val="18"/>
          <w:szCs w:val="18"/>
          <w:color w:val="auto"/>
        </w:rPr>
      </w:pPr>
      <w:r>
        <w:rPr>
          <w:rFonts w:ascii="Arial" w:cs="Arial" w:eastAsia="Arial" w:hAnsi="Arial"/>
          <w:sz w:val="18"/>
          <w:szCs w:val="18"/>
          <w:color w:val="auto"/>
        </w:rPr>
        <w:t>Identification of the contract, or contracts, with a customer</w:t>
      </w:r>
    </w:p>
    <w:p>
      <w:pPr>
        <w:spacing w:after="0" w:line="130" w:lineRule="exact"/>
        <w:rPr>
          <w:rFonts w:ascii="Arial" w:cs="Arial" w:eastAsia="Arial" w:hAnsi="Arial"/>
          <w:sz w:val="18"/>
          <w:szCs w:val="18"/>
          <w:color w:val="auto"/>
        </w:rPr>
      </w:pPr>
    </w:p>
    <w:p>
      <w:pPr>
        <w:ind w:left="880" w:hanging="319"/>
        <w:spacing w:after="0"/>
        <w:tabs>
          <w:tab w:leader="none" w:pos="880" w:val="left"/>
        </w:tabs>
        <w:numPr>
          <w:ilvl w:val="0"/>
          <w:numId w:val="102"/>
        </w:numPr>
        <w:rPr>
          <w:rFonts w:ascii="Arial" w:cs="Arial" w:eastAsia="Arial" w:hAnsi="Arial"/>
          <w:sz w:val="18"/>
          <w:szCs w:val="18"/>
          <w:color w:val="auto"/>
        </w:rPr>
      </w:pPr>
      <w:r>
        <w:rPr>
          <w:rFonts w:ascii="Arial" w:cs="Arial" w:eastAsia="Arial" w:hAnsi="Arial"/>
          <w:sz w:val="18"/>
          <w:szCs w:val="18"/>
          <w:color w:val="auto"/>
        </w:rPr>
        <w:t>Identification of the performance obligations in the contract</w:t>
      </w:r>
    </w:p>
    <w:p>
      <w:pPr>
        <w:spacing w:after="0" w:line="130" w:lineRule="exact"/>
        <w:rPr>
          <w:rFonts w:ascii="Arial" w:cs="Arial" w:eastAsia="Arial" w:hAnsi="Arial"/>
          <w:sz w:val="18"/>
          <w:szCs w:val="18"/>
          <w:color w:val="auto"/>
        </w:rPr>
      </w:pPr>
    </w:p>
    <w:p>
      <w:pPr>
        <w:ind w:left="880" w:hanging="319"/>
        <w:spacing w:after="0"/>
        <w:tabs>
          <w:tab w:leader="none" w:pos="880" w:val="left"/>
        </w:tabs>
        <w:numPr>
          <w:ilvl w:val="0"/>
          <w:numId w:val="102"/>
        </w:numPr>
        <w:rPr>
          <w:rFonts w:ascii="Arial" w:cs="Arial" w:eastAsia="Arial" w:hAnsi="Arial"/>
          <w:sz w:val="18"/>
          <w:szCs w:val="18"/>
          <w:color w:val="auto"/>
        </w:rPr>
      </w:pPr>
      <w:r>
        <w:rPr>
          <w:rFonts w:ascii="Arial" w:cs="Arial" w:eastAsia="Arial" w:hAnsi="Arial"/>
          <w:sz w:val="18"/>
          <w:szCs w:val="18"/>
          <w:color w:val="auto"/>
        </w:rPr>
        <w:t>Determination of the transaction price</w:t>
      </w:r>
    </w:p>
    <w:p>
      <w:pPr>
        <w:spacing w:after="0" w:line="130" w:lineRule="exact"/>
        <w:rPr>
          <w:rFonts w:ascii="Arial" w:cs="Arial" w:eastAsia="Arial" w:hAnsi="Arial"/>
          <w:sz w:val="18"/>
          <w:szCs w:val="18"/>
          <w:color w:val="auto"/>
        </w:rPr>
      </w:pPr>
    </w:p>
    <w:p>
      <w:pPr>
        <w:ind w:left="880" w:hanging="319"/>
        <w:spacing w:after="0"/>
        <w:tabs>
          <w:tab w:leader="none" w:pos="880" w:val="left"/>
        </w:tabs>
        <w:numPr>
          <w:ilvl w:val="0"/>
          <w:numId w:val="102"/>
        </w:numPr>
        <w:rPr>
          <w:rFonts w:ascii="Arial" w:cs="Arial" w:eastAsia="Arial" w:hAnsi="Arial"/>
          <w:sz w:val="18"/>
          <w:szCs w:val="18"/>
          <w:color w:val="auto"/>
        </w:rPr>
      </w:pPr>
      <w:r>
        <w:rPr>
          <w:rFonts w:ascii="Arial" w:cs="Arial" w:eastAsia="Arial" w:hAnsi="Arial"/>
          <w:sz w:val="18"/>
          <w:szCs w:val="18"/>
          <w:color w:val="auto"/>
        </w:rPr>
        <w:t>Allocation of the transaction price to the performance obligations in the contract</w:t>
      </w:r>
    </w:p>
    <w:p>
      <w:pPr>
        <w:spacing w:after="0" w:line="130" w:lineRule="exact"/>
        <w:rPr>
          <w:rFonts w:ascii="Arial" w:cs="Arial" w:eastAsia="Arial" w:hAnsi="Arial"/>
          <w:sz w:val="18"/>
          <w:szCs w:val="18"/>
          <w:color w:val="auto"/>
        </w:rPr>
      </w:pPr>
    </w:p>
    <w:p>
      <w:pPr>
        <w:ind w:left="880" w:hanging="319"/>
        <w:spacing w:after="0"/>
        <w:tabs>
          <w:tab w:leader="none" w:pos="880" w:val="left"/>
        </w:tabs>
        <w:numPr>
          <w:ilvl w:val="0"/>
          <w:numId w:val="102"/>
        </w:numPr>
        <w:rPr>
          <w:rFonts w:ascii="Arial" w:cs="Arial" w:eastAsia="Arial" w:hAnsi="Arial"/>
          <w:sz w:val="18"/>
          <w:szCs w:val="18"/>
          <w:color w:val="auto"/>
        </w:rPr>
      </w:pPr>
      <w:r>
        <w:rPr>
          <w:rFonts w:ascii="Arial" w:cs="Arial" w:eastAsia="Arial" w:hAnsi="Arial"/>
          <w:sz w:val="18"/>
          <w:szCs w:val="18"/>
          <w:color w:val="auto"/>
        </w:rPr>
        <w:t>Recognition of revenue when, or as, the Company satisfies a performance obligation</w:t>
      </w:r>
    </w:p>
    <w:p>
      <w:pPr>
        <w:spacing w:after="0" w:line="225" w:lineRule="exact"/>
        <w:rPr>
          <w:sz w:val="20"/>
          <w:szCs w:val="20"/>
          <w:color w:val="auto"/>
        </w:rPr>
      </w:pPr>
    </w:p>
    <w:p>
      <w:pPr>
        <w:ind w:right="200" w:firstLine="449"/>
        <w:spacing w:after="0" w:line="255" w:lineRule="auto"/>
        <w:rPr>
          <w:sz w:val="20"/>
          <w:szCs w:val="20"/>
          <w:color w:val="auto"/>
        </w:rPr>
      </w:pPr>
      <w:r>
        <w:rPr>
          <w:rFonts w:ascii="Arial" w:cs="Arial" w:eastAsia="Arial" w:hAnsi="Arial"/>
          <w:sz w:val="18"/>
          <w:szCs w:val="18"/>
          <w:color w:val="auto"/>
        </w:rPr>
        <w:t>The Company’s subscription agreements generally have monthly or annual contractual terms and a small percentage have multi-year contractual terms. Revenue is recognized ratably over the related contractual term beginning on the date that the platform is made available to a customer. Access to the platform represents a series of distinct services as the Company continually provides access to, and fulfills its obligation to the end customer over the subscription term. The series of distinct services represents a single performance obligation that is satisfied over time. The Company recognizes revenue ratably because the customer receives and consumes the benefits of the platform throughout the contract period. The Company’s contracts are generally non-cancelable.</w:t>
      </w:r>
    </w:p>
    <w:p>
      <w:pPr>
        <w:spacing w:after="0" w:line="192" w:lineRule="exact"/>
        <w:rPr>
          <w:sz w:val="20"/>
          <w:szCs w:val="20"/>
          <w:color w:val="auto"/>
        </w:rPr>
      </w:pPr>
    </w:p>
    <w:p>
      <w:pPr>
        <w:ind w:right="200" w:firstLine="449"/>
        <w:spacing w:after="0" w:line="311" w:lineRule="auto"/>
        <w:rPr>
          <w:sz w:val="20"/>
          <w:szCs w:val="20"/>
          <w:color w:val="auto"/>
        </w:rPr>
      </w:pPr>
      <w:r>
        <w:rPr>
          <w:rFonts w:ascii="Arial" w:cs="Arial" w:eastAsia="Arial" w:hAnsi="Arial"/>
          <w:sz w:val="16"/>
          <w:szCs w:val="16"/>
          <w:color w:val="auto"/>
        </w:rPr>
        <w:t>The Company bills in advance for monthly contracts and typically bills annually in advance for contracts with terms of one year or longer. The Company also recognizes an immaterial amount of contract assets, or unbilled receivables, primarily relating to rights to consideration for services completed but not billed at the reporting date. Unbilled receivables are classified as receivables when the Company has the right to invoice the customer.</w:t>
      </w:r>
    </w:p>
    <w:p>
      <w:pPr>
        <w:spacing w:after="0" w:line="149" w:lineRule="exact"/>
        <w:rPr>
          <w:sz w:val="20"/>
          <w:szCs w:val="20"/>
          <w:color w:val="auto"/>
        </w:rPr>
      </w:pPr>
    </w:p>
    <w:p>
      <w:pPr>
        <w:ind w:right="100" w:firstLine="449"/>
        <w:spacing w:after="0" w:line="277" w:lineRule="auto"/>
        <w:rPr>
          <w:sz w:val="20"/>
          <w:szCs w:val="20"/>
          <w:color w:val="auto"/>
        </w:rPr>
      </w:pPr>
      <w:r>
        <w:rPr>
          <w:rFonts w:ascii="Arial" w:cs="Arial" w:eastAsia="Arial" w:hAnsi="Arial"/>
          <w:sz w:val="18"/>
          <w:szCs w:val="18"/>
          <w:color w:val="auto"/>
        </w:rPr>
        <w:t>The Company records contract liabilities when cash payments are received or due in advance of performance to deferred revenue. Deferred revenue primarily relates to the advance consideration received from the customer.</w:t>
      </w:r>
    </w:p>
    <w:p>
      <w:pPr>
        <w:spacing w:after="0" w:line="170" w:lineRule="exact"/>
        <w:rPr>
          <w:sz w:val="20"/>
          <w:szCs w:val="20"/>
          <w:color w:val="auto"/>
        </w:rPr>
      </w:pPr>
    </w:p>
    <w:p>
      <w:pPr>
        <w:ind w:firstLine="449"/>
        <w:spacing w:after="0" w:line="263" w:lineRule="auto"/>
        <w:rPr>
          <w:sz w:val="20"/>
          <w:szCs w:val="20"/>
          <w:color w:val="auto"/>
        </w:rPr>
      </w:pPr>
      <w:r>
        <w:rPr>
          <w:rFonts w:ascii="Arial" w:cs="Arial" w:eastAsia="Arial" w:hAnsi="Arial"/>
          <w:sz w:val="18"/>
          <w:szCs w:val="18"/>
          <w:color w:val="auto"/>
        </w:rPr>
        <w:t>The price of subscriptions is generally fixed at contract inception and therefore, the Company’s contracts do not contain a significant amount of variable consideration. As a result, the amount of revenue recognized in the periods presented from performance obligations satisfied (or partially satisfied) in previous periods was not material.</w:t>
      </w:r>
    </w:p>
    <w:p>
      <w:pPr>
        <w:spacing w:after="0" w:line="184" w:lineRule="exact"/>
        <w:rPr>
          <w:sz w:val="20"/>
          <w:szCs w:val="20"/>
          <w:color w:val="auto"/>
        </w:rPr>
      </w:pPr>
    </w:p>
    <w:p>
      <w:pPr>
        <w:ind w:right="540" w:firstLine="449"/>
        <w:spacing w:after="0" w:line="277" w:lineRule="auto"/>
        <w:rPr>
          <w:sz w:val="20"/>
          <w:szCs w:val="20"/>
          <w:color w:val="auto"/>
        </w:rPr>
      </w:pPr>
      <w:r>
        <w:rPr>
          <w:rFonts w:ascii="Arial" w:cs="Arial" w:eastAsia="Arial" w:hAnsi="Arial"/>
          <w:sz w:val="18"/>
          <w:szCs w:val="18"/>
          <w:color w:val="auto"/>
        </w:rPr>
        <w:t>The Company recognized $184.7 million and $266.9 million of revenue during 2015 and 2016, respectively, that was included in the deferred revenue balances at the beginning of the respective periods. Additionally, the</w:t>
      </w:r>
    </w:p>
    <w:p>
      <w:pPr>
        <w:spacing w:after="0" w:line="10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F-10</w:t>
      </w:r>
    </w:p>
    <w:p>
      <w:pPr>
        <w:sectPr>
          <w:pgSz w:w="11900" w:h="16838" w:orient="portrait"/>
          <w:cols w:equalWidth="0" w:num="1">
            <w:col w:w="11200"/>
          </w:cols>
          <w:pgMar w:left="320" w:top="459" w:right="379" w:bottom="1440" w:gutter="0" w:footer="0" w:header="0"/>
        </w:sectPr>
      </w:pPr>
    </w:p>
    <w:bookmarkStart w:id="169" w:name="page170"/>
    <w:bookmarkEnd w:id="16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right="360"/>
        <w:spacing w:after="0" w:line="277" w:lineRule="auto"/>
        <w:rPr>
          <w:sz w:val="20"/>
          <w:szCs w:val="20"/>
          <w:color w:val="auto"/>
        </w:rPr>
      </w:pPr>
      <w:r>
        <w:rPr>
          <w:rFonts w:ascii="Arial" w:cs="Arial" w:eastAsia="Arial" w:hAnsi="Arial"/>
          <w:sz w:val="18"/>
          <w:szCs w:val="18"/>
          <w:color w:val="auto"/>
        </w:rPr>
        <w:t>Company recognized $248.8 million and $324.6 million of revenue during the nine months ended September 30, 2016 and 2017, respectively, that was included in the deferred revenue balances at the beginning of the respective periods.</w:t>
      </w:r>
    </w:p>
    <w:p>
      <w:pPr>
        <w:spacing w:after="0" w:line="170" w:lineRule="exact"/>
        <w:rPr>
          <w:sz w:val="20"/>
          <w:szCs w:val="20"/>
          <w:color w:val="auto"/>
        </w:rPr>
      </w:pPr>
    </w:p>
    <w:p>
      <w:pPr>
        <w:ind w:right="240" w:firstLine="449"/>
        <w:spacing w:after="0" w:line="342" w:lineRule="auto"/>
        <w:rPr>
          <w:sz w:val="20"/>
          <w:szCs w:val="20"/>
          <w:color w:val="auto"/>
        </w:rPr>
      </w:pPr>
      <w:r>
        <w:rPr>
          <w:rFonts w:ascii="Arial" w:cs="Arial" w:eastAsia="Arial" w:hAnsi="Arial"/>
          <w:sz w:val="16"/>
          <w:szCs w:val="16"/>
          <w:color w:val="auto"/>
        </w:rPr>
        <w:t>As of September 30, 2017, future estimated revenue related to performance obligations that are unsatisfied or partially unsatisfied at the end of the reporting period was $442.4 million. The substantial majority of the unsatisfied performance obligations will be satisfied over the next twelve months.</w:t>
      </w:r>
    </w:p>
    <w:p>
      <w:pPr>
        <w:spacing w:after="0" w:line="124" w:lineRule="exact"/>
        <w:rPr>
          <w:sz w:val="20"/>
          <w:szCs w:val="20"/>
          <w:color w:val="auto"/>
        </w:rPr>
      </w:pPr>
    </w:p>
    <w:p>
      <w:pPr>
        <w:ind w:right="640" w:firstLine="449"/>
        <w:spacing w:after="0" w:line="277" w:lineRule="auto"/>
        <w:rPr>
          <w:sz w:val="20"/>
          <w:szCs w:val="20"/>
          <w:color w:val="auto"/>
        </w:rPr>
      </w:pPr>
      <w:r>
        <w:rPr>
          <w:rFonts w:ascii="Arial" w:cs="Arial" w:eastAsia="Arial" w:hAnsi="Arial"/>
          <w:sz w:val="18"/>
          <w:szCs w:val="18"/>
          <w:color w:val="auto"/>
        </w:rPr>
        <w:t>The Company applied the practical expedient in Topic 606 and did not evaluate contracts of one year or less for the existence of a significant financing component. Multi-year contracts were not significant.</w:t>
      </w:r>
    </w:p>
    <w:p>
      <w:pPr>
        <w:spacing w:after="0" w:line="278"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Stock-based compensation</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Company has granted RSUs to its employees and members of the Board of Directors under the 2008 Equity Incentive Plan (“2008 Plan”) and the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2017 Equity Incentive Plan (“2017 Plan”). The Company had two types of RSUs outstanding as of September 30, 2017:</w:t>
      </w:r>
    </w:p>
    <w:p>
      <w:pPr>
        <w:spacing w:after="0" w:line="116" w:lineRule="exact"/>
        <w:rPr>
          <w:sz w:val="20"/>
          <w:szCs w:val="20"/>
          <w:color w:val="auto"/>
        </w:rPr>
      </w:pPr>
    </w:p>
    <w:p>
      <w:pPr>
        <w:ind w:left="880" w:right="60" w:hanging="319"/>
        <w:spacing w:after="0" w:line="259" w:lineRule="auto"/>
        <w:tabs>
          <w:tab w:leader="none" w:pos="880" w:val="left"/>
        </w:tabs>
        <w:numPr>
          <w:ilvl w:val="0"/>
          <w:numId w:val="103"/>
        </w:numPr>
        <w:rPr>
          <w:rFonts w:ascii="Arial" w:cs="Arial" w:eastAsia="Arial" w:hAnsi="Arial"/>
          <w:sz w:val="18"/>
          <w:szCs w:val="18"/>
          <w:color w:val="auto"/>
        </w:rPr>
      </w:pPr>
      <w:r>
        <w:rPr>
          <w:rFonts w:ascii="Arial" w:cs="Arial" w:eastAsia="Arial" w:hAnsi="Arial"/>
          <w:sz w:val="18"/>
          <w:szCs w:val="18"/>
          <w:color w:val="auto"/>
        </w:rPr>
        <w:t>One-tier RSUs, which have a service-based vesting condition over a four year period. These awards typically have a cliff vesting period of one year and continue to vest quarterly thereafter. The Company began granting one-tier RSUs under its 2008 Plan in August 2015 and it continues to grant one-tier RSUs under its 2017 Plan. The Company recognizes compensation expense associated with one-tier RSUs ratably on a straight-line basis over the requisite service period.</w:t>
      </w:r>
    </w:p>
    <w:p>
      <w:pPr>
        <w:spacing w:after="0" w:line="92" w:lineRule="exact"/>
        <w:rPr>
          <w:rFonts w:ascii="Arial" w:cs="Arial" w:eastAsia="Arial" w:hAnsi="Arial"/>
          <w:sz w:val="18"/>
          <w:szCs w:val="18"/>
          <w:color w:val="auto"/>
        </w:rPr>
      </w:pPr>
    </w:p>
    <w:p>
      <w:pPr>
        <w:ind w:left="880" w:right="120" w:hanging="319"/>
        <w:spacing w:after="0" w:line="255" w:lineRule="auto"/>
        <w:tabs>
          <w:tab w:leader="none" w:pos="880" w:val="left"/>
        </w:tabs>
        <w:numPr>
          <w:ilvl w:val="0"/>
          <w:numId w:val="103"/>
        </w:numPr>
        <w:rPr>
          <w:rFonts w:ascii="Arial" w:cs="Arial" w:eastAsia="Arial" w:hAnsi="Arial"/>
          <w:sz w:val="18"/>
          <w:szCs w:val="18"/>
          <w:color w:val="auto"/>
        </w:rPr>
      </w:pPr>
      <w:r>
        <w:rPr>
          <w:rFonts w:ascii="Arial" w:cs="Arial" w:eastAsia="Arial" w:hAnsi="Arial"/>
          <w:sz w:val="18"/>
          <w:szCs w:val="18"/>
          <w:color w:val="auto"/>
        </w:rPr>
        <w:t>Two-tier RSUs, which have both a service-based vesting condition and the Performance Vesting Condition. The service-based vesting period for these awards is typically four years with a cliff vesting period of one year and continue to vest monthly thereafter. Upon satisfaction of the Performance Vesting Condition, these awards will vest quarterly. The Performance Vesting Condition is satisfied on the earlier of (i) an acquisition or change in control of the Company or (ii) the earlier of (a) six months after our initial public offering or (b) March 15 of the year following our initial public offering. Prior to August 2015, the Company granted two-tier RSUs under the 2008 Plan. The last grant date for two-tier RSUs was in May 2015.</w:t>
      </w:r>
    </w:p>
    <w:p>
      <w:pPr>
        <w:spacing w:after="0" w:line="192" w:lineRule="exact"/>
        <w:rPr>
          <w:sz w:val="20"/>
          <w:szCs w:val="20"/>
          <w:color w:val="auto"/>
        </w:rPr>
      </w:pPr>
    </w:p>
    <w:p>
      <w:pPr>
        <w:ind w:right="40" w:firstLine="449"/>
        <w:spacing w:after="0" w:line="291" w:lineRule="auto"/>
        <w:rPr>
          <w:sz w:val="20"/>
          <w:szCs w:val="20"/>
          <w:color w:val="auto"/>
        </w:rPr>
      </w:pPr>
      <w:r>
        <w:rPr>
          <w:rFonts w:ascii="Arial" w:cs="Arial" w:eastAsia="Arial" w:hAnsi="Arial"/>
          <w:sz w:val="16"/>
          <w:szCs w:val="16"/>
          <w:color w:val="auto"/>
        </w:rPr>
        <w:t>As of September 30, 2017, all compensation expense related to two-tier RSUs remained unrecognized because the Performance Vesting Condition was not satisfied. At the time the Performance Vesting Condition becomes probable, the Company will recognize the cumulative stock-based compensation expense for the two-tier RSUs that have met their service-based vesting condition using the accelerated attribution method. If the Performance Vesting Condition had occurred on September 30, 2017, the Company would have recorded $415.4 million of stock-based compensation expense using the accelerated attribution method. As of September 30, 2017, 42.5 million two-tier RSUs were outstanding, of which 38.2 million had met their service condition. The Company expects to recognize approximately $9.4 million of additional stock-based compensation expense related to unvested two-tier RSUs, if the service and performance conditions are met, over the remaining service periods through 2019. See Note 11 for further discussion.</w:t>
      </w:r>
    </w:p>
    <w:p>
      <w:pPr>
        <w:spacing w:after="0" w:line="166" w:lineRule="exact"/>
        <w:rPr>
          <w:sz w:val="20"/>
          <w:szCs w:val="20"/>
          <w:color w:val="auto"/>
        </w:rPr>
      </w:pPr>
    </w:p>
    <w:p>
      <w:pPr>
        <w:ind w:right="120" w:firstLine="449"/>
        <w:spacing w:after="0" w:line="263" w:lineRule="auto"/>
        <w:rPr>
          <w:sz w:val="20"/>
          <w:szCs w:val="20"/>
          <w:color w:val="auto"/>
        </w:rPr>
      </w:pPr>
      <w:r>
        <w:rPr>
          <w:rFonts w:ascii="Arial" w:cs="Arial" w:eastAsia="Arial" w:hAnsi="Arial"/>
          <w:sz w:val="18"/>
          <w:szCs w:val="18"/>
          <w:color w:val="auto"/>
        </w:rPr>
        <w:t>Since August 2015, the Company has granted RSUs as the only stock-based payment awards to its employees and has not granted any stock options since then. The fair values of the common stock underlying the RSUs were determined by the Board of Directors, with input from management and contemporaneous third-party valuations, which were performed at least quarterly.</w:t>
      </w:r>
    </w:p>
    <w:p>
      <w:pPr>
        <w:spacing w:after="0" w:line="184" w:lineRule="exact"/>
        <w:rPr>
          <w:sz w:val="20"/>
          <w:szCs w:val="20"/>
          <w:color w:val="auto"/>
        </w:rPr>
      </w:pPr>
    </w:p>
    <w:p>
      <w:pPr>
        <w:jc w:val="both"/>
        <w:ind w:firstLine="449"/>
        <w:spacing w:after="0" w:line="311" w:lineRule="auto"/>
        <w:rPr>
          <w:sz w:val="20"/>
          <w:szCs w:val="20"/>
          <w:color w:val="auto"/>
        </w:rPr>
      </w:pPr>
      <w:r>
        <w:rPr>
          <w:rFonts w:ascii="Arial" w:cs="Arial" w:eastAsia="Arial" w:hAnsi="Arial"/>
          <w:sz w:val="16"/>
          <w:szCs w:val="16"/>
          <w:color w:val="auto"/>
        </w:rPr>
        <w:t>The Company has outstanding stock options that will continue to vest through 2019. The Company used the Black-Scholes Merton Option (“BSM”) pricing model to determine the fair value of stock options granted on the date of grant. This valuation model for stock-based compensation expense requires the Company to make assumptions and judgments about the variables used in the BSM model, including the fair value of its common</w:t>
      </w:r>
    </w:p>
    <w:p>
      <w:pPr>
        <w:spacing w:after="0" w:line="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F-11</w:t>
      </w:r>
    </w:p>
    <w:p>
      <w:pPr>
        <w:sectPr>
          <w:pgSz w:w="11900" w:h="16838" w:orient="portrait"/>
          <w:cols w:equalWidth="0" w:num="1">
            <w:col w:w="11240"/>
          </w:cols>
          <w:pgMar w:left="320" w:top="459" w:right="339" w:bottom="1440" w:gutter="0" w:footer="0" w:header="0"/>
        </w:sectPr>
      </w:pPr>
    </w:p>
    <w:bookmarkStart w:id="170" w:name="page171"/>
    <w:bookmarkEnd w:id="17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spacing w:after="0"/>
        <w:rPr>
          <w:sz w:val="20"/>
          <w:szCs w:val="20"/>
          <w:color w:val="auto"/>
        </w:rPr>
      </w:pPr>
      <w:r>
        <w:rPr>
          <w:rFonts w:ascii="Arial" w:cs="Arial" w:eastAsia="Arial" w:hAnsi="Arial"/>
          <w:sz w:val="18"/>
          <w:szCs w:val="18"/>
          <w:color w:val="auto"/>
        </w:rPr>
        <w:t>stock, expected term, expected volatility, risk-free interest rate, and dividend yield. These judgments are made as follows:</w:t>
      </w:r>
    </w:p>
    <w:p>
      <w:pPr>
        <w:spacing w:after="0" w:line="131" w:lineRule="exact"/>
        <w:rPr>
          <w:sz w:val="20"/>
          <w:szCs w:val="20"/>
          <w:color w:val="auto"/>
        </w:rPr>
      </w:pPr>
    </w:p>
    <w:p>
      <w:pPr>
        <w:ind w:left="880" w:right="160" w:hanging="319"/>
        <w:spacing w:after="0" w:line="296" w:lineRule="auto"/>
        <w:tabs>
          <w:tab w:leader="none" w:pos="880" w:val="left"/>
        </w:tabs>
        <w:numPr>
          <w:ilvl w:val="0"/>
          <w:numId w:val="104"/>
        </w:numPr>
        <w:rPr>
          <w:rFonts w:ascii="Arial" w:cs="Arial" w:eastAsia="Arial" w:hAnsi="Arial"/>
          <w:sz w:val="16"/>
          <w:szCs w:val="16"/>
          <w:color w:val="auto"/>
        </w:rPr>
      </w:pPr>
      <w:r>
        <w:rPr>
          <w:rFonts w:ascii="Arial" w:cs="Arial" w:eastAsia="Arial" w:hAnsi="Arial"/>
          <w:sz w:val="16"/>
          <w:szCs w:val="16"/>
          <w:i w:val="1"/>
          <w:iCs w:val="1"/>
          <w:color w:val="auto"/>
        </w:rPr>
        <w:t>Fair value of common stock</w:t>
      </w:r>
      <w:r>
        <w:rPr>
          <w:rFonts w:ascii="Arial" w:cs="Arial" w:eastAsia="Arial" w:hAnsi="Arial"/>
          <w:sz w:val="16"/>
          <w:szCs w:val="16"/>
          <w:color w:val="auto"/>
        </w:rPr>
        <w:t>. The absence of an active market for the Company’s common stock requires it to estimate the fair value of its</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common stock for purposes of granting stock options, granting RSUs, and for determining stock-based compensation expense for the periods presented. The Company obtained contemporaneous third-party valuations to assist in determining the fair value of its common stock. These contemporaneous third-party valuations used the methodologies, approaches, and assumptions consistent with the American Institute of Certified Public Accountants Practice Guide, </w:t>
      </w:r>
      <w:r>
        <w:rPr>
          <w:rFonts w:ascii="Arial" w:cs="Arial" w:eastAsia="Arial" w:hAnsi="Arial"/>
          <w:sz w:val="16"/>
          <w:szCs w:val="16"/>
          <w:i w:val="1"/>
          <w:iCs w:val="1"/>
          <w:color w:val="auto"/>
        </w:rPr>
        <w:t>Valuation of Privately-Held-Company Equity Securities Issued as Compensation.</w:t>
      </w:r>
    </w:p>
    <w:p>
      <w:pPr>
        <w:spacing w:after="0" w:line="16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Company considered numerous factors in assessing the fair value of its common stock including:</w:t>
      </w:r>
    </w:p>
    <w:p>
      <w:pPr>
        <w:spacing w:after="0" w:line="131" w:lineRule="exact"/>
        <w:rPr>
          <w:sz w:val="20"/>
          <w:szCs w:val="20"/>
          <w:color w:val="auto"/>
        </w:rPr>
      </w:pPr>
    </w:p>
    <w:p>
      <w:pPr>
        <w:ind w:left="1440" w:hanging="433"/>
        <w:spacing w:after="0"/>
        <w:tabs>
          <w:tab w:leader="none" w:pos="1440" w:val="left"/>
        </w:tabs>
        <w:numPr>
          <w:ilvl w:val="1"/>
          <w:numId w:val="105"/>
        </w:numPr>
        <w:rPr>
          <w:rFonts w:ascii="Arial" w:cs="Arial" w:eastAsia="Arial" w:hAnsi="Arial"/>
          <w:sz w:val="18"/>
          <w:szCs w:val="18"/>
          <w:color w:val="auto"/>
        </w:rPr>
      </w:pPr>
      <w:r>
        <w:rPr>
          <w:rFonts w:ascii="Arial" w:cs="Arial" w:eastAsia="Arial" w:hAnsi="Arial"/>
          <w:sz w:val="18"/>
          <w:szCs w:val="18"/>
          <w:color w:val="auto"/>
        </w:rPr>
        <w:t>The results of contemporaneous unrelated third-party valuations of its common stock;</w:t>
      </w:r>
    </w:p>
    <w:p>
      <w:pPr>
        <w:spacing w:after="0" w:line="130" w:lineRule="exact"/>
        <w:rPr>
          <w:rFonts w:ascii="Arial" w:cs="Arial" w:eastAsia="Arial" w:hAnsi="Arial"/>
          <w:sz w:val="18"/>
          <w:szCs w:val="18"/>
          <w:color w:val="auto"/>
        </w:rPr>
      </w:pPr>
    </w:p>
    <w:p>
      <w:pPr>
        <w:ind w:left="1440" w:hanging="433"/>
        <w:spacing w:after="0"/>
        <w:tabs>
          <w:tab w:leader="none" w:pos="1440" w:val="left"/>
        </w:tabs>
        <w:numPr>
          <w:ilvl w:val="1"/>
          <w:numId w:val="105"/>
        </w:numPr>
        <w:rPr>
          <w:rFonts w:ascii="Arial" w:cs="Arial" w:eastAsia="Arial" w:hAnsi="Arial"/>
          <w:sz w:val="18"/>
          <w:szCs w:val="18"/>
          <w:color w:val="auto"/>
        </w:rPr>
      </w:pPr>
      <w:r>
        <w:rPr>
          <w:rFonts w:ascii="Arial" w:cs="Arial" w:eastAsia="Arial" w:hAnsi="Arial"/>
          <w:sz w:val="18"/>
          <w:szCs w:val="18"/>
          <w:color w:val="auto"/>
        </w:rPr>
        <w:t>The rights, preferences, and privileges of its convertible preferred stock relative to those of its common stock;</w:t>
      </w:r>
    </w:p>
    <w:p>
      <w:pPr>
        <w:spacing w:after="0" w:line="130" w:lineRule="exact"/>
        <w:rPr>
          <w:rFonts w:ascii="Arial" w:cs="Arial" w:eastAsia="Arial" w:hAnsi="Arial"/>
          <w:sz w:val="18"/>
          <w:szCs w:val="18"/>
          <w:color w:val="auto"/>
        </w:rPr>
      </w:pPr>
    </w:p>
    <w:p>
      <w:pPr>
        <w:ind w:left="1440" w:right="180" w:hanging="433"/>
        <w:spacing w:after="0" w:line="277" w:lineRule="auto"/>
        <w:tabs>
          <w:tab w:leader="none" w:pos="1440" w:val="left"/>
        </w:tabs>
        <w:numPr>
          <w:ilvl w:val="1"/>
          <w:numId w:val="105"/>
        </w:numPr>
        <w:rPr>
          <w:rFonts w:ascii="Arial" w:cs="Arial" w:eastAsia="Arial" w:hAnsi="Arial"/>
          <w:sz w:val="18"/>
          <w:szCs w:val="18"/>
          <w:color w:val="auto"/>
        </w:rPr>
      </w:pPr>
      <w:r>
        <w:rPr>
          <w:rFonts w:ascii="Arial" w:cs="Arial" w:eastAsia="Arial" w:hAnsi="Arial"/>
          <w:sz w:val="18"/>
          <w:szCs w:val="18"/>
          <w:color w:val="auto"/>
        </w:rPr>
        <w:t>Market multiples of comparable public companies in its industry as indicated by their market capitalization and guideline merger and acquisition transactions;</w:t>
      </w:r>
    </w:p>
    <w:p>
      <w:pPr>
        <w:spacing w:after="0" w:line="75" w:lineRule="exact"/>
        <w:rPr>
          <w:rFonts w:ascii="Arial" w:cs="Arial" w:eastAsia="Arial" w:hAnsi="Arial"/>
          <w:sz w:val="18"/>
          <w:szCs w:val="18"/>
          <w:color w:val="auto"/>
        </w:rPr>
      </w:pPr>
    </w:p>
    <w:p>
      <w:pPr>
        <w:ind w:left="1440" w:hanging="433"/>
        <w:spacing w:after="0"/>
        <w:tabs>
          <w:tab w:leader="none" w:pos="1440" w:val="left"/>
        </w:tabs>
        <w:numPr>
          <w:ilvl w:val="1"/>
          <w:numId w:val="105"/>
        </w:numPr>
        <w:rPr>
          <w:rFonts w:ascii="Arial" w:cs="Arial" w:eastAsia="Arial" w:hAnsi="Arial"/>
          <w:sz w:val="18"/>
          <w:szCs w:val="18"/>
          <w:color w:val="auto"/>
        </w:rPr>
      </w:pPr>
      <w:r>
        <w:rPr>
          <w:rFonts w:ascii="Arial" w:cs="Arial" w:eastAsia="Arial" w:hAnsi="Arial"/>
          <w:sz w:val="18"/>
          <w:szCs w:val="18"/>
          <w:color w:val="auto"/>
        </w:rPr>
        <w:t>The Company’s performance and market position relative to its competitors, who may change from time to time;</w:t>
      </w:r>
    </w:p>
    <w:p>
      <w:pPr>
        <w:spacing w:after="0" w:line="130" w:lineRule="exact"/>
        <w:rPr>
          <w:rFonts w:ascii="Arial" w:cs="Arial" w:eastAsia="Arial" w:hAnsi="Arial"/>
          <w:sz w:val="18"/>
          <w:szCs w:val="18"/>
          <w:color w:val="auto"/>
        </w:rPr>
      </w:pPr>
    </w:p>
    <w:p>
      <w:pPr>
        <w:ind w:left="1440" w:hanging="433"/>
        <w:spacing w:after="0"/>
        <w:tabs>
          <w:tab w:leader="none" w:pos="1440" w:val="left"/>
        </w:tabs>
        <w:numPr>
          <w:ilvl w:val="1"/>
          <w:numId w:val="105"/>
        </w:numPr>
        <w:rPr>
          <w:rFonts w:ascii="Arial" w:cs="Arial" w:eastAsia="Arial" w:hAnsi="Arial"/>
          <w:sz w:val="18"/>
          <w:szCs w:val="18"/>
          <w:color w:val="auto"/>
        </w:rPr>
      </w:pPr>
      <w:r>
        <w:rPr>
          <w:rFonts w:ascii="Arial" w:cs="Arial" w:eastAsia="Arial" w:hAnsi="Arial"/>
          <w:sz w:val="18"/>
          <w:szCs w:val="18"/>
          <w:color w:val="auto"/>
        </w:rPr>
        <w:t>The Company’s historical financial results and estimated trends and prospects for its future performance;</w:t>
      </w:r>
    </w:p>
    <w:p>
      <w:pPr>
        <w:spacing w:after="0" w:line="130" w:lineRule="exact"/>
        <w:rPr>
          <w:rFonts w:ascii="Arial" w:cs="Arial" w:eastAsia="Arial" w:hAnsi="Arial"/>
          <w:sz w:val="18"/>
          <w:szCs w:val="18"/>
          <w:color w:val="auto"/>
        </w:rPr>
      </w:pPr>
    </w:p>
    <w:p>
      <w:pPr>
        <w:ind w:left="1440" w:hanging="433"/>
        <w:spacing w:after="0"/>
        <w:tabs>
          <w:tab w:leader="none" w:pos="1440" w:val="left"/>
        </w:tabs>
        <w:numPr>
          <w:ilvl w:val="1"/>
          <w:numId w:val="105"/>
        </w:numPr>
        <w:rPr>
          <w:rFonts w:ascii="Arial" w:cs="Arial" w:eastAsia="Arial" w:hAnsi="Arial"/>
          <w:sz w:val="18"/>
          <w:szCs w:val="18"/>
          <w:color w:val="auto"/>
        </w:rPr>
      </w:pPr>
      <w:r>
        <w:rPr>
          <w:rFonts w:ascii="Arial" w:cs="Arial" w:eastAsia="Arial" w:hAnsi="Arial"/>
          <w:sz w:val="18"/>
          <w:szCs w:val="18"/>
          <w:color w:val="auto"/>
        </w:rPr>
        <w:t>Valuations published by institutional investors that hold investments in the Company’s capital stock;</w:t>
      </w:r>
    </w:p>
    <w:p>
      <w:pPr>
        <w:spacing w:after="0" w:line="130" w:lineRule="exact"/>
        <w:rPr>
          <w:rFonts w:ascii="Arial" w:cs="Arial" w:eastAsia="Arial" w:hAnsi="Arial"/>
          <w:sz w:val="18"/>
          <w:szCs w:val="18"/>
          <w:color w:val="auto"/>
        </w:rPr>
      </w:pPr>
    </w:p>
    <w:p>
      <w:pPr>
        <w:ind w:left="1440" w:hanging="433"/>
        <w:spacing w:after="0"/>
        <w:tabs>
          <w:tab w:leader="none" w:pos="1440" w:val="left"/>
        </w:tabs>
        <w:numPr>
          <w:ilvl w:val="1"/>
          <w:numId w:val="105"/>
        </w:numPr>
        <w:rPr>
          <w:rFonts w:ascii="Arial" w:cs="Arial" w:eastAsia="Arial" w:hAnsi="Arial"/>
          <w:sz w:val="18"/>
          <w:szCs w:val="18"/>
          <w:color w:val="auto"/>
        </w:rPr>
      </w:pPr>
      <w:r>
        <w:rPr>
          <w:rFonts w:ascii="Arial" w:cs="Arial" w:eastAsia="Arial" w:hAnsi="Arial"/>
          <w:sz w:val="18"/>
          <w:szCs w:val="18"/>
          <w:color w:val="auto"/>
        </w:rPr>
        <w:t>The economic and competitive environment;</w:t>
      </w:r>
    </w:p>
    <w:p>
      <w:pPr>
        <w:spacing w:after="0" w:line="130" w:lineRule="exact"/>
        <w:rPr>
          <w:rFonts w:ascii="Arial" w:cs="Arial" w:eastAsia="Arial" w:hAnsi="Arial"/>
          <w:sz w:val="18"/>
          <w:szCs w:val="18"/>
          <w:color w:val="auto"/>
        </w:rPr>
      </w:pPr>
    </w:p>
    <w:p>
      <w:pPr>
        <w:ind w:left="1440" w:hanging="433"/>
        <w:spacing w:after="0" w:line="277" w:lineRule="auto"/>
        <w:tabs>
          <w:tab w:leader="none" w:pos="1440" w:val="left"/>
        </w:tabs>
        <w:numPr>
          <w:ilvl w:val="1"/>
          <w:numId w:val="105"/>
        </w:numPr>
        <w:rPr>
          <w:rFonts w:ascii="Arial" w:cs="Arial" w:eastAsia="Arial" w:hAnsi="Arial"/>
          <w:sz w:val="18"/>
          <w:szCs w:val="18"/>
          <w:color w:val="auto"/>
        </w:rPr>
      </w:pPr>
      <w:r>
        <w:rPr>
          <w:rFonts w:ascii="Arial" w:cs="Arial" w:eastAsia="Arial" w:hAnsi="Arial"/>
          <w:sz w:val="18"/>
          <w:szCs w:val="18"/>
          <w:color w:val="auto"/>
        </w:rPr>
        <w:t>The likelihood and timeline of achieving a liquidity event, such as an initial public offering or sale of Dropbox, given prevailing market conditions;</w:t>
      </w:r>
    </w:p>
    <w:p>
      <w:pPr>
        <w:spacing w:after="0" w:line="75" w:lineRule="exact"/>
        <w:rPr>
          <w:rFonts w:ascii="Arial" w:cs="Arial" w:eastAsia="Arial" w:hAnsi="Arial"/>
          <w:sz w:val="18"/>
          <w:szCs w:val="18"/>
          <w:color w:val="auto"/>
        </w:rPr>
      </w:pPr>
    </w:p>
    <w:p>
      <w:pPr>
        <w:ind w:left="1440" w:hanging="433"/>
        <w:spacing w:after="0"/>
        <w:tabs>
          <w:tab w:leader="none" w:pos="1440" w:val="left"/>
        </w:tabs>
        <w:numPr>
          <w:ilvl w:val="1"/>
          <w:numId w:val="105"/>
        </w:numPr>
        <w:rPr>
          <w:rFonts w:ascii="Arial" w:cs="Arial" w:eastAsia="Arial" w:hAnsi="Arial"/>
          <w:sz w:val="18"/>
          <w:szCs w:val="18"/>
          <w:color w:val="auto"/>
        </w:rPr>
      </w:pPr>
      <w:r>
        <w:rPr>
          <w:rFonts w:ascii="Arial" w:cs="Arial" w:eastAsia="Arial" w:hAnsi="Arial"/>
          <w:sz w:val="18"/>
          <w:szCs w:val="18"/>
          <w:color w:val="auto"/>
        </w:rPr>
        <w:t>Any adjustments necessary to recognize a lack of marketability for its common stock; and</w:t>
      </w:r>
    </w:p>
    <w:p>
      <w:pPr>
        <w:spacing w:after="0" w:line="130" w:lineRule="exact"/>
        <w:rPr>
          <w:rFonts w:ascii="Arial" w:cs="Arial" w:eastAsia="Arial" w:hAnsi="Arial"/>
          <w:sz w:val="18"/>
          <w:szCs w:val="18"/>
          <w:color w:val="auto"/>
        </w:rPr>
      </w:pPr>
    </w:p>
    <w:p>
      <w:pPr>
        <w:ind w:left="1440" w:hanging="433"/>
        <w:spacing w:after="0"/>
        <w:tabs>
          <w:tab w:leader="none" w:pos="1440" w:val="left"/>
        </w:tabs>
        <w:numPr>
          <w:ilvl w:val="1"/>
          <w:numId w:val="105"/>
        </w:numPr>
        <w:rPr>
          <w:rFonts w:ascii="Arial" w:cs="Arial" w:eastAsia="Arial" w:hAnsi="Arial"/>
          <w:sz w:val="18"/>
          <w:szCs w:val="18"/>
          <w:color w:val="auto"/>
        </w:rPr>
      </w:pPr>
      <w:r>
        <w:rPr>
          <w:rFonts w:ascii="Arial" w:cs="Arial" w:eastAsia="Arial" w:hAnsi="Arial"/>
          <w:sz w:val="18"/>
          <w:szCs w:val="18"/>
          <w:color w:val="auto"/>
        </w:rPr>
        <w:t>Precedent sales of or offers to purchase its capital stock.</w:t>
      </w:r>
    </w:p>
    <w:p>
      <w:pPr>
        <w:spacing w:after="0" w:line="130" w:lineRule="exact"/>
        <w:rPr>
          <w:rFonts w:ascii="Arial" w:cs="Arial" w:eastAsia="Arial" w:hAnsi="Arial"/>
          <w:sz w:val="18"/>
          <w:szCs w:val="18"/>
          <w:color w:val="auto"/>
        </w:rPr>
      </w:pPr>
    </w:p>
    <w:p>
      <w:pPr>
        <w:ind w:left="880" w:right="80" w:hanging="319"/>
        <w:spacing w:after="0" w:line="259" w:lineRule="auto"/>
        <w:tabs>
          <w:tab w:leader="none" w:pos="880" w:val="left"/>
        </w:tabs>
        <w:numPr>
          <w:ilvl w:val="0"/>
          <w:numId w:val="105"/>
        </w:numPr>
        <w:rPr>
          <w:rFonts w:ascii="Arial" w:cs="Arial" w:eastAsia="Arial" w:hAnsi="Arial"/>
          <w:sz w:val="18"/>
          <w:szCs w:val="18"/>
          <w:color w:val="auto"/>
        </w:rPr>
      </w:pPr>
      <w:r>
        <w:rPr>
          <w:rFonts w:ascii="Arial" w:cs="Arial" w:eastAsia="Arial" w:hAnsi="Arial"/>
          <w:sz w:val="18"/>
          <w:szCs w:val="18"/>
          <w:i w:val="1"/>
          <w:iCs w:val="1"/>
          <w:color w:val="auto"/>
        </w:rPr>
        <w:t>Expected term</w:t>
      </w:r>
      <w:r>
        <w:rPr>
          <w:rFonts w:ascii="Arial" w:cs="Arial" w:eastAsia="Arial" w:hAnsi="Arial"/>
          <w:sz w:val="18"/>
          <w:szCs w:val="18"/>
          <w:color w:val="auto"/>
        </w:rPr>
        <w:t>. The Company determines the expected term based on the average period the stock options are expected to remain outstanding,</w:t>
      </w:r>
      <w:r>
        <w:rPr>
          <w:rFonts w:ascii="Arial" w:cs="Arial" w:eastAsia="Arial" w:hAnsi="Arial"/>
          <w:sz w:val="18"/>
          <w:szCs w:val="18"/>
          <w:i w:val="1"/>
          <w:iCs w:val="1"/>
          <w:color w:val="auto"/>
        </w:rPr>
        <w:t xml:space="preserve"> </w:t>
      </w:r>
      <w:r>
        <w:rPr>
          <w:rFonts w:ascii="Arial" w:cs="Arial" w:eastAsia="Arial" w:hAnsi="Arial"/>
          <w:sz w:val="18"/>
          <w:szCs w:val="18"/>
          <w:color w:val="auto"/>
        </w:rPr>
        <w:t>generally calculated as the midpoint of the stock options’ vesting term and contractual expiration period, as the Company does not have sufficient historical information to develop reasonable expectations about future exercise patterns and post-vesting employment termination behavior.</w:t>
      </w:r>
    </w:p>
    <w:p>
      <w:pPr>
        <w:spacing w:after="0" w:line="92" w:lineRule="exact"/>
        <w:rPr>
          <w:rFonts w:ascii="Arial" w:cs="Arial" w:eastAsia="Arial" w:hAnsi="Arial"/>
          <w:sz w:val="18"/>
          <w:szCs w:val="18"/>
          <w:color w:val="auto"/>
        </w:rPr>
      </w:pPr>
    </w:p>
    <w:p>
      <w:pPr>
        <w:ind w:left="880" w:right="20" w:hanging="319"/>
        <w:spacing w:after="0" w:line="277" w:lineRule="auto"/>
        <w:tabs>
          <w:tab w:leader="none" w:pos="880" w:val="left"/>
        </w:tabs>
        <w:numPr>
          <w:ilvl w:val="0"/>
          <w:numId w:val="105"/>
        </w:numPr>
        <w:rPr>
          <w:rFonts w:ascii="Arial" w:cs="Arial" w:eastAsia="Arial" w:hAnsi="Arial"/>
          <w:sz w:val="18"/>
          <w:szCs w:val="18"/>
          <w:color w:val="auto"/>
        </w:rPr>
      </w:pPr>
      <w:r>
        <w:rPr>
          <w:rFonts w:ascii="Arial" w:cs="Arial" w:eastAsia="Arial" w:hAnsi="Arial"/>
          <w:sz w:val="18"/>
          <w:szCs w:val="18"/>
          <w:i w:val="1"/>
          <w:iCs w:val="1"/>
          <w:color w:val="auto"/>
        </w:rPr>
        <w:t>Expected volatility</w:t>
      </w:r>
      <w:r>
        <w:rPr>
          <w:rFonts w:ascii="Arial" w:cs="Arial" w:eastAsia="Arial" w:hAnsi="Arial"/>
          <w:sz w:val="18"/>
          <w:szCs w:val="18"/>
          <w:color w:val="auto"/>
        </w:rPr>
        <w:t>. The expected volatility rate is based on an average of the historical volatilities of the common stock of several entities with</w:t>
      </w:r>
      <w:r>
        <w:rPr>
          <w:rFonts w:ascii="Arial" w:cs="Arial" w:eastAsia="Arial" w:hAnsi="Arial"/>
          <w:sz w:val="18"/>
          <w:szCs w:val="18"/>
          <w:i w:val="1"/>
          <w:iCs w:val="1"/>
          <w:color w:val="auto"/>
        </w:rPr>
        <w:t xml:space="preserve"> </w:t>
      </w:r>
      <w:r>
        <w:rPr>
          <w:rFonts w:ascii="Arial" w:cs="Arial" w:eastAsia="Arial" w:hAnsi="Arial"/>
          <w:sz w:val="18"/>
          <w:szCs w:val="18"/>
          <w:color w:val="auto"/>
        </w:rPr>
        <w:t>publicly traded equity securities with characteristics similar to those of Dropbox.</w:t>
      </w:r>
    </w:p>
    <w:p>
      <w:pPr>
        <w:spacing w:after="0" w:line="75" w:lineRule="exact"/>
        <w:rPr>
          <w:rFonts w:ascii="Arial" w:cs="Arial" w:eastAsia="Arial" w:hAnsi="Arial"/>
          <w:sz w:val="18"/>
          <w:szCs w:val="18"/>
          <w:color w:val="auto"/>
        </w:rPr>
      </w:pPr>
    </w:p>
    <w:p>
      <w:pPr>
        <w:ind w:left="880" w:right="1000" w:hanging="319"/>
        <w:spacing w:after="0" w:line="277" w:lineRule="auto"/>
        <w:tabs>
          <w:tab w:leader="none" w:pos="880" w:val="left"/>
        </w:tabs>
        <w:numPr>
          <w:ilvl w:val="0"/>
          <w:numId w:val="105"/>
        </w:numPr>
        <w:rPr>
          <w:rFonts w:ascii="Arial" w:cs="Arial" w:eastAsia="Arial" w:hAnsi="Arial"/>
          <w:sz w:val="18"/>
          <w:szCs w:val="18"/>
          <w:color w:val="auto"/>
        </w:rPr>
      </w:pPr>
      <w:r>
        <w:rPr>
          <w:rFonts w:ascii="Arial" w:cs="Arial" w:eastAsia="Arial" w:hAnsi="Arial"/>
          <w:sz w:val="18"/>
          <w:szCs w:val="18"/>
          <w:i w:val="1"/>
          <w:iCs w:val="1"/>
          <w:color w:val="auto"/>
        </w:rPr>
        <w:t>Risk-free interest rate</w:t>
      </w:r>
      <w:r>
        <w:rPr>
          <w:rFonts w:ascii="Arial" w:cs="Arial" w:eastAsia="Arial" w:hAnsi="Arial"/>
          <w:sz w:val="18"/>
          <w:szCs w:val="18"/>
          <w:color w:val="auto"/>
        </w:rPr>
        <w:t>. The risk-free interest rate is based on the U.S. Treasury security in effect at the time of grant for maturities</w:t>
      </w:r>
      <w:r>
        <w:rPr>
          <w:rFonts w:ascii="Arial" w:cs="Arial" w:eastAsia="Arial" w:hAnsi="Arial"/>
          <w:sz w:val="18"/>
          <w:szCs w:val="18"/>
          <w:i w:val="1"/>
          <w:iCs w:val="1"/>
          <w:color w:val="auto"/>
        </w:rPr>
        <w:t xml:space="preserve"> </w:t>
      </w:r>
      <w:r>
        <w:rPr>
          <w:rFonts w:ascii="Arial" w:cs="Arial" w:eastAsia="Arial" w:hAnsi="Arial"/>
          <w:sz w:val="18"/>
          <w:szCs w:val="18"/>
          <w:color w:val="auto"/>
        </w:rPr>
        <w:t>corresponding with the expected term of the option.</w:t>
      </w:r>
    </w:p>
    <w:p>
      <w:pPr>
        <w:spacing w:after="0" w:line="75" w:lineRule="exact"/>
        <w:rPr>
          <w:rFonts w:ascii="Arial" w:cs="Arial" w:eastAsia="Arial" w:hAnsi="Arial"/>
          <w:sz w:val="18"/>
          <w:szCs w:val="18"/>
          <w:color w:val="auto"/>
        </w:rPr>
      </w:pPr>
    </w:p>
    <w:p>
      <w:pPr>
        <w:ind w:left="880" w:right="480" w:hanging="319"/>
        <w:spacing w:after="0" w:line="277" w:lineRule="auto"/>
        <w:tabs>
          <w:tab w:leader="none" w:pos="880" w:val="left"/>
        </w:tabs>
        <w:numPr>
          <w:ilvl w:val="0"/>
          <w:numId w:val="105"/>
        </w:numPr>
        <w:rPr>
          <w:rFonts w:ascii="Arial" w:cs="Arial" w:eastAsia="Arial" w:hAnsi="Arial"/>
          <w:sz w:val="18"/>
          <w:szCs w:val="18"/>
          <w:color w:val="auto"/>
        </w:rPr>
      </w:pPr>
      <w:r>
        <w:rPr>
          <w:rFonts w:ascii="Arial" w:cs="Arial" w:eastAsia="Arial" w:hAnsi="Arial"/>
          <w:sz w:val="18"/>
          <w:szCs w:val="18"/>
          <w:i w:val="1"/>
          <w:iCs w:val="1"/>
          <w:color w:val="auto"/>
        </w:rPr>
        <w:t>Expected dividend yield</w:t>
      </w:r>
      <w:r>
        <w:rPr>
          <w:rFonts w:ascii="Arial" w:cs="Arial" w:eastAsia="Arial" w:hAnsi="Arial"/>
          <w:sz w:val="18"/>
          <w:szCs w:val="18"/>
          <w:color w:val="auto"/>
        </w:rPr>
        <w:t>. The Company has not paid and does not expect to pay dividends. Consequently, the Company uses an expected</w:t>
      </w:r>
      <w:r>
        <w:rPr>
          <w:rFonts w:ascii="Arial" w:cs="Arial" w:eastAsia="Arial" w:hAnsi="Arial"/>
          <w:sz w:val="18"/>
          <w:szCs w:val="18"/>
          <w:i w:val="1"/>
          <w:iCs w:val="1"/>
          <w:color w:val="auto"/>
        </w:rPr>
        <w:t xml:space="preserve"> </w:t>
      </w:r>
      <w:r>
        <w:rPr>
          <w:rFonts w:ascii="Arial" w:cs="Arial" w:eastAsia="Arial" w:hAnsi="Arial"/>
          <w:sz w:val="18"/>
          <w:szCs w:val="18"/>
          <w:color w:val="auto"/>
        </w:rPr>
        <w:t>dividend yield of zero.</w:t>
      </w:r>
    </w:p>
    <w:p>
      <w:pPr>
        <w:spacing w:after="0" w:line="10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F-12</w:t>
      </w:r>
    </w:p>
    <w:p>
      <w:pPr>
        <w:sectPr>
          <w:pgSz w:w="11900" w:h="16838" w:orient="portrait"/>
          <w:cols w:equalWidth="0" w:num="1">
            <w:col w:w="11200"/>
          </w:cols>
          <w:pgMar w:left="320" w:top="459" w:right="379" w:bottom="1440" w:gutter="0" w:footer="0" w:header="0"/>
        </w:sectPr>
      </w:pPr>
    </w:p>
    <w:bookmarkStart w:id="171" w:name="page172"/>
    <w:bookmarkEnd w:id="17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right="100" w:firstLine="449"/>
        <w:spacing w:after="0" w:line="277" w:lineRule="auto"/>
        <w:rPr>
          <w:sz w:val="20"/>
          <w:szCs w:val="20"/>
          <w:color w:val="auto"/>
        </w:rPr>
      </w:pPr>
      <w:r>
        <w:rPr>
          <w:rFonts w:ascii="Arial" w:cs="Arial" w:eastAsia="Arial" w:hAnsi="Arial"/>
          <w:sz w:val="18"/>
          <w:szCs w:val="18"/>
          <w:color w:val="auto"/>
        </w:rPr>
        <w:t>The Company did not grant stock options during 2016 or 2017. The fair values of stock options granted to employees in 2015 were calculated using the following assumptions:</w:t>
      </w:r>
    </w:p>
    <w:p>
      <w:pPr>
        <w:spacing w:after="0" w:line="176" w:lineRule="exact"/>
        <w:rPr>
          <w:sz w:val="20"/>
          <w:szCs w:val="20"/>
          <w:color w:val="auto"/>
        </w:rPr>
      </w:pPr>
    </w:p>
    <w:tbl>
      <w:tblPr>
        <w:tblLayout w:type="fixed"/>
        <w:tblInd w:w="1820" w:type="dxa"/>
        <w:tblCellMar>
          <w:top w:w="0" w:type="dxa"/>
          <w:left w:w="0" w:type="dxa"/>
          <w:bottom w:w="0" w:type="dxa"/>
          <w:right w:w="0" w:type="dxa"/>
        </w:tblCellMar>
      </w:tblPr>
      <w:tr>
        <w:trPr>
          <w:trHeight w:val="161"/>
        </w:trPr>
        <w:tc>
          <w:tcPr>
            <w:tcW w:w="4040" w:type="dxa"/>
            <w:vAlign w:val="bottom"/>
          </w:tcPr>
          <w:p>
            <w:pPr>
              <w:spacing w:after="0"/>
              <w:rPr>
                <w:sz w:val="14"/>
                <w:szCs w:val="14"/>
                <w:color w:val="auto"/>
              </w:rPr>
            </w:pPr>
          </w:p>
        </w:tc>
        <w:tc>
          <w:tcPr>
            <w:tcW w:w="3580" w:type="dxa"/>
            <w:vAlign w:val="bottom"/>
            <w:gridSpan w:val="4"/>
          </w:tcPr>
          <w:p>
            <w:pPr>
              <w:ind w:left="2020"/>
              <w:spacing w:after="0"/>
              <w:rPr>
                <w:sz w:val="20"/>
                <w:szCs w:val="20"/>
                <w:color w:val="auto"/>
              </w:rPr>
            </w:pPr>
            <w:r>
              <w:rPr>
                <w:rFonts w:ascii="Arial" w:cs="Arial" w:eastAsia="Arial" w:hAnsi="Arial"/>
                <w:sz w:val="14"/>
                <w:szCs w:val="14"/>
                <w:b w:val="1"/>
                <w:bCs w:val="1"/>
                <w:color w:val="auto"/>
                <w:w w:val="90"/>
              </w:rPr>
              <w:t>Year ended December 31,</w:t>
            </w:r>
          </w:p>
        </w:tc>
      </w:tr>
      <w:tr>
        <w:trPr>
          <w:trHeight w:val="171"/>
        </w:trPr>
        <w:tc>
          <w:tcPr>
            <w:tcW w:w="4040" w:type="dxa"/>
            <w:vAlign w:val="bottom"/>
          </w:tcPr>
          <w:p>
            <w:pPr>
              <w:spacing w:after="0"/>
              <w:rPr>
                <w:sz w:val="14"/>
                <w:szCs w:val="14"/>
                <w:color w:val="auto"/>
              </w:rPr>
            </w:pPr>
          </w:p>
        </w:tc>
        <w:tc>
          <w:tcPr>
            <w:tcW w:w="3580" w:type="dxa"/>
            <w:vAlign w:val="bottom"/>
            <w:gridSpan w:val="4"/>
          </w:tcPr>
          <w:p>
            <w:pPr>
              <w:jc w:val="center"/>
              <w:ind w:left="1937"/>
              <w:spacing w:after="0"/>
              <w:rPr>
                <w:sz w:val="20"/>
                <w:szCs w:val="20"/>
                <w:color w:val="auto"/>
              </w:rPr>
            </w:pPr>
            <w:r>
              <w:rPr>
                <w:rFonts w:ascii="Arial" w:cs="Arial" w:eastAsia="Arial" w:hAnsi="Arial"/>
                <w:sz w:val="14"/>
                <w:szCs w:val="14"/>
                <w:b w:val="1"/>
                <w:bCs w:val="1"/>
                <w:color w:val="auto"/>
                <w:w w:val="89"/>
              </w:rPr>
              <w:t>2015</w:t>
            </w:r>
          </w:p>
        </w:tc>
      </w:tr>
      <w:tr>
        <w:trPr>
          <w:trHeight w:val="210"/>
        </w:trPr>
        <w:tc>
          <w:tcPr>
            <w:tcW w:w="40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Expected volatility</w:t>
            </w:r>
          </w:p>
        </w:tc>
        <w:tc>
          <w:tcPr>
            <w:tcW w:w="2020" w:type="dxa"/>
            <w:vAlign w:val="bottom"/>
            <w:tcBorders>
              <w:top w:val="single" w:sz="8" w:color="CCEEFF"/>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w:t>
            </w:r>
          </w:p>
        </w:tc>
        <w:tc>
          <w:tcPr>
            <w:tcW w:w="12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7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57%</w:t>
            </w:r>
          </w:p>
        </w:tc>
      </w:tr>
      <w:tr>
        <w:trPr>
          <w:trHeight w:val="216"/>
        </w:trPr>
        <w:tc>
          <w:tcPr>
            <w:tcW w:w="4040" w:type="dxa"/>
            <w:vAlign w:val="bottom"/>
          </w:tcPr>
          <w:p>
            <w:pPr>
              <w:spacing w:after="0"/>
              <w:rPr>
                <w:sz w:val="20"/>
                <w:szCs w:val="20"/>
                <w:color w:val="auto"/>
              </w:rPr>
            </w:pPr>
            <w:r>
              <w:rPr>
                <w:rFonts w:ascii="Arial" w:cs="Arial" w:eastAsia="Arial" w:hAnsi="Arial"/>
                <w:sz w:val="18"/>
                <w:szCs w:val="18"/>
                <w:color w:val="auto"/>
              </w:rPr>
              <w:t>Risk-free interest rate</w:t>
            </w:r>
          </w:p>
        </w:tc>
        <w:tc>
          <w:tcPr>
            <w:tcW w:w="2740" w:type="dxa"/>
            <w:vAlign w:val="bottom"/>
            <w:gridSpan w:val="2"/>
          </w:tcPr>
          <w:p>
            <w:pPr>
              <w:jc w:val="right"/>
              <w:spacing w:after="0"/>
              <w:rPr>
                <w:sz w:val="20"/>
                <w:szCs w:val="20"/>
                <w:color w:val="auto"/>
              </w:rPr>
            </w:pPr>
            <w:r>
              <w:rPr>
                <w:rFonts w:ascii="Arial" w:cs="Arial" w:eastAsia="Arial" w:hAnsi="Arial"/>
                <w:sz w:val="18"/>
                <w:szCs w:val="18"/>
                <w:color w:val="auto"/>
              </w:rPr>
              <w:t>1.4%</w:t>
            </w:r>
          </w:p>
        </w:tc>
        <w:tc>
          <w:tcPr>
            <w:tcW w:w="12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720" w:type="dxa"/>
            <w:vAlign w:val="bottom"/>
          </w:tcPr>
          <w:p>
            <w:pPr>
              <w:spacing w:after="0"/>
              <w:rPr>
                <w:sz w:val="20"/>
                <w:szCs w:val="20"/>
                <w:color w:val="auto"/>
              </w:rPr>
            </w:pPr>
            <w:r>
              <w:rPr>
                <w:rFonts w:ascii="Arial" w:cs="Arial" w:eastAsia="Arial" w:hAnsi="Arial"/>
                <w:sz w:val="18"/>
                <w:szCs w:val="18"/>
                <w:color w:val="auto"/>
              </w:rPr>
              <w:t>1.9%</w:t>
            </w:r>
          </w:p>
        </w:tc>
      </w:tr>
      <w:tr>
        <w:trPr>
          <w:trHeight w:val="216"/>
        </w:trPr>
        <w:tc>
          <w:tcPr>
            <w:tcW w:w="4040" w:type="dxa"/>
            <w:vAlign w:val="bottom"/>
            <w:shd w:val="clear" w:color="auto" w:fill="CCEEFF"/>
          </w:tcPr>
          <w:p>
            <w:pPr>
              <w:spacing w:after="0"/>
              <w:rPr>
                <w:sz w:val="20"/>
                <w:szCs w:val="20"/>
                <w:color w:val="auto"/>
              </w:rPr>
            </w:pPr>
            <w:r>
              <w:rPr>
                <w:rFonts w:ascii="Arial" w:cs="Arial" w:eastAsia="Arial" w:hAnsi="Arial"/>
                <w:sz w:val="18"/>
                <w:szCs w:val="18"/>
                <w:color w:val="auto"/>
              </w:rPr>
              <w:t>Expected term (in years)</w:t>
            </w:r>
          </w:p>
        </w:tc>
        <w:tc>
          <w:tcPr>
            <w:tcW w:w="2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6.0</w:t>
            </w:r>
          </w:p>
        </w:tc>
        <w:tc>
          <w:tcPr>
            <w:tcW w:w="1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720" w:type="dxa"/>
            <w:vAlign w:val="bottom"/>
            <w:shd w:val="clear" w:color="auto" w:fill="CCEEFF"/>
          </w:tcPr>
          <w:p>
            <w:pPr>
              <w:spacing w:after="0"/>
              <w:rPr>
                <w:sz w:val="20"/>
                <w:szCs w:val="20"/>
                <w:color w:val="auto"/>
              </w:rPr>
            </w:pPr>
            <w:r>
              <w:rPr>
                <w:rFonts w:ascii="Arial" w:cs="Arial" w:eastAsia="Arial" w:hAnsi="Arial"/>
                <w:sz w:val="18"/>
                <w:szCs w:val="18"/>
                <w:color w:val="auto"/>
              </w:rPr>
              <w:t>6.1</w:t>
            </w:r>
          </w:p>
        </w:tc>
      </w:tr>
      <w:tr>
        <w:trPr>
          <w:trHeight w:val="216"/>
        </w:trPr>
        <w:tc>
          <w:tcPr>
            <w:tcW w:w="4040" w:type="dxa"/>
            <w:vAlign w:val="bottom"/>
          </w:tcPr>
          <w:p>
            <w:pPr>
              <w:spacing w:after="0"/>
              <w:rPr>
                <w:sz w:val="20"/>
                <w:szCs w:val="20"/>
                <w:color w:val="auto"/>
              </w:rPr>
            </w:pPr>
            <w:r>
              <w:rPr>
                <w:rFonts w:ascii="Arial" w:cs="Arial" w:eastAsia="Arial" w:hAnsi="Arial"/>
                <w:sz w:val="18"/>
                <w:szCs w:val="18"/>
                <w:color w:val="auto"/>
              </w:rPr>
              <w:t>Expected dividend yield</w:t>
            </w:r>
          </w:p>
        </w:tc>
        <w:tc>
          <w:tcPr>
            <w:tcW w:w="2020" w:type="dxa"/>
            <w:vAlign w:val="bottom"/>
          </w:tcPr>
          <w:p>
            <w:pPr>
              <w:spacing w:after="0"/>
              <w:rPr>
                <w:sz w:val="18"/>
                <w:szCs w:val="18"/>
                <w:color w:val="auto"/>
              </w:rPr>
            </w:pPr>
          </w:p>
        </w:tc>
        <w:tc>
          <w:tcPr>
            <w:tcW w:w="840" w:type="dxa"/>
            <w:vAlign w:val="bottom"/>
            <w:gridSpan w:val="2"/>
          </w:tcPr>
          <w:p>
            <w:pPr>
              <w:jc w:val="center"/>
              <w:ind w:left="530"/>
              <w:spacing w:after="0"/>
              <w:rPr>
                <w:sz w:val="20"/>
                <w:szCs w:val="20"/>
                <w:color w:val="auto"/>
              </w:rPr>
            </w:pPr>
            <w:r>
              <w:rPr>
                <w:rFonts w:ascii="Arial" w:cs="Arial" w:eastAsia="Arial" w:hAnsi="Arial"/>
                <w:sz w:val="18"/>
                <w:szCs w:val="18"/>
                <w:color w:val="auto"/>
                <w:w w:val="99"/>
              </w:rPr>
              <w:t>—</w:t>
            </w:r>
          </w:p>
        </w:tc>
        <w:tc>
          <w:tcPr>
            <w:tcW w:w="720" w:type="dxa"/>
            <w:vAlign w:val="bottom"/>
          </w:tcPr>
          <w:p>
            <w:pPr>
              <w:spacing w:after="0"/>
              <w:rPr>
                <w:sz w:val="18"/>
                <w:szCs w:val="18"/>
                <w:color w:val="auto"/>
              </w:rPr>
            </w:pPr>
          </w:p>
        </w:tc>
      </w:tr>
      <w:tr>
        <w:trPr>
          <w:trHeight w:val="216"/>
        </w:trPr>
        <w:tc>
          <w:tcPr>
            <w:tcW w:w="4040" w:type="dxa"/>
            <w:vAlign w:val="bottom"/>
            <w:shd w:val="clear" w:color="auto" w:fill="CCEEFF"/>
          </w:tcPr>
          <w:p>
            <w:pPr>
              <w:spacing w:after="0"/>
              <w:rPr>
                <w:sz w:val="20"/>
                <w:szCs w:val="20"/>
                <w:color w:val="auto"/>
              </w:rPr>
            </w:pPr>
            <w:r>
              <w:rPr>
                <w:rFonts w:ascii="Arial" w:cs="Arial" w:eastAsia="Arial" w:hAnsi="Arial"/>
                <w:sz w:val="18"/>
                <w:szCs w:val="18"/>
                <w:color w:val="auto"/>
              </w:rPr>
              <w:t>Fair value of common stock</w:t>
            </w:r>
          </w:p>
        </w:tc>
        <w:tc>
          <w:tcPr>
            <w:tcW w:w="3580" w:type="dxa"/>
            <w:vAlign w:val="bottom"/>
            <w:gridSpan w:val="4"/>
            <w:shd w:val="clear" w:color="auto" w:fill="CCEEFF"/>
          </w:tcPr>
          <w:p>
            <w:pPr>
              <w:jc w:val="right"/>
              <w:ind w:right="170"/>
              <w:spacing w:after="0"/>
              <w:rPr>
                <w:sz w:val="20"/>
                <w:szCs w:val="20"/>
                <w:color w:val="auto"/>
              </w:rPr>
            </w:pPr>
            <w:r>
              <w:rPr>
                <w:rFonts w:ascii="Arial" w:cs="Arial" w:eastAsia="Arial" w:hAnsi="Arial"/>
                <w:sz w:val="18"/>
                <w:szCs w:val="18"/>
                <w:color w:val="auto"/>
              </w:rPr>
              <w:t>$16.16 - $16.82</w:t>
            </w:r>
          </w:p>
        </w:tc>
      </w:tr>
    </w:tbl>
    <w:p>
      <w:pPr>
        <w:spacing w:after="0" w:line="202" w:lineRule="exact"/>
        <w:rPr>
          <w:sz w:val="20"/>
          <w:szCs w:val="20"/>
          <w:color w:val="auto"/>
        </w:rPr>
      </w:pPr>
    </w:p>
    <w:p>
      <w:pPr>
        <w:ind w:firstLine="449"/>
        <w:spacing w:after="0" w:line="291" w:lineRule="auto"/>
        <w:rPr>
          <w:sz w:val="20"/>
          <w:szCs w:val="20"/>
          <w:color w:val="auto"/>
        </w:rPr>
      </w:pPr>
      <w:r>
        <w:rPr>
          <w:rFonts w:ascii="Arial" w:cs="Arial" w:eastAsia="Arial" w:hAnsi="Arial"/>
          <w:sz w:val="16"/>
          <w:szCs w:val="16"/>
          <w:color w:val="auto"/>
        </w:rPr>
        <w:t xml:space="preserve">On January 1, 2017, the Company adopted ASU No. 2016-09: </w:t>
      </w:r>
      <w:r>
        <w:rPr>
          <w:rFonts w:ascii="Arial" w:cs="Arial" w:eastAsia="Arial" w:hAnsi="Arial"/>
          <w:sz w:val="16"/>
          <w:szCs w:val="16"/>
          <w:i w:val="1"/>
          <w:iCs w:val="1"/>
          <w:color w:val="auto"/>
        </w:rPr>
        <w:t>Improvement to Employee Share-based Payment Accounting (Topic 718)</w:t>
      </w:r>
      <w:r>
        <w:rPr>
          <w:rFonts w:ascii="Arial" w:cs="Arial" w:eastAsia="Arial" w:hAnsi="Arial"/>
          <w:sz w:val="16"/>
          <w:szCs w:val="16"/>
          <w:color w:val="auto"/>
        </w:rPr>
        <w:t xml:space="preserve"> issued by the Financial Accounting Standards Board, which among other items, provides an accounting policy election to account for forfeitures as they occur, rather than to account for them based on an estimate of expected forfeitures. The Company elected to account for forfeitures as they occur and therefore, stock-based compensation expense for the nine months ended September 30, 2017, has been calculated based on actual forfeitures in the Company’s consolidated statements of income, rather than the Company’s previous approach which was net of estimated forfeitures. The net cumulative effect of this change as of January 1, 2017, was not material. Stock-based compensation expense for the years ended December 31, 2015 and 2016, were recorded net of estimated forfeitures, which were based on historical forfeitures and adjusted to reflect changes in facts and circumstances, if any.</w:t>
      </w:r>
    </w:p>
    <w:p>
      <w:pPr>
        <w:spacing w:after="0" w:line="274"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Cost of revenue</w:t>
      </w:r>
    </w:p>
    <w:p>
      <w:pPr>
        <w:spacing w:after="0" w:line="117" w:lineRule="exact"/>
        <w:rPr>
          <w:sz w:val="20"/>
          <w:szCs w:val="20"/>
          <w:color w:val="auto"/>
        </w:rPr>
      </w:pPr>
    </w:p>
    <w:p>
      <w:pPr>
        <w:ind w:firstLine="449"/>
        <w:spacing w:after="0" w:line="290" w:lineRule="auto"/>
        <w:rPr>
          <w:sz w:val="20"/>
          <w:szCs w:val="20"/>
          <w:color w:val="auto"/>
        </w:rPr>
      </w:pPr>
      <w:r>
        <w:rPr>
          <w:rFonts w:ascii="Arial" w:cs="Arial" w:eastAsia="Arial" w:hAnsi="Arial"/>
          <w:sz w:val="16"/>
          <w:szCs w:val="16"/>
          <w:color w:val="auto"/>
        </w:rPr>
        <w:t>Cost of revenue consists primarily of expenses associated with the storage, delivery, and distribution of the Company’s platform for paying users and Basic users. These costs, which are referred to as infrastructure costs, include depreciation of infrastructure in co-location facilities that the Company leases, payments to third-party datacenter service providers, rent and facilities expense for those datacenters, network and bandwidth costs, and support and maintenance costs for infrastructure equipment. Cost of revenue also includes employee-related costs that include salaries, bonuses, benefits, travel related expenses, and stock-based compensation for employees whose primary responsibilities relate to supporting the Company’s infrastructure and delivering user support. Other non-employee costs included in cost of revenue include credit card fees related to processing user transactions, allocated overhead such as facilities (including rent, utilities, and depreciation of equipment shared by all departments) and shared information technology costs, amortization of developed technologies, professional fees related to user support initiatives, and property taxes related to datacenters.</w:t>
      </w:r>
    </w:p>
    <w:p>
      <w:pPr>
        <w:spacing w:after="0" w:line="273"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Advertising and promotional expense</w:t>
      </w:r>
    </w:p>
    <w:p>
      <w:pPr>
        <w:spacing w:after="0" w:line="117" w:lineRule="exact"/>
        <w:rPr>
          <w:sz w:val="20"/>
          <w:szCs w:val="20"/>
          <w:color w:val="auto"/>
        </w:rPr>
      </w:pPr>
    </w:p>
    <w:p>
      <w:pPr>
        <w:ind w:right="280" w:firstLine="449"/>
        <w:spacing w:after="0" w:line="259" w:lineRule="auto"/>
        <w:rPr>
          <w:sz w:val="20"/>
          <w:szCs w:val="20"/>
          <w:color w:val="auto"/>
        </w:rPr>
      </w:pPr>
      <w:r>
        <w:rPr>
          <w:rFonts w:ascii="Arial" w:cs="Arial" w:eastAsia="Arial" w:hAnsi="Arial"/>
          <w:sz w:val="18"/>
          <w:szCs w:val="18"/>
          <w:color w:val="auto"/>
        </w:rPr>
        <w:t>Advertising and promotional expenses are included in sales and marketing expenses within the consolidated statements of operations and are expensed when incurred. Advertising and promotional expenses were $59.5 million and $46.6 million in the years ended December 31, 2015 and 2016, respectively. Advertising and promotional expenses were $32.4 million and $43.4 million in the nine months ended September 30, 2016 and 2017, respectively.</w:t>
      </w:r>
    </w:p>
    <w:p>
      <w:pPr>
        <w:spacing w:after="0" w:line="295"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Cash and cash equivalents</w:t>
      </w:r>
    </w:p>
    <w:p>
      <w:pPr>
        <w:spacing w:after="0" w:line="117" w:lineRule="exact"/>
        <w:rPr>
          <w:sz w:val="20"/>
          <w:szCs w:val="20"/>
          <w:color w:val="auto"/>
        </w:rPr>
      </w:pPr>
    </w:p>
    <w:p>
      <w:pPr>
        <w:ind w:right="140" w:firstLine="449"/>
        <w:spacing w:after="0" w:line="259" w:lineRule="auto"/>
        <w:rPr>
          <w:sz w:val="20"/>
          <w:szCs w:val="20"/>
          <w:color w:val="auto"/>
        </w:rPr>
      </w:pPr>
      <w:r>
        <w:rPr>
          <w:rFonts w:ascii="Arial" w:cs="Arial" w:eastAsia="Arial" w:hAnsi="Arial"/>
          <w:sz w:val="18"/>
          <w:szCs w:val="18"/>
          <w:color w:val="auto"/>
        </w:rPr>
        <w:t>Cash consists primarily of cash on deposit with banks. Cash equivalents include highly liquid investments purchased with an original maturity date of 90 days or less from the date of purchase and primarily consist of money market funds. Cash equivalents also include amounts in transit from payment processors for credit and debit card transactions, which typically settle within five days. Cash and cash equivalents are recorded at cost, which approximates fair value.</w:t>
      </w:r>
    </w:p>
    <w:p>
      <w:pPr>
        <w:spacing w:after="0" w:line="11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F-13</w:t>
      </w:r>
    </w:p>
    <w:p>
      <w:pPr>
        <w:sectPr>
          <w:pgSz w:w="11900" w:h="16838" w:orient="portrait"/>
          <w:cols w:equalWidth="0" w:num="1">
            <w:col w:w="11200"/>
          </w:cols>
          <w:pgMar w:left="320" w:top="459" w:right="379" w:bottom="1440" w:gutter="0" w:footer="0" w:header="0"/>
        </w:sectPr>
      </w:pPr>
    </w:p>
    <w:bookmarkStart w:id="172" w:name="page173"/>
    <w:bookmarkEnd w:id="17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Trade and other receivables, net</w:t>
      </w:r>
    </w:p>
    <w:p>
      <w:pPr>
        <w:spacing w:after="0" w:line="117" w:lineRule="exact"/>
        <w:rPr>
          <w:sz w:val="20"/>
          <w:szCs w:val="20"/>
          <w:color w:val="auto"/>
        </w:rPr>
      </w:pPr>
    </w:p>
    <w:p>
      <w:pPr>
        <w:ind w:right="400" w:firstLine="449"/>
        <w:spacing w:after="0" w:line="277" w:lineRule="auto"/>
        <w:rPr>
          <w:sz w:val="20"/>
          <w:szCs w:val="20"/>
          <w:color w:val="auto"/>
        </w:rPr>
      </w:pPr>
      <w:r>
        <w:rPr>
          <w:rFonts w:ascii="Arial" w:cs="Arial" w:eastAsia="Arial" w:hAnsi="Arial"/>
          <w:sz w:val="18"/>
          <w:szCs w:val="18"/>
          <w:color w:val="auto"/>
        </w:rPr>
        <w:t>Trade and other receivables, net consists primarily of trade receivables that are recorded at the invoice amount, net of an allowance for doubtful accounts.</w:t>
      </w:r>
    </w:p>
    <w:p>
      <w:pPr>
        <w:spacing w:after="0" w:line="17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Trade and other receivables, net consisted of the following as of December 31, 2015 and 2016, and September 30, 2017:</w:t>
      </w:r>
    </w:p>
    <w:p>
      <w:pPr>
        <w:spacing w:after="0" w:line="244" w:lineRule="exact"/>
        <w:rPr>
          <w:sz w:val="20"/>
          <w:szCs w:val="20"/>
          <w:color w:val="auto"/>
        </w:rPr>
      </w:pPr>
    </w:p>
    <w:tbl>
      <w:tblPr>
        <w:tblLayout w:type="fixed"/>
        <w:tblInd w:w="920" w:type="dxa"/>
        <w:tblCellMar>
          <w:top w:w="0" w:type="dxa"/>
          <w:left w:w="0" w:type="dxa"/>
          <w:bottom w:w="0" w:type="dxa"/>
          <w:right w:w="0" w:type="dxa"/>
        </w:tblCellMar>
      </w:tblPr>
      <w:tr>
        <w:trPr>
          <w:trHeight w:val="171"/>
        </w:trPr>
        <w:tc>
          <w:tcPr>
            <w:tcW w:w="6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60" w:type="dxa"/>
            <w:vAlign w:val="bottom"/>
            <w:gridSpan w:val="6"/>
          </w:tcPr>
          <w:p>
            <w:pPr>
              <w:jc w:val="right"/>
              <w:ind w:right="940"/>
              <w:spacing w:after="0"/>
              <w:rPr>
                <w:sz w:val="20"/>
                <w:szCs w:val="20"/>
                <w:color w:val="auto"/>
              </w:rPr>
            </w:pPr>
            <w:r>
              <w:rPr>
                <w:rFonts w:ascii="Arial" w:cs="Arial" w:eastAsia="Arial" w:hAnsi="Arial"/>
                <w:sz w:val="14"/>
                <w:szCs w:val="14"/>
                <w:b w:val="1"/>
                <w:bCs w:val="1"/>
                <w:color w:val="auto"/>
              </w:rPr>
              <w:t>December 31,</w:t>
            </w:r>
          </w:p>
        </w:tc>
        <w:tc>
          <w:tcPr>
            <w:tcW w:w="1000" w:type="dxa"/>
            <w:vAlign w:val="bottom"/>
            <w:gridSpan w:val="3"/>
          </w:tcPr>
          <w:p>
            <w:pPr>
              <w:ind w:left="20"/>
              <w:spacing w:after="0"/>
              <w:rPr>
                <w:sz w:val="20"/>
                <w:szCs w:val="20"/>
                <w:color w:val="auto"/>
              </w:rPr>
            </w:pPr>
            <w:r>
              <w:rPr>
                <w:rFonts w:ascii="Arial" w:cs="Arial" w:eastAsia="Arial" w:hAnsi="Arial"/>
                <w:sz w:val="14"/>
                <w:szCs w:val="14"/>
                <w:b w:val="1"/>
                <w:bCs w:val="1"/>
                <w:color w:val="auto"/>
              </w:rPr>
              <w:t>September 30,</w:t>
            </w:r>
          </w:p>
        </w:tc>
      </w:tr>
      <w:tr>
        <w:trPr>
          <w:trHeight w:val="142"/>
        </w:trPr>
        <w:tc>
          <w:tcPr>
            <w:tcW w:w="63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2015</w:t>
            </w:r>
          </w:p>
        </w:tc>
        <w:tc>
          <w:tcPr>
            <w:tcW w:w="20" w:type="dxa"/>
            <w:vAlign w:val="bottom"/>
            <w:tcBorders>
              <w:top w:val="single" w:sz="8" w:color="auto"/>
            </w:tcBorders>
          </w:tcPr>
          <w:p>
            <w:pPr>
              <w:spacing w:after="0"/>
              <w:rPr>
                <w:sz w:val="12"/>
                <w:szCs w:val="12"/>
                <w:color w:val="auto"/>
              </w:rPr>
            </w:pPr>
          </w:p>
        </w:tc>
        <w:tc>
          <w:tcPr>
            <w:tcW w:w="300" w:type="dxa"/>
            <w:vAlign w:val="bottom"/>
            <w:tcBorders>
              <w:top w:val="single" w:sz="8" w:color="auto"/>
            </w:tcBorders>
          </w:tcPr>
          <w:p>
            <w:pPr>
              <w:spacing w:after="0"/>
              <w:rPr>
                <w:sz w:val="12"/>
                <w:szCs w:val="12"/>
                <w:color w:val="auto"/>
              </w:rPr>
            </w:pPr>
          </w:p>
        </w:tc>
        <w:tc>
          <w:tcPr>
            <w:tcW w:w="700" w:type="dxa"/>
            <w:vAlign w:val="bottom"/>
            <w:tcBorders>
              <w:top w:val="single" w:sz="8" w:color="auto"/>
            </w:tcBorders>
            <w:gridSpan w:val="2"/>
          </w:tcPr>
          <w:p>
            <w:pPr>
              <w:jc w:val="right"/>
              <w:spacing w:after="0" w:line="142" w:lineRule="exact"/>
              <w:rPr>
                <w:sz w:val="20"/>
                <w:szCs w:val="20"/>
                <w:color w:val="auto"/>
              </w:rPr>
            </w:pPr>
            <w:r>
              <w:rPr>
                <w:rFonts w:ascii="Arial" w:cs="Arial" w:eastAsia="Arial" w:hAnsi="Arial"/>
                <w:sz w:val="14"/>
                <w:szCs w:val="14"/>
                <w:b w:val="1"/>
                <w:bCs w:val="1"/>
                <w:color w:val="auto"/>
              </w:rPr>
              <w:t>2016</w:t>
            </w:r>
          </w:p>
        </w:tc>
        <w:tc>
          <w:tcPr>
            <w:tcW w:w="640" w:type="dxa"/>
            <w:vAlign w:val="bottom"/>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680" w:type="dxa"/>
            <w:vAlign w:val="bottom"/>
            <w:tcBorders>
              <w:top w:val="single" w:sz="8" w:color="auto"/>
            </w:tcBorders>
          </w:tcPr>
          <w:p>
            <w:pPr>
              <w:jc w:val="right"/>
              <w:ind w:right="194"/>
              <w:spacing w:after="0" w:line="142" w:lineRule="exact"/>
              <w:rPr>
                <w:sz w:val="20"/>
                <w:szCs w:val="20"/>
                <w:color w:val="auto"/>
              </w:rPr>
            </w:pPr>
            <w:r>
              <w:rPr>
                <w:rFonts w:ascii="Arial" w:cs="Arial" w:eastAsia="Arial" w:hAnsi="Arial"/>
                <w:sz w:val="14"/>
                <w:szCs w:val="14"/>
                <w:b w:val="1"/>
                <w:bCs w:val="1"/>
                <w:color w:val="auto"/>
              </w:rPr>
              <w:t>2017</w:t>
            </w:r>
          </w:p>
        </w:tc>
        <w:tc>
          <w:tcPr>
            <w:tcW w:w="120" w:type="dxa"/>
            <w:vAlign w:val="bottom"/>
          </w:tcPr>
          <w:p>
            <w:pPr>
              <w:spacing w:after="0"/>
              <w:rPr>
                <w:sz w:val="12"/>
                <w:szCs w:val="12"/>
                <w:color w:val="auto"/>
              </w:rPr>
            </w:pPr>
          </w:p>
        </w:tc>
      </w:tr>
      <w:tr>
        <w:trPr>
          <w:trHeight w:val="142"/>
        </w:trPr>
        <w:tc>
          <w:tcPr>
            <w:tcW w:w="63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0" w:type="dxa"/>
            <w:vAlign w:val="bottom"/>
            <w:tcBorders>
              <w:top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420" w:type="dxa"/>
            <w:vAlign w:val="bottom"/>
            <w:tcBorders>
              <w:top w:val="single" w:sz="8" w:color="auto"/>
            </w:tcBorders>
          </w:tcPr>
          <w:p>
            <w:pPr>
              <w:spacing w:after="0"/>
              <w:rPr>
                <w:sz w:val="12"/>
                <w:szCs w:val="12"/>
                <w:color w:val="auto"/>
              </w:rPr>
            </w:pPr>
          </w:p>
        </w:tc>
        <w:tc>
          <w:tcPr>
            <w:tcW w:w="640" w:type="dxa"/>
            <w:vAlign w:val="bottom"/>
          </w:tcPr>
          <w:p>
            <w:pPr>
              <w:spacing w:after="0"/>
              <w:rPr>
                <w:sz w:val="12"/>
                <w:szCs w:val="12"/>
                <w:color w:val="auto"/>
              </w:rPr>
            </w:pPr>
          </w:p>
        </w:tc>
        <w:tc>
          <w:tcPr>
            <w:tcW w:w="880" w:type="dxa"/>
            <w:vAlign w:val="bottom"/>
            <w:tcBorders>
              <w:top w:val="single" w:sz="8" w:color="auto"/>
            </w:tcBorders>
            <w:gridSpan w:val="2"/>
          </w:tcPr>
          <w:p>
            <w:pPr>
              <w:jc w:val="center"/>
              <w:spacing w:after="0" w:line="142" w:lineRule="exact"/>
              <w:rPr>
                <w:sz w:val="20"/>
                <w:szCs w:val="20"/>
                <w:color w:val="auto"/>
              </w:rPr>
            </w:pPr>
            <w:r>
              <w:rPr>
                <w:rFonts w:ascii="Arial" w:cs="Arial" w:eastAsia="Arial" w:hAnsi="Arial"/>
                <w:sz w:val="14"/>
                <w:szCs w:val="14"/>
                <w:i w:val="1"/>
                <w:iCs w:val="1"/>
                <w:color w:val="auto"/>
                <w:w w:val="95"/>
              </w:rPr>
              <w:t>(Unaudited)</w:t>
            </w:r>
          </w:p>
        </w:tc>
        <w:tc>
          <w:tcPr>
            <w:tcW w:w="120" w:type="dxa"/>
            <w:vAlign w:val="bottom"/>
          </w:tcPr>
          <w:p>
            <w:pPr>
              <w:spacing w:after="0"/>
              <w:rPr>
                <w:sz w:val="12"/>
                <w:szCs w:val="12"/>
                <w:color w:val="auto"/>
              </w:rPr>
            </w:pPr>
          </w:p>
        </w:tc>
      </w:tr>
      <w:tr>
        <w:trPr>
          <w:trHeight w:val="216"/>
        </w:trPr>
        <w:tc>
          <w:tcPr>
            <w:tcW w:w="6340" w:type="dxa"/>
            <w:vAlign w:val="bottom"/>
            <w:shd w:val="clear" w:color="auto" w:fill="CCEEFF"/>
          </w:tcPr>
          <w:p>
            <w:pPr>
              <w:spacing w:after="0"/>
              <w:rPr>
                <w:sz w:val="20"/>
                <w:szCs w:val="20"/>
                <w:color w:val="auto"/>
              </w:rPr>
            </w:pPr>
            <w:r>
              <w:rPr>
                <w:rFonts w:ascii="Arial" w:cs="Arial" w:eastAsia="Arial" w:hAnsi="Arial"/>
                <w:sz w:val="18"/>
                <w:szCs w:val="18"/>
                <w:color w:val="auto"/>
              </w:rPr>
              <w:t>Trade accounts receivables</w:t>
            </w:r>
          </w:p>
        </w:tc>
        <w:tc>
          <w:tcPr>
            <w:tcW w:w="44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w w:val="88"/>
              </w:rPr>
              <w:t>$15.0</w:t>
            </w:r>
          </w:p>
        </w:tc>
        <w:tc>
          <w:tcPr>
            <w:tcW w:w="300" w:type="dxa"/>
            <w:vAlign w:val="bottom"/>
            <w:shd w:val="clear" w:color="auto" w:fill="CCEEFF"/>
          </w:tcPr>
          <w:p>
            <w:pPr>
              <w:spacing w:after="0"/>
              <w:rPr>
                <w:sz w:val="18"/>
                <w:szCs w:val="18"/>
                <w:color w:val="auto"/>
              </w:rPr>
            </w:pPr>
          </w:p>
        </w:tc>
        <w:tc>
          <w:tcPr>
            <w:tcW w:w="1340" w:type="dxa"/>
            <w:vAlign w:val="bottom"/>
            <w:gridSpan w:val="3"/>
            <w:shd w:val="clear" w:color="auto" w:fill="CCEEFF"/>
          </w:tcPr>
          <w:p>
            <w:pPr>
              <w:jc w:val="right"/>
              <w:ind w:right="640"/>
              <w:spacing w:after="0"/>
              <w:rPr>
                <w:sz w:val="20"/>
                <w:szCs w:val="20"/>
                <w:color w:val="auto"/>
              </w:rPr>
            </w:pPr>
            <w:r>
              <w:rPr>
                <w:rFonts w:ascii="Arial" w:cs="Arial" w:eastAsia="Arial" w:hAnsi="Arial"/>
                <w:sz w:val="18"/>
                <w:szCs w:val="18"/>
                <w:color w:val="auto"/>
              </w:rPr>
              <w:t>$13.1</w:t>
            </w:r>
          </w:p>
        </w:tc>
        <w:tc>
          <w:tcPr>
            <w:tcW w:w="20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27.0</w:t>
            </w:r>
          </w:p>
        </w:tc>
      </w:tr>
      <w:tr>
        <w:trPr>
          <w:trHeight w:val="216"/>
        </w:trPr>
        <w:tc>
          <w:tcPr>
            <w:tcW w:w="6340" w:type="dxa"/>
            <w:vAlign w:val="bottom"/>
          </w:tcPr>
          <w:p>
            <w:pPr>
              <w:spacing w:after="0"/>
              <w:rPr>
                <w:sz w:val="20"/>
                <w:szCs w:val="20"/>
                <w:color w:val="auto"/>
              </w:rPr>
            </w:pPr>
            <w:r>
              <w:rPr>
                <w:rFonts w:ascii="Arial" w:cs="Arial" w:eastAsia="Arial" w:hAnsi="Arial"/>
                <w:sz w:val="18"/>
                <w:szCs w:val="18"/>
                <w:color w:val="auto"/>
              </w:rPr>
              <w:t>Other receivables</w:t>
            </w:r>
          </w:p>
        </w:tc>
        <w:tc>
          <w:tcPr>
            <w:tcW w:w="440" w:type="dxa"/>
            <w:vAlign w:val="bottom"/>
            <w:gridSpan w:val="3"/>
          </w:tcPr>
          <w:p>
            <w:pPr>
              <w:jc w:val="right"/>
              <w:ind w:right="20"/>
              <w:spacing w:after="0"/>
              <w:rPr>
                <w:sz w:val="20"/>
                <w:szCs w:val="20"/>
                <w:color w:val="auto"/>
              </w:rPr>
            </w:pPr>
            <w:r>
              <w:rPr>
                <w:rFonts w:ascii="Arial" w:cs="Arial" w:eastAsia="Arial" w:hAnsi="Arial"/>
                <w:sz w:val="18"/>
                <w:szCs w:val="18"/>
                <w:color w:val="auto"/>
              </w:rPr>
              <w:t>0.1</w:t>
            </w:r>
          </w:p>
        </w:tc>
        <w:tc>
          <w:tcPr>
            <w:tcW w:w="300" w:type="dxa"/>
            <w:vAlign w:val="bottom"/>
          </w:tcPr>
          <w:p>
            <w:pPr>
              <w:spacing w:after="0"/>
              <w:rPr>
                <w:sz w:val="18"/>
                <w:szCs w:val="18"/>
                <w:color w:val="auto"/>
              </w:rPr>
            </w:pPr>
          </w:p>
        </w:tc>
        <w:tc>
          <w:tcPr>
            <w:tcW w:w="1340" w:type="dxa"/>
            <w:vAlign w:val="bottom"/>
            <w:gridSpan w:val="3"/>
          </w:tcPr>
          <w:p>
            <w:pPr>
              <w:jc w:val="right"/>
              <w:ind w:right="640"/>
              <w:spacing w:after="0"/>
              <w:rPr>
                <w:sz w:val="20"/>
                <w:szCs w:val="20"/>
                <w:color w:val="auto"/>
              </w:rPr>
            </w:pPr>
            <w:r>
              <w:rPr>
                <w:rFonts w:ascii="Arial" w:cs="Arial" w:eastAsia="Arial" w:hAnsi="Arial"/>
                <w:sz w:val="18"/>
                <w:szCs w:val="18"/>
                <w:color w:val="auto"/>
              </w:rPr>
              <w:t>0.1</w:t>
            </w:r>
          </w:p>
        </w:tc>
        <w:tc>
          <w:tcPr>
            <w:tcW w:w="200" w:type="dxa"/>
            <w:vAlign w:val="bottom"/>
          </w:tcPr>
          <w:p>
            <w:pPr>
              <w:spacing w:after="0"/>
              <w:rPr>
                <w:sz w:val="18"/>
                <w:szCs w:val="18"/>
                <w:color w:val="auto"/>
              </w:rPr>
            </w:pPr>
          </w:p>
        </w:tc>
        <w:tc>
          <w:tcPr>
            <w:tcW w:w="800" w:type="dxa"/>
            <w:vAlign w:val="bottom"/>
            <w:gridSpan w:val="2"/>
          </w:tcPr>
          <w:p>
            <w:pPr>
              <w:jc w:val="right"/>
              <w:ind w:right="120"/>
              <w:spacing w:after="0"/>
              <w:rPr>
                <w:sz w:val="20"/>
                <w:szCs w:val="20"/>
                <w:color w:val="auto"/>
              </w:rPr>
            </w:pPr>
            <w:r>
              <w:rPr>
                <w:rFonts w:ascii="Arial" w:cs="Arial" w:eastAsia="Arial" w:hAnsi="Arial"/>
                <w:sz w:val="18"/>
                <w:szCs w:val="18"/>
                <w:color w:val="auto"/>
              </w:rPr>
              <w:t>0.1</w:t>
            </w:r>
          </w:p>
        </w:tc>
      </w:tr>
      <w:tr>
        <w:trPr>
          <w:trHeight w:val="216"/>
        </w:trPr>
        <w:tc>
          <w:tcPr>
            <w:tcW w:w="6340" w:type="dxa"/>
            <w:vAlign w:val="bottom"/>
            <w:shd w:val="clear" w:color="auto" w:fill="CCEEFF"/>
          </w:tcPr>
          <w:p>
            <w:pPr>
              <w:spacing w:after="0"/>
              <w:rPr>
                <w:sz w:val="20"/>
                <w:szCs w:val="20"/>
                <w:color w:val="auto"/>
              </w:rPr>
            </w:pPr>
            <w:r>
              <w:rPr>
                <w:rFonts w:ascii="Arial" w:cs="Arial" w:eastAsia="Arial" w:hAnsi="Arial"/>
                <w:sz w:val="18"/>
                <w:szCs w:val="18"/>
                <w:color w:val="auto"/>
              </w:rPr>
              <w:t>Less: Allowance for doubtful accounts</w:t>
            </w:r>
          </w:p>
        </w:tc>
        <w:tc>
          <w:tcPr>
            <w:tcW w:w="740" w:type="dxa"/>
            <w:vAlign w:val="bottom"/>
            <w:gridSpan w:val="4"/>
            <w:shd w:val="clear" w:color="auto" w:fill="CCEEFF"/>
          </w:tcPr>
          <w:p>
            <w:pPr>
              <w:jc w:val="right"/>
              <w:ind w:right="260"/>
              <w:spacing w:after="0"/>
              <w:rPr>
                <w:sz w:val="20"/>
                <w:szCs w:val="20"/>
                <w:color w:val="auto"/>
              </w:rPr>
            </w:pPr>
            <w:r>
              <w:rPr>
                <w:rFonts w:ascii="Arial" w:cs="Arial" w:eastAsia="Arial" w:hAnsi="Arial"/>
                <w:sz w:val="18"/>
                <w:szCs w:val="18"/>
                <w:color w:val="auto"/>
              </w:rPr>
              <w:t>(0.7)</w:t>
            </w:r>
          </w:p>
        </w:tc>
        <w:tc>
          <w:tcPr>
            <w:tcW w:w="2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72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(0.9)</w:t>
            </w:r>
          </w:p>
        </w:tc>
      </w:tr>
      <w:tr>
        <w:trPr>
          <w:trHeight w:val="223"/>
        </w:trPr>
        <w:tc>
          <w:tcPr>
            <w:tcW w:w="6340" w:type="dxa"/>
            <w:vAlign w:val="bottom"/>
          </w:tcPr>
          <w:p>
            <w:pPr>
              <w:spacing w:after="0"/>
              <w:rPr>
                <w:sz w:val="20"/>
                <w:szCs w:val="20"/>
                <w:color w:val="auto"/>
              </w:rPr>
            </w:pPr>
            <w:r>
              <w:rPr>
                <w:rFonts w:ascii="Arial" w:cs="Arial" w:eastAsia="Arial" w:hAnsi="Arial"/>
                <w:sz w:val="18"/>
                <w:szCs w:val="18"/>
                <w:color w:val="auto"/>
              </w:rPr>
              <w:t>Trade and other receivables, net</w:t>
            </w:r>
          </w:p>
        </w:tc>
        <w:tc>
          <w:tcPr>
            <w:tcW w:w="20" w:type="dxa"/>
            <w:vAlign w:val="bottom"/>
            <w:tcBorders>
              <w:bottom w:val="single" w:sz="8" w:color="auto"/>
            </w:tcBorders>
          </w:tcPr>
          <w:p>
            <w:pPr>
              <w:spacing w:after="0"/>
              <w:rPr>
                <w:sz w:val="19"/>
                <w:szCs w:val="19"/>
                <w:color w:val="auto"/>
              </w:rPr>
            </w:pPr>
          </w:p>
        </w:tc>
        <w:tc>
          <w:tcPr>
            <w:tcW w:w="4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84"/>
              </w:rPr>
              <w:t>$</w:t>
            </w:r>
            <w:r>
              <w:rPr>
                <w:rFonts w:ascii="Arial" w:cs="Arial" w:eastAsia="Arial" w:hAnsi="Arial"/>
                <w:sz w:val="18"/>
                <w:szCs w:val="18"/>
                <w:color w:val="auto"/>
                <w:w w:val="84"/>
              </w:rPr>
              <w:t>14.4</w:t>
            </w:r>
          </w:p>
        </w:tc>
        <w:tc>
          <w:tcPr>
            <w:tcW w:w="20" w:type="dxa"/>
            <w:vAlign w:val="bottom"/>
            <w:tcBorders>
              <w:bottom w:val="single" w:sz="8" w:color="auto"/>
            </w:tcBorders>
          </w:tcPr>
          <w:p>
            <w:pPr>
              <w:spacing w:after="0"/>
              <w:rPr>
                <w:sz w:val="19"/>
                <w:szCs w:val="19"/>
                <w:color w:val="auto"/>
              </w:rPr>
            </w:pPr>
          </w:p>
        </w:tc>
        <w:tc>
          <w:tcPr>
            <w:tcW w:w="3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88"/>
              </w:rPr>
              <w:t>$</w:t>
            </w:r>
            <w:r>
              <w:rPr>
                <w:rFonts w:ascii="Arial" w:cs="Arial" w:eastAsia="Arial" w:hAnsi="Arial"/>
                <w:sz w:val="18"/>
                <w:szCs w:val="18"/>
                <w:color w:val="auto"/>
                <w:w w:val="88"/>
              </w:rPr>
              <w:t>13.2</w:t>
            </w:r>
          </w:p>
        </w:tc>
        <w:tc>
          <w:tcPr>
            <w:tcW w:w="640" w:type="dxa"/>
            <w:vAlign w:val="bottom"/>
          </w:tcPr>
          <w:p>
            <w:pPr>
              <w:spacing w:after="0"/>
              <w:rPr>
                <w:sz w:val="19"/>
                <w:szCs w:val="19"/>
                <w:color w:val="auto"/>
              </w:rPr>
            </w:pPr>
          </w:p>
        </w:tc>
        <w:tc>
          <w:tcPr>
            <w:tcW w:w="20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26.2</w:t>
            </w:r>
          </w:p>
        </w:tc>
        <w:tc>
          <w:tcPr>
            <w:tcW w:w="120" w:type="dxa"/>
            <w:vAlign w:val="bottom"/>
          </w:tcPr>
          <w:p>
            <w:pPr>
              <w:spacing w:after="0"/>
              <w:rPr>
                <w:sz w:val="19"/>
                <w:szCs w:val="19"/>
                <w:color w:val="auto"/>
              </w:rPr>
            </w:pPr>
          </w:p>
        </w:tc>
      </w:tr>
      <w:tr>
        <w:trPr>
          <w:trHeight w:val="20"/>
        </w:trPr>
        <w:tc>
          <w:tcPr>
            <w:tcW w:w="6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15" w:lineRule="exact"/>
        <w:rPr>
          <w:sz w:val="20"/>
          <w:szCs w:val="20"/>
          <w:color w:val="auto"/>
        </w:rPr>
      </w:pPr>
    </w:p>
    <w:p>
      <w:pPr>
        <w:jc w:val="both"/>
        <w:ind w:right="300" w:firstLine="449"/>
        <w:spacing w:after="0" w:line="259" w:lineRule="auto"/>
        <w:rPr>
          <w:sz w:val="20"/>
          <w:szCs w:val="20"/>
          <w:color w:val="auto"/>
        </w:rPr>
      </w:pPr>
      <w:r>
        <w:rPr>
          <w:rFonts w:ascii="Arial" w:cs="Arial" w:eastAsia="Arial" w:hAnsi="Arial"/>
          <w:sz w:val="18"/>
          <w:szCs w:val="18"/>
          <w:color w:val="auto"/>
        </w:rPr>
        <w:t>The allowance for doubtful accounts is based on the Company’s assessment of the collectability of accounts. The Company regularly reviews the adequacy of the allowance for doubtful accounts by considering the age of each outstanding invoice, the collection history of each customer, and other relevant factors to determine the appropriate amount of the allowance. Accounts receivable deemed uncollectable are charged against the allowance for doubtful accounts when identified.</w:t>
      </w:r>
    </w:p>
    <w:p>
      <w:pPr>
        <w:spacing w:after="0" w:line="295"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Concentrations of credit risk</w:t>
      </w:r>
    </w:p>
    <w:p>
      <w:pPr>
        <w:spacing w:after="0" w:line="117" w:lineRule="exact"/>
        <w:rPr>
          <w:sz w:val="20"/>
          <w:szCs w:val="20"/>
          <w:color w:val="auto"/>
        </w:rPr>
      </w:pPr>
    </w:p>
    <w:p>
      <w:pPr>
        <w:ind w:firstLine="449"/>
        <w:spacing w:after="0" w:line="263" w:lineRule="auto"/>
        <w:rPr>
          <w:sz w:val="20"/>
          <w:szCs w:val="20"/>
          <w:color w:val="auto"/>
        </w:rPr>
      </w:pPr>
      <w:r>
        <w:rPr>
          <w:rFonts w:ascii="Arial" w:cs="Arial" w:eastAsia="Arial" w:hAnsi="Arial"/>
          <w:sz w:val="18"/>
          <w:szCs w:val="18"/>
          <w:color w:val="auto"/>
        </w:rPr>
        <w:t>Financial instruments that potentially subject the Company to significant concentrations of credit risk consist primarily of cash, cash equivalents, and accounts receivable. The Company places its cash and cash equivalents with well-established financial institutions. Cash equivalents consist primarily of highly rated money market funds.</w:t>
      </w:r>
    </w:p>
    <w:p>
      <w:pPr>
        <w:spacing w:after="0" w:line="184" w:lineRule="exact"/>
        <w:rPr>
          <w:sz w:val="20"/>
          <w:szCs w:val="20"/>
          <w:color w:val="auto"/>
        </w:rPr>
      </w:pPr>
    </w:p>
    <w:p>
      <w:pPr>
        <w:jc w:val="both"/>
        <w:ind w:right="180" w:firstLine="449"/>
        <w:spacing w:after="0" w:line="279" w:lineRule="auto"/>
        <w:rPr>
          <w:sz w:val="20"/>
          <w:szCs w:val="20"/>
          <w:color w:val="auto"/>
        </w:rPr>
      </w:pPr>
      <w:r>
        <w:rPr>
          <w:rFonts w:ascii="Arial" w:cs="Arial" w:eastAsia="Arial" w:hAnsi="Arial"/>
          <w:sz w:val="17"/>
          <w:szCs w:val="17"/>
          <w:color w:val="auto"/>
        </w:rPr>
        <w:t>Trade accounts receivables are typically unsecured and are derived from revenue earned from customers located around the world. Two customers accounted for 16% and 23% of total trade and other receivables, net as of December 31, 2015. Two customers accounted for 11% and 12% of total trade and other receivables, net as of December 31, 2016. Two customers accounted for 20% and 22% of total trade and other receivables, net as of September 30, 2017. No customer accounted for more than 1% of the Company’s revenue in the periods presented.</w:t>
      </w:r>
    </w:p>
    <w:p>
      <w:pPr>
        <w:spacing w:after="0" w:line="279"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Non-trade receivables</w:t>
      </w:r>
    </w:p>
    <w:p>
      <w:pPr>
        <w:spacing w:after="0" w:line="117" w:lineRule="exact"/>
        <w:rPr>
          <w:sz w:val="20"/>
          <w:szCs w:val="20"/>
          <w:color w:val="auto"/>
        </w:rPr>
      </w:pPr>
    </w:p>
    <w:p>
      <w:pPr>
        <w:ind w:right="100" w:firstLine="449"/>
        <w:spacing w:after="0" w:line="259" w:lineRule="auto"/>
        <w:rPr>
          <w:sz w:val="20"/>
          <w:szCs w:val="20"/>
          <w:color w:val="auto"/>
        </w:rPr>
      </w:pPr>
      <w:r>
        <w:rPr>
          <w:rFonts w:ascii="Arial" w:cs="Arial" w:eastAsia="Arial" w:hAnsi="Arial"/>
          <w:sz w:val="18"/>
          <w:szCs w:val="18"/>
          <w:color w:val="auto"/>
        </w:rPr>
        <w:t>The Company records non-trade receivables to reflect amounts due for activities outside of its subscription agreements. Historically, the Company’s non-trade receivables have related primarily to receivables resulting from tenant improvement allowances. Non-trade receivables totaled $28.6 million, $3.0 million, and $4.6 million, respectively, as of December 31, 2015 and 2016, and September 30, 2017, and are classified within prepaid expenses and other current assets in the accompanying consolidated balance sheets.</w:t>
      </w:r>
    </w:p>
    <w:p>
      <w:pPr>
        <w:spacing w:after="0" w:line="295"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Deferred commissions, net</w:t>
      </w:r>
    </w:p>
    <w:p>
      <w:pPr>
        <w:spacing w:after="0" w:line="117" w:lineRule="exact"/>
        <w:rPr>
          <w:sz w:val="20"/>
          <w:szCs w:val="20"/>
          <w:color w:val="auto"/>
        </w:rPr>
      </w:pPr>
    </w:p>
    <w:p>
      <w:pPr>
        <w:ind w:right="240" w:firstLine="449"/>
        <w:spacing w:after="0" w:line="296" w:lineRule="auto"/>
        <w:rPr>
          <w:sz w:val="20"/>
          <w:szCs w:val="20"/>
          <w:color w:val="auto"/>
        </w:rPr>
      </w:pPr>
      <w:r>
        <w:rPr>
          <w:rFonts w:ascii="Arial" w:cs="Arial" w:eastAsia="Arial" w:hAnsi="Arial"/>
          <w:sz w:val="16"/>
          <w:szCs w:val="16"/>
          <w:color w:val="auto"/>
        </w:rPr>
        <w:t>Deferred commissions, net is stated at gross deferred commissions less accumulated amortization. Sales commissions earned by the Company’s salesforce and third-party resellers, as well as related payroll taxes, are considered to be incremental and recoverable costs of obtaining a contract with a customer. As a result, these amounts have been capitalized as deferred commissions within prepaid and other current assets and other assets on the consolidated balance sheet. The Company deferred incremental costs of obtaining a contract of $6.5 million and $17.2 million during the years ended December 31, 2015 and 2016, respectively, and $16.0 million during the nine months ended September 30, 2017.</w:t>
      </w:r>
    </w:p>
    <w:p>
      <w:pPr>
        <w:spacing w:after="0" w:line="9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F-14</w:t>
      </w:r>
    </w:p>
    <w:p>
      <w:pPr>
        <w:sectPr>
          <w:pgSz w:w="11900" w:h="16838" w:orient="portrait"/>
          <w:cols w:equalWidth="0" w:num="1">
            <w:col w:w="11200"/>
          </w:cols>
          <w:pgMar w:left="320" w:top="459" w:right="379" w:bottom="1440" w:gutter="0" w:footer="0" w:header="0"/>
        </w:sectPr>
      </w:pPr>
    </w:p>
    <w:bookmarkStart w:id="173" w:name="page174"/>
    <w:bookmarkEnd w:id="17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firstLine="449"/>
        <w:spacing w:after="0" w:line="263" w:lineRule="auto"/>
        <w:rPr>
          <w:sz w:val="20"/>
          <w:szCs w:val="20"/>
          <w:color w:val="auto"/>
        </w:rPr>
      </w:pPr>
      <w:r>
        <w:rPr>
          <w:rFonts w:ascii="Arial" w:cs="Arial" w:eastAsia="Arial" w:hAnsi="Arial"/>
          <w:sz w:val="18"/>
          <w:szCs w:val="18"/>
          <w:color w:val="auto"/>
        </w:rPr>
        <w:t>Deferred commissions, net included in prepaid and other current assets were $1.2 million, $3.7 million and $6.7 million as of December 31, 2015 and 2016, and September 30, 2017, respectively. Deferred commissions, net included in other assets were $5.3 million, $16.4 million, and $23.9 million as of December 31, 2015 and 2016, and September 30, 2017, respectively.</w:t>
      </w:r>
    </w:p>
    <w:p>
      <w:pPr>
        <w:spacing w:after="0" w:line="184" w:lineRule="exact"/>
        <w:rPr>
          <w:sz w:val="20"/>
          <w:szCs w:val="20"/>
          <w:color w:val="auto"/>
        </w:rPr>
      </w:pPr>
    </w:p>
    <w:p>
      <w:pPr>
        <w:ind w:right="560" w:firstLine="449"/>
        <w:spacing w:after="0" w:line="291" w:lineRule="auto"/>
        <w:rPr>
          <w:sz w:val="20"/>
          <w:szCs w:val="20"/>
          <w:color w:val="auto"/>
        </w:rPr>
      </w:pPr>
      <w:r>
        <w:rPr>
          <w:rFonts w:ascii="Arial" w:cs="Arial" w:eastAsia="Arial" w:hAnsi="Arial"/>
          <w:sz w:val="16"/>
          <w:szCs w:val="16"/>
          <w:color w:val="auto"/>
        </w:rPr>
        <w:t>Deferred commissions are amortized over a period of benefit of five years. The period of benefit was estimated by considering factors such as historical customer attrition rates, the useful life of the Company’s technology, and the impact of competition in its industry. Amortized costs were</w:t>
      </w:r>
    </w:p>
    <w:p>
      <w:pPr>
        <w:jc w:val="both"/>
        <w:ind w:right="160"/>
        <w:spacing w:after="0" w:line="277" w:lineRule="auto"/>
        <w:rPr>
          <w:sz w:val="20"/>
          <w:szCs w:val="20"/>
          <w:color w:val="auto"/>
        </w:rPr>
      </w:pPr>
      <w:r>
        <w:rPr>
          <w:rFonts w:ascii="Arial" w:cs="Arial" w:eastAsia="Arial" w:hAnsi="Arial"/>
          <w:sz w:val="17"/>
          <w:szCs w:val="17"/>
          <w:color w:val="auto"/>
        </w:rPr>
        <w:t>$0.6 million and $3.7 million for the years ended December 31, 2015 and 2016, respectively, and $2.6 million and $5.5 million for the nine months ended September 30, 2016 and 2017, respectively. Amortized costs are included in sales and marketing expense in the accompanying consolidated statements of operations. There was no impairment loss in relation to the deferred costs for any period presented.</w:t>
      </w:r>
    </w:p>
    <w:p>
      <w:pPr>
        <w:spacing w:after="0" w:line="281"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Property and equipment, net</w:t>
      </w:r>
    </w:p>
    <w:p>
      <w:pPr>
        <w:spacing w:after="0" w:line="117" w:lineRule="exact"/>
        <w:rPr>
          <w:sz w:val="20"/>
          <w:szCs w:val="20"/>
          <w:color w:val="auto"/>
        </w:rPr>
      </w:pPr>
    </w:p>
    <w:p>
      <w:pPr>
        <w:jc w:val="both"/>
        <w:ind w:right="120" w:firstLine="449"/>
        <w:spacing w:after="0" w:line="263" w:lineRule="auto"/>
        <w:rPr>
          <w:sz w:val="20"/>
          <w:szCs w:val="20"/>
          <w:color w:val="auto"/>
        </w:rPr>
      </w:pPr>
      <w:r>
        <w:rPr>
          <w:rFonts w:ascii="Arial" w:cs="Arial" w:eastAsia="Arial" w:hAnsi="Arial"/>
          <w:sz w:val="18"/>
          <w:szCs w:val="18"/>
          <w:color w:val="auto"/>
        </w:rPr>
        <w:t>Equipment is stated at cost less accumulated depreciation. Depreciation is computed using the straight-line method over the estimated useful life of the related asset, which is generally three to seven years. Leasehold improvements are amortized on a straight-line basis over the shorter of their estimated useful lives or the initial term of the related lease.</w:t>
      </w:r>
    </w:p>
    <w:p>
      <w:pPr>
        <w:spacing w:after="0" w:line="18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presents the estimated useful lives of property and equipment:</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00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Property and equipment</w:t>
            </w:r>
          </w:p>
        </w:tc>
        <w:tc>
          <w:tcPr>
            <w:tcW w:w="3240" w:type="dxa"/>
            <w:vAlign w:val="bottom"/>
          </w:tcPr>
          <w:p>
            <w:pPr>
              <w:spacing w:after="0"/>
              <w:rPr>
                <w:sz w:val="14"/>
                <w:szCs w:val="14"/>
                <w:color w:val="auto"/>
              </w:rPr>
            </w:pPr>
          </w:p>
        </w:tc>
        <w:tc>
          <w:tcPr>
            <w:tcW w:w="2260" w:type="dxa"/>
            <w:vAlign w:val="bottom"/>
            <w:gridSpan w:val="2"/>
          </w:tcPr>
          <w:p>
            <w:pPr>
              <w:jc w:val="center"/>
              <w:ind w:right="1640"/>
              <w:spacing w:after="0"/>
              <w:rPr>
                <w:sz w:val="20"/>
                <w:szCs w:val="20"/>
                <w:color w:val="auto"/>
              </w:rPr>
            </w:pPr>
            <w:r>
              <w:rPr>
                <w:rFonts w:ascii="Arial" w:cs="Arial" w:eastAsia="Arial" w:hAnsi="Arial"/>
                <w:sz w:val="14"/>
                <w:szCs w:val="14"/>
                <w:b w:val="1"/>
                <w:bCs w:val="1"/>
                <w:color w:val="auto"/>
                <w:w w:val="88"/>
              </w:rPr>
              <w:t>Useful</w:t>
            </w:r>
          </w:p>
        </w:tc>
        <w:tc>
          <w:tcPr>
            <w:tcW w:w="0" w:type="dxa"/>
            <w:vAlign w:val="bottom"/>
          </w:tcPr>
          <w:p>
            <w:pPr>
              <w:spacing w:after="0"/>
              <w:rPr>
                <w:sz w:val="1"/>
                <w:szCs w:val="1"/>
                <w:color w:val="auto"/>
              </w:rPr>
            </w:pPr>
          </w:p>
        </w:tc>
      </w:tr>
      <w:tr>
        <w:trPr>
          <w:trHeight w:val="185"/>
        </w:trPr>
        <w:tc>
          <w:tcPr>
            <w:tcW w:w="5000" w:type="dxa"/>
            <w:vAlign w:val="bottom"/>
            <w:gridSpan w:val="2"/>
            <w:vMerge w:val="continue"/>
          </w:tcPr>
          <w:p>
            <w:pPr>
              <w:spacing w:after="0"/>
              <w:rPr>
                <w:sz w:val="16"/>
                <w:szCs w:val="16"/>
                <w:color w:val="auto"/>
              </w:rPr>
            </w:pPr>
          </w:p>
        </w:tc>
        <w:tc>
          <w:tcPr>
            <w:tcW w:w="3240" w:type="dxa"/>
            <w:vAlign w:val="bottom"/>
          </w:tcPr>
          <w:p>
            <w:pPr>
              <w:spacing w:after="0"/>
              <w:rPr>
                <w:sz w:val="16"/>
                <w:szCs w:val="16"/>
                <w:color w:val="auto"/>
              </w:rPr>
            </w:pPr>
          </w:p>
        </w:tc>
        <w:tc>
          <w:tcPr>
            <w:tcW w:w="2260" w:type="dxa"/>
            <w:vAlign w:val="bottom"/>
            <w:gridSpan w:val="2"/>
          </w:tcPr>
          <w:p>
            <w:pPr>
              <w:jc w:val="center"/>
              <w:ind w:right="1640"/>
              <w:spacing w:after="0"/>
              <w:rPr>
                <w:sz w:val="20"/>
                <w:szCs w:val="20"/>
                <w:color w:val="auto"/>
              </w:rPr>
            </w:pPr>
            <w:r>
              <w:rPr>
                <w:rFonts w:ascii="Arial" w:cs="Arial" w:eastAsia="Arial" w:hAnsi="Arial"/>
                <w:sz w:val="14"/>
                <w:szCs w:val="14"/>
                <w:b w:val="1"/>
                <w:bCs w:val="1"/>
                <w:color w:val="auto"/>
                <w:w w:val="88"/>
              </w:rPr>
              <w:t>life</w:t>
            </w:r>
          </w:p>
        </w:tc>
        <w:tc>
          <w:tcPr>
            <w:tcW w:w="0" w:type="dxa"/>
            <w:vAlign w:val="bottom"/>
          </w:tcPr>
          <w:p>
            <w:pPr>
              <w:spacing w:after="0"/>
              <w:rPr>
                <w:sz w:val="1"/>
                <w:szCs w:val="1"/>
                <w:color w:val="auto"/>
              </w:rPr>
            </w:pPr>
          </w:p>
        </w:tc>
      </w:tr>
      <w:tr>
        <w:trPr>
          <w:trHeight w:val="182"/>
        </w:trPr>
        <w:tc>
          <w:tcPr>
            <w:tcW w:w="1520" w:type="dxa"/>
            <w:vAlign w:val="bottom"/>
            <w:tcBorders>
              <w:top w:val="single" w:sz="8" w:color="auto"/>
            </w:tcBorders>
          </w:tcPr>
          <w:p>
            <w:pPr>
              <w:spacing w:after="0" w:line="182" w:lineRule="exact"/>
              <w:rPr>
                <w:sz w:val="20"/>
                <w:szCs w:val="20"/>
                <w:color w:val="auto"/>
              </w:rPr>
            </w:pPr>
            <w:r>
              <w:rPr>
                <w:rFonts w:ascii="Arial" w:cs="Arial" w:eastAsia="Arial" w:hAnsi="Arial"/>
                <w:sz w:val="18"/>
                <w:szCs w:val="18"/>
                <w:color w:val="auto"/>
              </w:rPr>
              <w:t>Buildings</w:t>
            </w:r>
          </w:p>
        </w:tc>
        <w:tc>
          <w:tcPr>
            <w:tcW w:w="3480" w:type="dxa"/>
            <w:vAlign w:val="bottom"/>
          </w:tcPr>
          <w:p>
            <w:pPr>
              <w:spacing w:after="0"/>
              <w:rPr>
                <w:sz w:val="15"/>
                <w:szCs w:val="15"/>
                <w:color w:val="auto"/>
              </w:rPr>
            </w:pPr>
          </w:p>
        </w:tc>
        <w:tc>
          <w:tcPr>
            <w:tcW w:w="3240" w:type="dxa"/>
            <w:vAlign w:val="bottom"/>
          </w:tcPr>
          <w:p>
            <w:pPr>
              <w:spacing w:after="0"/>
              <w:rPr>
                <w:sz w:val="15"/>
                <w:szCs w:val="15"/>
                <w:color w:val="auto"/>
              </w:rPr>
            </w:pPr>
          </w:p>
        </w:tc>
        <w:tc>
          <w:tcPr>
            <w:tcW w:w="620" w:type="dxa"/>
            <w:vAlign w:val="bottom"/>
            <w:tcBorders>
              <w:top w:val="single" w:sz="8" w:color="auto"/>
            </w:tcBorders>
          </w:tcPr>
          <w:p>
            <w:pPr>
              <w:jc w:val="center"/>
              <w:spacing w:after="0" w:line="182" w:lineRule="exact"/>
              <w:rPr>
                <w:sz w:val="20"/>
                <w:szCs w:val="20"/>
                <w:color w:val="auto"/>
              </w:rPr>
            </w:pPr>
            <w:r>
              <w:rPr>
                <w:rFonts w:ascii="Arial" w:cs="Arial" w:eastAsia="Arial" w:hAnsi="Arial"/>
                <w:sz w:val="18"/>
                <w:szCs w:val="18"/>
                <w:color w:val="auto"/>
                <w:w w:val="86"/>
              </w:rPr>
              <w:t>20 years</w:t>
            </w:r>
          </w:p>
        </w:tc>
        <w:tc>
          <w:tcPr>
            <w:tcW w:w="16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5000" w:type="dxa"/>
            <w:vAlign w:val="bottom"/>
            <w:gridSpan w:val="2"/>
          </w:tcPr>
          <w:p>
            <w:pPr>
              <w:spacing w:after="0"/>
              <w:rPr>
                <w:sz w:val="20"/>
                <w:szCs w:val="20"/>
                <w:color w:val="auto"/>
              </w:rPr>
            </w:pPr>
            <w:r>
              <w:rPr>
                <w:rFonts w:ascii="Arial" w:cs="Arial" w:eastAsia="Arial" w:hAnsi="Arial"/>
                <w:sz w:val="18"/>
                <w:szCs w:val="18"/>
                <w:color w:val="auto"/>
              </w:rPr>
              <w:t>Datacenter and other computer equipment</w:t>
            </w:r>
          </w:p>
        </w:tc>
        <w:tc>
          <w:tcPr>
            <w:tcW w:w="5500" w:type="dxa"/>
            <w:vAlign w:val="bottom"/>
            <w:gridSpan w:val="3"/>
          </w:tcPr>
          <w:p>
            <w:pPr>
              <w:jc w:val="center"/>
              <w:ind w:left="1490"/>
              <w:spacing w:after="0"/>
              <w:rPr>
                <w:sz w:val="20"/>
                <w:szCs w:val="20"/>
                <w:color w:val="auto"/>
              </w:rPr>
            </w:pPr>
            <w:r>
              <w:rPr>
                <w:rFonts w:ascii="Arial" w:cs="Arial" w:eastAsia="Arial" w:hAnsi="Arial"/>
                <w:sz w:val="18"/>
                <w:szCs w:val="18"/>
                <w:color w:val="auto"/>
                <w:w w:val="89"/>
              </w:rPr>
              <w:t>3 to 5 years</w:t>
            </w:r>
          </w:p>
        </w:tc>
        <w:tc>
          <w:tcPr>
            <w:tcW w:w="0" w:type="dxa"/>
            <w:vAlign w:val="bottom"/>
          </w:tcPr>
          <w:p>
            <w:pPr>
              <w:spacing w:after="0"/>
              <w:rPr>
                <w:sz w:val="1"/>
                <w:szCs w:val="1"/>
                <w:color w:val="auto"/>
              </w:rPr>
            </w:pPr>
          </w:p>
        </w:tc>
      </w:tr>
      <w:tr>
        <w:trPr>
          <w:trHeight w:val="216"/>
        </w:trPr>
        <w:tc>
          <w:tcPr>
            <w:tcW w:w="5000" w:type="dxa"/>
            <w:vAlign w:val="bottom"/>
            <w:gridSpan w:val="2"/>
          </w:tcPr>
          <w:p>
            <w:pPr>
              <w:spacing w:after="0"/>
              <w:rPr>
                <w:sz w:val="20"/>
                <w:szCs w:val="20"/>
                <w:color w:val="auto"/>
              </w:rPr>
            </w:pPr>
            <w:r>
              <w:rPr>
                <w:rFonts w:ascii="Arial" w:cs="Arial" w:eastAsia="Arial" w:hAnsi="Arial"/>
                <w:sz w:val="18"/>
                <w:szCs w:val="18"/>
                <w:color w:val="auto"/>
              </w:rPr>
              <w:t>Office equipment and other</w:t>
            </w:r>
          </w:p>
        </w:tc>
        <w:tc>
          <w:tcPr>
            <w:tcW w:w="5500" w:type="dxa"/>
            <w:vAlign w:val="bottom"/>
            <w:gridSpan w:val="3"/>
          </w:tcPr>
          <w:p>
            <w:pPr>
              <w:jc w:val="center"/>
              <w:ind w:left="1490"/>
              <w:spacing w:after="0"/>
              <w:rPr>
                <w:sz w:val="20"/>
                <w:szCs w:val="20"/>
                <w:color w:val="auto"/>
              </w:rPr>
            </w:pPr>
            <w:r>
              <w:rPr>
                <w:rFonts w:ascii="Arial" w:cs="Arial" w:eastAsia="Arial" w:hAnsi="Arial"/>
                <w:sz w:val="18"/>
                <w:szCs w:val="18"/>
                <w:color w:val="auto"/>
                <w:w w:val="89"/>
              </w:rPr>
              <w:t>3 to 7 years</w:t>
            </w:r>
          </w:p>
        </w:tc>
        <w:tc>
          <w:tcPr>
            <w:tcW w:w="0" w:type="dxa"/>
            <w:vAlign w:val="bottom"/>
          </w:tcPr>
          <w:p>
            <w:pPr>
              <w:spacing w:after="0"/>
              <w:rPr>
                <w:sz w:val="1"/>
                <w:szCs w:val="1"/>
                <w:color w:val="auto"/>
              </w:rPr>
            </w:pPr>
          </w:p>
        </w:tc>
      </w:tr>
      <w:tr>
        <w:trPr>
          <w:trHeight w:val="230"/>
        </w:trPr>
        <w:tc>
          <w:tcPr>
            <w:tcW w:w="5000" w:type="dxa"/>
            <w:vAlign w:val="bottom"/>
            <w:gridSpan w:val="2"/>
          </w:tcPr>
          <w:p>
            <w:pPr>
              <w:spacing w:after="0"/>
              <w:rPr>
                <w:sz w:val="20"/>
                <w:szCs w:val="20"/>
                <w:color w:val="auto"/>
              </w:rPr>
            </w:pPr>
            <w:r>
              <w:rPr>
                <w:rFonts w:ascii="Arial" w:cs="Arial" w:eastAsia="Arial" w:hAnsi="Arial"/>
                <w:sz w:val="18"/>
                <w:szCs w:val="18"/>
                <w:color w:val="auto"/>
              </w:rPr>
              <w:t>Leased equipment and leasehold improvements</w:t>
            </w:r>
          </w:p>
        </w:tc>
        <w:tc>
          <w:tcPr>
            <w:tcW w:w="5500" w:type="dxa"/>
            <w:vAlign w:val="bottom"/>
            <w:gridSpan w:val="3"/>
          </w:tcPr>
          <w:p>
            <w:pPr>
              <w:jc w:val="center"/>
              <w:ind w:left="1490"/>
              <w:spacing w:after="0"/>
              <w:rPr>
                <w:sz w:val="20"/>
                <w:szCs w:val="20"/>
                <w:color w:val="auto"/>
              </w:rPr>
            </w:pPr>
            <w:r>
              <w:rPr>
                <w:rFonts w:ascii="Arial" w:cs="Arial" w:eastAsia="Arial" w:hAnsi="Arial"/>
                <w:sz w:val="18"/>
                <w:szCs w:val="18"/>
                <w:color w:val="auto"/>
                <w:w w:val="90"/>
              </w:rPr>
              <w:t>Lesser of estimated useful life or remaining lease term</w:t>
            </w:r>
          </w:p>
        </w:tc>
        <w:tc>
          <w:tcPr>
            <w:tcW w:w="0" w:type="dxa"/>
            <w:vAlign w:val="bottom"/>
          </w:tcPr>
          <w:p>
            <w:pPr>
              <w:spacing w:after="0"/>
              <w:rPr>
                <w:sz w:val="1"/>
                <w:szCs w:val="1"/>
                <w:color w:val="auto"/>
              </w:rPr>
            </w:pPr>
          </w:p>
        </w:tc>
      </w:tr>
    </w:tbl>
    <w:p>
      <w:pPr>
        <w:spacing w:after="0" w:line="310"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Lease obligations</w:t>
      </w:r>
    </w:p>
    <w:p>
      <w:pPr>
        <w:spacing w:after="0" w:line="117" w:lineRule="exact"/>
        <w:rPr>
          <w:sz w:val="20"/>
          <w:szCs w:val="20"/>
          <w:color w:val="auto"/>
        </w:rPr>
      </w:pPr>
    </w:p>
    <w:p>
      <w:pPr>
        <w:ind w:right="60" w:firstLine="449"/>
        <w:spacing w:after="0" w:line="272" w:lineRule="auto"/>
        <w:rPr>
          <w:sz w:val="20"/>
          <w:szCs w:val="20"/>
          <w:color w:val="auto"/>
        </w:rPr>
      </w:pPr>
      <w:r>
        <w:rPr>
          <w:rFonts w:ascii="Arial" w:cs="Arial" w:eastAsia="Arial" w:hAnsi="Arial"/>
          <w:sz w:val="17"/>
          <w:szCs w:val="17"/>
          <w:color w:val="auto"/>
        </w:rPr>
        <w:t>The Company leases office space, datacenters, and equipment under non-cancelable capital and operating leases with various expiration dates through 2027. Certain of the Company’s operating lease agreements contain tenant improvement allowances from its landlords. These allowances are accounted for as lease incentive obligations, and are amortized as reductions to rent expense over the lease term. In addition, certain of the operating lease agreements contain rent concession, rent escalation, and options to renew. Rent concession and rent escalation provisions are considered in determining the straight-line rent expense to be recorded over the lease term. The lease term begins on the date of initial possession of the leased property for purposes of recognizing lease expense on a straight-line basis over the term of the lease. The Company does not assume renewals in its determination of the lease term unless the renewals are deemed to be reasonably assured at lease inception.</w:t>
      </w:r>
    </w:p>
    <w:p>
      <w:pPr>
        <w:spacing w:after="0" w:line="177" w:lineRule="exact"/>
        <w:rPr>
          <w:sz w:val="20"/>
          <w:szCs w:val="20"/>
          <w:color w:val="auto"/>
        </w:rPr>
      </w:pPr>
    </w:p>
    <w:p>
      <w:pPr>
        <w:ind w:right="140" w:firstLine="449"/>
        <w:spacing w:after="0" w:line="255" w:lineRule="auto"/>
        <w:rPr>
          <w:sz w:val="20"/>
          <w:szCs w:val="20"/>
          <w:color w:val="auto"/>
        </w:rPr>
      </w:pPr>
      <w:r>
        <w:rPr>
          <w:rFonts w:ascii="Arial" w:cs="Arial" w:eastAsia="Arial" w:hAnsi="Arial"/>
          <w:sz w:val="18"/>
          <w:szCs w:val="18"/>
          <w:color w:val="auto"/>
        </w:rPr>
        <w:t>The Company leases certain equipment from various third parties, including from a related party, through equipment financing leases under capital leases. See Note 15, “Related Party Transactions” for additional details. These leases either include a bargain purchase option, a full transfer of ownership at the completion of the lease term, or the terms of the leases are at least 75 percent of the useful lives of the assets and are therefore classified as a capital leases. These leases are capitalized in property and equipment and the related amortization of assets under capital leases is included in depreciation and amortization expense in the Company’s consolidated statements of operations. Initial asset values and lease obligations are based on the present value of future minimum lease payments.</w:t>
      </w:r>
    </w:p>
    <w:p>
      <w:pPr>
        <w:spacing w:after="0" w:line="300"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Internal use software</w:t>
      </w:r>
    </w:p>
    <w:p>
      <w:pPr>
        <w:spacing w:after="0" w:line="117" w:lineRule="exact"/>
        <w:rPr>
          <w:sz w:val="20"/>
          <w:szCs w:val="20"/>
          <w:color w:val="auto"/>
        </w:rPr>
      </w:pPr>
    </w:p>
    <w:p>
      <w:pPr>
        <w:ind w:right="460" w:firstLine="449"/>
        <w:spacing w:after="0" w:line="277" w:lineRule="auto"/>
        <w:rPr>
          <w:sz w:val="20"/>
          <w:szCs w:val="20"/>
          <w:color w:val="auto"/>
        </w:rPr>
      </w:pPr>
      <w:r>
        <w:rPr>
          <w:rFonts w:ascii="Arial" w:cs="Arial" w:eastAsia="Arial" w:hAnsi="Arial"/>
          <w:sz w:val="18"/>
          <w:szCs w:val="18"/>
          <w:color w:val="auto"/>
        </w:rPr>
        <w:t>The Company capitalizes certain costs related to developed or modified software solely for its internal use and cloud based applications used to deliver its platform. The Company capitalizes costs during the application</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F-15</w:t>
      </w:r>
    </w:p>
    <w:p>
      <w:pPr>
        <w:sectPr>
          <w:pgSz w:w="11900" w:h="16838" w:orient="portrait"/>
          <w:cols w:equalWidth="0" w:num="1">
            <w:col w:w="11240"/>
          </w:cols>
          <w:pgMar w:left="320" w:top="459" w:right="339" w:bottom="1440" w:gutter="0" w:footer="0" w:header="0"/>
        </w:sectPr>
      </w:pPr>
    </w:p>
    <w:bookmarkStart w:id="174" w:name="page175"/>
    <w:bookmarkEnd w:id="17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right="220"/>
        <w:spacing w:after="0" w:line="301" w:lineRule="auto"/>
        <w:rPr>
          <w:sz w:val="20"/>
          <w:szCs w:val="20"/>
          <w:color w:val="auto"/>
        </w:rPr>
      </w:pPr>
      <w:r>
        <w:rPr>
          <w:rFonts w:ascii="Arial" w:cs="Arial" w:eastAsia="Arial" w:hAnsi="Arial"/>
          <w:sz w:val="16"/>
          <w:szCs w:val="16"/>
          <w:color w:val="auto"/>
        </w:rPr>
        <w:t>development stage once the preliminary project stage is complete, management authorizes and commits to funding the project, and it is probable that the project will be completed and that the software will be used to perform the function intended. Costs related to preliminary project activities and post implementation activities are expensed as incurred. Capitalized internal use software costs were not material to the Company’s consolidated financial statements during the years ended December 31, 2015 and 2016, and the nine months ended September 30, 2016 and 2017.</w:t>
      </w:r>
    </w:p>
    <w:p>
      <w:pPr>
        <w:spacing w:after="0" w:line="265"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Business combinations</w:t>
      </w:r>
    </w:p>
    <w:p>
      <w:pPr>
        <w:spacing w:after="0" w:line="117" w:lineRule="exact"/>
        <w:rPr>
          <w:sz w:val="20"/>
          <w:szCs w:val="20"/>
          <w:color w:val="auto"/>
        </w:rPr>
      </w:pPr>
    </w:p>
    <w:p>
      <w:pPr>
        <w:ind w:firstLine="449"/>
        <w:spacing w:after="0" w:line="296" w:lineRule="auto"/>
        <w:rPr>
          <w:sz w:val="20"/>
          <w:szCs w:val="20"/>
          <w:color w:val="auto"/>
        </w:rPr>
      </w:pPr>
      <w:r>
        <w:rPr>
          <w:rFonts w:ascii="Arial" w:cs="Arial" w:eastAsia="Arial" w:hAnsi="Arial"/>
          <w:sz w:val="16"/>
          <w:szCs w:val="16"/>
          <w:color w:val="auto"/>
        </w:rPr>
        <w:t>The Company uses best estimates and assumptions to assign a fair value to the tangible and intangible assets acquired and liabilities assumed in business combinations as of the acquisition date. These estimates are inherently uncertain and subject to refinement. During the measurement period, which may be up to one year from the acquisition date, adjustments to the fair value of these tangible and intangible assets acquired and liabilities assumed may be recorded, with the corresponding offset to goodwill. Upon the conclusion of the measurement period or final determination of the fair value of assets acquired or liabilities assumed, whichever comes first, any subsequent adjustments are recorded to the Company’s consolidated statements of operations.</w:t>
      </w:r>
    </w:p>
    <w:p>
      <w:pPr>
        <w:spacing w:after="0" w:line="269"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Long-lived assets, including goodwill and other acquired intangible assets, net</w:t>
      </w:r>
    </w:p>
    <w:p>
      <w:pPr>
        <w:spacing w:after="0" w:line="117" w:lineRule="exact"/>
        <w:rPr>
          <w:sz w:val="20"/>
          <w:szCs w:val="20"/>
          <w:color w:val="auto"/>
        </w:rPr>
      </w:pPr>
    </w:p>
    <w:p>
      <w:pPr>
        <w:ind w:right="140" w:firstLine="449"/>
        <w:spacing w:after="0" w:line="296" w:lineRule="auto"/>
        <w:rPr>
          <w:sz w:val="20"/>
          <w:szCs w:val="20"/>
          <w:color w:val="auto"/>
        </w:rPr>
      </w:pPr>
      <w:r>
        <w:rPr>
          <w:rFonts w:ascii="Arial" w:cs="Arial" w:eastAsia="Arial" w:hAnsi="Arial"/>
          <w:sz w:val="16"/>
          <w:szCs w:val="16"/>
          <w:color w:val="auto"/>
        </w:rPr>
        <w:t>The Company evaluates the recoverability of property and equipment and finite-lived intangible assets for possible impairment whenever events or circumstances indicate that the carrying amount of such assets may not be recoverable. The evaluation is performed at the lowest level for which identifiable cash flows are largely independent of the cash flows of other assets and liabilities. Recoverability of these assets is measured by a comparison of the carrying amounts to the future undiscounted cash flows the assets are expected to generate. If such review determines that the carrying amount of specific property and equipment or intangible assets is not recoverable, the carrying amount of such assets is reduced to its fair value.</w:t>
      </w:r>
    </w:p>
    <w:p>
      <w:pPr>
        <w:spacing w:after="0" w:line="161" w:lineRule="exact"/>
        <w:rPr>
          <w:sz w:val="20"/>
          <w:szCs w:val="20"/>
          <w:color w:val="auto"/>
        </w:rPr>
      </w:pPr>
    </w:p>
    <w:p>
      <w:pPr>
        <w:ind w:right="460" w:firstLine="449"/>
        <w:spacing w:after="0" w:line="277" w:lineRule="auto"/>
        <w:rPr>
          <w:sz w:val="20"/>
          <w:szCs w:val="20"/>
          <w:color w:val="auto"/>
        </w:rPr>
      </w:pPr>
      <w:r>
        <w:rPr>
          <w:rFonts w:ascii="Arial" w:cs="Arial" w:eastAsia="Arial" w:hAnsi="Arial"/>
          <w:sz w:val="18"/>
          <w:szCs w:val="18"/>
          <w:color w:val="auto"/>
        </w:rPr>
        <w:t>The Company reviews goodwill for impairment at least annually in the fourth quarter, or more frequently if events or changes in circumstances would more likely than not reduce the fair value of its single reporting unit below its carrying value.</w:t>
      </w:r>
    </w:p>
    <w:p>
      <w:pPr>
        <w:spacing w:after="0" w:line="170" w:lineRule="exact"/>
        <w:rPr>
          <w:sz w:val="20"/>
          <w:szCs w:val="20"/>
          <w:color w:val="auto"/>
        </w:rPr>
      </w:pPr>
    </w:p>
    <w:p>
      <w:pPr>
        <w:ind w:right="420" w:firstLine="449"/>
        <w:spacing w:after="0" w:line="277" w:lineRule="auto"/>
        <w:rPr>
          <w:sz w:val="20"/>
          <w:szCs w:val="20"/>
          <w:color w:val="auto"/>
        </w:rPr>
      </w:pPr>
      <w:r>
        <w:rPr>
          <w:rFonts w:ascii="Arial" w:cs="Arial" w:eastAsia="Arial" w:hAnsi="Arial"/>
          <w:sz w:val="18"/>
          <w:szCs w:val="18"/>
          <w:color w:val="auto"/>
        </w:rPr>
        <w:t>The Company has not recorded impairment charges on property and equipment, goodwill, or intangible assets for the periods presented in these consolidated financial statements.</w:t>
      </w:r>
    </w:p>
    <w:p>
      <w:pPr>
        <w:spacing w:after="0" w:line="170" w:lineRule="exact"/>
        <w:rPr>
          <w:sz w:val="20"/>
          <w:szCs w:val="20"/>
          <w:color w:val="auto"/>
        </w:rPr>
      </w:pPr>
    </w:p>
    <w:p>
      <w:pPr>
        <w:ind w:right="40" w:firstLine="449"/>
        <w:spacing w:after="0" w:line="259" w:lineRule="auto"/>
        <w:rPr>
          <w:sz w:val="20"/>
          <w:szCs w:val="20"/>
          <w:color w:val="auto"/>
        </w:rPr>
      </w:pPr>
      <w:r>
        <w:rPr>
          <w:rFonts w:ascii="Arial" w:cs="Arial" w:eastAsia="Arial" w:hAnsi="Arial"/>
          <w:sz w:val="18"/>
          <w:szCs w:val="18"/>
          <w:color w:val="auto"/>
        </w:rPr>
        <w:t>Acquired property and equipment and finite-lived intangible assets are amortized over their useful lives. The Company evaluates the estimated remaining useful life of these assets when events or changes in circumstances warrant a revision to the remaining period of amortization. If the Company reduces the estimated useful life assumption for any asset, the remaining unamortized balance is amortized or depreciated over the revised estimated useful life.</w:t>
      </w:r>
    </w:p>
    <w:p>
      <w:pPr>
        <w:spacing w:after="0" w:line="295"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Deferred offering costs</w:t>
      </w:r>
    </w:p>
    <w:p>
      <w:pPr>
        <w:spacing w:after="0" w:line="117" w:lineRule="exact"/>
        <w:rPr>
          <w:sz w:val="20"/>
          <w:szCs w:val="20"/>
          <w:color w:val="auto"/>
        </w:rPr>
      </w:pPr>
    </w:p>
    <w:p>
      <w:pPr>
        <w:ind w:right="60" w:firstLine="449"/>
        <w:spacing w:after="0" w:line="259" w:lineRule="auto"/>
        <w:rPr>
          <w:sz w:val="20"/>
          <w:szCs w:val="20"/>
          <w:color w:val="auto"/>
        </w:rPr>
      </w:pPr>
      <w:r>
        <w:rPr>
          <w:rFonts w:ascii="Arial" w:cs="Arial" w:eastAsia="Arial" w:hAnsi="Arial"/>
          <w:sz w:val="18"/>
          <w:szCs w:val="18"/>
          <w:color w:val="auto"/>
        </w:rPr>
        <w:t>Deferred offering costs, which consist of direct incremental legal, accounting, and consulting fees relating to the initial public offering, are capitalized. The deferred offering costs will be offset against initial public offering proceeds upon the consummation of the offering. In the event the offering is terminated, the deferred offering costs will be expensed. As of September 30, 2017, the Company had capitalized approximately $1.3 million of deferred offering costs within other assets on the consolidated balance sheet.</w:t>
      </w:r>
    </w:p>
    <w:p>
      <w:pPr>
        <w:spacing w:after="0" w:line="295"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Income taxes</w:t>
      </w:r>
    </w:p>
    <w:p>
      <w:pPr>
        <w:spacing w:after="0" w:line="117" w:lineRule="exact"/>
        <w:rPr>
          <w:sz w:val="20"/>
          <w:szCs w:val="20"/>
          <w:color w:val="auto"/>
        </w:rPr>
      </w:pPr>
    </w:p>
    <w:p>
      <w:pPr>
        <w:jc w:val="both"/>
        <w:ind w:right="40" w:firstLine="449"/>
        <w:spacing w:after="0" w:line="263" w:lineRule="auto"/>
        <w:rPr>
          <w:sz w:val="20"/>
          <w:szCs w:val="20"/>
          <w:color w:val="auto"/>
        </w:rPr>
      </w:pPr>
      <w:r>
        <w:rPr>
          <w:rFonts w:ascii="Arial" w:cs="Arial" w:eastAsia="Arial" w:hAnsi="Arial"/>
          <w:sz w:val="18"/>
          <w:szCs w:val="18"/>
          <w:color w:val="auto"/>
        </w:rPr>
        <w:t>Deferred income tax balances reflect the effects of temporary differences between the financial reporting and tax bases of the Company’s assets and liabilities using enacted tax rates expected to apply when taxes are actually paid or recovered. In addition, deferred tax assets are recorded for net operating loss and credit carryforwards.</w:t>
      </w:r>
    </w:p>
    <w:p>
      <w:pPr>
        <w:spacing w:after="0" w:line="11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F-16</w:t>
      </w:r>
    </w:p>
    <w:p>
      <w:pPr>
        <w:sectPr>
          <w:pgSz w:w="11900" w:h="16838" w:orient="portrait"/>
          <w:cols w:equalWidth="0" w:num="1">
            <w:col w:w="11220"/>
          </w:cols>
          <w:pgMar w:left="320" w:top="459" w:right="359" w:bottom="1440" w:gutter="0" w:footer="0" w:header="0"/>
        </w:sectPr>
      </w:pPr>
    </w:p>
    <w:bookmarkStart w:id="175" w:name="page176"/>
    <w:bookmarkEnd w:id="17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right="40" w:firstLine="449"/>
        <w:spacing w:after="0" w:line="263" w:lineRule="auto"/>
        <w:rPr>
          <w:sz w:val="20"/>
          <w:szCs w:val="20"/>
          <w:color w:val="auto"/>
        </w:rPr>
      </w:pPr>
      <w:r>
        <w:rPr>
          <w:rFonts w:ascii="Arial" w:cs="Arial" w:eastAsia="Arial" w:hAnsi="Arial"/>
          <w:sz w:val="18"/>
          <w:szCs w:val="18"/>
          <w:color w:val="auto"/>
        </w:rPr>
        <w:t>A valuation allowance is provided against deferred tax assets unless it is more likely than not that they will be realized based on all available positive and negative evidence. Such evidence includes, but is not limited to, recent cumulative earnings or losses, expectations of future taxable income by taxing jurisdiction, and the carry-forward periods available for the utilization of deferred tax assets.</w:t>
      </w:r>
    </w:p>
    <w:p>
      <w:pPr>
        <w:spacing w:after="0" w:line="184" w:lineRule="exact"/>
        <w:rPr>
          <w:sz w:val="20"/>
          <w:szCs w:val="20"/>
          <w:color w:val="auto"/>
        </w:rPr>
      </w:pPr>
    </w:p>
    <w:p>
      <w:pPr>
        <w:ind w:firstLine="449"/>
        <w:spacing w:after="0" w:line="301" w:lineRule="auto"/>
        <w:rPr>
          <w:sz w:val="20"/>
          <w:szCs w:val="20"/>
          <w:color w:val="auto"/>
        </w:rPr>
      </w:pPr>
      <w:r>
        <w:rPr>
          <w:rFonts w:ascii="Arial" w:cs="Arial" w:eastAsia="Arial" w:hAnsi="Arial"/>
          <w:sz w:val="16"/>
          <w:szCs w:val="16"/>
          <w:color w:val="auto"/>
        </w:rPr>
        <w:t>The Company uses a two-step approach to recognizing and measuring uncertain income tax positions. The first step is to evaluate the tax position for recognition by determining if the weight of available evidence indicates it is more likely than not that the position will be sustained on audit. The second step is to measure the tax benefit as the largest amount, which is more than 50% likely of being realized upon ultimate settlement. The Company recognizes interest and penalties related to unrecognized tax benefits as income tax expense. Significant judgment is required to evaluate uncertain tax positions.</w:t>
      </w:r>
    </w:p>
    <w:p>
      <w:pPr>
        <w:spacing w:after="0" w:line="157" w:lineRule="exact"/>
        <w:rPr>
          <w:sz w:val="20"/>
          <w:szCs w:val="20"/>
          <w:color w:val="auto"/>
        </w:rPr>
      </w:pPr>
    </w:p>
    <w:p>
      <w:pPr>
        <w:ind w:right="100" w:firstLine="449"/>
        <w:spacing w:after="0" w:line="259" w:lineRule="auto"/>
        <w:rPr>
          <w:sz w:val="20"/>
          <w:szCs w:val="20"/>
          <w:color w:val="auto"/>
        </w:rPr>
      </w:pPr>
      <w:r>
        <w:rPr>
          <w:rFonts w:ascii="Arial" w:cs="Arial" w:eastAsia="Arial" w:hAnsi="Arial"/>
          <w:sz w:val="18"/>
          <w:szCs w:val="18"/>
          <w:color w:val="auto"/>
        </w:rPr>
        <w:t>Although the Company believes that it has adequately reserved for its uncertain tax positions, it can provide no assurance that the final tax outcome of these matters will not be materially different. The Company evaluates its uncertain tax positions on a regular basis and evaluations are based on a number of factors, including changes in facts and circumstances, changes in tax law, correspondence with tax authorities during the course of an audit, and effective settlement of audit issues.</w:t>
      </w:r>
    </w:p>
    <w:p>
      <w:pPr>
        <w:spacing w:after="0" w:line="187" w:lineRule="exact"/>
        <w:rPr>
          <w:sz w:val="20"/>
          <w:szCs w:val="20"/>
          <w:color w:val="auto"/>
        </w:rPr>
      </w:pPr>
    </w:p>
    <w:p>
      <w:pPr>
        <w:jc w:val="both"/>
        <w:ind w:right="140" w:firstLine="449"/>
        <w:spacing w:after="0" w:line="342" w:lineRule="auto"/>
        <w:rPr>
          <w:sz w:val="20"/>
          <w:szCs w:val="20"/>
          <w:color w:val="auto"/>
        </w:rPr>
      </w:pPr>
      <w:r>
        <w:rPr>
          <w:rFonts w:ascii="Arial" w:cs="Arial" w:eastAsia="Arial" w:hAnsi="Arial"/>
          <w:sz w:val="16"/>
          <w:szCs w:val="16"/>
          <w:color w:val="auto"/>
        </w:rPr>
        <w:t>To the extent that the final tax outcome of these matters is different than the amounts recorded, such differences will affect the provision for income taxes in the period in which such determination is made and could have a material impact on the Company’s financial condition and results of operations.</w:t>
      </w:r>
    </w:p>
    <w:p>
      <w:pPr>
        <w:spacing w:after="0" w:line="232"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Fair value measurement</w:t>
      </w:r>
    </w:p>
    <w:p>
      <w:pPr>
        <w:spacing w:after="0" w:line="117" w:lineRule="exact"/>
        <w:rPr>
          <w:sz w:val="20"/>
          <w:szCs w:val="20"/>
          <w:color w:val="auto"/>
        </w:rPr>
      </w:pPr>
    </w:p>
    <w:p>
      <w:pPr>
        <w:ind w:right="60" w:firstLine="449"/>
        <w:spacing w:after="0" w:line="291" w:lineRule="auto"/>
        <w:rPr>
          <w:sz w:val="20"/>
          <w:szCs w:val="20"/>
          <w:color w:val="auto"/>
        </w:rPr>
      </w:pPr>
      <w:r>
        <w:rPr>
          <w:rFonts w:ascii="Arial" w:cs="Arial" w:eastAsia="Arial" w:hAnsi="Arial"/>
          <w:sz w:val="16"/>
          <w:szCs w:val="16"/>
          <w:color w:val="auto"/>
        </w:rPr>
        <w:t>The Company applies fair value accounting for all financial assets and liabilities and non-financial assets and liabilities that are recognized or disclosed at fair value in the financial statements on a recurring basis. The Company defines fair value as the price that would be received from selling an asset or paid to transfer a liability in an orderly transaction between market participants at the measurement date. When determining fair value measurements for assets and liabilities, the Company considers the principal or most advantageous market in which it would transact and the market-based risk measurements or assumptions that market participants would use in pricing the asset or liability, such as risks inherent in valuation techniques, transfer restrictions, and credit risk. Fair value is estimated by applying the following hierarchy, which prioritizes the inputs used to measure fair value into three levels and bases the categorization within the hierarchy upon the lowest level of input that is available and significant to the fair value measurement:</w:t>
      </w:r>
    </w:p>
    <w:p>
      <w:pPr>
        <w:spacing w:after="0" w:line="58"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Level 1</w:t>
      </w:r>
      <w:r>
        <w:rPr>
          <w:rFonts w:ascii="Arial" w:cs="Arial" w:eastAsia="Arial" w:hAnsi="Arial"/>
          <w:sz w:val="18"/>
          <w:szCs w:val="18"/>
          <w:color w:val="auto"/>
        </w:rPr>
        <w:t>—Quoted prices in active markets for identical assets or liabilities.</w:t>
      </w:r>
    </w:p>
    <w:p>
      <w:pPr>
        <w:spacing w:after="0" w:line="117" w:lineRule="exact"/>
        <w:rPr>
          <w:sz w:val="20"/>
          <w:szCs w:val="20"/>
          <w:color w:val="auto"/>
        </w:rPr>
      </w:pPr>
    </w:p>
    <w:p>
      <w:pPr>
        <w:ind w:left="460" w:right="20"/>
        <w:spacing w:after="0" w:line="263" w:lineRule="auto"/>
        <w:rPr>
          <w:sz w:val="20"/>
          <w:szCs w:val="20"/>
          <w:color w:val="auto"/>
        </w:rPr>
      </w:pPr>
      <w:r>
        <w:rPr>
          <w:rFonts w:ascii="Arial" w:cs="Arial" w:eastAsia="Arial" w:hAnsi="Arial"/>
          <w:sz w:val="18"/>
          <w:szCs w:val="18"/>
          <w:i w:val="1"/>
          <w:iCs w:val="1"/>
          <w:color w:val="auto"/>
        </w:rPr>
        <w:t>Level 2</w:t>
      </w:r>
      <w:r>
        <w:rPr>
          <w:rFonts w:ascii="Arial" w:cs="Arial" w:eastAsia="Arial" w:hAnsi="Arial"/>
          <w:sz w:val="18"/>
          <w:szCs w:val="18"/>
          <w:color w:val="auto"/>
        </w:rPr>
        <w:t>—Observable inputs other than quoted prices in active markets for identical assets and liabilities, quoted prices for identical or similar assets</w:t>
      </w:r>
      <w:r>
        <w:rPr>
          <w:rFonts w:ascii="Arial" w:cs="Arial" w:eastAsia="Arial" w:hAnsi="Arial"/>
          <w:sz w:val="18"/>
          <w:szCs w:val="18"/>
          <w:i w:val="1"/>
          <w:iCs w:val="1"/>
          <w:color w:val="auto"/>
        </w:rPr>
        <w:t xml:space="preserve"> </w:t>
      </w:r>
      <w:r>
        <w:rPr>
          <w:rFonts w:ascii="Arial" w:cs="Arial" w:eastAsia="Arial" w:hAnsi="Arial"/>
          <w:sz w:val="18"/>
          <w:szCs w:val="18"/>
          <w:color w:val="auto"/>
        </w:rPr>
        <w:t>or liabilities in inactive markets, or other inputs that are observable or can be corroborated by observable market data for substantially the full term of the assets or liabilities.</w:t>
      </w:r>
    </w:p>
    <w:p>
      <w:pPr>
        <w:spacing w:after="0" w:line="76" w:lineRule="exact"/>
        <w:rPr>
          <w:sz w:val="20"/>
          <w:szCs w:val="20"/>
          <w:color w:val="auto"/>
        </w:rPr>
      </w:pPr>
    </w:p>
    <w:p>
      <w:pPr>
        <w:ind w:left="460" w:right="280"/>
        <w:spacing w:after="0" w:line="277" w:lineRule="auto"/>
        <w:rPr>
          <w:sz w:val="20"/>
          <w:szCs w:val="20"/>
          <w:color w:val="auto"/>
        </w:rPr>
      </w:pPr>
      <w:r>
        <w:rPr>
          <w:rFonts w:ascii="Arial" w:cs="Arial" w:eastAsia="Arial" w:hAnsi="Arial"/>
          <w:sz w:val="18"/>
          <w:szCs w:val="18"/>
          <w:i w:val="1"/>
          <w:iCs w:val="1"/>
          <w:color w:val="auto"/>
        </w:rPr>
        <w:t>Level 3</w:t>
      </w:r>
      <w:r>
        <w:rPr>
          <w:rFonts w:ascii="Arial" w:cs="Arial" w:eastAsia="Arial" w:hAnsi="Arial"/>
          <w:sz w:val="18"/>
          <w:szCs w:val="18"/>
          <w:color w:val="auto"/>
        </w:rPr>
        <w:t>—Inputs that are generally unobservable and typically reflect management’s estimate of assumptions that market participants would use in</w:t>
      </w:r>
      <w:r>
        <w:rPr>
          <w:rFonts w:ascii="Arial" w:cs="Arial" w:eastAsia="Arial" w:hAnsi="Arial"/>
          <w:sz w:val="18"/>
          <w:szCs w:val="18"/>
          <w:i w:val="1"/>
          <w:iCs w:val="1"/>
          <w:color w:val="auto"/>
        </w:rPr>
        <w:t xml:space="preserve"> </w:t>
      </w:r>
      <w:r>
        <w:rPr>
          <w:rFonts w:ascii="Arial" w:cs="Arial" w:eastAsia="Arial" w:hAnsi="Arial"/>
          <w:sz w:val="18"/>
          <w:szCs w:val="18"/>
          <w:color w:val="auto"/>
        </w:rPr>
        <w:t>pricing the asset or liability.</w:t>
      </w:r>
    </w:p>
    <w:p>
      <w:pPr>
        <w:spacing w:after="0" w:line="278"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Recently issued accounting pronouncements not yet adopted</w:t>
      </w:r>
    </w:p>
    <w:p>
      <w:pPr>
        <w:spacing w:after="0" w:line="117" w:lineRule="exact"/>
        <w:rPr>
          <w:sz w:val="20"/>
          <w:szCs w:val="20"/>
          <w:color w:val="auto"/>
        </w:rPr>
      </w:pPr>
    </w:p>
    <w:p>
      <w:pPr>
        <w:ind w:right="60" w:firstLine="449"/>
        <w:spacing w:after="0" w:line="259" w:lineRule="auto"/>
        <w:rPr>
          <w:sz w:val="20"/>
          <w:szCs w:val="20"/>
          <w:color w:val="auto"/>
        </w:rPr>
      </w:pPr>
      <w:r>
        <w:rPr>
          <w:rFonts w:ascii="Arial" w:cs="Arial" w:eastAsia="Arial" w:hAnsi="Arial"/>
          <w:sz w:val="18"/>
          <w:szCs w:val="18"/>
          <w:color w:val="auto"/>
        </w:rPr>
        <w:t xml:space="preserve">In October 2016, the FASB issued ASU No. 2016-16, </w:t>
      </w:r>
      <w:r>
        <w:rPr>
          <w:rFonts w:ascii="Arial" w:cs="Arial" w:eastAsia="Arial" w:hAnsi="Arial"/>
          <w:sz w:val="18"/>
          <w:szCs w:val="18"/>
          <w:i w:val="1"/>
          <w:iCs w:val="1"/>
          <w:color w:val="auto"/>
        </w:rPr>
        <w:t>Income Taxes: Intra-Entity Transfers Other than Inventory (Topic 740)</w:t>
      </w:r>
      <w:r>
        <w:rPr>
          <w:rFonts w:ascii="Arial" w:cs="Arial" w:eastAsia="Arial" w:hAnsi="Arial"/>
          <w:sz w:val="18"/>
          <w:szCs w:val="18"/>
          <w:color w:val="auto"/>
        </w:rPr>
        <w:t>, which requires entities to recognize the income tax consequences of an intra-entity transfer of an asset other than inventory when the transfer occurs. ASU 2016-16 is effective for fiscal years beginning after December 15, 2018. Early adoption is permitted. The Company does not expect the adoption to have a material impact on its consolidated financial statements.</w:t>
      </w:r>
    </w:p>
    <w:p>
      <w:pPr>
        <w:spacing w:after="0" w:line="187" w:lineRule="exact"/>
        <w:rPr>
          <w:sz w:val="20"/>
          <w:szCs w:val="20"/>
          <w:color w:val="auto"/>
        </w:rPr>
      </w:pPr>
    </w:p>
    <w:p>
      <w:pPr>
        <w:ind w:right="180" w:firstLine="449"/>
        <w:spacing w:after="0" w:line="277" w:lineRule="auto"/>
        <w:rPr>
          <w:sz w:val="20"/>
          <w:szCs w:val="20"/>
          <w:color w:val="auto"/>
        </w:rPr>
      </w:pPr>
      <w:r>
        <w:rPr>
          <w:rFonts w:ascii="Arial" w:cs="Arial" w:eastAsia="Arial" w:hAnsi="Arial"/>
          <w:sz w:val="18"/>
          <w:szCs w:val="18"/>
          <w:color w:val="auto"/>
        </w:rPr>
        <w:t xml:space="preserve">In February 2016, the FASB issued ASU No. 2016-02, </w:t>
      </w:r>
      <w:r>
        <w:rPr>
          <w:rFonts w:ascii="Arial" w:cs="Arial" w:eastAsia="Arial" w:hAnsi="Arial"/>
          <w:sz w:val="18"/>
          <w:szCs w:val="18"/>
          <w:i w:val="1"/>
          <w:iCs w:val="1"/>
          <w:color w:val="auto"/>
        </w:rPr>
        <w:t>Leases (Topic 842)</w:t>
      </w:r>
      <w:r>
        <w:rPr>
          <w:rFonts w:ascii="Arial" w:cs="Arial" w:eastAsia="Arial" w:hAnsi="Arial"/>
          <w:sz w:val="18"/>
          <w:szCs w:val="18"/>
          <w:color w:val="auto"/>
        </w:rPr>
        <w:t>. Most prominent among the changes in the standard is the recognition of right of use assets and lease liabilities by lessees for those leases</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F-17</w:t>
      </w:r>
    </w:p>
    <w:p>
      <w:pPr>
        <w:sectPr>
          <w:pgSz w:w="11900" w:h="16838" w:orient="portrait"/>
          <w:cols w:equalWidth="0" w:num="1">
            <w:col w:w="11240"/>
          </w:cols>
          <w:pgMar w:left="320" w:top="459" w:right="339" w:bottom="1440" w:gutter="0" w:footer="0" w:header="0"/>
        </w:sectPr>
      </w:pPr>
    </w:p>
    <w:bookmarkStart w:id="176" w:name="page177"/>
    <w:bookmarkEnd w:id="17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right="20"/>
        <w:spacing w:after="0" w:line="288" w:lineRule="auto"/>
        <w:rPr>
          <w:sz w:val="20"/>
          <w:szCs w:val="20"/>
          <w:color w:val="auto"/>
        </w:rPr>
      </w:pPr>
      <w:r>
        <w:rPr>
          <w:rFonts w:ascii="Arial" w:cs="Arial" w:eastAsia="Arial" w:hAnsi="Arial"/>
          <w:sz w:val="16"/>
          <w:szCs w:val="16"/>
          <w:color w:val="auto"/>
        </w:rPr>
        <w:t>classified as operating leases under current GAAP. Under the standard, disclosures are required to meet the objective of enabling users of financial statements to assess the amount, timing, and uncertainty of cash flows arising from leases. The Company will be required to recognize and measure leases existing at, or entered into after, the beginning of the earliest comparative period presented using a modified retrospective approach, with certain practical expedients available. The new standard is effective for fiscal years beginning after December 15, 2018. Early adoption by public entities is permitted. The Company is in the initial stage of its assessment of the new standard and is currently evaluating the timing of adoption, the quantitative impact of adoption, and the related disclosure requirements. The Company anticipates the adoption of this standard will result in a substantial increase in its non-current assets and liabilities recorded on the consolidated balance sheets. The adoption of the standard is not expected to have a material impact on the consolidated statement of operations. While the Company is assessing all potential impacts of the adoption of the standard, it currently expects the most significant impact to be the capitalization of right-to-use assets and lease liabilities for its office space and datacenter operating leases. The Company expects its accounting for capital leases related to infrastructure equipment to remain substantially unchanged under the new standard.</w:t>
      </w:r>
    </w:p>
    <w:p>
      <w:pPr>
        <w:spacing w:after="0" w:line="276"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Recently adopted accounting pronouncements</w:t>
      </w:r>
    </w:p>
    <w:p>
      <w:pPr>
        <w:spacing w:after="0" w:line="117" w:lineRule="exact"/>
        <w:rPr>
          <w:sz w:val="20"/>
          <w:szCs w:val="20"/>
          <w:color w:val="auto"/>
        </w:rPr>
      </w:pPr>
    </w:p>
    <w:p>
      <w:pPr>
        <w:ind w:right="300" w:firstLine="449"/>
        <w:spacing w:after="0" w:line="255" w:lineRule="auto"/>
        <w:rPr>
          <w:sz w:val="20"/>
          <w:szCs w:val="20"/>
          <w:color w:val="auto"/>
        </w:rPr>
      </w:pPr>
      <w:r>
        <w:rPr>
          <w:rFonts w:ascii="Arial" w:cs="Arial" w:eastAsia="Arial" w:hAnsi="Arial"/>
          <w:sz w:val="18"/>
          <w:szCs w:val="18"/>
          <w:color w:val="auto"/>
        </w:rPr>
        <w:t xml:space="preserve">In May 2014, the FASB issued ASU No. 2014-09, </w:t>
      </w:r>
      <w:r>
        <w:rPr>
          <w:rFonts w:ascii="Arial" w:cs="Arial" w:eastAsia="Arial" w:hAnsi="Arial"/>
          <w:sz w:val="18"/>
          <w:szCs w:val="18"/>
          <w:i w:val="1"/>
          <w:iCs w:val="1"/>
          <w:color w:val="auto"/>
        </w:rPr>
        <w:t>Revenue from Contracts with Customers (Topic 606)</w:t>
      </w:r>
      <w:r>
        <w:rPr>
          <w:rFonts w:ascii="Arial" w:cs="Arial" w:eastAsia="Arial" w:hAnsi="Arial"/>
          <w:sz w:val="18"/>
          <w:szCs w:val="18"/>
          <w:color w:val="auto"/>
        </w:rPr>
        <w:t xml:space="preserve"> and Subtopic 340-40, </w:t>
      </w:r>
      <w:r>
        <w:rPr>
          <w:rFonts w:ascii="Arial" w:cs="Arial" w:eastAsia="Arial" w:hAnsi="Arial"/>
          <w:sz w:val="18"/>
          <w:szCs w:val="18"/>
          <w:i w:val="1"/>
          <w:iCs w:val="1"/>
          <w:color w:val="auto"/>
        </w:rPr>
        <w:t>Other Assets and</w:t>
      </w:r>
      <w:r>
        <w:rPr>
          <w:rFonts w:ascii="Arial" w:cs="Arial" w:eastAsia="Arial" w:hAnsi="Arial"/>
          <w:sz w:val="18"/>
          <w:szCs w:val="18"/>
          <w:color w:val="auto"/>
        </w:rPr>
        <w:t xml:space="preserve"> </w:t>
      </w:r>
      <w:r>
        <w:rPr>
          <w:rFonts w:ascii="Arial" w:cs="Arial" w:eastAsia="Arial" w:hAnsi="Arial"/>
          <w:sz w:val="18"/>
          <w:szCs w:val="18"/>
          <w:i w:val="1"/>
          <w:iCs w:val="1"/>
          <w:color w:val="auto"/>
        </w:rPr>
        <w:t>Deferred Costs—Contracts with Customers (Subtopic 340-40)</w:t>
      </w:r>
      <w:r>
        <w:rPr>
          <w:rFonts w:ascii="Arial" w:cs="Arial" w:eastAsia="Arial" w:hAnsi="Arial"/>
          <w:sz w:val="18"/>
          <w:szCs w:val="18"/>
          <w:color w:val="auto"/>
        </w:rPr>
        <w:t>. Topic 606 supersedes the revenue recognition requirements in Accounting Standards</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Codification Topic 605, </w:t>
      </w:r>
      <w:r>
        <w:rPr>
          <w:rFonts w:ascii="Arial" w:cs="Arial" w:eastAsia="Arial" w:hAnsi="Arial"/>
          <w:sz w:val="18"/>
          <w:szCs w:val="18"/>
          <w:i w:val="1"/>
          <w:iCs w:val="1"/>
          <w:color w:val="auto"/>
        </w:rPr>
        <w:t>Revenue Recognition (Topic 605)</w:t>
      </w:r>
      <w:r>
        <w:rPr>
          <w:rFonts w:ascii="Arial" w:cs="Arial" w:eastAsia="Arial" w:hAnsi="Arial"/>
          <w:sz w:val="18"/>
          <w:szCs w:val="18"/>
          <w:color w:val="auto"/>
        </w:rPr>
        <w:t>, and requires the recognition of revenue when promised goods or services are transferred to customers in an amount that reflects the considerations to which the entity expects to be entitled to in exchange for those goods or services. Subtopic 340-40 requires the deferral of incremental costs of obtaining a contract with a customer. Collectively, reference to Topic 606 used herein refers to both Topic 606 and Subtopic 340-40.</w:t>
      </w:r>
    </w:p>
    <w:p>
      <w:pPr>
        <w:spacing w:after="0" w:line="192" w:lineRule="exact"/>
        <w:rPr>
          <w:sz w:val="20"/>
          <w:szCs w:val="20"/>
          <w:color w:val="auto"/>
        </w:rPr>
      </w:pPr>
    </w:p>
    <w:p>
      <w:pPr>
        <w:ind w:right="340" w:firstLine="449"/>
        <w:spacing w:after="0" w:line="342" w:lineRule="auto"/>
        <w:rPr>
          <w:sz w:val="20"/>
          <w:szCs w:val="20"/>
          <w:color w:val="auto"/>
        </w:rPr>
      </w:pPr>
      <w:r>
        <w:rPr>
          <w:rFonts w:ascii="Arial" w:cs="Arial" w:eastAsia="Arial" w:hAnsi="Arial"/>
          <w:sz w:val="16"/>
          <w:szCs w:val="16"/>
          <w:color w:val="auto"/>
        </w:rPr>
        <w:t>The Company adopted the requirements of Topic 606 as of January 1, 2017, utilizing the full retrospective method of transition. The adoption of Topic 606 resulted in changes to accounting policies for revenue recognition, trade and other receivables, and deferred commissions.</w:t>
      </w:r>
    </w:p>
    <w:p>
      <w:pPr>
        <w:spacing w:after="0" w:line="124" w:lineRule="exact"/>
        <w:rPr>
          <w:sz w:val="20"/>
          <w:szCs w:val="20"/>
          <w:color w:val="auto"/>
        </w:rPr>
      </w:pPr>
    </w:p>
    <w:p>
      <w:pPr>
        <w:ind w:right="160" w:firstLine="449"/>
        <w:spacing w:after="0" w:line="259" w:lineRule="auto"/>
        <w:rPr>
          <w:sz w:val="20"/>
          <w:szCs w:val="20"/>
          <w:color w:val="auto"/>
        </w:rPr>
      </w:pPr>
      <w:r>
        <w:rPr>
          <w:rFonts w:ascii="Arial" w:cs="Arial" w:eastAsia="Arial" w:hAnsi="Arial"/>
          <w:sz w:val="18"/>
          <w:szCs w:val="18"/>
          <w:color w:val="auto"/>
        </w:rPr>
        <w:t>The impact of adopting Topic 606 on the Company’s revenue is not material to any of the periods presented. The primary impact of adopting Topic 606 relates to the deferral of incremental costs of obtaining customer contracts and the amortization of those costs over a longer period of benefit. Under Topic 606, the Company defers all incremental costs to obtain the contract, which primarily include sales commissions and related payroll taxes. The Company amortizes these costs over a period of benefit of five years.</w:t>
      </w:r>
    </w:p>
    <w:p>
      <w:pPr>
        <w:spacing w:after="0" w:line="187" w:lineRule="exact"/>
        <w:rPr>
          <w:sz w:val="20"/>
          <w:szCs w:val="20"/>
          <w:color w:val="auto"/>
        </w:rPr>
      </w:pPr>
    </w:p>
    <w:p>
      <w:pPr>
        <w:ind w:right="40" w:firstLine="449"/>
        <w:spacing w:after="0" w:line="254" w:lineRule="auto"/>
        <w:rPr>
          <w:sz w:val="20"/>
          <w:szCs w:val="20"/>
          <w:color w:val="auto"/>
        </w:rPr>
      </w:pPr>
      <w:r>
        <w:rPr>
          <w:rFonts w:ascii="Arial" w:cs="Arial" w:eastAsia="Arial" w:hAnsi="Arial"/>
          <w:sz w:val="18"/>
          <w:szCs w:val="18"/>
          <w:color w:val="auto"/>
        </w:rPr>
        <w:t xml:space="preserve">In January 2017, the FASB issued ASU No. 2017-04, </w:t>
      </w:r>
      <w:r>
        <w:rPr>
          <w:rFonts w:ascii="Arial" w:cs="Arial" w:eastAsia="Arial" w:hAnsi="Arial"/>
          <w:sz w:val="18"/>
          <w:szCs w:val="18"/>
          <w:i w:val="1"/>
          <w:iCs w:val="1"/>
          <w:color w:val="auto"/>
        </w:rPr>
        <w:t>Goodwill and Other, Simplifying the Test for Goodwill Impairment (Topic 350)</w:t>
      </w:r>
      <w:r>
        <w:rPr>
          <w:rFonts w:ascii="Arial" w:cs="Arial" w:eastAsia="Arial" w:hAnsi="Arial"/>
          <w:sz w:val="18"/>
          <w:szCs w:val="18"/>
          <w:color w:val="auto"/>
        </w:rPr>
        <w:t>, which amends the guidance in ASC Topic 350 to eliminate Step 2 from the goodwill impairment test. The updated guidance requires an entity to perform its annual or interim goodwill impairment test by comparing the fair value of a reporting unit with its carrying amount and recognize an impairment charge for the amount by which the carrying amount exceeds the reporting unit’s fair value not to exceed the total amount of goodwill allocated to that reporting unit. ASU No. 2017-04 is effective for fiscal years beginning after December 15, 2021, and is applied prospectively when adopted. Early adoption is permitted. The Company elected to adopt ASU No. 2017-04 as of January 1, 2017. The adoption of the guidance did not have an impact on the consolidated financial statements.</w:t>
      </w:r>
    </w:p>
    <w:p>
      <w:pPr>
        <w:spacing w:after="0" w:line="195" w:lineRule="exact"/>
        <w:rPr>
          <w:sz w:val="20"/>
          <w:szCs w:val="20"/>
          <w:color w:val="auto"/>
        </w:rPr>
      </w:pPr>
    </w:p>
    <w:p>
      <w:pPr>
        <w:ind w:firstLine="449"/>
        <w:spacing w:after="0" w:line="275" w:lineRule="auto"/>
        <w:rPr>
          <w:sz w:val="20"/>
          <w:szCs w:val="20"/>
          <w:color w:val="auto"/>
        </w:rPr>
      </w:pPr>
      <w:r>
        <w:rPr>
          <w:rFonts w:ascii="Arial" w:cs="Arial" w:eastAsia="Arial" w:hAnsi="Arial"/>
          <w:sz w:val="17"/>
          <w:szCs w:val="17"/>
          <w:color w:val="auto"/>
        </w:rPr>
        <w:t xml:space="preserve">In January 2017, the FASB issued ASU No. 2017-01, </w:t>
      </w:r>
      <w:r>
        <w:rPr>
          <w:rFonts w:ascii="Arial" w:cs="Arial" w:eastAsia="Arial" w:hAnsi="Arial"/>
          <w:sz w:val="17"/>
          <w:szCs w:val="17"/>
          <w:i w:val="1"/>
          <w:iCs w:val="1"/>
          <w:color w:val="auto"/>
        </w:rPr>
        <w:t>Business Combinations, Clarifying the Definition of a Business (Topic 805)</w:t>
      </w:r>
      <w:r>
        <w:rPr>
          <w:rFonts w:ascii="Arial" w:cs="Arial" w:eastAsia="Arial" w:hAnsi="Arial"/>
          <w:sz w:val="17"/>
          <w:szCs w:val="17"/>
          <w:color w:val="auto"/>
        </w:rPr>
        <w:t>, which clarifies the definition of a business with the objective of adding guidance to assist entities with evaluating whether transactions should be accounted for as acquisitions or disposals of assets or businesses. ASU No. 2017-01 is effective for fiscal years beginning after December 15, 2017, and interim periods within those years, and is applied prospectively when adopted. Early adoption is permitted. The Company elected to adopt ASU No. 2017-01 as of January 1, 2017. The adoption of the guidance did not have an impact on the consolidated financial statements.</w:t>
      </w:r>
    </w:p>
    <w:p>
      <w:pPr>
        <w:spacing w:after="0" w:line="10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F-18</w:t>
      </w:r>
    </w:p>
    <w:p>
      <w:pPr>
        <w:sectPr>
          <w:pgSz w:w="11900" w:h="16838" w:orient="portrait"/>
          <w:cols w:equalWidth="0" w:num="1">
            <w:col w:w="11200"/>
          </w:cols>
          <w:pgMar w:left="320" w:top="459" w:right="379" w:bottom="1440" w:gutter="0" w:footer="0" w:header="0"/>
        </w:sectPr>
      </w:pPr>
    </w:p>
    <w:bookmarkStart w:id="177" w:name="page178"/>
    <w:bookmarkEnd w:id="17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firstLine="449"/>
        <w:spacing w:after="0" w:line="273" w:lineRule="auto"/>
        <w:rPr>
          <w:sz w:val="20"/>
          <w:szCs w:val="20"/>
          <w:color w:val="auto"/>
        </w:rPr>
      </w:pPr>
      <w:r>
        <w:rPr>
          <w:rFonts w:ascii="Arial" w:cs="Arial" w:eastAsia="Arial" w:hAnsi="Arial"/>
          <w:sz w:val="17"/>
          <w:szCs w:val="17"/>
          <w:color w:val="auto"/>
        </w:rPr>
        <w:t xml:space="preserve">In March 2016, the FASB issued ASU No. 2016-09, </w:t>
      </w:r>
      <w:r>
        <w:rPr>
          <w:rFonts w:ascii="Arial" w:cs="Arial" w:eastAsia="Arial" w:hAnsi="Arial"/>
          <w:sz w:val="17"/>
          <w:szCs w:val="17"/>
          <w:i w:val="1"/>
          <w:iCs w:val="1"/>
          <w:color w:val="auto"/>
        </w:rPr>
        <w:t>Improvements to Employee Share-Based Payment Accounting (Topic 718)</w:t>
      </w:r>
      <w:r>
        <w:rPr>
          <w:rFonts w:ascii="Arial" w:cs="Arial" w:eastAsia="Arial" w:hAnsi="Arial"/>
          <w:sz w:val="17"/>
          <w:szCs w:val="17"/>
          <w:color w:val="auto"/>
        </w:rPr>
        <w:t>, which aligns with the FASB’s current simplification initiatives. The major areas for simplification in ASU No. 2016-09 involve several aspects of the accounting for stock-based payment transactions, including income tax consequences, classification of awards as either equity or liabilities, and classification on the statement of cash flows. Specifically, ASU No. 2016-09 has introduced updates to minimum statutory tax withholding requirements, policy elections surrounding forfeitures, expected term, intrinsic values, and changes to the classification of certain stock-based payment related transactions on the statement of cash flows. The Company elected to adopt ASU No. 2016-09 effective as of January 1, 2017.</w:t>
      </w:r>
    </w:p>
    <w:p>
      <w:pPr>
        <w:spacing w:after="0" w:line="178" w:lineRule="exact"/>
        <w:rPr>
          <w:sz w:val="20"/>
          <w:szCs w:val="20"/>
          <w:color w:val="auto"/>
        </w:rPr>
      </w:pPr>
    </w:p>
    <w:p>
      <w:pPr>
        <w:ind w:right="100" w:firstLine="449"/>
        <w:spacing w:after="0" w:line="285" w:lineRule="auto"/>
        <w:rPr>
          <w:sz w:val="20"/>
          <w:szCs w:val="20"/>
          <w:color w:val="auto"/>
        </w:rPr>
      </w:pPr>
      <w:r>
        <w:rPr>
          <w:rFonts w:ascii="Arial" w:cs="Arial" w:eastAsia="Arial" w:hAnsi="Arial"/>
          <w:sz w:val="16"/>
          <w:szCs w:val="16"/>
          <w:color w:val="auto"/>
        </w:rPr>
        <w:t xml:space="preserve">In November 2016, the FASB issued ASU No. 2016-18, </w:t>
      </w:r>
      <w:r>
        <w:rPr>
          <w:rFonts w:ascii="Arial" w:cs="Arial" w:eastAsia="Arial" w:hAnsi="Arial"/>
          <w:sz w:val="16"/>
          <w:szCs w:val="16"/>
          <w:i w:val="1"/>
          <w:iCs w:val="1"/>
          <w:color w:val="auto"/>
        </w:rPr>
        <w:t>Statement of Cash Flows, Restricted Cash (Topic 230)</w:t>
      </w:r>
      <w:r>
        <w:rPr>
          <w:rFonts w:ascii="Arial" w:cs="Arial" w:eastAsia="Arial" w:hAnsi="Arial"/>
          <w:sz w:val="16"/>
          <w:szCs w:val="16"/>
          <w:color w:val="auto"/>
        </w:rPr>
        <w:t xml:space="preserve">, which amends the guidance in ASC Topic 230, </w:t>
      </w:r>
      <w:r>
        <w:rPr>
          <w:rFonts w:ascii="Arial" w:cs="Arial" w:eastAsia="Arial" w:hAnsi="Arial"/>
          <w:sz w:val="16"/>
          <w:szCs w:val="16"/>
          <w:i w:val="1"/>
          <w:iCs w:val="1"/>
          <w:color w:val="auto"/>
        </w:rPr>
        <w:t>Statement of Cash Flows,</w:t>
      </w:r>
      <w:r>
        <w:rPr>
          <w:rFonts w:ascii="Arial" w:cs="Arial" w:eastAsia="Arial" w:hAnsi="Arial"/>
          <w:sz w:val="16"/>
          <w:szCs w:val="16"/>
          <w:color w:val="auto"/>
        </w:rPr>
        <w:t xml:space="preserve"> and requires that entities show the changes in total of cash, cash equivalents, restricted cash, and restricted cash equivalents in their statement of cash flows. As a result, entities will no longer present transfers between cash and cash equivalents and restricted cash and restricted cash equivalents in the statement of cash flows. ASU No. 2016-18 is effective for fiscal years beginning after December 15, 2017, and interim periods within those years, and is applied retrospectively when adopted. Early adoption is permitted. The Company elected to early adopt ASU No.</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color w:val="auto"/>
        </w:rPr>
        <w:t>2016-18 effective January 1, 2016. The adoption of the guidance did not have a material impact on the consolidated financial statements.</w:t>
      </w:r>
    </w:p>
    <w:p>
      <w:pPr>
        <w:spacing w:after="0" w:line="211" w:lineRule="exact"/>
        <w:rPr>
          <w:sz w:val="20"/>
          <w:szCs w:val="20"/>
          <w:color w:val="auto"/>
        </w:rPr>
      </w:pPr>
    </w:p>
    <w:p>
      <w:pPr>
        <w:ind w:right="60" w:firstLine="449"/>
        <w:spacing w:after="0" w:line="273" w:lineRule="auto"/>
        <w:rPr>
          <w:sz w:val="20"/>
          <w:szCs w:val="20"/>
          <w:color w:val="auto"/>
        </w:rPr>
      </w:pPr>
      <w:r>
        <w:rPr>
          <w:rFonts w:ascii="Arial" w:cs="Arial" w:eastAsia="Arial" w:hAnsi="Arial"/>
          <w:sz w:val="17"/>
          <w:szCs w:val="17"/>
          <w:color w:val="auto"/>
        </w:rPr>
        <w:t xml:space="preserve">In April 2015, the FASB issued ASU No. 2015-05, </w:t>
      </w:r>
      <w:r>
        <w:rPr>
          <w:rFonts w:ascii="Arial" w:cs="Arial" w:eastAsia="Arial" w:hAnsi="Arial"/>
          <w:sz w:val="17"/>
          <w:szCs w:val="17"/>
          <w:i w:val="1"/>
          <w:iCs w:val="1"/>
          <w:color w:val="auto"/>
        </w:rPr>
        <w:t>Intangibles—Goodwill and Other—Internal-Use Software: Customer’s Accounting for Fees Paid</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in a Cloud Computing Arrangement (Subtopic 350-40), </w:t>
      </w:r>
      <w:r>
        <w:rPr>
          <w:rFonts w:ascii="Arial" w:cs="Arial" w:eastAsia="Arial" w:hAnsi="Arial"/>
          <w:sz w:val="17"/>
          <w:szCs w:val="17"/>
          <w:color w:val="auto"/>
        </w:rPr>
        <w:t>which provides guidance to customers about whether a cloud computing arrangement includes a</w:t>
      </w:r>
      <w:r>
        <w:rPr>
          <w:rFonts w:ascii="Arial" w:cs="Arial" w:eastAsia="Arial" w:hAnsi="Arial"/>
          <w:sz w:val="17"/>
          <w:szCs w:val="17"/>
          <w:i w:val="1"/>
          <w:iCs w:val="1"/>
          <w:color w:val="auto"/>
        </w:rPr>
        <w:t xml:space="preserve"> </w:t>
      </w:r>
      <w:r>
        <w:rPr>
          <w:rFonts w:ascii="Arial" w:cs="Arial" w:eastAsia="Arial" w:hAnsi="Arial"/>
          <w:sz w:val="17"/>
          <w:szCs w:val="17"/>
          <w:color w:val="auto"/>
        </w:rPr>
        <w:t>software license. If a cloud computing arrangement includes a software license, then the customer should account for the software license element of the arrangement consistent with the acquisition of other software licenses. If a cloud computing arrangement does not include a software license, the customer should account for the arrangement as a service contract. The Company adopted ASU No. 2015-05 in 2016. The adoption of the guidance did not have a material impact on the consolidated financial statements.</w:t>
      </w:r>
    </w:p>
    <w:p>
      <w:pPr>
        <w:spacing w:after="0" w:line="2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Cash and Cash Equivalents</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Cash and cash equivalents consisted of the following:</w:t>
      </w:r>
    </w:p>
    <w:p>
      <w:pPr>
        <w:spacing w:after="0" w:line="231"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20" w:type="dxa"/>
            <w:vAlign w:val="bottom"/>
            <w:gridSpan w:val="5"/>
            <w:vMerge w:val="restart"/>
          </w:tcPr>
          <w:p>
            <w:pPr>
              <w:jc w:val="right"/>
              <w:ind w:right="900"/>
              <w:spacing w:after="0"/>
              <w:rPr>
                <w:sz w:val="20"/>
                <w:szCs w:val="20"/>
                <w:color w:val="auto"/>
              </w:rPr>
            </w:pPr>
            <w:r>
              <w:rPr>
                <w:rFonts w:ascii="Arial" w:cs="Arial" w:eastAsia="Arial" w:hAnsi="Arial"/>
                <w:sz w:val="14"/>
                <w:szCs w:val="14"/>
                <w:b w:val="1"/>
                <w:bCs w:val="1"/>
                <w:color w:val="auto"/>
              </w:rPr>
              <w:t>As of December 31,</w:t>
            </w:r>
          </w:p>
        </w:tc>
        <w:tc>
          <w:tcPr>
            <w:tcW w:w="180" w:type="dxa"/>
            <w:vAlign w:val="bottom"/>
          </w:tcPr>
          <w:p>
            <w:pPr>
              <w:spacing w:after="0"/>
              <w:rPr>
                <w:sz w:val="14"/>
                <w:szCs w:val="14"/>
                <w:color w:val="auto"/>
              </w:rPr>
            </w:pPr>
          </w:p>
        </w:tc>
        <w:tc>
          <w:tcPr>
            <w:tcW w:w="76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1"/>
              </w:rPr>
              <w:t>As of</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6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20" w:type="dxa"/>
            <w:vAlign w:val="bottom"/>
            <w:gridSpan w:val="5"/>
            <w:vMerge w:val="continue"/>
          </w:tcPr>
          <w:p>
            <w:pPr>
              <w:spacing w:after="0"/>
              <w:rPr>
                <w:sz w:val="14"/>
                <w:szCs w:val="14"/>
                <w:color w:val="auto"/>
              </w:rPr>
            </w:pPr>
          </w:p>
        </w:tc>
        <w:tc>
          <w:tcPr>
            <w:tcW w:w="940" w:type="dxa"/>
            <w:vAlign w:val="bottom"/>
            <w:gridSpan w:val="3"/>
          </w:tcPr>
          <w:p>
            <w:pPr>
              <w:jc w:val="center"/>
              <w:ind w:right="60"/>
              <w:spacing w:after="0"/>
              <w:rPr>
                <w:sz w:val="20"/>
                <w:szCs w:val="20"/>
                <w:color w:val="auto"/>
              </w:rPr>
            </w:pPr>
            <w:r>
              <w:rPr>
                <w:rFonts w:ascii="Arial" w:cs="Arial" w:eastAsia="Arial" w:hAnsi="Arial"/>
                <w:sz w:val="14"/>
                <w:szCs w:val="14"/>
                <w:b w:val="1"/>
                <w:bCs w:val="1"/>
                <w:color w:val="auto"/>
                <w:w w:val="91"/>
              </w:rPr>
              <w:t>September 30,</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140" w:type="dxa"/>
            <w:vAlign w:val="bottom"/>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400" w:type="dxa"/>
            <w:vAlign w:val="bottom"/>
            <w:tcBorders>
              <w:top w:val="single" w:sz="8" w:color="auto"/>
              <w:bottom w:val="single" w:sz="8" w:color="auto"/>
            </w:tcBorders>
          </w:tcPr>
          <w:p>
            <w:pPr>
              <w:jc w:val="right"/>
              <w:ind w:right="17"/>
              <w:spacing w:after="0" w:line="142" w:lineRule="exact"/>
              <w:rPr>
                <w:sz w:val="20"/>
                <w:szCs w:val="20"/>
                <w:color w:val="auto"/>
              </w:rPr>
            </w:pPr>
            <w:r>
              <w:rPr>
                <w:rFonts w:ascii="Arial" w:cs="Arial" w:eastAsia="Arial" w:hAnsi="Arial"/>
                <w:sz w:val="14"/>
                <w:szCs w:val="14"/>
                <w:b w:val="1"/>
                <w:bCs w:val="1"/>
                <w:color w:val="auto"/>
                <w:w w:val="89"/>
              </w:rPr>
              <w:t>2015</w:t>
            </w:r>
          </w:p>
        </w:tc>
        <w:tc>
          <w:tcPr>
            <w:tcW w:w="660" w:type="dxa"/>
            <w:vAlign w:val="bottom"/>
            <w:tcBorders>
              <w:top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400" w:type="dxa"/>
            <w:vAlign w:val="bottom"/>
            <w:tcBorders>
              <w:top w:val="single" w:sz="8" w:color="auto"/>
              <w:bottom w:val="single" w:sz="8" w:color="auto"/>
            </w:tcBorders>
          </w:tcPr>
          <w:p>
            <w:pPr>
              <w:jc w:val="right"/>
              <w:ind w:right="15"/>
              <w:spacing w:after="0" w:line="142" w:lineRule="exact"/>
              <w:rPr>
                <w:sz w:val="20"/>
                <w:szCs w:val="20"/>
                <w:color w:val="auto"/>
              </w:rPr>
            </w:pPr>
            <w:r>
              <w:rPr>
                <w:rFonts w:ascii="Arial" w:cs="Arial" w:eastAsia="Arial" w:hAnsi="Arial"/>
                <w:sz w:val="14"/>
                <w:szCs w:val="14"/>
                <w:b w:val="1"/>
                <w:bCs w:val="1"/>
                <w:color w:val="auto"/>
                <w:w w:val="89"/>
              </w:rPr>
              <w:t>2016</w:t>
            </w:r>
          </w:p>
        </w:tc>
        <w:tc>
          <w:tcPr>
            <w:tcW w:w="660" w:type="dxa"/>
            <w:vAlign w:val="bottom"/>
          </w:tcPr>
          <w:p>
            <w:pPr>
              <w:spacing w:after="0"/>
              <w:rPr>
                <w:sz w:val="12"/>
                <w:szCs w:val="12"/>
                <w:color w:val="auto"/>
              </w:rPr>
            </w:pPr>
          </w:p>
        </w:tc>
        <w:tc>
          <w:tcPr>
            <w:tcW w:w="180" w:type="dxa"/>
            <w:vAlign w:val="bottom"/>
            <w:tcBorders>
              <w:top w:val="single" w:sz="8" w:color="auto"/>
              <w:bottom w:val="single" w:sz="8" w:color="auto"/>
            </w:tcBorders>
          </w:tcPr>
          <w:p>
            <w:pPr>
              <w:spacing w:after="0"/>
              <w:rPr>
                <w:sz w:val="12"/>
                <w:szCs w:val="12"/>
                <w:color w:val="auto"/>
              </w:rPr>
            </w:pPr>
          </w:p>
        </w:tc>
        <w:tc>
          <w:tcPr>
            <w:tcW w:w="700" w:type="dxa"/>
            <w:vAlign w:val="bottom"/>
            <w:tcBorders>
              <w:top w:val="single" w:sz="8" w:color="auto"/>
              <w:bottom w:val="single" w:sz="8" w:color="auto"/>
            </w:tcBorders>
          </w:tcPr>
          <w:p>
            <w:pPr>
              <w:jc w:val="center"/>
              <w:ind w:right="97"/>
              <w:spacing w:after="0" w:line="142" w:lineRule="exact"/>
              <w:rPr>
                <w:sz w:val="20"/>
                <w:szCs w:val="20"/>
                <w:color w:val="auto"/>
              </w:rPr>
            </w:pPr>
            <w:r>
              <w:rPr>
                <w:rFonts w:ascii="Arial" w:cs="Arial" w:eastAsia="Arial" w:hAnsi="Arial"/>
                <w:sz w:val="14"/>
                <w:szCs w:val="14"/>
                <w:b w:val="1"/>
                <w:bCs w:val="1"/>
                <w:color w:val="auto"/>
                <w:w w:val="89"/>
              </w:rPr>
              <w:t>2017</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80" w:type="dxa"/>
            <w:vAlign w:val="bottom"/>
            <w:gridSpan w:val="2"/>
          </w:tcPr>
          <w:p>
            <w:pPr>
              <w:jc w:val="center"/>
              <w:spacing w:after="0" w:line="142" w:lineRule="exact"/>
              <w:rPr>
                <w:sz w:val="20"/>
                <w:szCs w:val="20"/>
                <w:color w:val="auto"/>
              </w:rPr>
            </w:pPr>
            <w:r>
              <w:rPr>
                <w:rFonts w:ascii="Arial" w:cs="Arial" w:eastAsia="Arial" w:hAnsi="Arial"/>
                <w:sz w:val="14"/>
                <w:szCs w:val="14"/>
                <w:i w:val="1"/>
                <w:iCs w:val="1"/>
                <w:color w:val="auto"/>
                <w:w w:val="95"/>
              </w:rPr>
              <w:t>(Unaudited)</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40" w:type="dxa"/>
            <w:vAlign w:val="bottom"/>
            <w:shd w:val="clear" w:color="auto" w:fill="CCEEFF"/>
          </w:tcPr>
          <w:p>
            <w:pPr>
              <w:spacing w:after="0"/>
              <w:rPr>
                <w:sz w:val="20"/>
                <w:szCs w:val="20"/>
                <w:color w:val="auto"/>
              </w:rPr>
            </w:pPr>
            <w:r>
              <w:rPr>
                <w:rFonts w:ascii="Arial" w:cs="Arial" w:eastAsia="Arial" w:hAnsi="Arial"/>
                <w:sz w:val="18"/>
                <w:szCs w:val="18"/>
                <w:color w:val="auto"/>
              </w:rPr>
              <w:t>Cash</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40.8</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93.7</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56.0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40" w:type="dxa"/>
            <w:vAlign w:val="bottom"/>
          </w:tcPr>
          <w:p>
            <w:pPr>
              <w:spacing w:after="0"/>
              <w:rPr>
                <w:sz w:val="20"/>
                <w:szCs w:val="20"/>
                <w:color w:val="auto"/>
              </w:rPr>
            </w:pPr>
            <w:r>
              <w:rPr>
                <w:rFonts w:ascii="Arial" w:cs="Arial" w:eastAsia="Arial" w:hAnsi="Arial"/>
                <w:sz w:val="18"/>
                <w:szCs w:val="18"/>
                <w:color w:val="auto"/>
              </w:rPr>
              <w:t>Money market mutual funds</w:t>
            </w:r>
          </w:p>
        </w:tc>
        <w:tc>
          <w:tcPr>
            <w:tcW w:w="100" w:type="dxa"/>
            <w:vAlign w:val="bottom"/>
          </w:tcPr>
          <w:p>
            <w:pPr>
              <w:spacing w:after="0"/>
              <w:rPr>
                <w:sz w:val="18"/>
                <w:szCs w:val="18"/>
                <w:color w:val="auto"/>
              </w:rPr>
            </w:pPr>
          </w:p>
        </w:tc>
        <w:tc>
          <w:tcPr>
            <w:tcW w:w="1060" w:type="dxa"/>
            <w:vAlign w:val="bottom"/>
            <w:gridSpan w:val="2"/>
          </w:tcPr>
          <w:p>
            <w:pPr>
              <w:jc w:val="right"/>
              <w:ind w:right="660"/>
              <w:spacing w:after="0"/>
              <w:rPr>
                <w:sz w:val="20"/>
                <w:szCs w:val="20"/>
                <w:color w:val="auto"/>
              </w:rPr>
            </w:pPr>
            <w:r>
              <w:rPr>
                <w:rFonts w:ascii="Arial" w:cs="Arial" w:eastAsia="Arial" w:hAnsi="Arial"/>
                <w:sz w:val="18"/>
                <w:szCs w:val="18"/>
                <w:color w:val="auto"/>
                <w:w w:val="84"/>
              </w:rPr>
              <w:t>316.1</w:t>
            </w:r>
          </w:p>
        </w:tc>
        <w:tc>
          <w:tcPr>
            <w:tcW w:w="100" w:type="dxa"/>
            <w:vAlign w:val="bottom"/>
          </w:tcPr>
          <w:p>
            <w:pPr>
              <w:spacing w:after="0"/>
              <w:rPr>
                <w:sz w:val="18"/>
                <w:szCs w:val="18"/>
                <w:color w:val="auto"/>
              </w:rPr>
            </w:pPr>
          </w:p>
        </w:tc>
        <w:tc>
          <w:tcPr>
            <w:tcW w:w="1060" w:type="dxa"/>
            <w:vAlign w:val="bottom"/>
            <w:gridSpan w:val="2"/>
          </w:tcPr>
          <w:p>
            <w:pPr>
              <w:jc w:val="right"/>
              <w:ind w:right="660"/>
              <w:spacing w:after="0"/>
              <w:rPr>
                <w:sz w:val="20"/>
                <w:szCs w:val="20"/>
                <w:color w:val="auto"/>
              </w:rPr>
            </w:pPr>
            <w:r>
              <w:rPr>
                <w:rFonts w:ascii="Arial" w:cs="Arial" w:eastAsia="Arial" w:hAnsi="Arial"/>
                <w:sz w:val="18"/>
                <w:szCs w:val="18"/>
                <w:color w:val="auto"/>
                <w:w w:val="84"/>
              </w:rPr>
              <w:t>259.0</w:t>
            </w:r>
          </w:p>
        </w:tc>
        <w:tc>
          <w:tcPr>
            <w:tcW w:w="180" w:type="dxa"/>
            <w:vAlign w:val="bottom"/>
          </w:tcPr>
          <w:p>
            <w:pPr>
              <w:spacing w:after="0"/>
              <w:rPr>
                <w:sz w:val="18"/>
                <w:szCs w:val="18"/>
                <w:color w:val="auto"/>
              </w:rPr>
            </w:pPr>
          </w:p>
        </w:tc>
        <w:tc>
          <w:tcPr>
            <w:tcW w:w="760" w:type="dxa"/>
            <w:vAlign w:val="bottom"/>
            <w:gridSpan w:val="2"/>
          </w:tcPr>
          <w:p>
            <w:pPr>
              <w:jc w:val="right"/>
              <w:ind w:right="60"/>
              <w:spacing w:after="0"/>
              <w:rPr>
                <w:sz w:val="20"/>
                <w:szCs w:val="20"/>
                <w:color w:val="auto"/>
              </w:rPr>
            </w:pPr>
            <w:r>
              <w:rPr>
                <w:rFonts w:ascii="Arial" w:cs="Arial" w:eastAsia="Arial" w:hAnsi="Arial"/>
                <w:sz w:val="18"/>
                <w:szCs w:val="18"/>
                <w:color w:val="auto"/>
              </w:rPr>
              <w:t>366.7</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1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66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140" w:type="dxa"/>
            <w:vAlign w:val="bottom"/>
            <w:shd w:val="clear" w:color="auto" w:fill="CCEEFF"/>
          </w:tcPr>
          <w:p>
            <w:pPr>
              <w:spacing w:after="0"/>
              <w:rPr>
                <w:sz w:val="20"/>
                <w:szCs w:val="20"/>
                <w:color w:val="auto"/>
              </w:rPr>
            </w:pPr>
            <w:r>
              <w:rPr>
                <w:rFonts w:ascii="Arial" w:cs="Arial" w:eastAsia="Arial" w:hAnsi="Arial"/>
                <w:sz w:val="18"/>
                <w:szCs w:val="18"/>
                <w:color w:val="auto"/>
              </w:rPr>
              <w:t>Total cash and cash equivalents</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79"/>
              </w:rPr>
              <w:t>$</w:t>
            </w:r>
          </w:p>
        </w:tc>
        <w:tc>
          <w:tcPr>
            <w:tcW w:w="106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w w:val="84"/>
              </w:rPr>
              <w:t>356.9</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79"/>
              </w:rPr>
              <w:t>$</w:t>
            </w:r>
          </w:p>
        </w:tc>
        <w:tc>
          <w:tcPr>
            <w:tcW w:w="106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w w:val="84"/>
              </w:rPr>
              <w:t>352.7</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422.7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right="60" w:firstLine="449"/>
        <w:spacing w:after="0" w:line="277" w:lineRule="auto"/>
        <w:rPr>
          <w:sz w:val="20"/>
          <w:szCs w:val="20"/>
          <w:color w:val="auto"/>
        </w:rPr>
      </w:pPr>
      <w:r>
        <w:rPr>
          <w:rFonts w:ascii="Arial" w:cs="Arial" w:eastAsia="Arial" w:hAnsi="Arial"/>
          <w:sz w:val="18"/>
          <w:szCs w:val="18"/>
          <w:color w:val="auto"/>
        </w:rPr>
        <w:t>Included in cash and cash equivalents are cash in transit from payment processors for credit and debit card transactions of $4.5 million, $8.4 million, and $13.4 million as of December 31, 2015 and 2016, and September 30, 2017, respectively.</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 Fair Value Measurements</w:t>
      </w:r>
    </w:p>
    <w:p>
      <w:pPr>
        <w:spacing w:after="0" w:line="121" w:lineRule="exact"/>
        <w:rPr>
          <w:sz w:val="20"/>
          <w:szCs w:val="20"/>
          <w:color w:val="auto"/>
        </w:rPr>
      </w:pPr>
    </w:p>
    <w:p>
      <w:pPr>
        <w:ind w:right="140" w:firstLine="449"/>
        <w:spacing w:after="0" w:line="259" w:lineRule="auto"/>
        <w:rPr>
          <w:sz w:val="20"/>
          <w:szCs w:val="20"/>
          <w:color w:val="auto"/>
        </w:rPr>
      </w:pPr>
      <w:r>
        <w:rPr>
          <w:rFonts w:ascii="Arial" w:cs="Arial" w:eastAsia="Arial" w:hAnsi="Arial"/>
          <w:sz w:val="18"/>
          <w:szCs w:val="18"/>
          <w:color w:val="auto"/>
        </w:rPr>
        <w:t>The Company’s cash equivalents primarily consist of money market funds. The total cash equivalents held by the Company in money market funds as of December 31, 2015 and 2016, and September 30, 2017, were $316.1 million, $259.0 million, and $366.7 million, respectively. The Company’s cash equivalents are classified within Level 1 of the fair value hierarchy. See Note 1, “Description of the Business and Summary of Significant Accounting Policies” for additional details.</w:t>
      </w:r>
    </w:p>
    <w:p>
      <w:pPr>
        <w:spacing w:after="0" w:line="11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F-19</w:t>
      </w:r>
    </w:p>
    <w:p>
      <w:pPr>
        <w:sectPr>
          <w:pgSz w:w="11900" w:h="16838" w:orient="portrait"/>
          <w:cols w:equalWidth="0" w:num="1">
            <w:col w:w="11220"/>
          </w:cols>
          <w:pgMar w:left="320" w:top="459" w:right="359" w:bottom="1440" w:gutter="0" w:footer="0" w:header="0"/>
        </w:sectPr>
      </w:pPr>
    </w:p>
    <w:bookmarkStart w:id="178" w:name="page179"/>
    <w:bookmarkEnd w:id="17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4. Property and Equipment, Net</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Property and equipment, net consisted of the following:</w:t>
      </w:r>
    </w:p>
    <w:p>
      <w:pPr>
        <w:spacing w:after="0" w:line="231"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5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0" w:type="dxa"/>
            <w:vAlign w:val="bottom"/>
            <w:gridSpan w:val="7"/>
            <w:vMerge w:val="restart"/>
          </w:tcPr>
          <w:p>
            <w:pPr>
              <w:jc w:val="right"/>
              <w:ind w:right="1000"/>
              <w:spacing w:after="0"/>
              <w:rPr>
                <w:sz w:val="20"/>
                <w:szCs w:val="20"/>
                <w:color w:val="auto"/>
              </w:rPr>
            </w:pPr>
            <w:r>
              <w:rPr>
                <w:rFonts w:ascii="Arial" w:cs="Arial" w:eastAsia="Arial" w:hAnsi="Arial"/>
                <w:sz w:val="14"/>
                <w:szCs w:val="14"/>
                <w:b w:val="1"/>
                <w:bCs w:val="1"/>
                <w:color w:val="auto"/>
              </w:rPr>
              <w:t>As of December 31,</w:t>
            </w:r>
          </w:p>
        </w:tc>
        <w:tc>
          <w:tcPr>
            <w:tcW w:w="200" w:type="dxa"/>
            <w:vAlign w:val="bottom"/>
          </w:tcPr>
          <w:p>
            <w:pPr>
              <w:spacing w:after="0"/>
              <w:rPr>
                <w:sz w:val="14"/>
                <w:szCs w:val="14"/>
                <w:color w:val="auto"/>
              </w:rPr>
            </w:pPr>
          </w:p>
        </w:tc>
        <w:tc>
          <w:tcPr>
            <w:tcW w:w="80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85"/>
              </w:rPr>
              <w:t>As of</w:t>
            </w:r>
          </w:p>
        </w:tc>
        <w:tc>
          <w:tcPr>
            <w:tcW w:w="0" w:type="dxa"/>
            <w:vAlign w:val="bottom"/>
          </w:tcPr>
          <w:p>
            <w:pPr>
              <w:spacing w:after="0"/>
              <w:rPr>
                <w:sz w:val="1"/>
                <w:szCs w:val="1"/>
                <w:color w:val="auto"/>
              </w:rPr>
            </w:pPr>
          </w:p>
        </w:tc>
      </w:tr>
      <w:tr>
        <w:trPr>
          <w:trHeight w:val="171"/>
        </w:trPr>
        <w:tc>
          <w:tcPr>
            <w:tcW w:w="5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0" w:type="dxa"/>
            <w:vAlign w:val="bottom"/>
            <w:gridSpan w:val="7"/>
            <w:vMerge w:val="continue"/>
          </w:tcPr>
          <w:p>
            <w:pPr>
              <w:spacing w:after="0"/>
              <w:rPr>
                <w:sz w:val="14"/>
                <w:szCs w:val="14"/>
                <w:color w:val="auto"/>
              </w:rPr>
            </w:pPr>
          </w:p>
        </w:tc>
        <w:tc>
          <w:tcPr>
            <w:tcW w:w="100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w w:val="89"/>
              </w:rPr>
              <w:t>September 30,</w:t>
            </w:r>
          </w:p>
        </w:tc>
        <w:tc>
          <w:tcPr>
            <w:tcW w:w="0" w:type="dxa"/>
            <w:vAlign w:val="bottom"/>
          </w:tcPr>
          <w:p>
            <w:pPr>
              <w:spacing w:after="0"/>
              <w:rPr>
                <w:sz w:val="1"/>
                <w:szCs w:val="1"/>
                <w:color w:val="auto"/>
              </w:rPr>
            </w:pPr>
          </w:p>
        </w:tc>
      </w:tr>
      <w:tr>
        <w:trPr>
          <w:trHeight w:val="142"/>
        </w:trPr>
        <w:tc>
          <w:tcPr>
            <w:tcW w:w="5920" w:type="dxa"/>
            <w:vAlign w:val="bottom"/>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460" w:type="dxa"/>
            <w:vAlign w:val="bottom"/>
            <w:tcBorders>
              <w:top w:val="single" w:sz="8" w:color="auto"/>
              <w:bottom w:val="single" w:sz="8" w:color="auto"/>
            </w:tcBorders>
          </w:tcPr>
          <w:p>
            <w:pPr>
              <w:jc w:val="right"/>
              <w:ind w:right="54"/>
              <w:spacing w:after="0" w:line="142" w:lineRule="exact"/>
              <w:rPr>
                <w:sz w:val="20"/>
                <w:szCs w:val="20"/>
                <w:color w:val="auto"/>
              </w:rPr>
            </w:pPr>
            <w:r>
              <w:rPr>
                <w:rFonts w:ascii="Arial" w:cs="Arial" w:eastAsia="Arial" w:hAnsi="Arial"/>
                <w:sz w:val="14"/>
                <w:szCs w:val="14"/>
                <w:b w:val="1"/>
                <w:bCs w:val="1"/>
                <w:color w:val="auto"/>
                <w:w w:val="96"/>
              </w:rPr>
              <w:t>2015</w:t>
            </w:r>
          </w:p>
        </w:tc>
        <w:tc>
          <w:tcPr>
            <w:tcW w:w="20" w:type="dxa"/>
            <w:vAlign w:val="bottom"/>
            <w:tcBorders>
              <w:top w:val="single" w:sz="8" w:color="auto"/>
            </w:tcBorders>
          </w:tcPr>
          <w:p>
            <w:pPr>
              <w:spacing w:after="0"/>
              <w:rPr>
                <w:sz w:val="12"/>
                <w:szCs w:val="12"/>
                <w:color w:val="auto"/>
              </w:rPr>
            </w:pPr>
          </w:p>
        </w:tc>
        <w:tc>
          <w:tcPr>
            <w:tcW w:w="360" w:type="dxa"/>
            <w:vAlign w:val="bottom"/>
            <w:tcBorders>
              <w:top w:val="single" w:sz="8" w:color="auto"/>
            </w:tcBorders>
          </w:tcPr>
          <w:p>
            <w:pPr>
              <w:spacing w:after="0"/>
              <w:rPr>
                <w:sz w:val="12"/>
                <w:szCs w:val="12"/>
                <w:color w:val="auto"/>
              </w:rPr>
            </w:pPr>
          </w:p>
        </w:tc>
        <w:tc>
          <w:tcPr>
            <w:tcW w:w="320" w:type="dxa"/>
            <w:vAlign w:val="bottom"/>
            <w:tcBorders>
              <w:top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460" w:type="dxa"/>
            <w:vAlign w:val="bottom"/>
            <w:tcBorders>
              <w:top w:val="single" w:sz="8" w:color="auto"/>
              <w:bottom w:val="single" w:sz="8" w:color="auto"/>
            </w:tcBorders>
          </w:tcPr>
          <w:p>
            <w:pPr>
              <w:jc w:val="right"/>
              <w:ind w:right="52"/>
              <w:spacing w:after="0" w:line="142" w:lineRule="exact"/>
              <w:rPr>
                <w:sz w:val="20"/>
                <w:szCs w:val="20"/>
                <w:color w:val="auto"/>
              </w:rPr>
            </w:pPr>
            <w:r>
              <w:rPr>
                <w:rFonts w:ascii="Arial" w:cs="Arial" w:eastAsia="Arial" w:hAnsi="Arial"/>
                <w:sz w:val="14"/>
                <w:szCs w:val="14"/>
                <w:b w:val="1"/>
                <w:bCs w:val="1"/>
                <w:color w:val="auto"/>
                <w:w w:val="96"/>
              </w:rPr>
              <w:t>2016</w:t>
            </w:r>
          </w:p>
        </w:tc>
        <w:tc>
          <w:tcPr>
            <w:tcW w:w="680" w:type="dxa"/>
            <w:vAlign w:val="bottom"/>
          </w:tcPr>
          <w:p>
            <w:pPr>
              <w:spacing w:after="0"/>
              <w:rPr>
                <w:sz w:val="12"/>
                <w:szCs w:val="12"/>
                <w:color w:val="auto"/>
              </w:rPr>
            </w:pPr>
          </w:p>
        </w:tc>
        <w:tc>
          <w:tcPr>
            <w:tcW w:w="200" w:type="dxa"/>
            <w:vAlign w:val="bottom"/>
            <w:tcBorders>
              <w:top w:val="single" w:sz="8" w:color="auto"/>
              <w:bottom w:val="single" w:sz="8" w:color="auto"/>
            </w:tcBorders>
          </w:tcPr>
          <w:p>
            <w:pPr>
              <w:spacing w:after="0"/>
              <w:rPr>
                <w:sz w:val="12"/>
                <w:szCs w:val="12"/>
                <w:color w:val="auto"/>
              </w:rPr>
            </w:pPr>
          </w:p>
        </w:tc>
        <w:tc>
          <w:tcPr>
            <w:tcW w:w="680" w:type="dxa"/>
            <w:vAlign w:val="bottom"/>
            <w:tcBorders>
              <w:top w:val="single" w:sz="8" w:color="auto"/>
              <w:bottom w:val="single" w:sz="8" w:color="auto"/>
            </w:tcBorders>
          </w:tcPr>
          <w:p>
            <w:pPr>
              <w:jc w:val="center"/>
              <w:ind w:right="94"/>
              <w:spacing w:after="0" w:line="142" w:lineRule="exact"/>
              <w:rPr>
                <w:sz w:val="20"/>
                <w:szCs w:val="20"/>
                <w:color w:val="auto"/>
              </w:rPr>
            </w:pPr>
            <w:r>
              <w:rPr>
                <w:rFonts w:ascii="Arial" w:cs="Arial" w:eastAsia="Arial" w:hAnsi="Arial"/>
                <w:sz w:val="14"/>
                <w:szCs w:val="14"/>
                <w:b w:val="1"/>
                <w:bCs w:val="1"/>
                <w:color w:val="auto"/>
                <w:w w:val="96"/>
              </w:rPr>
              <w:t>2017</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59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80" w:type="dxa"/>
            <w:vAlign w:val="bottom"/>
            <w:gridSpan w:val="2"/>
          </w:tcPr>
          <w:p>
            <w:pPr>
              <w:jc w:val="center"/>
              <w:spacing w:after="0" w:line="142" w:lineRule="exact"/>
              <w:rPr>
                <w:sz w:val="20"/>
                <w:szCs w:val="20"/>
                <w:color w:val="auto"/>
              </w:rPr>
            </w:pPr>
            <w:r>
              <w:rPr>
                <w:rFonts w:ascii="Arial" w:cs="Arial" w:eastAsia="Arial" w:hAnsi="Arial"/>
                <w:sz w:val="14"/>
                <w:szCs w:val="14"/>
                <w:i w:val="1"/>
                <w:iCs w:val="1"/>
                <w:color w:val="auto"/>
                <w:w w:val="95"/>
              </w:rPr>
              <w:t>(Unaudited)</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5920" w:type="dxa"/>
            <w:vAlign w:val="bottom"/>
            <w:shd w:val="clear" w:color="auto" w:fill="CCEEFF"/>
          </w:tcPr>
          <w:p>
            <w:pPr>
              <w:spacing w:after="0"/>
              <w:rPr>
                <w:sz w:val="20"/>
                <w:szCs w:val="20"/>
                <w:color w:val="auto"/>
              </w:rPr>
            </w:pPr>
            <w:r>
              <w:rPr>
                <w:rFonts w:ascii="Arial" w:cs="Arial" w:eastAsia="Arial" w:hAnsi="Arial"/>
                <w:sz w:val="18"/>
                <w:szCs w:val="18"/>
                <w:color w:val="auto"/>
              </w:rPr>
              <w:t>Building</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gridSpan w:val="3"/>
            <w:shd w:val="clear" w:color="auto" w:fill="CCEEFF"/>
          </w:tcPr>
          <w:p>
            <w:pPr>
              <w:jc w:val="right"/>
              <w:ind w:right="380"/>
              <w:spacing w:after="0"/>
              <w:rPr>
                <w:sz w:val="20"/>
                <w:szCs w:val="20"/>
                <w:color w:val="auto"/>
              </w:rPr>
            </w:pPr>
            <w:r>
              <w:rPr>
                <w:rFonts w:ascii="Arial" w:cs="Arial" w:eastAsia="Arial" w:hAnsi="Arial"/>
                <w:sz w:val="18"/>
                <w:szCs w:val="18"/>
                <w:color w:val="auto"/>
              </w:rPr>
              <w:t>36.6</w:t>
            </w: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36.6</w:t>
            </w:r>
          </w:p>
        </w:tc>
        <w:tc>
          <w:tcPr>
            <w:tcW w:w="200" w:type="dxa"/>
            <w:vAlign w:val="bottom"/>
            <w:shd w:val="clear" w:color="auto" w:fill="CCEEFF"/>
          </w:tcPr>
          <w:p>
            <w:pPr>
              <w:jc w:val="right"/>
              <w:ind w:right="19"/>
              <w:spacing w:after="0"/>
              <w:rPr>
                <w:sz w:val="20"/>
                <w:szCs w:val="20"/>
                <w:color w:val="auto"/>
              </w:rPr>
            </w:pPr>
            <w:r>
              <w:rPr>
                <w:rFonts w:ascii="Arial" w:cs="Arial" w:eastAsia="Arial" w:hAnsi="Arial"/>
                <w:sz w:val="18"/>
                <w:szCs w:val="18"/>
                <w:color w:val="auto"/>
                <w:w w:val="79"/>
              </w:rPr>
              <w:t>$</w:t>
            </w:r>
          </w:p>
        </w:tc>
        <w:tc>
          <w:tcPr>
            <w:tcW w:w="8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36.6</w:t>
            </w:r>
          </w:p>
        </w:tc>
        <w:tc>
          <w:tcPr>
            <w:tcW w:w="0" w:type="dxa"/>
            <w:vAlign w:val="bottom"/>
          </w:tcPr>
          <w:p>
            <w:pPr>
              <w:spacing w:after="0"/>
              <w:rPr>
                <w:sz w:val="1"/>
                <w:szCs w:val="1"/>
                <w:color w:val="auto"/>
              </w:rPr>
            </w:pPr>
          </w:p>
        </w:tc>
      </w:tr>
      <w:tr>
        <w:trPr>
          <w:trHeight w:val="216"/>
        </w:trPr>
        <w:tc>
          <w:tcPr>
            <w:tcW w:w="5920" w:type="dxa"/>
            <w:vAlign w:val="bottom"/>
          </w:tcPr>
          <w:p>
            <w:pPr>
              <w:spacing w:after="0"/>
              <w:rPr>
                <w:sz w:val="20"/>
                <w:szCs w:val="20"/>
                <w:color w:val="auto"/>
              </w:rPr>
            </w:pPr>
            <w:r>
              <w:rPr>
                <w:rFonts w:ascii="Arial" w:cs="Arial" w:eastAsia="Arial" w:hAnsi="Arial"/>
                <w:sz w:val="18"/>
                <w:szCs w:val="18"/>
                <w:color w:val="auto"/>
              </w:rPr>
              <w:t>Datacenter and other computer equipment</w:t>
            </w:r>
          </w:p>
        </w:tc>
        <w:tc>
          <w:tcPr>
            <w:tcW w:w="100" w:type="dxa"/>
            <w:vAlign w:val="bottom"/>
          </w:tcPr>
          <w:p>
            <w:pPr>
              <w:spacing w:after="0"/>
              <w:rPr>
                <w:sz w:val="18"/>
                <w:szCs w:val="18"/>
                <w:color w:val="auto"/>
              </w:rPr>
            </w:pPr>
          </w:p>
        </w:tc>
        <w:tc>
          <w:tcPr>
            <w:tcW w:w="480" w:type="dxa"/>
            <w:vAlign w:val="bottom"/>
            <w:gridSpan w:val="2"/>
          </w:tcPr>
          <w:p>
            <w:pPr>
              <w:jc w:val="right"/>
              <w:ind w:right="20"/>
              <w:spacing w:after="0"/>
              <w:rPr>
                <w:sz w:val="20"/>
                <w:szCs w:val="20"/>
                <w:color w:val="auto"/>
              </w:rPr>
            </w:pPr>
            <w:r>
              <w:rPr>
                <w:rFonts w:ascii="Arial" w:cs="Arial" w:eastAsia="Arial" w:hAnsi="Arial"/>
                <w:sz w:val="18"/>
                <w:szCs w:val="18"/>
                <w:color w:val="auto"/>
                <w:w w:val="97"/>
              </w:rPr>
              <w:t>539.9</w:t>
            </w:r>
          </w:p>
        </w:tc>
        <w:tc>
          <w:tcPr>
            <w:tcW w:w="3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680"/>
              <w:spacing w:after="0"/>
              <w:rPr>
                <w:sz w:val="20"/>
                <w:szCs w:val="20"/>
                <w:color w:val="auto"/>
              </w:rPr>
            </w:pPr>
            <w:r>
              <w:rPr>
                <w:rFonts w:ascii="Arial" w:cs="Arial" w:eastAsia="Arial" w:hAnsi="Arial"/>
                <w:sz w:val="18"/>
                <w:szCs w:val="18"/>
                <w:color w:val="auto"/>
                <w:w w:val="97"/>
              </w:rPr>
              <w:t>608.4</w:t>
            </w:r>
          </w:p>
        </w:tc>
        <w:tc>
          <w:tcPr>
            <w:tcW w:w="200" w:type="dxa"/>
            <w:vAlign w:val="bottom"/>
          </w:tcPr>
          <w:p>
            <w:pPr>
              <w:spacing w:after="0"/>
              <w:rPr>
                <w:sz w:val="18"/>
                <w:szCs w:val="18"/>
                <w:color w:val="auto"/>
              </w:rPr>
            </w:pPr>
          </w:p>
        </w:tc>
        <w:tc>
          <w:tcPr>
            <w:tcW w:w="800" w:type="dxa"/>
            <w:vAlign w:val="bottom"/>
            <w:gridSpan w:val="2"/>
          </w:tcPr>
          <w:p>
            <w:pPr>
              <w:jc w:val="right"/>
              <w:ind w:right="120"/>
              <w:spacing w:after="0"/>
              <w:rPr>
                <w:sz w:val="20"/>
                <w:szCs w:val="20"/>
                <w:color w:val="auto"/>
              </w:rPr>
            </w:pPr>
            <w:r>
              <w:rPr>
                <w:rFonts w:ascii="Arial" w:cs="Arial" w:eastAsia="Arial" w:hAnsi="Arial"/>
                <w:sz w:val="18"/>
                <w:szCs w:val="18"/>
                <w:color w:val="auto"/>
              </w:rPr>
              <w:t>631.5</w:t>
            </w:r>
          </w:p>
        </w:tc>
        <w:tc>
          <w:tcPr>
            <w:tcW w:w="0" w:type="dxa"/>
            <w:vAlign w:val="bottom"/>
          </w:tcPr>
          <w:p>
            <w:pPr>
              <w:spacing w:after="0"/>
              <w:rPr>
                <w:sz w:val="1"/>
                <w:szCs w:val="1"/>
                <w:color w:val="auto"/>
              </w:rPr>
            </w:pPr>
          </w:p>
        </w:tc>
      </w:tr>
      <w:tr>
        <w:trPr>
          <w:trHeight w:val="216"/>
        </w:trPr>
        <w:tc>
          <w:tcPr>
            <w:tcW w:w="5920" w:type="dxa"/>
            <w:vAlign w:val="bottom"/>
            <w:shd w:val="clear" w:color="auto" w:fill="CCEEFF"/>
          </w:tcPr>
          <w:p>
            <w:pPr>
              <w:spacing w:after="0"/>
              <w:rPr>
                <w:sz w:val="20"/>
                <w:szCs w:val="20"/>
                <w:color w:val="auto"/>
              </w:rPr>
            </w:pPr>
            <w:r>
              <w:rPr>
                <w:rFonts w:ascii="Arial" w:cs="Arial" w:eastAsia="Arial" w:hAnsi="Arial"/>
                <w:sz w:val="18"/>
                <w:szCs w:val="18"/>
                <w:color w:val="auto"/>
              </w:rPr>
              <w:t>Furniture and fixtures</w:t>
            </w:r>
          </w:p>
        </w:tc>
        <w:tc>
          <w:tcPr>
            <w:tcW w:w="10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11.9</w:t>
            </w:r>
          </w:p>
        </w:tc>
        <w:tc>
          <w:tcPr>
            <w:tcW w:w="3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21.0</w:t>
            </w:r>
          </w:p>
        </w:tc>
        <w:tc>
          <w:tcPr>
            <w:tcW w:w="2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21.2</w:t>
            </w:r>
          </w:p>
        </w:tc>
        <w:tc>
          <w:tcPr>
            <w:tcW w:w="0" w:type="dxa"/>
            <w:vAlign w:val="bottom"/>
          </w:tcPr>
          <w:p>
            <w:pPr>
              <w:spacing w:after="0"/>
              <w:rPr>
                <w:sz w:val="1"/>
                <w:szCs w:val="1"/>
                <w:color w:val="auto"/>
              </w:rPr>
            </w:pPr>
          </w:p>
        </w:tc>
      </w:tr>
      <w:tr>
        <w:trPr>
          <w:trHeight w:val="216"/>
        </w:trPr>
        <w:tc>
          <w:tcPr>
            <w:tcW w:w="5920" w:type="dxa"/>
            <w:vAlign w:val="bottom"/>
          </w:tcPr>
          <w:p>
            <w:pPr>
              <w:spacing w:after="0"/>
              <w:rPr>
                <w:sz w:val="20"/>
                <w:szCs w:val="20"/>
                <w:color w:val="auto"/>
              </w:rPr>
            </w:pPr>
            <w:r>
              <w:rPr>
                <w:rFonts w:ascii="Arial" w:cs="Arial" w:eastAsia="Arial" w:hAnsi="Arial"/>
                <w:sz w:val="18"/>
                <w:szCs w:val="18"/>
                <w:color w:val="auto"/>
              </w:rPr>
              <w:t>Leasehold improvements</w:t>
            </w:r>
          </w:p>
        </w:tc>
        <w:tc>
          <w:tcPr>
            <w:tcW w:w="100" w:type="dxa"/>
            <w:vAlign w:val="bottom"/>
          </w:tcPr>
          <w:p>
            <w:pPr>
              <w:spacing w:after="0"/>
              <w:rPr>
                <w:sz w:val="18"/>
                <w:szCs w:val="18"/>
                <w:color w:val="auto"/>
              </w:rPr>
            </w:pPr>
          </w:p>
        </w:tc>
        <w:tc>
          <w:tcPr>
            <w:tcW w:w="840" w:type="dxa"/>
            <w:vAlign w:val="bottom"/>
            <w:gridSpan w:val="3"/>
          </w:tcPr>
          <w:p>
            <w:pPr>
              <w:jc w:val="right"/>
              <w:ind w:right="380"/>
              <w:spacing w:after="0"/>
              <w:rPr>
                <w:sz w:val="20"/>
                <w:szCs w:val="20"/>
                <w:color w:val="auto"/>
              </w:rPr>
            </w:pPr>
            <w:r>
              <w:rPr>
                <w:rFonts w:ascii="Arial" w:cs="Arial" w:eastAsia="Arial" w:hAnsi="Arial"/>
                <w:sz w:val="18"/>
                <w:szCs w:val="18"/>
                <w:color w:val="auto"/>
              </w:rPr>
              <w:t>43.3</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680"/>
              <w:spacing w:after="0"/>
              <w:rPr>
                <w:sz w:val="20"/>
                <w:szCs w:val="20"/>
                <w:color w:val="auto"/>
              </w:rPr>
            </w:pPr>
            <w:r>
              <w:rPr>
                <w:rFonts w:ascii="Arial" w:cs="Arial" w:eastAsia="Arial" w:hAnsi="Arial"/>
                <w:sz w:val="18"/>
                <w:szCs w:val="18"/>
                <w:color w:val="auto"/>
                <w:w w:val="97"/>
              </w:rPr>
              <w:t>114.1</w:t>
            </w:r>
          </w:p>
        </w:tc>
        <w:tc>
          <w:tcPr>
            <w:tcW w:w="200" w:type="dxa"/>
            <w:vAlign w:val="bottom"/>
          </w:tcPr>
          <w:p>
            <w:pPr>
              <w:spacing w:after="0"/>
              <w:rPr>
                <w:sz w:val="18"/>
                <w:szCs w:val="18"/>
                <w:color w:val="auto"/>
              </w:rPr>
            </w:pPr>
          </w:p>
        </w:tc>
        <w:tc>
          <w:tcPr>
            <w:tcW w:w="800" w:type="dxa"/>
            <w:vAlign w:val="bottom"/>
            <w:gridSpan w:val="2"/>
          </w:tcPr>
          <w:p>
            <w:pPr>
              <w:jc w:val="right"/>
              <w:ind w:right="120"/>
              <w:spacing w:after="0"/>
              <w:rPr>
                <w:sz w:val="20"/>
                <w:szCs w:val="20"/>
                <w:color w:val="auto"/>
              </w:rPr>
            </w:pPr>
            <w:r>
              <w:rPr>
                <w:rFonts w:ascii="Arial" w:cs="Arial" w:eastAsia="Arial" w:hAnsi="Arial"/>
                <w:sz w:val="18"/>
                <w:szCs w:val="18"/>
                <w:color w:val="auto"/>
              </w:rPr>
              <w:t>116.5</w:t>
            </w:r>
          </w:p>
        </w:tc>
        <w:tc>
          <w:tcPr>
            <w:tcW w:w="0" w:type="dxa"/>
            <w:vAlign w:val="bottom"/>
          </w:tcPr>
          <w:p>
            <w:pPr>
              <w:spacing w:after="0"/>
              <w:rPr>
                <w:sz w:val="1"/>
                <w:szCs w:val="1"/>
                <w:color w:val="auto"/>
              </w:rPr>
            </w:pPr>
          </w:p>
        </w:tc>
      </w:tr>
      <w:tr>
        <w:trPr>
          <w:trHeight w:val="216"/>
        </w:trPr>
        <w:tc>
          <w:tcPr>
            <w:tcW w:w="5920" w:type="dxa"/>
            <w:vAlign w:val="bottom"/>
            <w:shd w:val="clear" w:color="auto" w:fill="CCEEFF"/>
          </w:tcPr>
          <w:p>
            <w:pPr>
              <w:spacing w:after="0"/>
              <w:rPr>
                <w:sz w:val="20"/>
                <w:szCs w:val="20"/>
                <w:color w:val="auto"/>
              </w:rPr>
            </w:pPr>
            <w:r>
              <w:rPr>
                <w:rFonts w:ascii="Arial" w:cs="Arial" w:eastAsia="Arial" w:hAnsi="Arial"/>
                <w:sz w:val="18"/>
                <w:szCs w:val="18"/>
                <w:color w:val="auto"/>
              </w:rPr>
              <w:t>Construction in process</w:t>
            </w:r>
          </w:p>
        </w:tc>
        <w:tc>
          <w:tcPr>
            <w:tcW w:w="100" w:type="dxa"/>
            <w:vAlign w:val="bottom"/>
            <w:shd w:val="clear" w:color="auto" w:fill="CCEEFF"/>
          </w:tcPr>
          <w:p>
            <w:pPr>
              <w:spacing w:after="0"/>
              <w:rPr>
                <w:sz w:val="18"/>
                <w:szCs w:val="18"/>
                <w:color w:val="auto"/>
              </w:rPr>
            </w:pPr>
          </w:p>
        </w:tc>
        <w:tc>
          <w:tcPr>
            <w:tcW w:w="840" w:type="dxa"/>
            <w:vAlign w:val="bottom"/>
            <w:gridSpan w:val="3"/>
            <w:shd w:val="clear" w:color="auto" w:fill="CCEEFF"/>
          </w:tcPr>
          <w:p>
            <w:pPr>
              <w:jc w:val="right"/>
              <w:ind w:right="380"/>
              <w:spacing w:after="0"/>
              <w:rPr>
                <w:sz w:val="20"/>
                <w:szCs w:val="20"/>
                <w:color w:val="auto"/>
              </w:rPr>
            </w:pPr>
            <w:r>
              <w:rPr>
                <w:rFonts w:ascii="Arial" w:cs="Arial" w:eastAsia="Arial" w:hAnsi="Arial"/>
                <w:sz w:val="18"/>
                <w:szCs w:val="18"/>
                <w:color w:val="auto"/>
              </w:rPr>
              <w:t>25.8</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0.5</w:t>
            </w:r>
          </w:p>
        </w:tc>
        <w:tc>
          <w:tcPr>
            <w:tcW w:w="2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3.8</w:t>
            </w:r>
          </w:p>
        </w:tc>
        <w:tc>
          <w:tcPr>
            <w:tcW w:w="0" w:type="dxa"/>
            <w:vAlign w:val="bottom"/>
          </w:tcPr>
          <w:p>
            <w:pPr>
              <w:spacing w:after="0"/>
              <w:rPr>
                <w:sz w:val="1"/>
                <w:szCs w:val="1"/>
                <w:color w:val="auto"/>
              </w:rPr>
            </w:pPr>
          </w:p>
        </w:tc>
      </w:tr>
      <w:tr>
        <w:trPr>
          <w:trHeight w:val="223"/>
        </w:trPr>
        <w:tc>
          <w:tcPr>
            <w:tcW w:w="5920" w:type="dxa"/>
            <w:vAlign w:val="bottom"/>
          </w:tcPr>
          <w:p>
            <w:pPr>
              <w:ind w:left="360"/>
              <w:spacing w:after="0"/>
              <w:rPr>
                <w:sz w:val="20"/>
                <w:szCs w:val="20"/>
                <w:color w:val="auto"/>
              </w:rPr>
            </w:pPr>
            <w:r>
              <w:rPr>
                <w:rFonts w:ascii="Arial" w:cs="Arial" w:eastAsia="Arial" w:hAnsi="Arial"/>
                <w:sz w:val="18"/>
                <w:szCs w:val="18"/>
                <w:color w:val="auto"/>
              </w:rPr>
              <w:t>Total property and equipment</w:t>
            </w:r>
          </w:p>
        </w:tc>
        <w:tc>
          <w:tcPr>
            <w:tcW w:w="100" w:type="dxa"/>
            <w:vAlign w:val="bottom"/>
            <w:tcBorders>
              <w:top w:val="single" w:sz="8" w:color="auto"/>
            </w:tcBorders>
          </w:tcPr>
          <w:p>
            <w:pPr>
              <w:spacing w:after="0"/>
              <w:rPr>
                <w:sz w:val="19"/>
                <w:szCs w:val="19"/>
                <w:color w:val="auto"/>
              </w:rPr>
            </w:pPr>
          </w:p>
        </w:tc>
        <w:tc>
          <w:tcPr>
            <w:tcW w:w="4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7"/>
              </w:rPr>
              <w:t>657.5</w:t>
            </w:r>
          </w:p>
        </w:tc>
        <w:tc>
          <w:tcPr>
            <w:tcW w:w="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4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7"/>
              </w:rPr>
              <w:t>780.6</w:t>
            </w:r>
          </w:p>
        </w:tc>
        <w:tc>
          <w:tcPr>
            <w:tcW w:w="68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809.6</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5920" w:type="dxa"/>
            <w:vAlign w:val="bottom"/>
            <w:shd w:val="clear" w:color="auto" w:fill="CCEEFF"/>
          </w:tcPr>
          <w:p>
            <w:pPr>
              <w:spacing w:after="0"/>
              <w:rPr>
                <w:sz w:val="20"/>
                <w:szCs w:val="20"/>
                <w:color w:val="auto"/>
              </w:rPr>
            </w:pPr>
            <w:r>
              <w:rPr>
                <w:rFonts w:ascii="Arial" w:cs="Arial" w:eastAsia="Arial" w:hAnsi="Arial"/>
                <w:sz w:val="18"/>
                <w:szCs w:val="18"/>
                <w:color w:val="auto"/>
              </w:rPr>
              <w:t>Accumulated depreciation and amortization</w:t>
            </w:r>
          </w:p>
        </w:tc>
        <w:tc>
          <w:tcPr>
            <w:tcW w:w="100" w:type="dxa"/>
            <w:vAlign w:val="bottom"/>
            <w:shd w:val="clear" w:color="auto" w:fill="CCEEFF"/>
          </w:tcPr>
          <w:p>
            <w:pPr>
              <w:spacing w:after="0"/>
              <w:rPr>
                <w:sz w:val="18"/>
                <w:szCs w:val="18"/>
                <w:color w:val="auto"/>
              </w:rPr>
            </w:pPr>
          </w:p>
        </w:tc>
        <w:tc>
          <w:tcPr>
            <w:tcW w:w="84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w w:val="87"/>
              </w:rPr>
              <w:t>(219.9)</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w w:val="87"/>
              </w:rPr>
              <w:t>(336.6)</w:t>
            </w:r>
          </w:p>
        </w:tc>
        <w:tc>
          <w:tcPr>
            <w:tcW w:w="2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(464.6)</w:t>
            </w:r>
          </w:p>
        </w:tc>
        <w:tc>
          <w:tcPr>
            <w:tcW w:w="0" w:type="dxa"/>
            <w:vAlign w:val="bottom"/>
          </w:tcPr>
          <w:p>
            <w:pPr>
              <w:spacing w:after="0"/>
              <w:rPr>
                <w:sz w:val="1"/>
                <w:szCs w:val="1"/>
                <w:color w:val="auto"/>
              </w:rPr>
            </w:pPr>
          </w:p>
        </w:tc>
      </w:tr>
      <w:tr>
        <w:trPr>
          <w:trHeight w:val="223"/>
        </w:trPr>
        <w:tc>
          <w:tcPr>
            <w:tcW w:w="5920" w:type="dxa"/>
            <w:vAlign w:val="bottom"/>
          </w:tcPr>
          <w:p>
            <w:pPr>
              <w:spacing w:after="0"/>
              <w:rPr>
                <w:sz w:val="20"/>
                <w:szCs w:val="20"/>
                <w:color w:val="auto"/>
              </w:rPr>
            </w:pPr>
            <w:r>
              <w:rPr>
                <w:rFonts w:ascii="Arial" w:cs="Arial" w:eastAsia="Arial" w:hAnsi="Arial"/>
                <w:sz w:val="18"/>
                <w:szCs w:val="18"/>
                <w:color w:val="auto"/>
              </w:rPr>
              <w:t>Property and equipment, net</w:t>
            </w: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7"/>
              </w:rPr>
              <w:t>437.6</w:t>
            </w:r>
          </w:p>
        </w:tc>
        <w:tc>
          <w:tcPr>
            <w:tcW w:w="20" w:type="dxa"/>
            <w:vAlign w:val="bottom"/>
            <w:tcBorders>
              <w:bottom w:val="single" w:sz="8" w:color="auto"/>
            </w:tcBorders>
          </w:tcPr>
          <w:p>
            <w:pPr>
              <w:spacing w:after="0"/>
              <w:rPr>
                <w:sz w:val="19"/>
                <w:szCs w:val="19"/>
                <w:color w:val="auto"/>
              </w:rPr>
            </w:pPr>
          </w:p>
        </w:tc>
        <w:tc>
          <w:tcPr>
            <w:tcW w:w="3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7"/>
              </w:rPr>
              <w:t>444.0</w:t>
            </w:r>
          </w:p>
        </w:tc>
        <w:tc>
          <w:tcPr>
            <w:tcW w:w="68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8"/>
                <w:szCs w:val="18"/>
                <w:color w:val="auto"/>
                <w:w w:val="79"/>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345.0</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9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firstLine="449"/>
        <w:spacing w:after="0" w:line="291" w:lineRule="auto"/>
        <w:rPr>
          <w:sz w:val="20"/>
          <w:szCs w:val="20"/>
          <w:color w:val="auto"/>
        </w:rPr>
      </w:pPr>
      <w:r>
        <w:rPr>
          <w:rFonts w:ascii="Arial" w:cs="Arial" w:eastAsia="Arial" w:hAnsi="Arial"/>
          <w:sz w:val="16"/>
          <w:szCs w:val="16"/>
          <w:color w:val="auto"/>
        </w:rPr>
        <w:t>In 2012, the Company undertook a series of structural improvements to the floor that it occupied in its previous corporate headquarters. As a result of the requirement to fund construction costs and its responsibility for cost overruns during the construction period, the Company is considered the deemed owner of the floor for accounting purposes. Due to the presence of a standby letter of credit as a security deposit, the Company was deemed to have continuing involvement after the construction period. As such, it accounted for this arrangement as owned real estate and recorded an imputed financing obligation for its obligation to the legal owners. The net book value of the asset was $29.5 million, $27.7 million, and $26.3 million as of December 31, 2015 and 2016, and September 30, 2017, respectively. The accumulated depreciation of the building totaled $7.1 million, $8.9 million, and $10.3 million as of December 31, 2015 and 2016, and September 30, 2017, respectively. See Note 10, “Commitments and Contingencies,” for additional details.</w:t>
      </w:r>
    </w:p>
    <w:p>
      <w:pPr>
        <w:spacing w:after="0" w:line="166" w:lineRule="exact"/>
        <w:rPr>
          <w:sz w:val="20"/>
          <w:szCs w:val="20"/>
          <w:color w:val="auto"/>
        </w:rPr>
      </w:pPr>
    </w:p>
    <w:p>
      <w:pPr>
        <w:ind w:right="40" w:firstLine="449"/>
        <w:spacing w:after="0" w:line="255" w:lineRule="auto"/>
        <w:rPr>
          <w:sz w:val="20"/>
          <w:szCs w:val="20"/>
          <w:color w:val="auto"/>
        </w:rPr>
      </w:pPr>
      <w:r>
        <w:rPr>
          <w:rFonts w:ascii="Arial" w:cs="Arial" w:eastAsia="Arial" w:hAnsi="Arial"/>
          <w:sz w:val="18"/>
          <w:szCs w:val="18"/>
          <w:color w:val="auto"/>
        </w:rPr>
        <w:t>The Company leases certain infrastructure from various third parties, including from a related party, through equipment financing leases under capital leases. See Note 15, “Related Party Transactions” for additional details. Infrastructure assets as of December 31, 2015 and 2016, and September 30, 2017, respectively, included a total of $443.3 million, $474.2 million, and $449.6 million acquired under capital lease agreements. These leases are capitalized in property and equipment, and the related amortization of assets under capital leases is included in depreciation and amortization expense. The accumulated depreciation of the infrastructure under capital leases totaled $155.2 million, $224.9 million, and $282.0 million as of December 31, 2015 and 2016, and September 30, 2017, respectively.</w:t>
      </w:r>
    </w:p>
    <w:p>
      <w:pPr>
        <w:spacing w:after="0" w:line="192" w:lineRule="exact"/>
        <w:rPr>
          <w:sz w:val="20"/>
          <w:szCs w:val="20"/>
          <w:color w:val="auto"/>
        </w:rPr>
      </w:pPr>
    </w:p>
    <w:p>
      <w:pPr>
        <w:ind w:right="480" w:firstLine="449"/>
        <w:spacing w:after="0" w:line="277" w:lineRule="auto"/>
        <w:rPr>
          <w:sz w:val="20"/>
          <w:szCs w:val="20"/>
          <w:color w:val="auto"/>
        </w:rPr>
      </w:pPr>
      <w:r>
        <w:rPr>
          <w:rFonts w:ascii="Arial" w:cs="Arial" w:eastAsia="Arial" w:hAnsi="Arial"/>
          <w:sz w:val="18"/>
          <w:szCs w:val="18"/>
          <w:color w:val="auto"/>
        </w:rPr>
        <w:t>Construction in process includes costs primarily related to construction of leasehold improvements for office buildings and network equipment infrastructure to support the Company’s datacenters located within the United States.</w:t>
      </w:r>
    </w:p>
    <w:p>
      <w:pPr>
        <w:spacing w:after="0" w:line="170" w:lineRule="exact"/>
        <w:rPr>
          <w:sz w:val="20"/>
          <w:szCs w:val="20"/>
          <w:color w:val="auto"/>
        </w:rPr>
      </w:pPr>
    </w:p>
    <w:p>
      <w:pPr>
        <w:ind w:right="20" w:firstLine="449"/>
        <w:spacing w:after="0" w:line="277" w:lineRule="auto"/>
        <w:rPr>
          <w:sz w:val="20"/>
          <w:szCs w:val="20"/>
          <w:color w:val="auto"/>
        </w:rPr>
      </w:pPr>
      <w:r>
        <w:rPr>
          <w:rFonts w:ascii="Arial" w:cs="Arial" w:eastAsia="Arial" w:hAnsi="Arial"/>
          <w:sz w:val="18"/>
          <w:szCs w:val="18"/>
          <w:color w:val="auto"/>
        </w:rPr>
        <w:t>Depreciation and amortization expense related to property and equipment was $127.3 million, $173.8 million, $129.8 million, and $130.1 million for the years ended December 31, 2015 and 2016, and the nine months ended September 30, 2016 and 2017, respectively.</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5. Business Combinations</w:t>
      </w:r>
    </w:p>
    <w:p>
      <w:pPr>
        <w:spacing w:after="0" w:line="121" w:lineRule="exact"/>
        <w:rPr>
          <w:sz w:val="20"/>
          <w:szCs w:val="20"/>
          <w:color w:val="auto"/>
        </w:rPr>
      </w:pPr>
    </w:p>
    <w:p>
      <w:pPr>
        <w:ind w:firstLine="449"/>
        <w:spacing w:after="0" w:line="257" w:lineRule="auto"/>
        <w:rPr>
          <w:sz w:val="20"/>
          <w:szCs w:val="20"/>
          <w:color w:val="auto"/>
        </w:rPr>
      </w:pPr>
      <w:r>
        <w:rPr>
          <w:rFonts w:ascii="Arial" w:cs="Arial" w:eastAsia="Arial" w:hAnsi="Arial"/>
          <w:sz w:val="18"/>
          <w:szCs w:val="18"/>
          <w:color w:val="auto"/>
        </w:rPr>
        <w:t>The Company did not complete any business combinations during the year ended December 31, 2016, or the nine months ended September 30, 2017. During the year ended December 31, 2015, the Company completed the business combination described below. The results of operations for this business combination are included in the accompanying consolidated statements of operations since its acquisition date. The impact of its results to the periods presented is not significant. Pro forma results of operations have not been presented because the effects of the acquisition were not material to the consolidated financial statements.</w:t>
      </w:r>
    </w:p>
    <w:p>
      <w:pPr>
        <w:spacing w:after="0" w:line="12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F-20</w:t>
      </w:r>
    </w:p>
    <w:p>
      <w:pPr>
        <w:sectPr>
          <w:pgSz w:w="11900" w:h="16838" w:orient="portrait"/>
          <w:cols w:equalWidth="0" w:num="1">
            <w:col w:w="11220"/>
          </w:cols>
          <w:pgMar w:left="320" w:top="459" w:right="359" w:bottom="1440" w:gutter="0" w:footer="0" w:header="0"/>
        </w:sectPr>
      </w:pPr>
    </w:p>
    <w:bookmarkStart w:id="179" w:name="page180"/>
    <w:bookmarkEnd w:id="17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both"/>
        <w:ind w:right="240" w:firstLine="449"/>
        <w:spacing w:after="0" w:line="263" w:lineRule="auto"/>
        <w:rPr>
          <w:sz w:val="20"/>
          <w:szCs w:val="20"/>
          <w:color w:val="auto"/>
        </w:rPr>
      </w:pPr>
      <w:r>
        <w:rPr>
          <w:rFonts w:ascii="Arial" w:cs="Arial" w:eastAsia="Arial" w:hAnsi="Arial"/>
          <w:sz w:val="18"/>
          <w:szCs w:val="18"/>
          <w:color w:val="auto"/>
        </w:rPr>
        <w:t>In January 2015, the Company acquired all of the outstanding shares of CloudOn, Inc (“CloudOn”) for total consideration of $31.4 million, which was comprised solely of shares of Dropbox common stock. CloudOn was an Israel-based developer of mobile software that allowed users to edit, create, organize, and share Microsoft Office documents on any platform.</w:t>
      </w:r>
    </w:p>
    <w:p>
      <w:pPr>
        <w:spacing w:after="0" w:line="184" w:lineRule="exact"/>
        <w:rPr>
          <w:sz w:val="20"/>
          <w:szCs w:val="20"/>
          <w:color w:val="auto"/>
        </w:rPr>
      </w:pPr>
    </w:p>
    <w:p>
      <w:pPr>
        <w:ind w:right="280" w:firstLine="449"/>
        <w:spacing w:after="0" w:line="277" w:lineRule="auto"/>
        <w:rPr>
          <w:sz w:val="20"/>
          <w:szCs w:val="20"/>
          <w:color w:val="auto"/>
        </w:rPr>
      </w:pPr>
      <w:r>
        <w:rPr>
          <w:rFonts w:ascii="Arial" w:cs="Arial" w:eastAsia="Arial" w:hAnsi="Arial"/>
          <w:sz w:val="18"/>
          <w:szCs w:val="18"/>
          <w:color w:val="auto"/>
        </w:rPr>
        <w:t>The following table summarizes the fair value of the assets acquired and liabilities assumed by major class for the CloudOn business combination completed during the year ended December 31, 2015:</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820" w:type="dxa"/>
            <w:vAlign w:val="bottom"/>
          </w:tcPr>
          <w:p>
            <w:pPr>
              <w:spacing w:after="0"/>
              <w:rPr>
                <w:sz w:val="18"/>
                <w:szCs w:val="18"/>
                <w:color w:val="auto"/>
              </w:rPr>
            </w:pPr>
          </w:p>
        </w:tc>
        <w:tc>
          <w:tcPr>
            <w:tcW w:w="5120" w:type="dxa"/>
            <w:vAlign w:val="bottom"/>
            <w:shd w:val="clear" w:color="auto" w:fill="CCEEFF"/>
          </w:tcPr>
          <w:p>
            <w:pPr>
              <w:spacing w:after="0"/>
              <w:rPr>
                <w:sz w:val="20"/>
                <w:szCs w:val="20"/>
                <w:color w:val="auto"/>
              </w:rPr>
            </w:pPr>
            <w:r>
              <w:rPr>
                <w:rFonts w:ascii="Arial" w:cs="Arial" w:eastAsia="Arial" w:hAnsi="Arial"/>
                <w:sz w:val="18"/>
                <w:szCs w:val="18"/>
                <w:color w:val="auto"/>
              </w:rPr>
              <w:t>Developed technologies</w:t>
            </w: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$ 1.5</w:t>
            </w:r>
          </w:p>
        </w:tc>
        <w:tc>
          <w:tcPr>
            <w:tcW w:w="100" w:type="dxa"/>
            <w:vAlign w:val="bottom"/>
            <w:shd w:val="clear" w:color="auto" w:fill="CCEEFF"/>
          </w:tcPr>
          <w:p>
            <w:pPr>
              <w:spacing w:after="0"/>
              <w:rPr>
                <w:sz w:val="18"/>
                <w:szCs w:val="18"/>
                <w:color w:val="auto"/>
              </w:rPr>
            </w:pPr>
          </w:p>
        </w:tc>
        <w:tc>
          <w:tcPr>
            <w:tcW w:w="5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20" w:type="dxa"/>
            <w:vAlign w:val="bottom"/>
          </w:tcPr>
          <w:p>
            <w:pPr>
              <w:spacing w:after="0"/>
              <w:rPr>
                <w:sz w:val="18"/>
                <w:szCs w:val="18"/>
                <w:color w:val="auto"/>
              </w:rPr>
            </w:pPr>
          </w:p>
        </w:tc>
        <w:tc>
          <w:tcPr>
            <w:tcW w:w="5120" w:type="dxa"/>
            <w:vAlign w:val="bottom"/>
          </w:tcPr>
          <w:p>
            <w:pPr>
              <w:spacing w:after="0"/>
              <w:rPr>
                <w:sz w:val="20"/>
                <w:szCs w:val="20"/>
                <w:color w:val="auto"/>
              </w:rPr>
            </w:pPr>
            <w:r>
              <w:rPr>
                <w:rFonts w:ascii="Arial" w:cs="Arial" w:eastAsia="Arial" w:hAnsi="Arial"/>
                <w:sz w:val="18"/>
                <w:szCs w:val="18"/>
                <w:color w:val="auto"/>
              </w:rPr>
              <w:t>Goodwill</w:t>
            </w: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20" w:type="dxa"/>
            <w:vAlign w:val="bottom"/>
            <w:gridSpan w:val="3"/>
          </w:tcPr>
          <w:p>
            <w:pPr>
              <w:jc w:val="right"/>
              <w:spacing w:after="0"/>
              <w:rPr>
                <w:sz w:val="20"/>
                <w:szCs w:val="20"/>
                <w:color w:val="auto"/>
              </w:rPr>
            </w:pPr>
            <w:r>
              <w:rPr>
                <w:rFonts w:ascii="Arial" w:cs="Arial" w:eastAsia="Arial" w:hAnsi="Arial"/>
                <w:sz w:val="18"/>
                <w:szCs w:val="18"/>
                <w:color w:val="auto"/>
              </w:rPr>
              <w:t>30.1</w:t>
            </w: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20" w:type="dxa"/>
            <w:vAlign w:val="bottom"/>
          </w:tcPr>
          <w:p>
            <w:pPr>
              <w:spacing w:after="0"/>
              <w:rPr>
                <w:sz w:val="18"/>
                <w:szCs w:val="18"/>
                <w:color w:val="auto"/>
              </w:rPr>
            </w:pPr>
          </w:p>
        </w:tc>
        <w:tc>
          <w:tcPr>
            <w:tcW w:w="5120" w:type="dxa"/>
            <w:vAlign w:val="bottom"/>
            <w:shd w:val="clear" w:color="auto" w:fill="CCEEFF"/>
          </w:tcPr>
          <w:p>
            <w:pPr>
              <w:spacing w:after="0"/>
              <w:rPr>
                <w:sz w:val="20"/>
                <w:szCs w:val="20"/>
                <w:color w:val="auto"/>
              </w:rPr>
            </w:pPr>
            <w:r>
              <w:rPr>
                <w:rFonts w:ascii="Arial" w:cs="Arial" w:eastAsia="Arial" w:hAnsi="Arial"/>
                <w:sz w:val="18"/>
                <w:szCs w:val="18"/>
                <w:color w:val="auto"/>
              </w:rPr>
              <w:t>Net tangible liabilities</w:t>
            </w: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2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(0.2)</w:t>
            </w:r>
          </w:p>
        </w:tc>
        <w:tc>
          <w:tcPr>
            <w:tcW w:w="5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6940" w:type="dxa"/>
            <w:vAlign w:val="bottom"/>
            <w:gridSpan w:val="2"/>
          </w:tcPr>
          <w:p>
            <w:pPr>
              <w:ind w:left="1820"/>
              <w:spacing w:after="0"/>
              <w:rPr>
                <w:sz w:val="20"/>
                <w:szCs w:val="20"/>
                <w:color w:val="auto"/>
              </w:rPr>
            </w:pPr>
            <w:r>
              <w:rPr>
                <w:rFonts w:ascii="Arial" w:cs="Arial" w:eastAsia="Arial" w:hAnsi="Arial"/>
                <w:sz w:val="18"/>
                <w:szCs w:val="18"/>
                <w:color w:val="auto"/>
              </w:rPr>
              <w:t>Total</w:t>
            </w:r>
          </w:p>
        </w:tc>
        <w:tc>
          <w:tcPr>
            <w:tcW w:w="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2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u w:val="single" w:color="auto"/>
                <w:color w:val="auto"/>
                <w:w w:val="88"/>
              </w:rPr>
              <w:t>$</w:t>
            </w:r>
            <w:r>
              <w:rPr>
                <w:rFonts w:ascii="Arial" w:cs="Arial" w:eastAsia="Arial" w:hAnsi="Arial"/>
                <w:sz w:val="18"/>
                <w:szCs w:val="18"/>
                <w:color w:val="auto"/>
                <w:w w:val="88"/>
              </w:rPr>
              <w:t>31.4</w:t>
            </w: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94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Note 6. Intangible Assets, Net</w:t>
            </w:r>
          </w:p>
        </w:tc>
        <w:tc>
          <w:tcPr>
            <w:tcW w:w="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34"/>
        </w:trPr>
        <w:tc>
          <w:tcPr>
            <w:tcW w:w="6940" w:type="dxa"/>
            <w:vAlign w:val="bottom"/>
            <w:gridSpan w:val="2"/>
            <w:vMerge w:val="continue"/>
          </w:tcPr>
          <w:p>
            <w:pPr>
              <w:spacing w:after="0"/>
              <w:rPr>
                <w:sz w:val="24"/>
                <w:szCs w:val="24"/>
                <w:color w:val="auto"/>
              </w:rPr>
            </w:pP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6940" w:type="dxa"/>
            <w:vAlign w:val="bottom"/>
            <w:gridSpan w:val="2"/>
          </w:tcPr>
          <w:p>
            <w:pPr>
              <w:ind w:left="460"/>
              <w:spacing w:after="0"/>
              <w:rPr>
                <w:sz w:val="20"/>
                <w:szCs w:val="20"/>
                <w:color w:val="auto"/>
              </w:rPr>
            </w:pPr>
            <w:r>
              <w:rPr>
                <w:rFonts w:ascii="Arial" w:cs="Arial" w:eastAsia="Arial" w:hAnsi="Arial"/>
                <w:sz w:val="18"/>
                <w:szCs w:val="18"/>
                <w:color w:val="auto"/>
              </w:rPr>
              <w:t>Intangibles assets consisted of the following:</w:t>
            </w: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9"/>
        </w:trPr>
        <w:tc>
          <w:tcPr>
            <w:tcW w:w="1820" w:type="dxa"/>
            <w:vAlign w:val="bottom"/>
          </w:tcPr>
          <w:p>
            <w:pPr>
              <w:spacing w:after="0"/>
              <w:rPr>
                <w:sz w:val="24"/>
                <w:szCs w:val="24"/>
                <w:color w:val="auto"/>
              </w:rPr>
            </w:pPr>
          </w:p>
        </w:tc>
        <w:tc>
          <w:tcPr>
            <w:tcW w:w="51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720" w:type="dxa"/>
            <w:vAlign w:val="bottom"/>
            <w:gridSpan w:val="2"/>
          </w:tcPr>
          <w:p>
            <w:pPr>
              <w:jc w:val="right"/>
              <w:ind w:right="60"/>
              <w:spacing w:after="0"/>
              <w:rPr>
                <w:sz w:val="20"/>
                <w:szCs w:val="20"/>
                <w:color w:val="auto"/>
              </w:rPr>
            </w:pPr>
            <w:r>
              <w:rPr>
                <w:rFonts w:ascii="Arial" w:cs="Arial" w:eastAsia="Arial" w:hAnsi="Arial"/>
                <w:sz w:val="14"/>
                <w:szCs w:val="14"/>
                <w:b w:val="1"/>
                <w:bCs w:val="1"/>
                <w:color w:val="auto"/>
                <w:w w:val="94"/>
              </w:rPr>
              <w:t>Weighted-</w:t>
            </w:r>
          </w:p>
        </w:tc>
        <w:tc>
          <w:tcPr>
            <w:tcW w:w="0" w:type="dxa"/>
            <w:vAlign w:val="bottom"/>
          </w:tcPr>
          <w:p>
            <w:pPr>
              <w:spacing w:after="0"/>
              <w:rPr>
                <w:sz w:val="1"/>
                <w:szCs w:val="1"/>
                <w:color w:val="auto"/>
              </w:rPr>
            </w:pPr>
          </w:p>
        </w:tc>
      </w:tr>
      <w:tr>
        <w:trPr>
          <w:trHeight w:val="148"/>
        </w:trPr>
        <w:tc>
          <w:tcPr>
            <w:tcW w:w="1820" w:type="dxa"/>
            <w:vAlign w:val="bottom"/>
          </w:tcPr>
          <w:p>
            <w:pPr>
              <w:spacing w:after="0"/>
              <w:rPr>
                <w:sz w:val="12"/>
                <w:szCs w:val="12"/>
                <w:color w:val="auto"/>
              </w:rPr>
            </w:pPr>
          </w:p>
        </w:tc>
        <w:tc>
          <w:tcPr>
            <w:tcW w:w="51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0" w:type="dxa"/>
            <w:vAlign w:val="bottom"/>
            <w:gridSpan w:val="3"/>
            <w:vMerge w:val="restart"/>
          </w:tcPr>
          <w:p>
            <w:pPr>
              <w:jc w:val="right"/>
              <w:ind w:right="840"/>
              <w:spacing w:after="0"/>
              <w:rPr>
                <w:sz w:val="20"/>
                <w:szCs w:val="20"/>
                <w:color w:val="auto"/>
              </w:rPr>
            </w:pPr>
            <w:r>
              <w:rPr>
                <w:rFonts w:ascii="Arial" w:cs="Arial" w:eastAsia="Arial" w:hAnsi="Arial"/>
                <w:sz w:val="14"/>
                <w:szCs w:val="14"/>
                <w:b w:val="1"/>
                <w:bCs w:val="1"/>
                <w:color w:val="auto"/>
                <w:w w:val="97"/>
              </w:rPr>
              <w:t>As of</w:t>
            </w: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180" w:type="dxa"/>
            <w:vAlign w:val="bottom"/>
            <w:gridSpan w:val="3"/>
            <w:vMerge w:val="restart"/>
          </w:tcPr>
          <w:p>
            <w:pPr>
              <w:jc w:val="right"/>
              <w:ind w:right="840"/>
              <w:spacing w:after="0"/>
              <w:rPr>
                <w:sz w:val="20"/>
                <w:szCs w:val="20"/>
                <w:color w:val="auto"/>
              </w:rPr>
            </w:pPr>
            <w:r>
              <w:rPr>
                <w:rFonts w:ascii="Arial" w:cs="Arial" w:eastAsia="Arial" w:hAnsi="Arial"/>
                <w:sz w:val="14"/>
                <w:szCs w:val="14"/>
                <w:b w:val="1"/>
                <w:bCs w:val="1"/>
                <w:color w:val="auto"/>
                <w:w w:val="91"/>
              </w:rPr>
              <w:t>As of</w:t>
            </w:r>
          </w:p>
        </w:tc>
        <w:tc>
          <w:tcPr>
            <w:tcW w:w="720" w:type="dxa"/>
            <w:vAlign w:val="bottom"/>
            <w:gridSpan w:val="2"/>
          </w:tcPr>
          <w:p>
            <w:pPr>
              <w:jc w:val="right"/>
              <w:ind w:right="140"/>
              <w:spacing w:after="0" w:line="149" w:lineRule="exact"/>
              <w:rPr>
                <w:sz w:val="20"/>
                <w:szCs w:val="20"/>
                <w:color w:val="auto"/>
              </w:rPr>
            </w:pPr>
            <w:r>
              <w:rPr>
                <w:rFonts w:ascii="Arial" w:cs="Arial" w:eastAsia="Arial" w:hAnsi="Arial"/>
                <w:sz w:val="14"/>
                <w:szCs w:val="14"/>
                <w:b w:val="1"/>
                <w:bCs w:val="1"/>
                <w:color w:val="auto"/>
              </w:rPr>
              <w:t>average</w:t>
            </w:r>
          </w:p>
        </w:tc>
        <w:tc>
          <w:tcPr>
            <w:tcW w:w="0" w:type="dxa"/>
            <w:vAlign w:val="bottom"/>
          </w:tcPr>
          <w:p>
            <w:pPr>
              <w:spacing w:after="0"/>
              <w:rPr>
                <w:sz w:val="1"/>
                <w:szCs w:val="1"/>
                <w:color w:val="auto"/>
              </w:rPr>
            </w:pPr>
          </w:p>
        </w:tc>
      </w:tr>
      <w:tr>
        <w:trPr>
          <w:trHeight w:val="144"/>
        </w:trPr>
        <w:tc>
          <w:tcPr>
            <w:tcW w:w="1820" w:type="dxa"/>
            <w:vAlign w:val="bottom"/>
          </w:tcPr>
          <w:p>
            <w:pPr>
              <w:spacing w:after="0"/>
              <w:rPr>
                <w:sz w:val="12"/>
                <w:szCs w:val="12"/>
                <w:color w:val="auto"/>
              </w:rPr>
            </w:pPr>
          </w:p>
        </w:tc>
        <w:tc>
          <w:tcPr>
            <w:tcW w:w="51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0" w:type="dxa"/>
            <w:vAlign w:val="bottom"/>
            <w:gridSpan w:val="3"/>
            <w:vMerge w:val="continue"/>
          </w:tcPr>
          <w:p>
            <w:pPr>
              <w:spacing w:after="0"/>
              <w:rPr>
                <w:sz w:val="12"/>
                <w:szCs w:val="12"/>
                <w:color w:val="auto"/>
              </w:rPr>
            </w:pP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180" w:type="dxa"/>
            <w:vAlign w:val="bottom"/>
            <w:gridSpan w:val="3"/>
            <w:vMerge w:val="continue"/>
          </w:tcPr>
          <w:p>
            <w:pPr>
              <w:spacing w:after="0"/>
              <w:rPr>
                <w:sz w:val="12"/>
                <w:szCs w:val="12"/>
                <w:color w:val="auto"/>
              </w:rPr>
            </w:pPr>
          </w:p>
        </w:tc>
        <w:tc>
          <w:tcPr>
            <w:tcW w:w="720" w:type="dxa"/>
            <w:vAlign w:val="bottom"/>
            <w:gridSpan w:val="2"/>
          </w:tcPr>
          <w:p>
            <w:pPr>
              <w:jc w:val="right"/>
              <w:ind w:right="60"/>
              <w:spacing w:after="0" w:line="145" w:lineRule="exact"/>
              <w:rPr>
                <w:sz w:val="20"/>
                <w:szCs w:val="20"/>
                <w:color w:val="auto"/>
              </w:rPr>
            </w:pPr>
            <w:r>
              <w:rPr>
                <w:rFonts w:ascii="Arial" w:cs="Arial" w:eastAsia="Arial" w:hAnsi="Arial"/>
                <w:sz w:val="14"/>
                <w:szCs w:val="14"/>
                <w:b w:val="1"/>
                <w:bCs w:val="1"/>
                <w:color w:val="auto"/>
                <w:w w:val="95"/>
              </w:rPr>
              <w:t>remaining</w:t>
            </w:r>
          </w:p>
        </w:tc>
        <w:tc>
          <w:tcPr>
            <w:tcW w:w="0" w:type="dxa"/>
            <w:vAlign w:val="bottom"/>
          </w:tcPr>
          <w:p>
            <w:pPr>
              <w:spacing w:after="0"/>
              <w:rPr>
                <w:sz w:val="1"/>
                <w:szCs w:val="1"/>
                <w:color w:val="auto"/>
              </w:rPr>
            </w:pPr>
          </w:p>
        </w:tc>
      </w:tr>
      <w:tr>
        <w:trPr>
          <w:trHeight w:val="149"/>
        </w:trPr>
        <w:tc>
          <w:tcPr>
            <w:tcW w:w="1820" w:type="dxa"/>
            <w:vAlign w:val="bottom"/>
          </w:tcPr>
          <w:p>
            <w:pPr>
              <w:spacing w:after="0"/>
              <w:rPr>
                <w:sz w:val="12"/>
                <w:szCs w:val="12"/>
                <w:color w:val="auto"/>
              </w:rPr>
            </w:pPr>
          </w:p>
        </w:tc>
        <w:tc>
          <w:tcPr>
            <w:tcW w:w="5120" w:type="dxa"/>
            <w:vAlign w:val="bottom"/>
          </w:tcPr>
          <w:p>
            <w:pPr>
              <w:spacing w:after="0"/>
              <w:rPr>
                <w:sz w:val="12"/>
                <w:szCs w:val="12"/>
                <w:color w:val="auto"/>
              </w:rPr>
            </w:pPr>
          </w:p>
        </w:tc>
        <w:tc>
          <w:tcPr>
            <w:tcW w:w="1780" w:type="dxa"/>
            <w:vAlign w:val="bottom"/>
            <w:gridSpan w:val="5"/>
          </w:tcPr>
          <w:p>
            <w:pPr>
              <w:jc w:val="right"/>
              <w:ind w:right="580"/>
              <w:spacing w:after="0" w:line="129" w:lineRule="exact"/>
              <w:rPr>
                <w:sz w:val="20"/>
                <w:szCs w:val="20"/>
                <w:color w:val="auto"/>
              </w:rPr>
            </w:pPr>
            <w:r>
              <w:rPr>
                <w:rFonts w:ascii="Arial" w:cs="Arial" w:eastAsia="Arial" w:hAnsi="Arial"/>
                <w:sz w:val="14"/>
                <w:szCs w:val="14"/>
                <w:b w:val="1"/>
                <w:bCs w:val="1"/>
                <w:color w:val="auto"/>
              </w:rPr>
              <w:t>December 31,</w:t>
            </w: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40" w:type="dxa"/>
            <w:vAlign w:val="bottom"/>
            <w:gridSpan w:val="4"/>
          </w:tcPr>
          <w:p>
            <w:pPr>
              <w:spacing w:after="0" w:line="129" w:lineRule="exact"/>
              <w:rPr>
                <w:sz w:val="20"/>
                <w:szCs w:val="20"/>
                <w:color w:val="auto"/>
              </w:rPr>
            </w:pPr>
            <w:r>
              <w:rPr>
                <w:rFonts w:ascii="Arial" w:cs="Arial" w:eastAsia="Arial" w:hAnsi="Arial"/>
                <w:sz w:val="14"/>
                <w:szCs w:val="14"/>
                <w:b w:val="1"/>
                <w:bCs w:val="1"/>
                <w:color w:val="auto"/>
              </w:rPr>
              <w:t>September 30,</w:t>
            </w:r>
          </w:p>
        </w:tc>
        <w:tc>
          <w:tcPr>
            <w:tcW w:w="720" w:type="dxa"/>
            <w:vAlign w:val="bottom"/>
            <w:gridSpan w:val="2"/>
          </w:tcPr>
          <w:p>
            <w:pPr>
              <w:jc w:val="right"/>
              <w:ind w:right="80"/>
              <w:spacing w:after="0" w:line="129" w:lineRule="exact"/>
              <w:rPr>
                <w:sz w:val="20"/>
                <w:szCs w:val="20"/>
                <w:color w:val="auto"/>
              </w:rPr>
            </w:pPr>
            <w:r>
              <w:rPr>
                <w:rFonts w:ascii="Arial" w:cs="Arial" w:eastAsia="Arial" w:hAnsi="Arial"/>
                <w:sz w:val="14"/>
                <w:szCs w:val="14"/>
                <w:b w:val="1"/>
                <w:bCs w:val="1"/>
                <w:color w:val="auto"/>
                <w:w w:val="94"/>
              </w:rPr>
              <w:t>useful life</w:t>
            </w:r>
          </w:p>
        </w:tc>
        <w:tc>
          <w:tcPr>
            <w:tcW w:w="0" w:type="dxa"/>
            <w:vAlign w:val="bottom"/>
          </w:tcPr>
          <w:p>
            <w:pPr>
              <w:spacing w:after="0"/>
              <w:rPr>
                <w:sz w:val="1"/>
                <w:szCs w:val="1"/>
                <w:color w:val="auto"/>
              </w:rPr>
            </w:pPr>
          </w:p>
        </w:tc>
      </w:tr>
      <w:tr>
        <w:trPr>
          <w:trHeight w:val="155"/>
        </w:trPr>
        <w:tc>
          <w:tcPr>
            <w:tcW w:w="1820" w:type="dxa"/>
            <w:vAlign w:val="bottom"/>
          </w:tcPr>
          <w:p>
            <w:pPr>
              <w:spacing w:after="0"/>
              <w:rPr>
                <w:sz w:val="13"/>
                <w:szCs w:val="13"/>
                <w:color w:val="auto"/>
              </w:rPr>
            </w:pPr>
          </w:p>
        </w:tc>
        <w:tc>
          <w:tcPr>
            <w:tcW w:w="5120" w:type="dxa"/>
            <w:vAlign w:val="bottom"/>
          </w:tcPr>
          <w:p>
            <w:pPr>
              <w:spacing w:after="0"/>
              <w:rPr>
                <w:sz w:val="13"/>
                <w:szCs w:val="13"/>
                <w:color w:val="auto"/>
              </w:rPr>
            </w:pPr>
          </w:p>
        </w:tc>
        <w:tc>
          <w:tcPr>
            <w:tcW w:w="480" w:type="dxa"/>
            <w:vAlign w:val="bottom"/>
            <w:tcBorders>
              <w:top w:val="single" w:sz="8" w:color="auto"/>
            </w:tcBorders>
          </w:tcPr>
          <w:p>
            <w:pPr>
              <w:jc w:val="right"/>
              <w:ind w:right="13"/>
              <w:spacing w:after="0" w:line="155" w:lineRule="exact"/>
              <w:rPr>
                <w:sz w:val="20"/>
                <w:szCs w:val="20"/>
                <w:color w:val="auto"/>
              </w:rPr>
            </w:pPr>
            <w:r>
              <w:rPr>
                <w:rFonts w:ascii="Arial" w:cs="Arial" w:eastAsia="Arial" w:hAnsi="Arial"/>
                <w:sz w:val="14"/>
                <w:szCs w:val="14"/>
                <w:b w:val="1"/>
                <w:bCs w:val="1"/>
                <w:color w:val="auto"/>
              </w:rPr>
              <w:t>2015</w:t>
            </w:r>
          </w:p>
        </w:tc>
        <w:tc>
          <w:tcPr>
            <w:tcW w:w="100" w:type="dxa"/>
            <w:vAlign w:val="bottom"/>
            <w:tcBorders>
              <w:top w:val="single" w:sz="8" w:color="auto"/>
            </w:tcBorders>
          </w:tcPr>
          <w:p>
            <w:pPr>
              <w:spacing w:after="0"/>
              <w:rPr>
                <w:sz w:val="13"/>
                <w:szCs w:val="13"/>
                <w:color w:val="auto"/>
              </w:rPr>
            </w:pPr>
          </w:p>
        </w:tc>
        <w:tc>
          <w:tcPr>
            <w:tcW w:w="960" w:type="dxa"/>
            <w:vAlign w:val="bottom"/>
            <w:tcBorders>
              <w:top w:val="single" w:sz="8" w:color="auto"/>
            </w:tcBorders>
            <w:gridSpan w:val="2"/>
          </w:tcPr>
          <w:p>
            <w:pPr>
              <w:jc w:val="right"/>
              <w:spacing w:after="0" w:line="155" w:lineRule="exact"/>
              <w:rPr>
                <w:sz w:val="20"/>
                <w:szCs w:val="20"/>
                <w:color w:val="auto"/>
              </w:rPr>
            </w:pPr>
            <w:r>
              <w:rPr>
                <w:rFonts w:ascii="Arial" w:cs="Arial" w:eastAsia="Arial" w:hAnsi="Arial"/>
                <w:sz w:val="14"/>
                <w:szCs w:val="14"/>
                <w:b w:val="1"/>
                <w:bCs w:val="1"/>
                <w:color w:val="auto"/>
              </w:rPr>
              <w:t>2016</w:t>
            </w:r>
          </w:p>
        </w:tc>
        <w:tc>
          <w:tcPr>
            <w:tcW w:w="2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60" w:type="dxa"/>
            <w:vAlign w:val="bottom"/>
            <w:tcBorders>
              <w:top w:val="single" w:sz="8" w:color="auto"/>
            </w:tcBorders>
          </w:tcPr>
          <w:p>
            <w:pPr>
              <w:spacing w:after="0"/>
              <w:rPr>
                <w:sz w:val="13"/>
                <w:szCs w:val="13"/>
                <w:color w:val="auto"/>
              </w:rPr>
            </w:pPr>
          </w:p>
        </w:tc>
        <w:tc>
          <w:tcPr>
            <w:tcW w:w="620" w:type="dxa"/>
            <w:vAlign w:val="bottom"/>
            <w:tcBorders>
              <w:top w:val="single" w:sz="8" w:color="auto"/>
            </w:tcBorders>
            <w:gridSpan w:val="2"/>
          </w:tcPr>
          <w:p>
            <w:pPr>
              <w:jc w:val="right"/>
              <w:ind w:right="228"/>
              <w:spacing w:after="0" w:line="155" w:lineRule="exact"/>
              <w:rPr>
                <w:sz w:val="20"/>
                <w:szCs w:val="20"/>
                <w:color w:val="auto"/>
              </w:rPr>
            </w:pPr>
            <w:r>
              <w:rPr>
                <w:rFonts w:ascii="Arial" w:cs="Arial" w:eastAsia="Arial" w:hAnsi="Arial"/>
                <w:sz w:val="14"/>
                <w:szCs w:val="14"/>
                <w:b w:val="1"/>
                <w:bCs w:val="1"/>
                <w:color w:val="auto"/>
                <w:w w:val="96"/>
              </w:rPr>
              <w:t>2017</w:t>
            </w:r>
          </w:p>
        </w:tc>
        <w:tc>
          <w:tcPr>
            <w:tcW w:w="560" w:type="dxa"/>
            <w:vAlign w:val="bottom"/>
          </w:tcPr>
          <w:p>
            <w:pPr>
              <w:spacing w:after="0"/>
              <w:rPr>
                <w:sz w:val="13"/>
                <w:szCs w:val="13"/>
                <w:color w:val="auto"/>
              </w:rPr>
            </w:pPr>
          </w:p>
        </w:tc>
        <w:tc>
          <w:tcPr>
            <w:tcW w:w="720" w:type="dxa"/>
            <w:vAlign w:val="bottom"/>
            <w:gridSpan w:val="2"/>
          </w:tcPr>
          <w:p>
            <w:pPr>
              <w:jc w:val="right"/>
              <w:ind w:right="100"/>
              <w:spacing w:after="0" w:line="155" w:lineRule="exact"/>
              <w:rPr>
                <w:sz w:val="20"/>
                <w:szCs w:val="20"/>
                <w:color w:val="auto"/>
              </w:rPr>
            </w:pPr>
            <w:r>
              <w:rPr>
                <w:rFonts w:ascii="Arial" w:cs="Arial" w:eastAsia="Arial" w:hAnsi="Arial"/>
                <w:sz w:val="14"/>
                <w:szCs w:val="14"/>
                <w:color w:val="auto"/>
              </w:rPr>
              <w:t>(In years)</w:t>
            </w:r>
          </w:p>
        </w:tc>
        <w:tc>
          <w:tcPr>
            <w:tcW w:w="0" w:type="dxa"/>
            <w:vAlign w:val="bottom"/>
          </w:tcPr>
          <w:p>
            <w:pPr>
              <w:spacing w:after="0"/>
              <w:rPr>
                <w:sz w:val="1"/>
                <w:szCs w:val="1"/>
                <w:color w:val="auto"/>
              </w:rPr>
            </w:pPr>
          </w:p>
        </w:tc>
      </w:tr>
      <w:tr>
        <w:trPr>
          <w:trHeight w:val="142"/>
        </w:trPr>
        <w:tc>
          <w:tcPr>
            <w:tcW w:w="1820" w:type="dxa"/>
            <w:vAlign w:val="bottom"/>
          </w:tcPr>
          <w:p>
            <w:pPr>
              <w:spacing w:after="0"/>
              <w:rPr>
                <w:sz w:val="12"/>
                <w:szCs w:val="12"/>
                <w:color w:val="auto"/>
              </w:rPr>
            </w:pPr>
          </w:p>
        </w:tc>
        <w:tc>
          <w:tcPr>
            <w:tcW w:w="5120" w:type="dxa"/>
            <w:vAlign w:val="bottom"/>
          </w:tcPr>
          <w:p>
            <w:pPr>
              <w:spacing w:after="0"/>
              <w:rPr>
                <w:sz w:val="12"/>
                <w:szCs w:val="12"/>
                <w:color w:val="auto"/>
              </w:rPr>
            </w:pPr>
          </w:p>
        </w:tc>
        <w:tc>
          <w:tcPr>
            <w:tcW w:w="48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460" w:type="dxa"/>
            <w:vAlign w:val="bottom"/>
            <w:tcBorders>
              <w:top w:val="single" w:sz="8" w:color="auto"/>
            </w:tcBorders>
          </w:tcPr>
          <w:p>
            <w:pPr>
              <w:spacing w:after="0"/>
              <w:rPr>
                <w:sz w:val="12"/>
                <w:szCs w:val="12"/>
                <w:color w:val="auto"/>
              </w:rPr>
            </w:pPr>
          </w:p>
        </w:tc>
        <w:tc>
          <w:tcPr>
            <w:tcW w:w="2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1080" w:type="dxa"/>
            <w:vAlign w:val="bottom"/>
            <w:tcBorders>
              <w:top w:val="single" w:sz="8" w:color="auto"/>
            </w:tcBorders>
            <w:gridSpan w:val="2"/>
          </w:tcPr>
          <w:p>
            <w:pPr>
              <w:jc w:val="right"/>
              <w:ind w:right="40"/>
              <w:spacing w:after="0" w:line="142" w:lineRule="exact"/>
              <w:rPr>
                <w:sz w:val="20"/>
                <w:szCs w:val="20"/>
                <w:color w:val="auto"/>
              </w:rPr>
            </w:pPr>
            <w:r>
              <w:rPr>
                <w:rFonts w:ascii="Arial" w:cs="Arial" w:eastAsia="Arial" w:hAnsi="Arial"/>
                <w:sz w:val="14"/>
                <w:szCs w:val="14"/>
                <w:i w:val="1"/>
                <w:iCs w:val="1"/>
                <w:color w:val="auto"/>
              </w:rPr>
              <w:t>(Unaudited)</w:t>
            </w:r>
          </w:p>
        </w:tc>
        <w:tc>
          <w:tcPr>
            <w:tcW w:w="660" w:type="dxa"/>
            <w:vAlign w:val="bottom"/>
            <w:tcBorders>
              <w:top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69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Developed technology</w:t>
            </w:r>
          </w:p>
        </w:tc>
        <w:tc>
          <w:tcPr>
            <w:tcW w:w="5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1"/>
              </w:rPr>
              <w:t>$ 50.9</w:t>
            </w:r>
          </w:p>
        </w:tc>
        <w:tc>
          <w:tcPr>
            <w:tcW w:w="120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$ 50.6</w:t>
            </w:r>
          </w:p>
        </w:tc>
        <w:tc>
          <w:tcPr>
            <w:tcW w:w="620" w:type="dxa"/>
            <w:vAlign w:val="bottom"/>
            <w:gridSpan w:val="3"/>
            <w:shd w:val="clear" w:color="auto" w:fill="CCEEFF"/>
          </w:tcPr>
          <w:p>
            <w:pPr>
              <w:ind w:left="360"/>
              <w:spacing w:after="0"/>
              <w:rPr>
                <w:sz w:val="20"/>
                <w:szCs w:val="20"/>
                <w:color w:val="auto"/>
              </w:rPr>
            </w:pPr>
            <w:r>
              <w:rPr>
                <w:rFonts w:ascii="Arial" w:cs="Arial" w:eastAsia="Arial" w:hAnsi="Arial"/>
                <w:sz w:val="18"/>
                <w:szCs w:val="18"/>
                <w:color w:val="auto"/>
              </w:rPr>
              <w:t>$</w:t>
            </w:r>
          </w:p>
        </w:tc>
        <w:tc>
          <w:tcPr>
            <w:tcW w:w="1180" w:type="dxa"/>
            <w:vAlign w:val="bottom"/>
            <w:gridSpan w:val="3"/>
            <w:shd w:val="clear" w:color="auto" w:fill="CCEEFF"/>
          </w:tcPr>
          <w:p>
            <w:pPr>
              <w:jc w:val="right"/>
              <w:ind w:right="560"/>
              <w:spacing w:after="0"/>
              <w:rPr>
                <w:sz w:val="20"/>
                <w:szCs w:val="20"/>
                <w:color w:val="auto"/>
              </w:rPr>
            </w:pPr>
            <w:r>
              <w:rPr>
                <w:rFonts w:ascii="Arial" w:cs="Arial" w:eastAsia="Arial" w:hAnsi="Arial"/>
                <w:sz w:val="18"/>
                <w:szCs w:val="18"/>
                <w:color w:val="auto"/>
              </w:rPr>
              <w:t>50.9</w:t>
            </w:r>
          </w:p>
        </w:tc>
        <w:tc>
          <w:tcPr>
            <w:tcW w:w="7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0.6</w:t>
            </w:r>
          </w:p>
        </w:tc>
        <w:tc>
          <w:tcPr>
            <w:tcW w:w="0" w:type="dxa"/>
            <w:vAlign w:val="bottom"/>
          </w:tcPr>
          <w:p>
            <w:pPr>
              <w:spacing w:after="0"/>
              <w:rPr>
                <w:sz w:val="1"/>
                <w:szCs w:val="1"/>
                <w:color w:val="auto"/>
              </w:rPr>
            </w:pPr>
          </w:p>
        </w:tc>
      </w:tr>
      <w:tr>
        <w:trPr>
          <w:trHeight w:val="216"/>
        </w:trPr>
        <w:tc>
          <w:tcPr>
            <w:tcW w:w="6940" w:type="dxa"/>
            <w:vAlign w:val="bottom"/>
            <w:gridSpan w:val="2"/>
          </w:tcPr>
          <w:p>
            <w:pPr>
              <w:spacing w:after="0"/>
              <w:rPr>
                <w:sz w:val="20"/>
                <w:szCs w:val="20"/>
                <w:color w:val="auto"/>
              </w:rPr>
            </w:pPr>
            <w:r>
              <w:rPr>
                <w:rFonts w:ascii="Arial" w:cs="Arial" w:eastAsia="Arial" w:hAnsi="Arial"/>
                <w:sz w:val="18"/>
                <w:szCs w:val="18"/>
                <w:color w:val="auto"/>
              </w:rPr>
              <w:t>Patents</w:t>
            </w:r>
          </w:p>
        </w:tc>
        <w:tc>
          <w:tcPr>
            <w:tcW w:w="580" w:type="dxa"/>
            <w:vAlign w:val="bottom"/>
            <w:gridSpan w:val="2"/>
          </w:tcPr>
          <w:p>
            <w:pPr>
              <w:jc w:val="right"/>
              <w:ind w:right="100"/>
              <w:spacing w:after="0"/>
              <w:rPr>
                <w:sz w:val="20"/>
                <w:szCs w:val="20"/>
                <w:color w:val="auto"/>
              </w:rPr>
            </w:pPr>
            <w:r>
              <w:rPr>
                <w:rFonts w:ascii="Arial" w:cs="Arial" w:eastAsia="Arial" w:hAnsi="Arial"/>
                <w:sz w:val="18"/>
                <w:szCs w:val="18"/>
                <w:color w:val="auto"/>
              </w:rPr>
              <w:t>8.8</w:t>
            </w:r>
          </w:p>
        </w:tc>
        <w:tc>
          <w:tcPr>
            <w:tcW w:w="1200" w:type="dxa"/>
            <w:vAlign w:val="bottom"/>
            <w:gridSpan w:val="3"/>
          </w:tcPr>
          <w:p>
            <w:pPr>
              <w:jc w:val="right"/>
              <w:ind w:right="240"/>
              <w:spacing w:after="0"/>
              <w:rPr>
                <w:sz w:val="20"/>
                <w:szCs w:val="20"/>
                <w:color w:val="auto"/>
              </w:rPr>
            </w:pPr>
            <w:r>
              <w:rPr>
                <w:rFonts w:ascii="Arial" w:cs="Arial" w:eastAsia="Arial" w:hAnsi="Arial"/>
                <w:sz w:val="18"/>
                <w:szCs w:val="18"/>
                <w:color w:val="auto"/>
              </w:rPr>
              <w:t>13.0</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80" w:type="dxa"/>
            <w:vAlign w:val="bottom"/>
            <w:gridSpan w:val="3"/>
          </w:tcPr>
          <w:p>
            <w:pPr>
              <w:jc w:val="right"/>
              <w:ind w:right="560"/>
              <w:spacing w:after="0"/>
              <w:rPr>
                <w:sz w:val="20"/>
                <w:szCs w:val="20"/>
                <w:color w:val="auto"/>
              </w:rPr>
            </w:pPr>
            <w:r>
              <w:rPr>
                <w:rFonts w:ascii="Arial" w:cs="Arial" w:eastAsia="Arial" w:hAnsi="Arial"/>
                <w:sz w:val="18"/>
                <w:szCs w:val="18"/>
                <w:color w:val="auto"/>
              </w:rPr>
              <w:t>13.0</w:t>
            </w:r>
          </w:p>
        </w:tc>
        <w:tc>
          <w:tcPr>
            <w:tcW w:w="720" w:type="dxa"/>
            <w:vAlign w:val="bottom"/>
            <w:gridSpan w:val="2"/>
          </w:tcPr>
          <w:p>
            <w:pPr>
              <w:jc w:val="right"/>
              <w:ind w:right="60"/>
              <w:spacing w:after="0"/>
              <w:rPr>
                <w:sz w:val="20"/>
                <w:szCs w:val="20"/>
                <w:color w:val="auto"/>
              </w:rPr>
            </w:pPr>
            <w:r>
              <w:rPr>
                <w:rFonts w:ascii="Arial" w:cs="Arial" w:eastAsia="Arial" w:hAnsi="Arial"/>
                <w:sz w:val="18"/>
                <w:szCs w:val="18"/>
                <w:color w:val="auto"/>
              </w:rPr>
              <w:t>8.9</w:t>
            </w:r>
          </w:p>
        </w:tc>
        <w:tc>
          <w:tcPr>
            <w:tcW w:w="0" w:type="dxa"/>
            <w:vAlign w:val="bottom"/>
          </w:tcPr>
          <w:p>
            <w:pPr>
              <w:spacing w:after="0"/>
              <w:rPr>
                <w:sz w:val="1"/>
                <w:szCs w:val="1"/>
                <w:color w:val="auto"/>
              </w:rPr>
            </w:pPr>
          </w:p>
        </w:tc>
      </w:tr>
      <w:tr>
        <w:trPr>
          <w:trHeight w:val="216"/>
        </w:trPr>
        <w:tc>
          <w:tcPr>
            <w:tcW w:w="69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Software</w:t>
            </w:r>
          </w:p>
        </w:tc>
        <w:tc>
          <w:tcPr>
            <w:tcW w:w="5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14.6</w:t>
            </w:r>
          </w:p>
        </w:tc>
        <w:tc>
          <w:tcPr>
            <w:tcW w:w="120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14.7</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80" w:type="dxa"/>
            <w:vAlign w:val="bottom"/>
            <w:gridSpan w:val="3"/>
            <w:shd w:val="clear" w:color="auto" w:fill="CCEEFF"/>
          </w:tcPr>
          <w:p>
            <w:pPr>
              <w:jc w:val="right"/>
              <w:ind w:right="560"/>
              <w:spacing w:after="0"/>
              <w:rPr>
                <w:sz w:val="20"/>
                <w:szCs w:val="20"/>
                <w:color w:val="auto"/>
              </w:rPr>
            </w:pPr>
            <w:r>
              <w:rPr>
                <w:rFonts w:ascii="Arial" w:cs="Arial" w:eastAsia="Arial" w:hAnsi="Arial"/>
                <w:sz w:val="18"/>
                <w:szCs w:val="18"/>
                <w:color w:val="auto"/>
              </w:rPr>
              <w:t>16.3</w:t>
            </w:r>
          </w:p>
        </w:tc>
        <w:tc>
          <w:tcPr>
            <w:tcW w:w="7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216"/>
        </w:trPr>
        <w:tc>
          <w:tcPr>
            <w:tcW w:w="6940" w:type="dxa"/>
            <w:vAlign w:val="bottom"/>
            <w:gridSpan w:val="2"/>
          </w:tcPr>
          <w:p>
            <w:pPr>
              <w:spacing w:after="0"/>
              <w:rPr>
                <w:sz w:val="20"/>
                <w:szCs w:val="20"/>
                <w:color w:val="auto"/>
              </w:rPr>
            </w:pPr>
            <w:r>
              <w:rPr>
                <w:rFonts w:ascii="Arial" w:cs="Arial" w:eastAsia="Arial" w:hAnsi="Arial"/>
                <w:sz w:val="18"/>
                <w:szCs w:val="18"/>
                <w:color w:val="auto"/>
              </w:rPr>
              <w:t>Assembled workforce in asset acquisitions</w:t>
            </w:r>
          </w:p>
        </w:tc>
        <w:tc>
          <w:tcPr>
            <w:tcW w:w="580" w:type="dxa"/>
            <w:vAlign w:val="bottom"/>
            <w:gridSpan w:val="2"/>
          </w:tcPr>
          <w:p>
            <w:pPr>
              <w:jc w:val="right"/>
              <w:ind w:right="100"/>
              <w:spacing w:after="0"/>
              <w:rPr>
                <w:sz w:val="20"/>
                <w:szCs w:val="20"/>
                <w:color w:val="auto"/>
              </w:rPr>
            </w:pPr>
            <w:r>
              <w:rPr>
                <w:rFonts w:ascii="Arial" w:cs="Arial" w:eastAsia="Arial" w:hAnsi="Arial"/>
                <w:sz w:val="18"/>
                <w:szCs w:val="18"/>
                <w:color w:val="auto"/>
              </w:rPr>
              <w:t>10.1</w:t>
            </w:r>
          </w:p>
        </w:tc>
        <w:tc>
          <w:tcPr>
            <w:tcW w:w="1200" w:type="dxa"/>
            <w:vAlign w:val="bottom"/>
            <w:gridSpan w:val="3"/>
          </w:tcPr>
          <w:p>
            <w:pPr>
              <w:jc w:val="right"/>
              <w:ind w:right="240"/>
              <w:spacing w:after="0"/>
              <w:rPr>
                <w:sz w:val="20"/>
                <w:szCs w:val="20"/>
                <w:color w:val="auto"/>
              </w:rPr>
            </w:pPr>
            <w:r>
              <w:rPr>
                <w:rFonts w:ascii="Arial" w:cs="Arial" w:eastAsia="Arial" w:hAnsi="Arial"/>
                <w:sz w:val="18"/>
                <w:szCs w:val="18"/>
                <w:color w:val="auto"/>
              </w:rPr>
              <w:t>10.1</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80" w:type="dxa"/>
            <w:vAlign w:val="bottom"/>
            <w:gridSpan w:val="3"/>
          </w:tcPr>
          <w:p>
            <w:pPr>
              <w:jc w:val="right"/>
              <w:ind w:right="560"/>
              <w:spacing w:after="0"/>
              <w:rPr>
                <w:sz w:val="20"/>
                <w:szCs w:val="20"/>
                <w:color w:val="auto"/>
              </w:rPr>
            </w:pPr>
            <w:r>
              <w:rPr>
                <w:rFonts w:ascii="Arial" w:cs="Arial" w:eastAsia="Arial" w:hAnsi="Arial"/>
                <w:sz w:val="18"/>
                <w:szCs w:val="18"/>
                <w:color w:val="auto"/>
              </w:rPr>
              <w:t>10.1</w:t>
            </w:r>
          </w:p>
        </w:tc>
        <w:tc>
          <w:tcPr>
            <w:tcW w:w="720" w:type="dxa"/>
            <w:vAlign w:val="bottom"/>
            <w:gridSpan w:val="2"/>
          </w:tcPr>
          <w:p>
            <w:pPr>
              <w:jc w:val="right"/>
              <w:ind w:right="60"/>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16"/>
        </w:trPr>
        <w:tc>
          <w:tcPr>
            <w:tcW w:w="69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Licenses</w:t>
            </w:r>
          </w:p>
        </w:tc>
        <w:tc>
          <w:tcPr>
            <w:tcW w:w="5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0.3</w:t>
            </w:r>
          </w:p>
        </w:tc>
        <w:tc>
          <w:tcPr>
            <w:tcW w:w="120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4.6</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80" w:type="dxa"/>
            <w:vAlign w:val="bottom"/>
            <w:gridSpan w:val="3"/>
            <w:shd w:val="clear" w:color="auto" w:fill="CCEEFF"/>
          </w:tcPr>
          <w:p>
            <w:pPr>
              <w:jc w:val="right"/>
              <w:ind w:right="560"/>
              <w:spacing w:after="0"/>
              <w:rPr>
                <w:sz w:val="20"/>
                <w:szCs w:val="20"/>
                <w:color w:val="auto"/>
              </w:rPr>
            </w:pPr>
            <w:r>
              <w:rPr>
                <w:rFonts w:ascii="Arial" w:cs="Arial" w:eastAsia="Arial" w:hAnsi="Arial"/>
                <w:sz w:val="18"/>
                <w:szCs w:val="18"/>
                <w:color w:val="auto"/>
              </w:rPr>
              <w:t>4.6</w:t>
            </w:r>
          </w:p>
        </w:tc>
        <w:tc>
          <w:tcPr>
            <w:tcW w:w="7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r>
        <w:trPr>
          <w:trHeight w:val="216"/>
        </w:trPr>
        <w:tc>
          <w:tcPr>
            <w:tcW w:w="6940" w:type="dxa"/>
            <w:vAlign w:val="bottom"/>
            <w:gridSpan w:val="2"/>
          </w:tcPr>
          <w:p>
            <w:pPr>
              <w:spacing w:after="0"/>
              <w:rPr>
                <w:sz w:val="20"/>
                <w:szCs w:val="20"/>
                <w:color w:val="auto"/>
              </w:rPr>
            </w:pPr>
            <w:r>
              <w:rPr>
                <w:rFonts w:ascii="Arial" w:cs="Arial" w:eastAsia="Arial" w:hAnsi="Arial"/>
                <w:sz w:val="18"/>
                <w:szCs w:val="18"/>
                <w:color w:val="auto"/>
              </w:rPr>
              <w:t>Non-compete agreements, trademarks and other</w:t>
            </w:r>
          </w:p>
        </w:tc>
        <w:tc>
          <w:tcPr>
            <w:tcW w:w="480" w:type="dxa"/>
            <w:vAlign w:val="bottom"/>
          </w:tcPr>
          <w:p>
            <w:pPr>
              <w:jc w:val="right"/>
              <w:spacing w:after="0"/>
              <w:rPr>
                <w:sz w:val="20"/>
                <w:szCs w:val="20"/>
                <w:color w:val="auto"/>
              </w:rPr>
            </w:pPr>
            <w:r>
              <w:rPr>
                <w:rFonts w:ascii="Arial" w:cs="Arial" w:eastAsia="Arial" w:hAnsi="Arial"/>
                <w:sz w:val="18"/>
                <w:szCs w:val="18"/>
                <w:color w:val="auto"/>
              </w:rPr>
              <w:t>4.6</w:t>
            </w: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700" w:type="dxa"/>
            <w:vAlign w:val="bottom"/>
            <w:gridSpan w:val="2"/>
          </w:tcPr>
          <w:p>
            <w:pPr>
              <w:jc w:val="right"/>
              <w:ind w:right="240"/>
              <w:spacing w:after="0"/>
              <w:rPr>
                <w:sz w:val="20"/>
                <w:szCs w:val="20"/>
                <w:color w:val="auto"/>
              </w:rPr>
            </w:pPr>
            <w:r>
              <w:rPr>
                <w:rFonts w:ascii="Arial" w:cs="Arial" w:eastAsia="Arial" w:hAnsi="Arial"/>
                <w:sz w:val="18"/>
                <w:szCs w:val="18"/>
                <w:color w:val="auto"/>
              </w:rPr>
              <w:t>4.1</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80" w:type="dxa"/>
            <w:vAlign w:val="bottom"/>
            <w:gridSpan w:val="3"/>
          </w:tcPr>
          <w:p>
            <w:pPr>
              <w:jc w:val="right"/>
              <w:ind w:right="560"/>
              <w:spacing w:after="0"/>
              <w:rPr>
                <w:sz w:val="20"/>
                <w:szCs w:val="20"/>
                <w:color w:val="auto"/>
              </w:rPr>
            </w:pPr>
            <w:r>
              <w:rPr>
                <w:rFonts w:ascii="Arial" w:cs="Arial" w:eastAsia="Arial" w:hAnsi="Arial"/>
                <w:sz w:val="18"/>
                <w:szCs w:val="18"/>
                <w:color w:val="auto"/>
              </w:rPr>
              <w:t>4.0</w:t>
            </w:r>
          </w:p>
        </w:tc>
        <w:tc>
          <w:tcPr>
            <w:tcW w:w="720" w:type="dxa"/>
            <w:vAlign w:val="bottom"/>
            <w:gridSpan w:val="2"/>
          </w:tcPr>
          <w:p>
            <w:pPr>
              <w:jc w:val="right"/>
              <w:ind w:right="60"/>
              <w:spacing w:after="0"/>
              <w:rPr>
                <w:sz w:val="20"/>
                <w:szCs w:val="20"/>
                <w:color w:val="auto"/>
              </w:rPr>
            </w:pPr>
            <w:r>
              <w:rPr>
                <w:rFonts w:ascii="Arial" w:cs="Arial" w:eastAsia="Arial" w:hAnsi="Arial"/>
                <w:sz w:val="18"/>
                <w:szCs w:val="18"/>
                <w:color w:val="auto"/>
              </w:rPr>
              <w:t>6.9</w:t>
            </w:r>
          </w:p>
        </w:tc>
        <w:tc>
          <w:tcPr>
            <w:tcW w:w="0" w:type="dxa"/>
            <w:vAlign w:val="bottom"/>
          </w:tcPr>
          <w:p>
            <w:pPr>
              <w:spacing w:after="0"/>
              <w:rPr>
                <w:sz w:val="1"/>
                <w:szCs w:val="1"/>
                <w:color w:val="auto"/>
              </w:rPr>
            </w:pPr>
          </w:p>
        </w:tc>
      </w:tr>
      <w:tr>
        <w:trPr>
          <w:trHeight w:val="27"/>
        </w:trPr>
        <w:tc>
          <w:tcPr>
            <w:tcW w:w="1820" w:type="dxa"/>
            <w:vAlign w:val="bottom"/>
          </w:tcPr>
          <w:p>
            <w:pPr>
              <w:spacing w:after="0"/>
              <w:rPr>
                <w:sz w:val="2"/>
                <w:szCs w:val="2"/>
                <w:color w:val="auto"/>
              </w:rPr>
            </w:pPr>
          </w:p>
        </w:tc>
        <w:tc>
          <w:tcPr>
            <w:tcW w:w="5120" w:type="dxa"/>
            <w:vAlign w:val="bottom"/>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560" w:type="dxa"/>
            <w:vAlign w:val="bottom"/>
          </w:tcPr>
          <w:p>
            <w:pPr>
              <w:spacing w:after="0"/>
              <w:rPr>
                <w:sz w:val="2"/>
                <w:szCs w:val="2"/>
                <w:color w:val="auto"/>
              </w:rPr>
            </w:pPr>
          </w:p>
        </w:tc>
        <w:tc>
          <w:tcPr>
            <w:tcW w:w="660" w:type="dxa"/>
            <w:vAlign w:val="bottom"/>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694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Total intangibles</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89.3</w:t>
            </w: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97.1</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80" w:type="dxa"/>
            <w:vAlign w:val="bottom"/>
            <w:gridSpan w:val="3"/>
            <w:shd w:val="clear" w:color="auto" w:fill="CCEEFF"/>
          </w:tcPr>
          <w:p>
            <w:pPr>
              <w:jc w:val="right"/>
              <w:ind w:right="560"/>
              <w:spacing w:after="0"/>
              <w:rPr>
                <w:sz w:val="20"/>
                <w:szCs w:val="20"/>
                <w:color w:val="auto"/>
              </w:rPr>
            </w:pPr>
            <w:r>
              <w:rPr>
                <w:rFonts w:ascii="Arial" w:cs="Arial" w:eastAsia="Arial" w:hAnsi="Arial"/>
                <w:sz w:val="18"/>
                <w:szCs w:val="18"/>
                <w:color w:val="auto"/>
              </w:rPr>
              <w:t>98.9</w:t>
            </w:r>
          </w:p>
        </w:tc>
        <w:tc>
          <w:tcPr>
            <w:tcW w:w="6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940" w:type="dxa"/>
            <w:vAlign w:val="bottom"/>
            <w:gridSpan w:val="2"/>
          </w:tcPr>
          <w:p>
            <w:pPr>
              <w:spacing w:after="0"/>
              <w:rPr>
                <w:sz w:val="20"/>
                <w:szCs w:val="20"/>
                <w:color w:val="auto"/>
              </w:rPr>
            </w:pPr>
            <w:r>
              <w:rPr>
                <w:rFonts w:ascii="Arial" w:cs="Arial" w:eastAsia="Arial" w:hAnsi="Arial"/>
                <w:sz w:val="18"/>
                <w:szCs w:val="18"/>
                <w:color w:val="auto"/>
              </w:rPr>
              <w:t>Accumulated amortization</w:t>
            </w:r>
          </w:p>
        </w:tc>
        <w:tc>
          <w:tcPr>
            <w:tcW w:w="580" w:type="dxa"/>
            <w:vAlign w:val="bottom"/>
            <w:gridSpan w:val="2"/>
          </w:tcPr>
          <w:p>
            <w:pPr>
              <w:jc w:val="right"/>
              <w:ind w:right="40"/>
              <w:spacing w:after="0"/>
              <w:rPr>
                <w:sz w:val="20"/>
                <w:szCs w:val="20"/>
                <w:color w:val="auto"/>
              </w:rPr>
            </w:pPr>
            <w:r>
              <w:rPr>
                <w:rFonts w:ascii="Arial" w:cs="Arial" w:eastAsia="Arial" w:hAnsi="Arial"/>
                <w:sz w:val="18"/>
                <w:szCs w:val="18"/>
                <w:color w:val="auto"/>
              </w:rPr>
              <w:t>(56.3)</w:t>
            </w:r>
          </w:p>
        </w:tc>
        <w:tc>
          <w:tcPr>
            <w:tcW w:w="1200" w:type="dxa"/>
            <w:vAlign w:val="bottom"/>
            <w:gridSpan w:val="3"/>
          </w:tcPr>
          <w:p>
            <w:pPr>
              <w:jc w:val="right"/>
              <w:ind w:right="180"/>
              <w:spacing w:after="0"/>
              <w:rPr>
                <w:sz w:val="20"/>
                <w:szCs w:val="20"/>
                <w:color w:val="auto"/>
              </w:rPr>
            </w:pPr>
            <w:r>
              <w:rPr>
                <w:rFonts w:ascii="Arial" w:cs="Arial" w:eastAsia="Arial" w:hAnsi="Arial"/>
                <w:sz w:val="18"/>
                <w:szCs w:val="18"/>
                <w:color w:val="auto"/>
              </w:rPr>
              <w:t>(72.9)</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80" w:type="dxa"/>
            <w:vAlign w:val="bottom"/>
            <w:gridSpan w:val="3"/>
          </w:tcPr>
          <w:p>
            <w:pPr>
              <w:jc w:val="right"/>
              <w:ind w:right="500"/>
              <w:spacing w:after="0"/>
              <w:rPr>
                <w:sz w:val="20"/>
                <w:szCs w:val="20"/>
                <w:color w:val="auto"/>
              </w:rPr>
            </w:pPr>
            <w:r>
              <w:rPr>
                <w:rFonts w:ascii="Arial" w:cs="Arial" w:eastAsia="Arial" w:hAnsi="Arial"/>
                <w:sz w:val="18"/>
                <w:szCs w:val="18"/>
                <w:color w:val="auto"/>
              </w:rPr>
              <w:t>(81.4)</w:t>
            </w:r>
          </w:p>
        </w:tc>
        <w:tc>
          <w:tcPr>
            <w:tcW w:w="6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1820" w:type="dxa"/>
            <w:vAlign w:val="bottom"/>
          </w:tcPr>
          <w:p>
            <w:pPr>
              <w:spacing w:after="0"/>
              <w:rPr>
                <w:sz w:val="2"/>
                <w:szCs w:val="2"/>
                <w:color w:val="auto"/>
              </w:rPr>
            </w:pPr>
          </w:p>
        </w:tc>
        <w:tc>
          <w:tcPr>
            <w:tcW w:w="5120" w:type="dxa"/>
            <w:vAlign w:val="bottom"/>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560" w:type="dxa"/>
            <w:vAlign w:val="bottom"/>
          </w:tcPr>
          <w:p>
            <w:pPr>
              <w:spacing w:after="0"/>
              <w:rPr>
                <w:sz w:val="2"/>
                <w:szCs w:val="2"/>
                <w:color w:val="auto"/>
              </w:rPr>
            </w:pPr>
          </w:p>
        </w:tc>
        <w:tc>
          <w:tcPr>
            <w:tcW w:w="660" w:type="dxa"/>
            <w:vAlign w:val="bottom"/>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69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Intangible assets, net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1"/>
              </w:rPr>
              <w:t>$ 33.0</w:t>
            </w:r>
          </w:p>
        </w:tc>
        <w:tc>
          <w:tcPr>
            <w:tcW w:w="100" w:type="dxa"/>
            <w:vAlign w:val="bottom"/>
            <w:shd w:val="clear" w:color="auto" w:fill="CCEEFF"/>
          </w:tcPr>
          <w:p>
            <w:pPr>
              <w:spacing w:after="0"/>
              <w:rPr>
                <w:sz w:val="18"/>
                <w:szCs w:val="18"/>
                <w:color w:val="auto"/>
              </w:rPr>
            </w:pPr>
          </w:p>
        </w:tc>
        <w:tc>
          <w:tcPr>
            <w:tcW w:w="120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$ 24.2</w:t>
            </w:r>
          </w:p>
        </w:tc>
        <w:tc>
          <w:tcPr>
            <w:tcW w:w="620" w:type="dxa"/>
            <w:vAlign w:val="bottom"/>
            <w:gridSpan w:val="3"/>
            <w:shd w:val="clear" w:color="auto" w:fill="CCEEFF"/>
          </w:tcPr>
          <w:p>
            <w:pPr>
              <w:ind w:left="360"/>
              <w:spacing w:after="0"/>
              <w:rPr>
                <w:sz w:val="20"/>
                <w:szCs w:val="20"/>
                <w:color w:val="auto"/>
              </w:rPr>
            </w:pPr>
            <w:r>
              <w:rPr>
                <w:rFonts w:ascii="Arial" w:cs="Arial" w:eastAsia="Arial" w:hAnsi="Arial"/>
                <w:sz w:val="18"/>
                <w:szCs w:val="18"/>
                <w:color w:val="auto"/>
              </w:rPr>
              <w:t>$</w:t>
            </w:r>
          </w:p>
        </w:tc>
        <w:tc>
          <w:tcPr>
            <w:tcW w:w="1180" w:type="dxa"/>
            <w:vAlign w:val="bottom"/>
            <w:gridSpan w:val="3"/>
            <w:shd w:val="clear" w:color="auto" w:fill="CCEEFF"/>
          </w:tcPr>
          <w:p>
            <w:pPr>
              <w:jc w:val="right"/>
              <w:ind w:right="560"/>
              <w:spacing w:after="0"/>
              <w:rPr>
                <w:sz w:val="20"/>
                <w:szCs w:val="20"/>
                <w:color w:val="auto"/>
              </w:rPr>
            </w:pPr>
            <w:r>
              <w:rPr>
                <w:rFonts w:ascii="Arial" w:cs="Arial" w:eastAsia="Arial" w:hAnsi="Arial"/>
                <w:sz w:val="18"/>
                <w:szCs w:val="18"/>
                <w:color w:val="auto"/>
              </w:rPr>
              <w:t>17.5</w:t>
            </w:r>
          </w:p>
        </w:tc>
        <w:tc>
          <w:tcPr>
            <w:tcW w:w="6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820" w:type="dxa"/>
            <w:vAlign w:val="bottom"/>
          </w:tcPr>
          <w:p>
            <w:pPr>
              <w:spacing w:after="0" w:line="20" w:lineRule="exact"/>
              <w:rPr>
                <w:sz w:val="1"/>
                <w:szCs w:val="1"/>
                <w:color w:val="auto"/>
              </w:rPr>
            </w:pPr>
          </w:p>
        </w:tc>
        <w:tc>
          <w:tcPr>
            <w:tcW w:w="512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right="260" w:firstLine="449"/>
        <w:spacing w:after="0" w:line="277" w:lineRule="auto"/>
        <w:rPr>
          <w:sz w:val="20"/>
          <w:szCs w:val="20"/>
          <w:color w:val="auto"/>
        </w:rPr>
      </w:pPr>
      <w:r>
        <w:rPr>
          <w:rFonts w:ascii="Arial" w:cs="Arial" w:eastAsia="Arial" w:hAnsi="Arial"/>
          <w:sz w:val="18"/>
          <w:szCs w:val="18"/>
          <w:color w:val="auto"/>
        </w:rPr>
        <w:t>Amortization expense was $22.2 million, $17.3 million, $13.6 million, and $8.4 million for the years ended December 31, 2015 and 2016, and the nine months ended September 30, 2016 and 2017, respectively.</w:t>
      </w:r>
    </w:p>
    <w:p>
      <w:pPr>
        <w:spacing w:after="0" w:line="170" w:lineRule="exact"/>
        <w:rPr>
          <w:sz w:val="20"/>
          <w:szCs w:val="20"/>
          <w:color w:val="auto"/>
        </w:rPr>
      </w:pPr>
    </w:p>
    <w:tbl>
      <w:tblPr>
        <w:tblLayout w:type="fixed"/>
        <w:tblInd w:w="460" w:type="dxa"/>
        <w:tblCellMar>
          <w:top w:w="0" w:type="dxa"/>
          <w:left w:w="0" w:type="dxa"/>
          <w:bottom w:w="0" w:type="dxa"/>
          <w:right w:w="0" w:type="dxa"/>
        </w:tblCellMar>
      </w:tblPr>
      <w:tr>
        <w:trPr>
          <w:trHeight w:val="230"/>
        </w:trPr>
        <w:tc>
          <w:tcPr>
            <w:tcW w:w="8220" w:type="dxa"/>
            <w:vAlign w:val="bottom"/>
            <w:gridSpan w:val="2"/>
          </w:tcPr>
          <w:p>
            <w:pPr>
              <w:spacing w:after="0"/>
              <w:rPr>
                <w:sz w:val="20"/>
                <w:szCs w:val="20"/>
                <w:color w:val="auto"/>
              </w:rPr>
            </w:pPr>
            <w:r>
              <w:rPr>
                <w:rFonts w:ascii="Arial" w:cs="Arial" w:eastAsia="Arial" w:hAnsi="Arial"/>
                <w:sz w:val="18"/>
                <w:szCs w:val="18"/>
                <w:color w:val="auto"/>
                <w:w w:val="92"/>
              </w:rPr>
              <w:t>Expected future amortization expense for intangible assets as of September 30, 2017 (unaudited) is as follows:</w:t>
            </w:r>
          </w:p>
        </w:tc>
        <w:tc>
          <w:tcPr>
            <w:tcW w:w="3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1360" w:type="dxa"/>
            <w:vAlign w:val="bottom"/>
            <w:vMerge w:val="restart"/>
          </w:tcPr>
          <w:p>
            <w:pPr>
              <w:spacing w:after="0"/>
              <w:rPr>
                <w:sz w:val="21"/>
                <w:szCs w:val="21"/>
                <w:color w:val="auto"/>
              </w:rPr>
            </w:pPr>
          </w:p>
        </w:tc>
        <w:tc>
          <w:tcPr>
            <w:tcW w:w="68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1360" w:type="dxa"/>
            <w:vAlign w:val="bottom"/>
            <w:vMerge w:val="continue"/>
          </w:tcPr>
          <w:p>
            <w:pPr>
              <w:spacing w:after="0"/>
              <w:rPr>
                <w:sz w:val="18"/>
                <w:szCs w:val="18"/>
                <w:color w:val="auto"/>
              </w:rPr>
            </w:pPr>
          </w:p>
        </w:tc>
        <w:tc>
          <w:tcPr>
            <w:tcW w:w="6860" w:type="dxa"/>
            <w:vAlign w:val="bottom"/>
            <w:shd w:val="clear" w:color="auto" w:fill="CCEEFF"/>
          </w:tcPr>
          <w:p>
            <w:pPr>
              <w:spacing w:after="0"/>
              <w:rPr>
                <w:sz w:val="20"/>
                <w:szCs w:val="20"/>
                <w:color w:val="auto"/>
              </w:rPr>
            </w:pPr>
            <w:r>
              <w:rPr>
                <w:rFonts w:ascii="Arial" w:cs="Arial" w:eastAsia="Arial" w:hAnsi="Arial"/>
                <w:sz w:val="18"/>
                <w:szCs w:val="18"/>
                <w:color w:val="auto"/>
              </w:rPr>
              <w:t>2017 (remaining)</w:t>
            </w: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60" w:type="dxa"/>
            <w:vAlign w:val="bottom"/>
          </w:tcPr>
          <w:p>
            <w:pPr>
              <w:spacing w:after="0"/>
              <w:rPr>
                <w:sz w:val="18"/>
                <w:szCs w:val="18"/>
                <w:color w:val="auto"/>
              </w:rPr>
            </w:pPr>
          </w:p>
        </w:tc>
        <w:tc>
          <w:tcPr>
            <w:tcW w:w="6860" w:type="dxa"/>
            <w:vAlign w:val="bottom"/>
          </w:tcPr>
          <w:p>
            <w:pPr>
              <w:spacing w:after="0"/>
              <w:rPr>
                <w:sz w:val="20"/>
                <w:szCs w:val="20"/>
                <w:color w:val="auto"/>
              </w:rPr>
            </w:pPr>
            <w:r>
              <w:rPr>
                <w:rFonts w:ascii="Arial" w:cs="Arial" w:eastAsia="Arial" w:hAnsi="Arial"/>
                <w:sz w:val="18"/>
                <w:szCs w:val="18"/>
                <w:color w:val="auto"/>
              </w:rPr>
              <w:t>2018</w:t>
            </w: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jc w:val="right"/>
              <w:spacing w:after="0"/>
              <w:rPr>
                <w:sz w:val="20"/>
                <w:szCs w:val="20"/>
                <w:color w:val="auto"/>
              </w:rPr>
            </w:pPr>
            <w:r>
              <w:rPr>
                <w:rFonts w:ascii="Arial" w:cs="Arial" w:eastAsia="Arial" w:hAnsi="Arial"/>
                <w:sz w:val="18"/>
                <w:szCs w:val="18"/>
                <w:color w:val="auto"/>
              </w:rPr>
              <w:t>4.9</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60" w:type="dxa"/>
            <w:vAlign w:val="bottom"/>
          </w:tcPr>
          <w:p>
            <w:pPr>
              <w:spacing w:after="0"/>
              <w:rPr>
                <w:sz w:val="18"/>
                <w:szCs w:val="18"/>
                <w:color w:val="auto"/>
              </w:rPr>
            </w:pPr>
          </w:p>
        </w:tc>
        <w:tc>
          <w:tcPr>
            <w:tcW w:w="6860" w:type="dxa"/>
            <w:vAlign w:val="bottom"/>
            <w:shd w:val="clear" w:color="auto" w:fill="CCEEFF"/>
          </w:tcPr>
          <w:p>
            <w:pPr>
              <w:spacing w:after="0"/>
              <w:rPr>
                <w:sz w:val="20"/>
                <w:szCs w:val="20"/>
                <w:color w:val="auto"/>
              </w:rPr>
            </w:pPr>
            <w:r>
              <w:rPr>
                <w:rFonts w:ascii="Arial" w:cs="Arial" w:eastAsia="Arial" w:hAnsi="Arial"/>
                <w:sz w:val="18"/>
                <w:szCs w:val="18"/>
                <w:color w:val="auto"/>
              </w:rPr>
              <w:t>2019</w:t>
            </w: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60" w:type="dxa"/>
            <w:vAlign w:val="bottom"/>
          </w:tcPr>
          <w:p>
            <w:pPr>
              <w:spacing w:after="0"/>
              <w:rPr>
                <w:sz w:val="18"/>
                <w:szCs w:val="18"/>
                <w:color w:val="auto"/>
              </w:rPr>
            </w:pPr>
          </w:p>
        </w:tc>
        <w:tc>
          <w:tcPr>
            <w:tcW w:w="6860" w:type="dxa"/>
            <w:vAlign w:val="bottom"/>
          </w:tcPr>
          <w:p>
            <w:pPr>
              <w:spacing w:after="0"/>
              <w:rPr>
                <w:sz w:val="20"/>
                <w:szCs w:val="20"/>
                <w:color w:val="auto"/>
              </w:rPr>
            </w:pPr>
            <w:r>
              <w:rPr>
                <w:rFonts w:ascii="Arial" w:cs="Arial" w:eastAsia="Arial" w:hAnsi="Arial"/>
                <w:sz w:val="18"/>
                <w:szCs w:val="18"/>
                <w:color w:val="auto"/>
              </w:rPr>
              <w:t>2020</w:t>
            </w: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jc w:val="right"/>
              <w:spacing w:after="0"/>
              <w:rPr>
                <w:sz w:val="20"/>
                <w:szCs w:val="20"/>
                <w:color w:val="auto"/>
              </w:rPr>
            </w:pPr>
            <w:r>
              <w:rPr>
                <w:rFonts w:ascii="Arial" w:cs="Arial" w:eastAsia="Arial" w:hAnsi="Arial"/>
                <w:sz w:val="18"/>
                <w:szCs w:val="18"/>
                <w:color w:val="auto"/>
              </w:rPr>
              <w:t>2.1</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60" w:type="dxa"/>
            <w:vAlign w:val="bottom"/>
          </w:tcPr>
          <w:p>
            <w:pPr>
              <w:spacing w:after="0"/>
              <w:rPr>
                <w:sz w:val="18"/>
                <w:szCs w:val="18"/>
                <w:color w:val="auto"/>
              </w:rPr>
            </w:pPr>
          </w:p>
        </w:tc>
        <w:tc>
          <w:tcPr>
            <w:tcW w:w="6860" w:type="dxa"/>
            <w:vAlign w:val="bottom"/>
            <w:shd w:val="clear" w:color="auto" w:fill="CCEEFF"/>
          </w:tcPr>
          <w:p>
            <w:pPr>
              <w:spacing w:after="0"/>
              <w:rPr>
                <w:sz w:val="20"/>
                <w:szCs w:val="20"/>
                <w:color w:val="auto"/>
              </w:rPr>
            </w:pPr>
            <w:r>
              <w:rPr>
                <w:rFonts w:ascii="Arial" w:cs="Arial" w:eastAsia="Arial" w:hAnsi="Arial"/>
                <w:sz w:val="18"/>
                <w:szCs w:val="18"/>
                <w:color w:val="auto"/>
              </w:rPr>
              <w:t>2021</w:t>
            </w: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1360" w:type="dxa"/>
            <w:vAlign w:val="bottom"/>
          </w:tcPr>
          <w:p>
            <w:pPr>
              <w:spacing w:after="0"/>
              <w:rPr>
                <w:sz w:val="19"/>
                <w:szCs w:val="19"/>
                <w:color w:val="auto"/>
              </w:rPr>
            </w:pPr>
          </w:p>
        </w:tc>
        <w:tc>
          <w:tcPr>
            <w:tcW w:w="6860" w:type="dxa"/>
            <w:vAlign w:val="bottom"/>
          </w:tcPr>
          <w:p>
            <w:pPr>
              <w:spacing w:after="0"/>
              <w:rPr>
                <w:sz w:val="20"/>
                <w:szCs w:val="20"/>
                <w:color w:val="auto"/>
              </w:rPr>
            </w:pPr>
            <w:r>
              <w:rPr>
                <w:rFonts w:ascii="Arial" w:cs="Arial" w:eastAsia="Arial" w:hAnsi="Arial"/>
                <w:sz w:val="18"/>
                <w:szCs w:val="18"/>
                <w:color w:val="auto"/>
              </w:rPr>
              <w:t>Thereafter</w:t>
            </w:r>
          </w:p>
        </w:tc>
        <w:tc>
          <w:tcPr>
            <w:tcW w:w="30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1360" w:type="dxa"/>
            <w:vAlign w:val="bottom"/>
          </w:tcPr>
          <w:p>
            <w:pPr>
              <w:spacing w:after="0"/>
              <w:rPr>
                <w:sz w:val="18"/>
                <w:szCs w:val="18"/>
                <w:color w:val="auto"/>
              </w:rPr>
            </w:pPr>
          </w:p>
        </w:tc>
        <w:tc>
          <w:tcPr>
            <w:tcW w:w="686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5"/>
              </w:rPr>
              <w:t>17.5</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360" w:type="dxa"/>
            <w:vAlign w:val="bottom"/>
          </w:tcPr>
          <w:p>
            <w:pPr>
              <w:spacing w:after="0" w:line="20" w:lineRule="exact"/>
              <w:rPr>
                <w:sz w:val="1"/>
                <w:szCs w:val="1"/>
                <w:color w:val="auto"/>
              </w:rPr>
            </w:pPr>
          </w:p>
        </w:tc>
        <w:tc>
          <w:tcPr>
            <w:tcW w:w="68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7. Goodwill</w:t>
      </w:r>
    </w:p>
    <w:p>
      <w:pPr>
        <w:spacing w:after="0" w:line="121" w:lineRule="exact"/>
        <w:rPr>
          <w:sz w:val="20"/>
          <w:szCs w:val="20"/>
          <w:color w:val="auto"/>
        </w:rPr>
      </w:pPr>
    </w:p>
    <w:p>
      <w:pPr>
        <w:ind w:right="400" w:firstLine="449"/>
        <w:spacing w:after="0" w:line="277" w:lineRule="auto"/>
        <w:rPr>
          <w:sz w:val="20"/>
          <w:szCs w:val="20"/>
          <w:color w:val="auto"/>
        </w:rPr>
      </w:pPr>
      <w:r>
        <w:rPr>
          <w:rFonts w:ascii="Arial" w:cs="Arial" w:eastAsia="Arial" w:hAnsi="Arial"/>
          <w:sz w:val="18"/>
          <w:szCs w:val="18"/>
          <w:color w:val="auto"/>
        </w:rPr>
        <w:t>Goodwill represents the excess of the purchase price in a business combination over the fair value of net tangible and intangible assets acquired. Goodwill amounts are not amortized, but tested for impairment on an</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F-21</w:t>
      </w:r>
    </w:p>
    <w:p>
      <w:pPr>
        <w:sectPr>
          <w:pgSz w:w="11900" w:h="16838" w:orient="portrait"/>
          <w:cols w:equalWidth="0" w:num="1">
            <w:col w:w="11240"/>
          </w:cols>
          <w:pgMar w:left="320" w:top="459" w:right="339" w:bottom="1440" w:gutter="0" w:footer="0" w:header="0"/>
        </w:sectPr>
      </w:pPr>
    </w:p>
    <w:bookmarkStart w:id="180" w:name="page181"/>
    <w:bookmarkEnd w:id="18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spacing w:after="0"/>
        <w:rPr>
          <w:sz w:val="20"/>
          <w:szCs w:val="20"/>
          <w:color w:val="auto"/>
        </w:rPr>
      </w:pPr>
      <w:r>
        <w:rPr>
          <w:rFonts w:ascii="Arial" w:cs="Arial" w:eastAsia="Arial" w:hAnsi="Arial"/>
          <w:sz w:val="17"/>
          <w:szCs w:val="17"/>
          <w:color w:val="auto"/>
        </w:rPr>
        <w:t>annual basis. There was no impairment of goodwill as of December 31, 2015 and 2016, and September 30, 2017. Goodwill consisted of the following:</w:t>
      </w:r>
    </w:p>
    <w:p>
      <w:pPr>
        <w:spacing w:after="0" w:line="27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820" w:type="dxa"/>
            <w:vAlign w:val="bottom"/>
          </w:tcPr>
          <w:p>
            <w:pPr>
              <w:spacing w:after="0"/>
              <w:rPr>
                <w:sz w:val="18"/>
                <w:szCs w:val="18"/>
                <w:color w:val="auto"/>
              </w:rPr>
            </w:pPr>
          </w:p>
        </w:tc>
        <w:tc>
          <w:tcPr>
            <w:tcW w:w="4520" w:type="dxa"/>
            <w:vAlign w:val="bottom"/>
            <w:shd w:val="clear" w:color="auto" w:fill="CCEEFF"/>
          </w:tcPr>
          <w:p>
            <w:pPr>
              <w:spacing w:after="0"/>
              <w:rPr>
                <w:sz w:val="20"/>
                <w:szCs w:val="20"/>
                <w:color w:val="auto"/>
              </w:rPr>
            </w:pPr>
            <w:r>
              <w:rPr>
                <w:rFonts w:ascii="Arial" w:cs="Arial" w:eastAsia="Arial" w:hAnsi="Arial"/>
                <w:sz w:val="18"/>
                <w:szCs w:val="18"/>
                <w:color w:val="auto"/>
              </w:rPr>
              <w:t>Balance at December 31, 2014</w:t>
            </w: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$63.0</w:t>
            </w:r>
          </w:p>
        </w:tc>
        <w:tc>
          <w:tcPr>
            <w:tcW w:w="100" w:type="dxa"/>
            <w:vAlign w:val="bottom"/>
            <w:shd w:val="clear" w:color="auto" w:fill="CCEEFF"/>
          </w:tcPr>
          <w:p>
            <w:pPr>
              <w:spacing w:after="0"/>
              <w:rPr>
                <w:sz w:val="18"/>
                <w:szCs w:val="18"/>
                <w:color w:val="auto"/>
              </w:rPr>
            </w:pPr>
          </w:p>
        </w:tc>
        <w:tc>
          <w:tcPr>
            <w:tcW w:w="5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20" w:type="dxa"/>
            <w:vAlign w:val="bottom"/>
          </w:tcPr>
          <w:p>
            <w:pPr>
              <w:spacing w:after="0"/>
              <w:rPr>
                <w:sz w:val="18"/>
                <w:szCs w:val="18"/>
                <w:color w:val="auto"/>
              </w:rPr>
            </w:pPr>
          </w:p>
        </w:tc>
        <w:tc>
          <w:tcPr>
            <w:tcW w:w="4520" w:type="dxa"/>
            <w:vAlign w:val="bottom"/>
          </w:tcPr>
          <w:p>
            <w:pPr>
              <w:spacing w:after="0"/>
              <w:rPr>
                <w:sz w:val="20"/>
                <w:szCs w:val="20"/>
                <w:color w:val="auto"/>
              </w:rPr>
            </w:pPr>
            <w:r>
              <w:rPr>
                <w:rFonts w:ascii="Arial" w:cs="Arial" w:eastAsia="Arial" w:hAnsi="Arial"/>
                <w:sz w:val="18"/>
                <w:szCs w:val="18"/>
                <w:color w:val="auto"/>
              </w:rPr>
              <w:t>CloudOn</w:t>
            </w: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gridSpan w:val="3"/>
          </w:tcPr>
          <w:p>
            <w:pPr>
              <w:jc w:val="right"/>
              <w:spacing w:after="0"/>
              <w:rPr>
                <w:sz w:val="20"/>
                <w:szCs w:val="20"/>
                <w:color w:val="auto"/>
              </w:rPr>
            </w:pPr>
            <w:r>
              <w:rPr>
                <w:rFonts w:ascii="Arial" w:cs="Arial" w:eastAsia="Arial" w:hAnsi="Arial"/>
                <w:sz w:val="18"/>
                <w:szCs w:val="18"/>
                <w:color w:val="auto"/>
              </w:rPr>
              <w:t>30.1</w:t>
            </w: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20" w:type="dxa"/>
            <w:vAlign w:val="bottom"/>
          </w:tcPr>
          <w:p>
            <w:pPr>
              <w:spacing w:after="0"/>
              <w:rPr>
                <w:sz w:val="18"/>
                <w:szCs w:val="18"/>
                <w:color w:val="auto"/>
              </w:rPr>
            </w:pPr>
          </w:p>
        </w:tc>
        <w:tc>
          <w:tcPr>
            <w:tcW w:w="4520" w:type="dxa"/>
            <w:vAlign w:val="bottom"/>
            <w:shd w:val="clear" w:color="auto" w:fill="CCEEFF"/>
          </w:tcPr>
          <w:p>
            <w:pPr>
              <w:spacing w:after="0"/>
              <w:rPr>
                <w:sz w:val="20"/>
                <w:szCs w:val="20"/>
                <w:color w:val="auto"/>
              </w:rPr>
            </w:pPr>
            <w:r>
              <w:rPr>
                <w:rFonts w:ascii="Arial" w:cs="Arial" w:eastAsia="Arial" w:hAnsi="Arial"/>
                <w:sz w:val="18"/>
                <w:szCs w:val="18"/>
                <w:color w:val="auto"/>
              </w:rPr>
              <w:t>Other</w:t>
            </w: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3.0</w:t>
            </w:r>
          </w:p>
        </w:tc>
        <w:tc>
          <w:tcPr>
            <w:tcW w:w="100" w:type="dxa"/>
            <w:vAlign w:val="bottom"/>
            <w:shd w:val="clear" w:color="auto" w:fill="CCEEFF"/>
          </w:tcPr>
          <w:p>
            <w:pPr>
              <w:spacing w:after="0"/>
              <w:rPr>
                <w:sz w:val="18"/>
                <w:szCs w:val="18"/>
                <w:color w:val="auto"/>
              </w:rPr>
            </w:pPr>
          </w:p>
        </w:tc>
        <w:tc>
          <w:tcPr>
            <w:tcW w:w="5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6340" w:type="dxa"/>
            <w:vAlign w:val="bottom"/>
            <w:gridSpan w:val="2"/>
          </w:tcPr>
          <w:p>
            <w:pPr>
              <w:ind w:left="1820"/>
              <w:spacing w:after="0"/>
              <w:rPr>
                <w:sz w:val="20"/>
                <w:szCs w:val="20"/>
                <w:color w:val="auto"/>
              </w:rPr>
            </w:pPr>
            <w:r>
              <w:rPr>
                <w:rFonts w:ascii="Arial" w:cs="Arial" w:eastAsia="Arial" w:hAnsi="Arial"/>
                <w:sz w:val="18"/>
                <w:szCs w:val="18"/>
                <w:color w:val="auto"/>
              </w:rPr>
              <w:t>Balance at December 31, 2015</w:t>
            </w: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2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color w:val="auto"/>
              </w:rPr>
              <w:t>96.1</w:t>
            </w: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1820" w:type="dxa"/>
            <w:vAlign w:val="bottom"/>
          </w:tcPr>
          <w:p>
            <w:pPr>
              <w:spacing w:after="0"/>
              <w:rPr>
                <w:sz w:val="18"/>
                <w:szCs w:val="18"/>
                <w:color w:val="auto"/>
              </w:rPr>
            </w:pPr>
          </w:p>
        </w:tc>
        <w:tc>
          <w:tcPr>
            <w:tcW w:w="4520" w:type="dxa"/>
            <w:vAlign w:val="bottom"/>
            <w:shd w:val="clear" w:color="auto" w:fill="CCEEFF"/>
          </w:tcPr>
          <w:p>
            <w:pPr>
              <w:spacing w:after="0"/>
              <w:rPr>
                <w:sz w:val="20"/>
                <w:szCs w:val="20"/>
                <w:color w:val="auto"/>
              </w:rPr>
            </w:pPr>
            <w:r>
              <w:rPr>
                <w:rFonts w:ascii="Arial" w:cs="Arial" w:eastAsia="Arial" w:hAnsi="Arial"/>
                <w:sz w:val="18"/>
                <w:szCs w:val="18"/>
                <w:color w:val="auto"/>
              </w:rPr>
              <w:t>Effect of foreign currency translation</w:t>
            </w: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gridSpan w:val="4"/>
            <w:shd w:val="clear" w:color="auto" w:fill="CCEEFF"/>
          </w:tcPr>
          <w:p>
            <w:pPr>
              <w:jc w:val="right"/>
              <w:ind w:right="60"/>
              <w:spacing w:after="0"/>
              <w:rPr>
                <w:sz w:val="20"/>
                <w:szCs w:val="20"/>
                <w:color w:val="auto"/>
              </w:rPr>
            </w:pPr>
            <w:r>
              <w:rPr>
                <w:rFonts w:ascii="Arial" w:cs="Arial" w:eastAsia="Arial" w:hAnsi="Arial"/>
                <w:sz w:val="18"/>
                <w:szCs w:val="18"/>
                <w:color w:val="auto"/>
              </w:rPr>
              <w:t>(0.1)</w:t>
            </w:r>
          </w:p>
        </w:tc>
        <w:tc>
          <w:tcPr>
            <w:tcW w:w="5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6340" w:type="dxa"/>
            <w:vAlign w:val="bottom"/>
            <w:gridSpan w:val="2"/>
          </w:tcPr>
          <w:p>
            <w:pPr>
              <w:ind w:left="1820"/>
              <w:spacing w:after="0"/>
              <w:rPr>
                <w:sz w:val="20"/>
                <w:szCs w:val="20"/>
                <w:color w:val="auto"/>
              </w:rPr>
            </w:pPr>
            <w:r>
              <w:rPr>
                <w:rFonts w:ascii="Arial" w:cs="Arial" w:eastAsia="Arial" w:hAnsi="Arial"/>
                <w:sz w:val="18"/>
                <w:szCs w:val="18"/>
                <w:color w:val="auto"/>
              </w:rPr>
              <w:t>Balance at December 31, 2016</w:t>
            </w: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2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color w:val="auto"/>
              </w:rPr>
              <w:t>96.0</w:t>
            </w: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1820" w:type="dxa"/>
            <w:vAlign w:val="bottom"/>
          </w:tcPr>
          <w:p>
            <w:pPr>
              <w:spacing w:after="0"/>
              <w:rPr>
                <w:sz w:val="18"/>
                <w:szCs w:val="18"/>
                <w:color w:val="auto"/>
              </w:rPr>
            </w:pPr>
          </w:p>
        </w:tc>
        <w:tc>
          <w:tcPr>
            <w:tcW w:w="4520" w:type="dxa"/>
            <w:vAlign w:val="bottom"/>
            <w:shd w:val="clear" w:color="auto" w:fill="CCEEFF"/>
          </w:tcPr>
          <w:p>
            <w:pPr>
              <w:spacing w:after="0"/>
              <w:rPr>
                <w:sz w:val="20"/>
                <w:szCs w:val="20"/>
                <w:color w:val="auto"/>
              </w:rPr>
            </w:pPr>
            <w:r>
              <w:rPr>
                <w:rFonts w:ascii="Arial" w:cs="Arial" w:eastAsia="Arial" w:hAnsi="Arial"/>
                <w:sz w:val="18"/>
                <w:szCs w:val="18"/>
                <w:color w:val="auto"/>
              </w:rPr>
              <w:t xml:space="preserve">Effect of foreign currency translation </w:t>
            </w:r>
            <w:r>
              <w:rPr>
                <w:rFonts w:ascii="Arial" w:cs="Arial" w:eastAsia="Arial" w:hAnsi="Arial"/>
                <w:sz w:val="18"/>
                <w:szCs w:val="18"/>
                <w:i w:val="1"/>
                <w:iCs w:val="1"/>
                <w:color w:val="auto"/>
              </w:rPr>
              <w:t>(unaudited)</w:t>
            </w: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2.7</w:t>
            </w:r>
          </w:p>
        </w:tc>
        <w:tc>
          <w:tcPr>
            <w:tcW w:w="100" w:type="dxa"/>
            <w:vAlign w:val="bottom"/>
            <w:shd w:val="clear" w:color="auto" w:fill="CCEEFF"/>
          </w:tcPr>
          <w:p>
            <w:pPr>
              <w:spacing w:after="0"/>
              <w:rPr>
                <w:sz w:val="18"/>
                <w:szCs w:val="18"/>
                <w:color w:val="auto"/>
              </w:rPr>
            </w:pPr>
          </w:p>
        </w:tc>
        <w:tc>
          <w:tcPr>
            <w:tcW w:w="5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6340" w:type="dxa"/>
            <w:vAlign w:val="bottom"/>
            <w:gridSpan w:val="2"/>
          </w:tcPr>
          <w:p>
            <w:pPr>
              <w:ind w:left="1820"/>
              <w:spacing w:after="0"/>
              <w:rPr>
                <w:sz w:val="20"/>
                <w:szCs w:val="20"/>
                <w:color w:val="auto"/>
              </w:rPr>
            </w:pPr>
            <w:r>
              <w:rPr>
                <w:rFonts w:ascii="Arial" w:cs="Arial" w:eastAsia="Arial" w:hAnsi="Arial"/>
                <w:sz w:val="18"/>
                <w:szCs w:val="18"/>
                <w:color w:val="auto"/>
              </w:rPr>
              <w:t xml:space="preserve">Balance at September 30, 2017 </w:t>
            </w:r>
            <w:r>
              <w:rPr>
                <w:rFonts w:ascii="Arial" w:cs="Arial" w:eastAsia="Arial" w:hAnsi="Arial"/>
                <w:sz w:val="18"/>
                <w:szCs w:val="18"/>
                <w:i w:val="1"/>
                <w:iCs w:val="1"/>
                <w:color w:val="auto"/>
              </w:rPr>
              <w:t>(unaudited)</w:t>
            </w: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2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u w:val="single" w:color="auto"/>
                <w:color w:val="auto"/>
                <w:w w:val="88"/>
              </w:rPr>
              <w:t>$</w:t>
            </w:r>
            <w:r>
              <w:rPr>
                <w:rFonts w:ascii="Arial" w:cs="Arial" w:eastAsia="Arial" w:hAnsi="Arial"/>
                <w:sz w:val="18"/>
                <w:szCs w:val="18"/>
                <w:color w:val="auto"/>
                <w:w w:val="88"/>
              </w:rPr>
              <w:t>98.7</w:t>
            </w: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34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Note 8. Accrued and Other Current Liabilities</w:t>
            </w:r>
          </w:p>
        </w:tc>
        <w:tc>
          <w:tcPr>
            <w:tcW w:w="9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34"/>
        </w:trPr>
        <w:tc>
          <w:tcPr>
            <w:tcW w:w="6340" w:type="dxa"/>
            <w:vAlign w:val="bottom"/>
            <w:gridSpan w:val="2"/>
            <w:vMerge w:val="continue"/>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6340" w:type="dxa"/>
            <w:vAlign w:val="bottom"/>
            <w:gridSpan w:val="2"/>
          </w:tcPr>
          <w:p>
            <w:pPr>
              <w:ind w:left="460"/>
              <w:spacing w:after="0"/>
              <w:rPr>
                <w:sz w:val="20"/>
                <w:szCs w:val="20"/>
                <w:color w:val="auto"/>
              </w:rPr>
            </w:pPr>
            <w:r>
              <w:rPr>
                <w:rFonts w:ascii="Arial" w:cs="Arial" w:eastAsia="Arial" w:hAnsi="Arial"/>
                <w:sz w:val="18"/>
                <w:szCs w:val="18"/>
                <w:color w:val="auto"/>
              </w:rPr>
              <w:t>Accrued and other current liabilities consisted of the following:</w:t>
            </w: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1"/>
        </w:trPr>
        <w:tc>
          <w:tcPr>
            <w:tcW w:w="1820" w:type="dxa"/>
            <w:vAlign w:val="bottom"/>
          </w:tcPr>
          <w:p>
            <w:pPr>
              <w:spacing w:after="0"/>
              <w:rPr>
                <w:sz w:val="24"/>
                <w:szCs w:val="24"/>
                <w:color w:val="auto"/>
              </w:rPr>
            </w:pPr>
          </w:p>
        </w:tc>
        <w:tc>
          <w:tcPr>
            <w:tcW w:w="45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20" w:type="dxa"/>
            <w:vAlign w:val="bottom"/>
            <w:gridSpan w:val="8"/>
          </w:tcPr>
          <w:p>
            <w:pPr>
              <w:jc w:val="right"/>
              <w:ind w:right="580"/>
              <w:spacing w:after="0"/>
              <w:rPr>
                <w:sz w:val="20"/>
                <w:szCs w:val="20"/>
                <w:color w:val="auto"/>
              </w:rPr>
            </w:pPr>
            <w:r>
              <w:rPr>
                <w:rFonts w:ascii="Arial" w:cs="Arial" w:eastAsia="Arial" w:hAnsi="Arial"/>
                <w:sz w:val="14"/>
                <w:szCs w:val="14"/>
                <w:b w:val="1"/>
                <w:bCs w:val="1"/>
                <w:color w:val="auto"/>
              </w:rPr>
              <w:t>As of December 31,</w:t>
            </w:r>
          </w:p>
        </w:tc>
        <w:tc>
          <w:tcPr>
            <w:tcW w:w="520" w:type="dxa"/>
            <w:vAlign w:val="bottom"/>
          </w:tcPr>
          <w:p>
            <w:pPr>
              <w:spacing w:after="0"/>
              <w:rPr>
                <w:sz w:val="24"/>
                <w:szCs w:val="24"/>
                <w:color w:val="auto"/>
              </w:rPr>
            </w:pPr>
          </w:p>
        </w:tc>
        <w:tc>
          <w:tcPr>
            <w:tcW w:w="1280" w:type="dxa"/>
            <w:vAlign w:val="bottom"/>
            <w:gridSpan w:val="3"/>
          </w:tcPr>
          <w:p>
            <w:pPr>
              <w:spacing w:after="0"/>
              <w:rPr>
                <w:sz w:val="20"/>
                <w:szCs w:val="20"/>
                <w:color w:val="auto"/>
              </w:rPr>
            </w:pPr>
            <w:r>
              <w:rPr>
                <w:rFonts w:ascii="Arial" w:cs="Arial" w:eastAsia="Arial" w:hAnsi="Arial"/>
                <w:sz w:val="14"/>
                <w:szCs w:val="14"/>
                <w:b w:val="1"/>
                <w:bCs w:val="1"/>
                <w:color w:val="auto"/>
                <w:w w:val="93"/>
              </w:rPr>
              <w:t>As of September 30,</w:t>
            </w:r>
          </w:p>
        </w:tc>
        <w:tc>
          <w:tcPr>
            <w:tcW w:w="0" w:type="dxa"/>
            <w:vAlign w:val="bottom"/>
          </w:tcPr>
          <w:p>
            <w:pPr>
              <w:spacing w:after="0"/>
              <w:rPr>
                <w:sz w:val="1"/>
                <w:szCs w:val="1"/>
                <w:color w:val="auto"/>
              </w:rPr>
            </w:pPr>
          </w:p>
        </w:tc>
      </w:tr>
      <w:tr>
        <w:trPr>
          <w:trHeight w:val="142"/>
        </w:trPr>
        <w:tc>
          <w:tcPr>
            <w:tcW w:w="1820" w:type="dxa"/>
            <w:vAlign w:val="bottom"/>
          </w:tcPr>
          <w:p>
            <w:pPr>
              <w:spacing w:after="0"/>
              <w:rPr>
                <w:sz w:val="12"/>
                <w:szCs w:val="12"/>
                <w:color w:val="auto"/>
              </w:rPr>
            </w:pPr>
          </w:p>
        </w:tc>
        <w:tc>
          <w:tcPr>
            <w:tcW w:w="452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480" w:type="dxa"/>
            <w:vAlign w:val="bottom"/>
            <w:tcBorders>
              <w:top w:val="single" w:sz="8" w:color="auto"/>
              <w:bottom w:val="single" w:sz="8" w:color="auto"/>
            </w:tcBorders>
          </w:tcPr>
          <w:p>
            <w:pPr>
              <w:jc w:val="right"/>
              <w:ind w:right="73"/>
              <w:spacing w:after="0" w:line="142" w:lineRule="exact"/>
              <w:rPr>
                <w:sz w:val="20"/>
                <w:szCs w:val="20"/>
                <w:color w:val="auto"/>
              </w:rPr>
            </w:pPr>
            <w:r>
              <w:rPr>
                <w:rFonts w:ascii="Arial" w:cs="Arial" w:eastAsia="Arial" w:hAnsi="Arial"/>
                <w:sz w:val="14"/>
                <w:szCs w:val="14"/>
                <w:b w:val="1"/>
                <w:bCs w:val="1"/>
                <w:color w:val="auto"/>
                <w:w w:val="96"/>
              </w:rPr>
              <w:t>2015</w:t>
            </w:r>
          </w:p>
        </w:tc>
        <w:tc>
          <w:tcPr>
            <w:tcW w:w="360" w:type="dxa"/>
            <w:vAlign w:val="bottom"/>
            <w:tcBorders>
              <w:top w:val="single" w:sz="8" w:color="auto"/>
            </w:tcBorders>
          </w:tcPr>
          <w:p>
            <w:pPr>
              <w:spacing w:after="0"/>
              <w:rPr>
                <w:sz w:val="12"/>
                <w:szCs w:val="12"/>
                <w:color w:val="auto"/>
              </w:rPr>
            </w:pPr>
          </w:p>
        </w:tc>
        <w:tc>
          <w:tcPr>
            <w:tcW w:w="380" w:type="dxa"/>
            <w:vAlign w:val="bottom"/>
            <w:tcBorders>
              <w:top w:val="single" w:sz="8" w:color="auto"/>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460" w:type="dxa"/>
            <w:vAlign w:val="bottom"/>
            <w:tcBorders>
              <w:top w:val="single" w:sz="8" w:color="auto"/>
              <w:bottom w:val="single" w:sz="8" w:color="auto"/>
            </w:tcBorders>
            <w:gridSpan w:val="2"/>
          </w:tcPr>
          <w:p>
            <w:pPr>
              <w:jc w:val="right"/>
              <w:ind w:right="70"/>
              <w:spacing w:after="0" w:line="142" w:lineRule="exact"/>
              <w:rPr>
                <w:sz w:val="20"/>
                <w:szCs w:val="20"/>
                <w:color w:val="auto"/>
              </w:rPr>
            </w:pPr>
            <w:r>
              <w:rPr>
                <w:rFonts w:ascii="Arial" w:cs="Arial" w:eastAsia="Arial" w:hAnsi="Arial"/>
                <w:sz w:val="14"/>
                <w:szCs w:val="14"/>
                <w:b w:val="1"/>
                <w:bCs w:val="1"/>
                <w:color w:val="auto"/>
                <w:w w:val="89"/>
              </w:rPr>
              <w:t>2016</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80" w:type="dxa"/>
            <w:vAlign w:val="bottom"/>
            <w:tcBorders>
              <w:top w:val="single" w:sz="8" w:color="auto"/>
              <w:bottom w:val="single" w:sz="8" w:color="auto"/>
            </w:tcBorders>
          </w:tcPr>
          <w:p>
            <w:pPr>
              <w:spacing w:after="0"/>
              <w:rPr>
                <w:sz w:val="12"/>
                <w:szCs w:val="12"/>
                <w:color w:val="auto"/>
              </w:rPr>
            </w:pPr>
          </w:p>
        </w:tc>
        <w:tc>
          <w:tcPr>
            <w:tcW w:w="1040" w:type="dxa"/>
            <w:vAlign w:val="bottom"/>
            <w:tcBorders>
              <w:top w:val="single" w:sz="8" w:color="auto"/>
              <w:bottom w:val="single" w:sz="8" w:color="auto"/>
            </w:tcBorders>
          </w:tcPr>
          <w:p>
            <w:pPr>
              <w:jc w:val="right"/>
              <w:ind w:right="373"/>
              <w:spacing w:after="0" w:line="142" w:lineRule="exact"/>
              <w:rPr>
                <w:sz w:val="20"/>
                <w:szCs w:val="20"/>
                <w:color w:val="auto"/>
              </w:rPr>
            </w:pPr>
            <w:r>
              <w:rPr>
                <w:rFonts w:ascii="Arial" w:cs="Arial" w:eastAsia="Arial" w:hAnsi="Arial"/>
                <w:sz w:val="14"/>
                <w:szCs w:val="14"/>
                <w:b w:val="1"/>
                <w:bCs w:val="1"/>
                <w:color w:val="auto"/>
              </w:rPr>
              <w:t>2017</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1820" w:type="dxa"/>
            <w:vAlign w:val="bottom"/>
          </w:tcPr>
          <w:p>
            <w:pPr>
              <w:spacing w:after="0"/>
              <w:rPr>
                <w:sz w:val="12"/>
                <w:szCs w:val="12"/>
                <w:color w:val="auto"/>
              </w:rPr>
            </w:pPr>
          </w:p>
        </w:tc>
        <w:tc>
          <w:tcPr>
            <w:tcW w:w="452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40" w:type="dxa"/>
            <w:vAlign w:val="bottom"/>
          </w:tcPr>
          <w:p>
            <w:pPr>
              <w:jc w:val="center"/>
              <w:ind w:right="93"/>
              <w:spacing w:after="0" w:line="142" w:lineRule="exact"/>
              <w:rPr>
                <w:sz w:val="20"/>
                <w:szCs w:val="20"/>
                <w:color w:val="auto"/>
              </w:rPr>
            </w:pPr>
            <w:r>
              <w:rPr>
                <w:rFonts w:ascii="Arial" w:cs="Arial" w:eastAsia="Arial" w:hAnsi="Arial"/>
                <w:sz w:val="14"/>
                <w:szCs w:val="14"/>
                <w:i w:val="1"/>
                <w:iCs w:val="1"/>
                <w:color w:val="auto"/>
                <w:w w:val="95"/>
              </w:rPr>
              <w:t>(Unaudited)</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63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Non-income taxes payable</w:t>
            </w:r>
          </w:p>
        </w:tc>
        <w:tc>
          <w:tcPr>
            <w:tcW w:w="10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44.5</w:t>
            </w:r>
          </w:p>
        </w:tc>
        <w:tc>
          <w:tcPr>
            <w:tcW w:w="5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58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49.4</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ind w:left="52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61.7</w:t>
            </w:r>
          </w:p>
        </w:tc>
        <w:tc>
          <w:tcPr>
            <w:tcW w:w="0" w:type="dxa"/>
            <w:vAlign w:val="bottom"/>
          </w:tcPr>
          <w:p>
            <w:pPr>
              <w:spacing w:after="0"/>
              <w:rPr>
                <w:sz w:val="1"/>
                <w:szCs w:val="1"/>
                <w:color w:val="auto"/>
              </w:rPr>
            </w:pPr>
          </w:p>
        </w:tc>
      </w:tr>
      <w:tr>
        <w:trPr>
          <w:trHeight w:val="216"/>
        </w:trPr>
        <w:tc>
          <w:tcPr>
            <w:tcW w:w="6340" w:type="dxa"/>
            <w:vAlign w:val="bottom"/>
            <w:gridSpan w:val="2"/>
          </w:tcPr>
          <w:p>
            <w:pPr>
              <w:spacing w:after="0"/>
              <w:rPr>
                <w:sz w:val="20"/>
                <w:szCs w:val="20"/>
                <w:color w:val="auto"/>
              </w:rPr>
            </w:pPr>
            <w:r>
              <w:rPr>
                <w:rFonts w:ascii="Arial" w:cs="Arial" w:eastAsia="Arial" w:hAnsi="Arial"/>
                <w:sz w:val="18"/>
                <w:szCs w:val="18"/>
                <w:color w:val="auto"/>
              </w:rPr>
              <w:t>Accrued legal and other external fees</w:t>
            </w: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360"/>
              <w:spacing w:after="0"/>
              <w:rPr>
                <w:sz w:val="20"/>
                <w:szCs w:val="20"/>
                <w:color w:val="auto"/>
              </w:rPr>
            </w:pPr>
            <w:r>
              <w:rPr>
                <w:rFonts w:ascii="Arial" w:cs="Arial" w:eastAsia="Arial" w:hAnsi="Arial"/>
                <w:sz w:val="18"/>
                <w:szCs w:val="18"/>
                <w:color w:val="auto"/>
              </w:rPr>
              <w:t>17.6</w:t>
            </w:r>
          </w:p>
        </w:tc>
        <w:tc>
          <w:tcPr>
            <w:tcW w:w="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gridSpan w:val="3"/>
          </w:tcPr>
          <w:p>
            <w:pPr>
              <w:jc w:val="right"/>
              <w:ind w:right="120"/>
              <w:spacing w:after="0"/>
              <w:rPr>
                <w:sz w:val="20"/>
                <w:szCs w:val="20"/>
                <w:color w:val="auto"/>
              </w:rPr>
            </w:pPr>
            <w:r>
              <w:rPr>
                <w:rFonts w:ascii="Arial" w:cs="Arial" w:eastAsia="Arial" w:hAnsi="Arial"/>
                <w:sz w:val="18"/>
                <w:szCs w:val="18"/>
                <w:color w:val="auto"/>
              </w:rPr>
              <w:t>11.9</w:t>
            </w: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gridSpan w:val="2"/>
          </w:tcPr>
          <w:p>
            <w:pPr>
              <w:jc w:val="right"/>
              <w:ind w:right="60"/>
              <w:spacing w:after="0"/>
              <w:rPr>
                <w:sz w:val="20"/>
                <w:szCs w:val="20"/>
                <w:color w:val="auto"/>
              </w:rPr>
            </w:pPr>
            <w:r>
              <w:rPr>
                <w:rFonts w:ascii="Arial" w:cs="Arial" w:eastAsia="Arial" w:hAnsi="Arial"/>
                <w:sz w:val="18"/>
                <w:szCs w:val="18"/>
                <w:color w:val="auto"/>
              </w:rPr>
              <w:t>19.8</w:t>
            </w:r>
          </w:p>
        </w:tc>
        <w:tc>
          <w:tcPr>
            <w:tcW w:w="0" w:type="dxa"/>
            <w:vAlign w:val="bottom"/>
          </w:tcPr>
          <w:p>
            <w:pPr>
              <w:spacing w:after="0"/>
              <w:rPr>
                <w:sz w:val="1"/>
                <w:szCs w:val="1"/>
                <w:color w:val="auto"/>
              </w:rPr>
            </w:pPr>
          </w:p>
        </w:tc>
      </w:tr>
      <w:tr>
        <w:trPr>
          <w:trHeight w:val="216"/>
        </w:trPr>
        <w:tc>
          <w:tcPr>
            <w:tcW w:w="63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Deferred rent</w:t>
            </w: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5.7</w:t>
            </w:r>
          </w:p>
        </w:tc>
        <w:tc>
          <w:tcPr>
            <w:tcW w:w="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11.0</w:t>
            </w: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12.8</w:t>
            </w:r>
          </w:p>
        </w:tc>
        <w:tc>
          <w:tcPr>
            <w:tcW w:w="0" w:type="dxa"/>
            <w:vAlign w:val="bottom"/>
          </w:tcPr>
          <w:p>
            <w:pPr>
              <w:spacing w:after="0"/>
              <w:rPr>
                <w:sz w:val="1"/>
                <w:szCs w:val="1"/>
                <w:color w:val="auto"/>
              </w:rPr>
            </w:pPr>
          </w:p>
        </w:tc>
      </w:tr>
      <w:tr>
        <w:trPr>
          <w:trHeight w:val="216"/>
        </w:trPr>
        <w:tc>
          <w:tcPr>
            <w:tcW w:w="6340" w:type="dxa"/>
            <w:vAlign w:val="bottom"/>
            <w:gridSpan w:val="2"/>
          </w:tcPr>
          <w:p>
            <w:pPr>
              <w:spacing w:after="0"/>
              <w:rPr>
                <w:sz w:val="20"/>
                <w:szCs w:val="20"/>
                <w:color w:val="auto"/>
              </w:rPr>
            </w:pPr>
            <w:r>
              <w:rPr>
                <w:rFonts w:ascii="Arial" w:cs="Arial" w:eastAsia="Arial" w:hAnsi="Arial"/>
                <w:sz w:val="18"/>
                <w:szCs w:val="18"/>
                <w:color w:val="auto"/>
              </w:rPr>
              <w:t>Financing obligations, current</w:t>
            </w: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360"/>
              <w:spacing w:after="0"/>
              <w:rPr>
                <w:sz w:val="20"/>
                <w:szCs w:val="20"/>
                <w:color w:val="auto"/>
              </w:rPr>
            </w:pPr>
            <w:r>
              <w:rPr>
                <w:rFonts w:ascii="Arial" w:cs="Arial" w:eastAsia="Arial" w:hAnsi="Arial"/>
                <w:sz w:val="18"/>
                <w:szCs w:val="18"/>
                <w:color w:val="auto"/>
              </w:rPr>
              <w:t>10.1</w:t>
            </w:r>
          </w:p>
        </w:tc>
        <w:tc>
          <w:tcPr>
            <w:tcW w:w="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gridSpan w:val="3"/>
          </w:tcPr>
          <w:p>
            <w:pPr>
              <w:jc w:val="right"/>
              <w:ind w:right="120"/>
              <w:spacing w:after="0"/>
              <w:rPr>
                <w:sz w:val="20"/>
                <w:szCs w:val="20"/>
                <w:color w:val="auto"/>
              </w:rPr>
            </w:pPr>
            <w:r>
              <w:rPr>
                <w:rFonts w:ascii="Arial" w:cs="Arial" w:eastAsia="Arial" w:hAnsi="Arial"/>
                <w:sz w:val="18"/>
                <w:szCs w:val="18"/>
                <w:color w:val="auto"/>
              </w:rPr>
              <w:t>11.4</w:t>
            </w: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gridSpan w:val="2"/>
          </w:tcPr>
          <w:p>
            <w:pPr>
              <w:jc w:val="right"/>
              <w:ind w:right="60"/>
              <w:spacing w:after="0"/>
              <w:rPr>
                <w:sz w:val="20"/>
                <w:szCs w:val="20"/>
                <w:color w:val="auto"/>
              </w:rPr>
            </w:pPr>
            <w:r>
              <w:rPr>
                <w:rFonts w:ascii="Arial" w:cs="Arial" w:eastAsia="Arial" w:hAnsi="Arial"/>
                <w:sz w:val="18"/>
                <w:szCs w:val="18"/>
                <w:color w:val="auto"/>
              </w:rPr>
              <w:t>10.8</w:t>
            </w:r>
          </w:p>
        </w:tc>
        <w:tc>
          <w:tcPr>
            <w:tcW w:w="0" w:type="dxa"/>
            <w:vAlign w:val="bottom"/>
          </w:tcPr>
          <w:p>
            <w:pPr>
              <w:spacing w:after="0"/>
              <w:rPr>
                <w:sz w:val="1"/>
                <w:szCs w:val="1"/>
                <w:color w:val="auto"/>
              </w:rPr>
            </w:pPr>
          </w:p>
        </w:tc>
      </w:tr>
      <w:tr>
        <w:trPr>
          <w:trHeight w:val="216"/>
        </w:trPr>
        <w:tc>
          <w:tcPr>
            <w:tcW w:w="63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Accrued infrastructure costs</w:t>
            </w: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11.3</w:t>
            </w:r>
          </w:p>
        </w:tc>
        <w:tc>
          <w:tcPr>
            <w:tcW w:w="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1.9</w:t>
            </w: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7.2</w:t>
            </w:r>
          </w:p>
        </w:tc>
        <w:tc>
          <w:tcPr>
            <w:tcW w:w="0" w:type="dxa"/>
            <w:vAlign w:val="bottom"/>
          </w:tcPr>
          <w:p>
            <w:pPr>
              <w:spacing w:after="0"/>
              <w:rPr>
                <w:sz w:val="1"/>
                <w:szCs w:val="1"/>
                <w:color w:val="auto"/>
              </w:rPr>
            </w:pPr>
          </w:p>
        </w:tc>
      </w:tr>
      <w:tr>
        <w:trPr>
          <w:trHeight w:val="216"/>
        </w:trPr>
        <w:tc>
          <w:tcPr>
            <w:tcW w:w="6340" w:type="dxa"/>
            <w:vAlign w:val="bottom"/>
            <w:gridSpan w:val="2"/>
          </w:tcPr>
          <w:p>
            <w:pPr>
              <w:spacing w:after="0"/>
              <w:rPr>
                <w:sz w:val="20"/>
                <w:szCs w:val="20"/>
                <w:color w:val="auto"/>
              </w:rPr>
            </w:pPr>
            <w:r>
              <w:rPr>
                <w:rFonts w:ascii="Arial" w:cs="Arial" w:eastAsia="Arial" w:hAnsi="Arial"/>
                <w:sz w:val="18"/>
                <w:szCs w:val="18"/>
                <w:color w:val="auto"/>
              </w:rPr>
              <w:t>Accrued property and equipment purchases</w:t>
            </w: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360"/>
              <w:spacing w:after="0"/>
              <w:rPr>
                <w:sz w:val="20"/>
                <w:szCs w:val="20"/>
                <w:color w:val="auto"/>
              </w:rPr>
            </w:pPr>
            <w:r>
              <w:rPr>
                <w:rFonts w:ascii="Arial" w:cs="Arial" w:eastAsia="Arial" w:hAnsi="Arial"/>
                <w:sz w:val="18"/>
                <w:szCs w:val="18"/>
                <w:color w:val="auto"/>
              </w:rPr>
              <w:t>20.7</w:t>
            </w:r>
          </w:p>
        </w:tc>
        <w:tc>
          <w:tcPr>
            <w:tcW w:w="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gridSpan w:val="3"/>
          </w:tcPr>
          <w:p>
            <w:pPr>
              <w:jc w:val="right"/>
              <w:ind w:right="120"/>
              <w:spacing w:after="0"/>
              <w:rPr>
                <w:sz w:val="20"/>
                <w:szCs w:val="20"/>
                <w:color w:val="auto"/>
              </w:rPr>
            </w:pPr>
            <w:r>
              <w:rPr>
                <w:rFonts w:ascii="Arial" w:cs="Arial" w:eastAsia="Arial" w:hAnsi="Arial"/>
                <w:sz w:val="18"/>
                <w:szCs w:val="18"/>
                <w:color w:val="auto"/>
              </w:rPr>
              <w:t>5.8</w:t>
            </w: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gridSpan w:val="2"/>
          </w:tcPr>
          <w:p>
            <w:pPr>
              <w:jc w:val="right"/>
              <w:ind w:right="60"/>
              <w:spacing w:after="0"/>
              <w:rPr>
                <w:sz w:val="20"/>
                <w:szCs w:val="20"/>
                <w:color w:val="auto"/>
              </w:rPr>
            </w:pPr>
            <w:r>
              <w:rPr>
                <w:rFonts w:ascii="Arial" w:cs="Arial" w:eastAsia="Arial" w:hAnsi="Arial"/>
                <w:sz w:val="18"/>
                <w:szCs w:val="18"/>
                <w:color w:val="auto"/>
              </w:rPr>
              <w:t>3.4</w:t>
            </w:r>
          </w:p>
        </w:tc>
        <w:tc>
          <w:tcPr>
            <w:tcW w:w="0" w:type="dxa"/>
            <w:vAlign w:val="bottom"/>
          </w:tcPr>
          <w:p>
            <w:pPr>
              <w:spacing w:after="0"/>
              <w:rPr>
                <w:sz w:val="1"/>
                <w:szCs w:val="1"/>
                <w:color w:val="auto"/>
              </w:rPr>
            </w:pPr>
          </w:p>
        </w:tc>
      </w:tr>
      <w:tr>
        <w:trPr>
          <w:trHeight w:val="216"/>
        </w:trPr>
        <w:tc>
          <w:tcPr>
            <w:tcW w:w="63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Income taxes payable</w:t>
            </w: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0.3</w:t>
            </w:r>
          </w:p>
        </w:tc>
        <w:tc>
          <w:tcPr>
            <w:tcW w:w="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2.2</w:t>
            </w: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0.1</w:t>
            </w:r>
          </w:p>
        </w:tc>
        <w:tc>
          <w:tcPr>
            <w:tcW w:w="0" w:type="dxa"/>
            <w:vAlign w:val="bottom"/>
          </w:tcPr>
          <w:p>
            <w:pPr>
              <w:spacing w:after="0"/>
              <w:rPr>
                <w:sz w:val="1"/>
                <w:szCs w:val="1"/>
                <w:color w:val="auto"/>
              </w:rPr>
            </w:pPr>
          </w:p>
        </w:tc>
      </w:tr>
      <w:tr>
        <w:trPr>
          <w:trHeight w:val="216"/>
        </w:trPr>
        <w:tc>
          <w:tcPr>
            <w:tcW w:w="6340" w:type="dxa"/>
            <w:vAlign w:val="bottom"/>
            <w:gridSpan w:val="2"/>
          </w:tcPr>
          <w:p>
            <w:pPr>
              <w:spacing w:after="0"/>
              <w:rPr>
                <w:sz w:val="20"/>
                <w:szCs w:val="20"/>
                <w:color w:val="auto"/>
              </w:rPr>
            </w:pPr>
            <w:r>
              <w:rPr>
                <w:rFonts w:ascii="Arial" w:cs="Arial" w:eastAsia="Arial" w:hAnsi="Arial"/>
                <w:sz w:val="18"/>
                <w:szCs w:val="18"/>
                <w:color w:val="auto"/>
              </w:rPr>
              <w:t>Other accrued and current liabilities</w:t>
            </w: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8.0</w:t>
            </w:r>
          </w:p>
        </w:tc>
        <w:tc>
          <w:tcPr>
            <w:tcW w:w="3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gridSpan w:val="2"/>
          </w:tcPr>
          <w:p>
            <w:pPr>
              <w:jc w:val="right"/>
              <w:spacing w:after="0"/>
              <w:rPr>
                <w:sz w:val="20"/>
                <w:szCs w:val="20"/>
                <w:color w:val="auto"/>
              </w:rPr>
            </w:pPr>
            <w:r>
              <w:rPr>
                <w:rFonts w:ascii="Arial" w:cs="Arial" w:eastAsia="Arial" w:hAnsi="Arial"/>
                <w:sz w:val="18"/>
                <w:szCs w:val="18"/>
                <w:color w:val="auto"/>
              </w:rPr>
              <w:t>4.3</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gridSpan w:val="2"/>
          </w:tcPr>
          <w:p>
            <w:pPr>
              <w:jc w:val="right"/>
              <w:ind w:right="60"/>
              <w:spacing w:after="0"/>
              <w:rPr>
                <w:sz w:val="20"/>
                <w:szCs w:val="20"/>
                <w:color w:val="auto"/>
              </w:rPr>
            </w:pPr>
            <w:r>
              <w:rPr>
                <w:rFonts w:ascii="Arial" w:cs="Arial" w:eastAsia="Arial" w:hAnsi="Arial"/>
                <w:sz w:val="18"/>
                <w:szCs w:val="18"/>
                <w:color w:val="auto"/>
              </w:rPr>
              <w:t>7.9</w:t>
            </w:r>
          </w:p>
        </w:tc>
        <w:tc>
          <w:tcPr>
            <w:tcW w:w="0" w:type="dxa"/>
            <w:vAlign w:val="bottom"/>
          </w:tcPr>
          <w:p>
            <w:pPr>
              <w:spacing w:after="0"/>
              <w:rPr>
                <w:sz w:val="1"/>
                <w:szCs w:val="1"/>
                <w:color w:val="auto"/>
              </w:rPr>
            </w:pPr>
          </w:p>
        </w:tc>
      </w:tr>
      <w:tr>
        <w:trPr>
          <w:trHeight w:val="27"/>
        </w:trPr>
        <w:tc>
          <w:tcPr>
            <w:tcW w:w="1820" w:type="dxa"/>
            <w:vAlign w:val="bottom"/>
          </w:tcPr>
          <w:p>
            <w:pPr>
              <w:spacing w:after="0"/>
              <w:rPr>
                <w:sz w:val="2"/>
                <w:szCs w:val="2"/>
                <w:color w:val="auto"/>
              </w:rPr>
            </w:pPr>
          </w:p>
        </w:tc>
        <w:tc>
          <w:tcPr>
            <w:tcW w:w="452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63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accrued and other current liabilities</w:t>
            </w:r>
          </w:p>
        </w:tc>
        <w:tc>
          <w:tcPr>
            <w:tcW w:w="10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118.2</w:t>
            </w:r>
          </w:p>
        </w:tc>
        <w:tc>
          <w:tcPr>
            <w:tcW w:w="5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58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97.9</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ind w:left="52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123.7</w:t>
            </w:r>
          </w:p>
        </w:tc>
        <w:tc>
          <w:tcPr>
            <w:tcW w:w="0" w:type="dxa"/>
            <w:vAlign w:val="bottom"/>
          </w:tcPr>
          <w:p>
            <w:pPr>
              <w:spacing w:after="0"/>
              <w:rPr>
                <w:sz w:val="1"/>
                <w:szCs w:val="1"/>
                <w:color w:val="auto"/>
              </w:rPr>
            </w:pPr>
          </w:p>
        </w:tc>
      </w:tr>
      <w:tr>
        <w:trPr>
          <w:trHeight w:val="20"/>
        </w:trPr>
        <w:tc>
          <w:tcPr>
            <w:tcW w:w="1820" w:type="dxa"/>
            <w:vAlign w:val="bottom"/>
          </w:tcPr>
          <w:p>
            <w:pPr>
              <w:spacing w:after="0" w:line="20" w:lineRule="exact"/>
              <w:rPr>
                <w:sz w:val="1"/>
                <w:szCs w:val="1"/>
                <w:color w:val="auto"/>
              </w:rPr>
            </w:pPr>
          </w:p>
        </w:tc>
        <w:tc>
          <w:tcPr>
            <w:tcW w:w="45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9. Revolving Credit Agreement</w:t>
      </w:r>
    </w:p>
    <w:p>
      <w:pPr>
        <w:spacing w:after="0" w:line="121" w:lineRule="exact"/>
        <w:rPr>
          <w:sz w:val="20"/>
          <w:szCs w:val="20"/>
          <w:color w:val="auto"/>
        </w:rPr>
      </w:pPr>
    </w:p>
    <w:p>
      <w:pPr>
        <w:ind w:right="20" w:firstLine="449"/>
        <w:spacing w:after="0" w:line="255" w:lineRule="auto"/>
        <w:rPr>
          <w:sz w:val="20"/>
          <w:szCs w:val="20"/>
          <w:color w:val="auto"/>
        </w:rPr>
      </w:pPr>
      <w:r>
        <w:rPr>
          <w:rFonts w:ascii="Arial" w:cs="Arial" w:eastAsia="Arial" w:hAnsi="Arial"/>
          <w:sz w:val="18"/>
          <w:szCs w:val="18"/>
          <w:color w:val="auto"/>
        </w:rPr>
        <w:t>On April 3, 2017, the Company entered into an amended and restated credit and guaranty agreement which currently provides for a $600.0 million revolving loan facility (the “revolving credit facility”). The revolving credit facility has an accordion option, which, if exercised, would allow the Company to increase the aggregate commitments up to $150.0 million, subject to obtaining additional lender commitments and satisfying certain conditions. The revolving credit facility replaced its existing $500.0 million revolving credit facility that was set to expire on March 20, 2018 (the “2014 revolving credit facility”). In conjunction with the revolving credit facility, the Company paid upfront issuance fees of $2.6 million, which are being amortized over the five-year term of the agreement.</w:t>
      </w:r>
    </w:p>
    <w:p>
      <w:pPr>
        <w:spacing w:after="0" w:line="192" w:lineRule="exact"/>
        <w:rPr>
          <w:sz w:val="20"/>
          <w:szCs w:val="20"/>
          <w:color w:val="auto"/>
        </w:rPr>
      </w:pPr>
    </w:p>
    <w:p>
      <w:pPr>
        <w:ind w:right="60" w:firstLine="449"/>
        <w:spacing w:after="0" w:line="272" w:lineRule="auto"/>
        <w:rPr>
          <w:sz w:val="20"/>
          <w:szCs w:val="20"/>
          <w:color w:val="auto"/>
        </w:rPr>
      </w:pPr>
      <w:r>
        <w:rPr>
          <w:rFonts w:ascii="Arial" w:cs="Arial" w:eastAsia="Arial" w:hAnsi="Arial"/>
          <w:sz w:val="17"/>
          <w:szCs w:val="17"/>
          <w:color w:val="auto"/>
        </w:rPr>
        <w:t>Pursuant to the terms of the revolving credit facility, the Company may issue letters of credit under the revolving credit facility, which reduce the total amount available for borrowing. Pursuant to the terms of the revolving credit facility, the Company is required to pay an annual commitment fee that accrues at a rate of 0.20% per annum on the unused portion of the borrowing commitments under the revolving credit facility. In addition, the Company is required to pay a fee in connection with letters of credit issued under the revolving credit facility, which accrues at a rate of 1.5% per annum on the amount to be drawn under such letters of credit outstanding. There is an additional fronting fee of 0.125% per annum multiplied by the average aggregate daily maximum amount available to be drawn under all letters of credit. Borrowings under the revolving credit facility bear interest, at the Company’s option, at an annual rate based on LIBOR plus a spread of 1.50% or at an alternative base rate plus a spread of 0.50%.</w:t>
      </w:r>
    </w:p>
    <w:p>
      <w:pPr>
        <w:spacing w:after="0" w:line="1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F-22</w:t>
      </w:r>
    </w:p>
    <w:p>
      <w:pPr>
        <w:sectPr>
          <w:pgSz w:w="11900" w:h="16838" w:orient="portrait"/>
          <w:cols w:equalWidth="0" w:num="1">
            <w:col w:w="11240"/>
          </w:cols>
          <w:pgMar w:left="320" w:top="459" w:right="339" w:bottom="1440" w:gutter="0" w:footer="0" w:header="0"/>
        </w:sectPr>
      </w:pPr>
    </w:p>
    <w:bookmarkStart w:id="181" w:name="page182"/>
    <w:bookmarkEnd w:id="18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right="100" w:firstLine="449"/>
        <w:spacing w:after="0" w:line="296" w:lineRule="auto"/>
        <w:rPr>
          <w:sz w:val="20"/>
          <w:szCs w:val="20"/>
          <w:color w:val="auto"/>
        </w:rPr>
      </w:pPr>
      <w:r>
        <w:rPr>
          <w:rFonts w:ascii="Arial" w:cs="Arial" w:eastAsia="Arial" w:hAnsi="Arial"/>
          <w:sz w:val="16"/>
          <w:szCs w:val="16"/>
          <w:color w:val="auto"/>
        </w:rPr>
        <w:t>The revolving credit facility contains customary conditions to borrowing, events of default and covenants, including covenants that restrict the Company’s ability to incur indebtedness, grant liens, make distributions to holders of the Company or its subsidiaries’ equity interests, make investments, or engage in transactions with its affiliates. In addition, the revolving credit facility contains financial covenants, including a consolidated leverage ratio covenant and a minimum liquidity balance of $100.0 million, which includes any available borrowing capacity. The Company was in compliance with the covenants of the 2014 revolving credit facility as of December 31, 2015 and 2016, and the revolving credit facility as of September 30, 2017.</w:t>
      </w:r>
    </w:p>
    <w:p>
      <w:pPr>
        <w:spacing w:after="0" w:line="161" w:lineRule="exact"/>
        <w:rPr>
          <w:sz w:val="20"/>
          <w:szCs w:val="20"/>
          <w:color w:val="auto"/>
        </w:rPr>
      </w:pPr>
    </w:p>
    <w:p>
      <w:pPr>
        <w:ind w:firstLine="449"/>
        <w:spacing w:after="0" w:line="275" w:lineRule="auto"/>
        <w:rPr>
          <w:sz w:val="20"/>
          <w:szCs w:val="20"/>
          <w:color w:val="auto"/>
        </w:rPr>
      </w:pPr>
      <w:r>
        <w:rPr>
          <w:rFonts w:ascii="Arial" w:cs="Arial" w:eastAsia="Arial" w:hAnsi="Arial"/>
          <w:sz w:val="17"/>
          <w:szCs w:val="17"/>
          <w:color w:val="auto"/>
        </w:rPr>
        <w:t>As of December 31, 2015 and 2016, the Company had an aggregate of $50.7 million and $48.7 million of letters of credit outstanding under the 2014 revolving credit facility, respectively. As of September 30, 2017, the Company had an aggregate of $47.8 million of letters of credit outstanding under the revolving credit facility. The Company’s total available borrowing capacity under the 2014 revolving credit facility was $449.3 million and $451.3 million as of December 31, 2015 and 2016. The Company’s total available borrowing capacity under the revolving credit facility was $552.2 million as of September 30, 2017. The Company’s letters of credit expire between January of 2020 and April of 2022.</w:t>
      </w:r>
    </w:p>
    <w:p>
      <w:pPr>
        <w:spacing w:after="0" w:line="2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10. Commitments and Contingencies</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Leases</w:t>
      </w:r>
    </w:p>
    <w:p>
      <w:pPr>
        <w:spacing w:after="0" w:line="117" w:lineRule="exact"/>
        <w:rPr>
          <w:sz w:val="20"/>
          <w:szCs w:val="20"/>
          <w:color w:val="auto"/>
        </w:rPr>
      </w:pPr>
    </w:p>
    <w:p>
      <w:pPr>
        <w:ind w:right="160" w:firstLine="449"/>
        <w:spacing w:after="0" w:line="279" w:lineRule="auto"/>
        <w:rPr>
          <w:sz w:val="20"/>
          <w:szCs w:val="20"/>
          <w:color w:val="auto"/>
        </w:rPr>
      </w:pPr>
      <w:r>
        <w:rPr>
          <w:rFonts w:ascii="Arial" w:cs="Arial" w:eastAsia="Arial" w:hAnsi="Arial"/>
          <w:sz w:val="17"/>
          <w:szCs w:val="17"/>
          <w:color w:val="auto"/>
        </w:rPr>
        <w:t>The Company has entered into various non-cancelable operating lease agreements for certain offices and datacenters with contractual lease periods expiring at various dates through 2027. The facility lease agreements generally provide for escalating rental payments and for options to renew, which could increase future minimum lease payments if exercised. The Company recognizes rent expense on a straight-line basis over the lease period and accounts for the difference between straight-line rent and actual lease payments as deferred rent.</w:t>
      </w:r>
    </w:p>
    <w:p>
      <w:pPr>
        <w:spacing w:after="0" w:line="171" w:lineRule="exact"/>
        <w:rPr>
          <w:sz w:val="20"/>
          <w:szCs w:val="20"/>
          <w:color w:val="auto"/>
        </w:rPr>
      </w:pPr>
    </w:p>
    <w:p>
      <w:pPr>
        <w:ind w:firstLine="449"/>
        <w:spacing w:after="0" w:line="291" w:lineRule="auto"/>
        <w:rPr>
          <w:sz w:val="20"/>
          <w:szCs w:val="20"/>
          <w:color w:val="auto"/>
        </w:rPr>
      </w:pPr>
      <w:r>
        <w:rPr>
          <w:rFonts w:ascii="Arial" w:cs="Arial" w:eastAsia="Arial" w:hAnsi="Arial"/>
          <w:sz w:val="16"/>
          <w:szCs w:val="16"/>
          <w:color w:val="auto"/>
        </w:rPr>
        <w:t>Gross rent expense was $49.7 million, $67.9 million, $51.4 million, and $51.4 million for the years ended December 31, 2015 and 2016, and the nine months ended September 30, 2016 and 2017, respectively. Sublease income, which is recorded as a reduction of rental expense, was $0.1 million,</w:t>
      </w:r>
    </w:p>
    <w:p>
      <w:pPr>
        <w:ind w:right="60"/>
        <w:spacing w:after="0" w:line="255" w:lineRule="auto"/>
        <w:rPr>
          <w:sz w:val="20"/>
          <w:szCs w:val="20"/>
          <w:color w:val="auto"/>
        </w:rPr>
      </w:pPr>
      <w:r>
        <w:rPr>
          <w:rFonts w:ascii="Arial" w:cs="Arial" w:eastAsia="Arial" w:hAnsi="Arial"/>
          <w:sz w:val="18"/>
          <w:szCs w:val="18"/>
          <w:color w:val="auto"/>
        </w:rPr>
        <w:t>$4.5 million, $2.6 million, and $7.2 million for the years ended December 31, 2015 and 2016, and the nine months ended September 30, 2016 and 2017, respectively. Sublease income in excess of the Company’s original lease obligation is split with the original lessor per the terms of the sublease agreement, with the Company’s portion recorded to other income (expense), net.</w:t>
      </w:r>
    </w:p>
    <w:p>
      <w:pPr>
        <w:spacing w:after="0" w:line="190" w:lineRule="exact"/>
        <w:rPr>
          <w:sz w:val="20"/>
          <w:szCs w:val="20"/>
          <w:color w:val="auto"/>
        </w:rPr>
      </w:pPr>
    </w:p>
    <w:p>
      <w:pPr>
        <w:ind w:firstLine="449"/>
        <w:spacing w:after="0" w:line="269" w:lineRule="auto"/>
        <w:rPr>
          <w:sz w:val="20"/>
          <w:szCs w:val="20"/>
          <w:color w:val="auto"/>
        </w:rPr>
      </w:pPr>
      <w:r>
        <w:rPr>
          <w:rFonts w:ascii="Arial" w:cs="Arial" w:eastAsia="Arial" w:hAnsi="Arial"/>
          <w:sz w:val="17"/>
          <w:szCs w:val="17"/>
          <w:color w:val="auto"/>
        </w:rPr>
        <w:t>Other commitments include payments to third-party vendors for services related to the Company’s infrastructure, infrastructure warranty contracts, lease payments for its previous corporate headquarters, asset retirement obligations for office modifications, and a note payable related to financing of infrastructure. As described in Note 4, “Property and Equipment”, the Company is considered the deemed owner of a floor in its previous corporate headquarters, for accounting purposes, as part of a build-to-suit lease agreement. In June 2011, the Company initially recorded a building asset and an imputed financing obligation for its obligation to the legal owner in the amount of $36.6 million. In connection with this lease, the Company is obligated to pay $13.3 million in lease payments over the next three years as of December 31, 2016. The imputed financing obligation on the Company’s consolidated balance sheets totaled $30.6 million, $29.5 million, and $28.0 million at December 31, 2015 and 2016, and September 30, 2017, respectively. The current portion of the imputed financing obligation totaled $1.1 million, $2.4 million, and $2.5 million as of December 31, 2015 and 2016, and September 30, 2017, respectively, and is classified within accrued and other current liabilities. The non-current portion of the imputed financing obligation totaled $29.5 million, $27.1 million, and $25.5 million as of December 31, 2015 and 2016, and September 30, 2017, respectively, and is classified within other non-current liabilities.</w:t>
      </w:r>
    </w:p>
    <w:p>
      <w:pPr>
        <w:spacing w:after="0" w:line="182" w:lineRule="exact"/>
        <w:rPr>
          <w:sz w:val="20"/>
          <w:szCs w:val="20"/>
          <w:color w:val="auto"/>
        </w:rPr>
      </w:pPr>
    </w:p>
    <w:p>
      <w:pPr>
        <w:ind w:firstLine="449"/>
        <w:spacing w:after="0" w:line="277" w:lineRule="auto"/>
        <w:rPr>
          <w:sz w:val="20"/>
          <w:szCs w:val="20"/>
          <w:color w:val="auto"/>
        </w:rPr>
      </w:pPr>
      <w:r>
        <w:rPr>
          <w:rFonts w:ascii="Arial" w:cs="Arial" w:eastAsia="Arial" w:hAnsi="Arial"/>
          <w:sz w:val="18"/>
          <w:szCs w:val="18"/>
          <w:color w:val="auto"/>
        </w:rPr>
        <w:t>In 2016, the Company entered into a sale-leaseback agreement with a vendor for infrastructure. As a result of the transaction, it received $8.8 million in proceeds. Payments including interest towards the leaseback</w:t>
      </w:r>
    </w:p>
    <w:p>
      <w:pPr>
        <w:spacing w:after="0" w:line="10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F-23</w:t>
      </w:r>
    </w:p>
    <w:p>
      <w:pPr>
        <w:sectPr>
          <w:pgSz w:w="11900" w:h="16838" w:orient="portrait"/>
          <w:cols w:equalWidth="0" w:num="1">
            <w:col w:w="11200"/>
          </w:cols>
          <w:pgMar w:left="320" w:top="459" w:right="379" w:bottom="1440" w:gutter="0" w:footer="0" w:header="0"/>
        </w:sectPr>
      </w:pPr>
    </w:p>
    <w:bookmarkStart w:id="182" w:name="page183"/>
    <w:bookmarkEnd w:id="18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spacing w:after="0" w:line="263" w:lineRule="auto"/>
        <w:rPr>
          <w:sz w:val="20"/>
          <w:szCs w:val="20"/>
          <w:color w:val="auto"/>
        </w:rPr>
      </w:pPr>
      <w:r>
        <w:rPr>
          <w:rFonts w:ascii="Arial" w:cs="Arial" w:eastAsia="Arial" w:hAnsi="Arial"/>
          <w:sz w:val="18"/>
          <w:szCs w:val="18"/>
          <w:color w:val="auto"/>
        </w:rPr>
        <w:t>arrangement totaled $1.3 million, $0.6 million, and $1.9 million for the year ended December 31, 2016, and the nine months ended September 30, 2016 and 2017, respectively. The total remaining obligation including interest was $8.8 million and $6.9 million as of December 31, 2016, and September 30, 2017, respectively. The obligation is included in capital lease commitments in the table below.</w:t>
      </w:r>
    </w:p>
    <w:p>
      <w:pPr>
        <w:spacing w:after="0" w:line="184" w:lineRule="exact"/>
        <w:rPr>
          <w:sz w:val="20"/>
          <w:szCs w:val="20"/>
          <w:color w:val="auto"/>
        </w:rPr>
      </w:pPr>
    </w:p>
    <w:p>
      <w:pPr>
        <w:ind w:right="160" w:firstLine="449"/>
        <w:spacing w:after="0" w:line="255" w:lineRule="auto"/>
        <w:rPr>
          <w:sz w:val="20"/>
          <w:szCs w:val="20"/>
          <w:color w:val="auto"/>
        </w:rPr>
      </w:pPr>
      <w:r>
        <w:rPr>
          <w:rFonts w:ascii="Arial" w:cs="Arial" w:eastAsia="Arial" w:hAnsi="Arial"/>
          <w:sz w:val="18"/>
          <w:szCs w:val="18"/>
          <w:color w:val="auto"/>
        </w:rPr>
        <w:t>In 2015, the Company entered into a note payable arrangement with a vendor to finance infrastructure totaling $11.9 million. The note payable is classified within accrued and other current liabilities and other non-current liabilities. The term of the arrangement is thirty-six months and will end in the fourth quarter of 2018. Payments towards the note payable totaled $0.7 million, $4.3 million, $3.2 million, and $3.2 million for the years ended December 31, 2015 and 2016, and the nine months ended September 30, 2016 and 2017, respectively. The total remaining obligation was $11.3 million, $7.5 million, and $4.5 million as of December 31, 2015 and 2016, and September 30, 2017, respectively. The note payable is included in other commitments in the table below.</w:t>
      </w:r>
    </w:p>
    <w:p>
      <w:pPr>
        <w:spacing w:after="0" w:line="192" w:lineRule="exact"/>
        <w:rPr>
          <w:sz w:val="20"/>
          <w:szCs w:val="20"/>
          <w:color w:val="auto"/>
        </w:rPr>
      </w:pPr>
    </w:p>
    <w:p>
      <w:pPr>
        <w:ind w:right="80" w:firstLine="449"/>
        <w:spacing w:after="0" w:line="277" w:lineRule="auto"/>
        <w:rPr>
          <w:sz w:val="20"/>
          <w:szCs w:val="20"/>
          <w:color w:val="auto"/>
        </w:rPr>
      </w:pPr>
      <w:r>
        <w:rPr>
          <w:rFonts w:ascii="Arial" w:cs="Arial" w:eastAsia="Arial" w:hAnsi="Arial"/>
          <w:sz w:val="18"/>
          <w:szCs w:val="18"/>
          <w:color w:val="auto"/>
        </w:rPr>
        <w:t>Future minimum payments under the Company’s non-cancelable leases, financing obligations, and other commitments as of December 31, 2016, are as follows, and exclude sub-lease income:</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8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60" w:type="dxa"/>
            <w:vAlign w:val="bottom"/>
            <w:gridSpan w:val="2"/>
          </w:tcPr>
          <w:p>
            <w:pPr>
              <w:jc w:val="right"/>
              <w:ind w:right="640"/>
              <w:spacing w:after="0"/>
              <w:rPr>
                <w:sz w:val="20"/>
                <w:szCs w:val="20"/>
                <w:color w:val="auto"/>
              </w:rPr>
            </w:pPr>
            <w:r>
              <w:rPr>
                <w:rFonts w:ascii="Arial" w:cs="Arial" w:eastAsia="Arial" w:hAnsi="Arial"/>
                <w:sz w:val="14"/>
                <w:szCs w:val="14"/>
                <w:b w:val="1"/>
                <w:bCs w:val="1"/>
                <w:color w:val="auto"/>
              </w:rPr>
              <w:t>Capital</w:t>
            </w:r>
          </w:p>
        </w:tc>
        <w:tc>
          <w:tcPr>
            <w:tcW w:w="4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60" w:type="dxa"/>
            <w:vAlign w:val="bottom"/>
            <w:gridSpan w:val="2"/>
          </w:tcPr>
          <w:p>
            <w:pPr>
              <w:jc w:val="center"/>
              <w:ind w:right="920"/>
              <w:spacing w:after="0"/>
              <w:rPr>
                <w:sz w:val="20"/>
                <w:szCs w:val="20"/>
                <w:color w:val="auto"/>
              </w:rPr>
            </w:pPr>
            <w:r>
              <w:rPr>
                <w:rFonts w:ascii="Arial" w:cs="Arial" w:eastAsia="Arial" w:hAnsi="Arial"/>
                <w:sz w:val="14"/>
                <w:szCs w:val="14"/>
                <w:b w:val="1"/>
                <w:bCs w:val="1"/>
                <w:color w:val="auto"/>
                <w:w w:val="93"/>
              </w:rPr>
              <w:t>Operating</w:t>
            </w:r>
          </w:p>
        </w:tc>
        <w:tc>
          <w:tcPr>
            <w:tcW w:w="180" w:type="dxa"/>
            <w:vAlign w:val="bottom"/>
          </w:tcPr>
          <w:p>
            <w:pPr>
              <w:spacing w:after="0"/>
              <w:rPr>
                <w:sz w:val="14"/>
                <w:szCs w:val="14"/>
                <w:color w:val="auto"/>
              </w:rPr>
            </w:pPr>
          </w:p>
        </w:tc>
        <w:tc>
          <w:tcPr>
            <w:tcW w:w="720" w:type="dxa"/>
            <w:vAlign w:val="bottom"/>
            <w:gridSpan w:val="2"/>
            <w:vMerge w:val="restart"/>
          </w:tcPr>
          <w:p>
            <w:pPr>
              <w:jc w:val="right"/>
              <w:ind w:right="280"/>
              <w:spacing w:after="0"/>
              <w:rPr>
                <w:sz w:val="20"/>
                <w:szCs w:val="20"/>
                <w:color w:val="auto"/>
              </w:rPr>
            </w:pPr>
            <w:r>
              <w:rPr>
                <w:rFonts w:ascii="Arial" w:cs="Arial" w:eastAsia="Arial" w:hAnsi="Arial"/>
                <w:sz w:val="14"/>
                <w:szCs w:val="14"/>
                <w:b w:val="1"/>
                <w:bCs w:val="1"/>
                <w:color w:val="auto"/>
              </w:rPr>
              <w:t>Other</w:t>
            </w:r>
          </w:p>
        </w:tc>
        <w:tc>
          <w:tcPr>
            <w:tcW w:w="0" w:type="dxa"/>
            <w:vAlign w:val="bottom"/>
          </w:tcPr>
          <w:p>
            <w:pPr>
              <w:spacing w:after="0"/>
              <w:rPr>
                <w:sz w:val="1"/>
                <w:szCs w:val="1"/>
                <w:color w:val="auto"/>
              </w:rPr>
            </w:pPr>
          </w:p>
        </w:tc>
      </w:tr>
      <w:tr>
        <w:trPr>
          <w:trHeight w:val="149"/>
        </w:trPr>
        <w:tc>
          <w:tcPr>
            <w:tcW w:w="68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60" w:type="dxa"/>
            <w:vAlign w:val="bottom"/>
            <w:gridSpan w:val="2"/>
          </w:tcPr>
          <w:p>
            <w:pPr>
              <w:jc w:val="right"/>
              <w:ind w:right="720"/>
              <w:spacing w:after="0" w:line="149" w:lineRule="exact"/>
              <w:rPr>
                <w:sz w:val="20"/>
                <w:szCs w:val="20"/>
                <w:color w:val="auto"/>
              </w:rPr>
            </w:pPr>
            <w:r>
              <w:rPr>
                <w:rFonts w:ascii="Arial" w:cs="Arial" w:eastAsia="Arial" w:hAnsi="Arial"/>
                <w:sz w:val="14"/>
                <w:szCs w:val="14"/>
                <w:b w:val="1"/>
                <w:bCs w:val="1"/>
                <w:color w:val="auto"/>
              </w:rPr>
              <w:t>lease</w:t>
            </w:r>
          </w:p>
        </w:tc>
        <w:tc>
          <w:tcPr>
            <w:tcW w:w="4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60" w:type="dxa"/>
            <w:vAlign w:val="bottom"/>
            <w:gridSpan w:val="2"/>
          </w:tcPr>
          <w:p>
            <w:pPr>
              <w:jc w:val="center"/>
              <w:ind w:right="920"/>
              <w:spacing w:after="0" w:line="149" w:lineRule="exact"/>
              <w:rPr>
                <w:sz w:val="20"/>
                <w:szCs w:val="20"/>
                <w:color w:val="auto"/>
              </w:rPr>
            </w:pPr>
            <w:r>
              <w:rPr>
                <w:rFonts w:ascii="Arial" w:cs="Arial" w:eastAsia="Arial" w:hAnsi="Arial"/>
                <w:sz w:val="14"/>
                <w:szCs w:val="14"/>
                <w:b w:val="1"/>
                <w:bCs w:val="1"/>
                <w:color w:val="auto"/>
                <w:w w:val="85"/>
              </w:rPr>
              <w:t>lease</w:t>
            </w:r>
          </w:p>
        </w:tc>
        <w:tc>
          <w:tcPr>
            <w:tcW w:w="180" w:type="dxa"/>
            <w:vAlign w:val="bottom"/>
          </w:tcPr>
          <w:p>
            <w:pPr>
              <w:spacing w:after="0"/>
              <w:rPr>
                <w:sz w:val="12"/>
                <w:szCs w:val="12"/>
                <w:color w:val="auto"/>
              </w:rPr>
            </w:pPr>
          </w:p>
        </w:tc>
        <w:tc>
          <w:tcPr>
            <w:tcW w:w="72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6860" w:type="dxa"/>
            <w:vAlign w:val="bottom"/>
          </w:tcPr>
          <w:p>
            <w:pPr>
              <w:spacing w:after="0"/>
              <w:rPr>
                <w:sz w:val="14"/>
                <w:szCs w:val="14"/>
                <w:color w:val="auto"/>
              </w:rPr>
            </w:pPr>
          </w:p>
        </w:tc>
        <w:tc>
          <w:tcPr>
            <w:tcW w:w="1300" w:type="dxa"/>
            <w:vAlign w:val="bottom"/>
            <w:gridSpan w:val="3"/>
          </w:tcPr>
          <w:p>
            <w:pPr>
              <w:spacing w:after="0"/>
              <w:rPr>
                <w:sz w:val="20"/>
                <w:szCs w:val="20"/>
                <w:color w:val="auto"/>
              </w:rPr>
            </w:pPr>
            <w:r>
              <w:rPr>
                <w:rFonts w:ascii="Arial" w:cs="Arial" w:eastAsia="Arial" w:hAnsi="Arial"/>
                <w:sz w:val="14"/>
                <w:szCs w:val="14"/>
                <w:b w:val="1"/>
                <w:bCs w:val="1"/>
                <w:color w:val="auto"/>
              </w:rPr>
              <w:t>commitments</w:t>
            </w:r>
          </w:p>
        </w:tc>
        <w:tc>
          <w:tcPr>
            <w:tcW w:w="400" w:type="dxa"/>
            <w:vAlign w:val="bottom"/>
          </w:tcPr>
          <w:p>
            <w:pPr>
              <w:spacing w:after="0"/>
              <w:rPr>
                <w:sz w:val="14"/>
                <w:szCs w:val="14"/>
                <w:color w:val="auto"/>
              </w:rPr>
            </w:pPr>
          </w:p>
        </w:tc>
        <w:tc>
          <w:tcPr>
            <w:tcW w:w="1780" w:type="dxa"/>
            <w:vAlign w:val="bottom"/>
            <w:gridSpan w:val="3"/>
          </w:tcPr>
          <w:p>
            <w:pPr>
              <w:spacing w:after="0"/>
              <w:rPr>
                <w:sz w:val="20"/>
                <w:szCs w:val="20"/>
                <w:color w:val="auto"/>
              </w:rPr>
            </w:pPr>
            <w:r>
              <w:rPr>
                <w:rFonts w:ascii="Arial" w:cs="Arial" w:eastAsia="Arial" w:hAnsi="Arial"/>
                <w:sz w:val="14"/>
                <w:szCs w:val="14"/>
                <w:b w:val="1"/>
                <w:bCs w:val="1"/>
                <w:color w:val="auto"/>
              </w:rPr>
              <w:t>commitments</w:t>
            </w:r>
            <w:r>
              <w:rPr>
                <w:rFonts w:ascii="Arial" w:cs="Arial" w:eastAsia="Arial" w:hAnsi="Arial"/>
                <w:sz w:val="12"/>
                <w:szCs w:val="12"/>
                <w:b w:val="1"/>
                <w:bCs w:val="1"/>
                <w:color w:val="auto"/>
              </w:rPr>
              <w:t>(1)</w:t>
            </w:r>
          </w:p>
        </w:tc>
        <w:tc>
          <w:tcPr>
            <w:tcW w:w="900" w:type="dxa"/>
            <w:vAlign w:val="bottom"/>
            <w:gridSpan w:val="3"/>
          </w:tcPr>
          <w:p>
            <w:pPr>
              <w:ind w:left="20"/>
              <w:spacing w:after="0"/>
              <w:rPr>
                <w:sz w:val="20"/>
                <w:szCs w:val="20"/>
                <w:color w:val="auto"/>
              </w:rPr>
            </w:pPr>
            <w:r>
              <w:rPr>
                <w:rFonts w:ascii="Arial" w:cs="Arial" w:eastAsia="Arial" w:hAnsi="Arial"/>
                <w:sz w:val="14"/>
                <w:szCs w:val="14"/>
                <w:b w:val="1"/>
                <w:bCs w:val="1"/>
                <w:color w:val="auto"/>
                <w:w w:val="94"/>
              </w:rPr>
              <w:t>commitments</w:t>
            </w:r>
          </w:p>
        </w:tc>
        <w:tc>
          <w:tcPr>
            <w:tcW w:w="0" w:type="dxa"/>
            <w:vAlign w:val="bottom"/>
          </w:tcPr>
          <w:p>
            <w:pPr>
              <w:spacing w:after="0"/>
              <w:rPr>
                <w:sz w:val="1"/>
                <w:szCs w:val="1"/>
                <w:color w:val="auto"/>
              </w:rPr>
            </w:pPr>
          </w:p>
        </w:tc>
      </w:tr>
      <w:tr>
        <w:trPr>
          <w:trHeight w:val="196"/>
        </w:trPr>
        <w:tc>
          <w:tcPr>
            <w:tcW w:w="686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Year ended December 31:</w:t>
            </w:r>
          </w:p>
        </w:tc>
        <w:tc>
          <w:tcPr>
            <w:tcW w:w="140" w:type="dxa"/>
            <w:vAlign w:val="bottom"/>
            <w:tcBorders>
              <w:top w:val="single" w:sz="8" w:color="auto"/>
            </w:tcBorders>
            <w:shd w:val="clear" w:color="auto" w:fill="CCEEFF"/>
          </w:tcPr>
          <w:p>
            <w:pPr>
              <w:spacing w:after="0"/>
              <w:rPr>
                <w:sz w:val="17"/>
                <w:szCs w:val="17"/>
                <w:color w:val="auto"/>
              </w:rPr>
            </w:pPr>
          </w:p>
        </w:tc>
        <w:tc>
          <w:tcPr>
            <w:tcW w:w="700" w:type="dxa"/>
            <w:vAlign w:val="bottom"/>
            <w:tcBorders>
              <w:top w:val="single" w:sz="8" w:color="auto"/>
            </w:tcBorders>
            <w:shd w:val="clear" w:color="auto" w:fill="CCEEFF"/>
          </w:tcPr>
          <w:p>
            <w:pPr>
              <w:spacing w:after="0"/>
              <w:rPr>
                <w:sz w:val="17"/>
                <w:szCs w:val="17"/>
                <w:color w:val="auto"/>
              </w:rPr>
            </w:pPr>
          </w:p>
        </w:tc>
        <w:tc>
          <w:tcPr>
            <w:tcW w:w="460" w:type="dxa"/>
            <w:vAlign w:val="bottom"/>
            <w:tcBorders>
              <w:top w:val="single" w:sz="8" w:color="CCEEFF"/>
            </w:tcBorders>
            <w:shd w:val="clear" w:color="auto" w:fill="CCEEFF"/>
          </w:tcPr>
          <w:p>
            <w:pPr>
              <w:spacing w:after="0"/>
              <w:rPr>
                <w:sz w:val="17"/>
                <w:szCs w:val="17"/>
                <w:color w:val="auto"/>
              </w:rPr>
            </w:pPr>
          </w:p>
        </w:tc>
        <w:tc>
          <w:tcPr>
            <w:tcW w:w="4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860" w:type="dxa"/>
            <w:vAlign w:val="bottom"/>
            <w:tcBorders>
              <w:top w:val="single" w:sz="8" w:color="auto"/>
            </w:tcBorders>
            <w:shd w:val="clear" w:color="auto" w:fill="CCEEFF"/>
          </w:tcPr>
          <w:p>
            <w:pPr>
              <w:spacing w:after="0"/>
              <w:rPr>
                <w:sz w:val="17"/>
                <w:szCs w:val="17"/>
                <w:color w:val="auto"/>
              </w:rPr>
            </w:pPr>
          </w:p>
        </w:tc>
        <w:tc>
          <w:tcPr>
            <w:tcW w:w="80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660" w:type="dxa"/>
            <w:vAlign w:val="bottom"/>
            <w:tcBorders>
              <w:top w:val="single" w:sz="8" w:color="auto"/>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860" w:type="dxa"/>
            <w:vAlign w:val="bottom"/>
          </w:tcPr>
          <w:p>
            <w:pPr>
              <w:spacing w:after="0"/>
              <w:rPr>
                <w:sz w:val="20"/>
                <w:szCs w:val="20"/>
                <w:color w:val="auto"/>
              </w:rPr>
            </w:pPr>
            <w:r>
              <w:rPr>
                <w:rFonts w:ascii="Arial" w:cs="Arial" w:eastAsia="Arial" w:hAnsi="Arial"/>
                <w:sz w:val="18"/>
                <w:szCs w:val="18"/>
                <w:color w:val="auto"/>
              </w:rPr>
              <w:t>2017</w:t>
            </w: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460"/>
              <w:spacing w:after="0"/>
              <w:rPr>
                <w:sz w:val="20"/>
                <w:szCs w:val="20"/>
                <w:color w:val="auto"/>
              </w:rPr>
            </w:pPr>
            <w:r>
              <w:rPr>
                <w:rFonts w:ascii="Arial" w:cs="Arial" w:eastAsia="Arial" w:hAnsi="Arial"/>
                <w:sz w:val="18"/>
                <w:szCs w:val="18"/>
                <w:color w:val="auto"/>
              </w:rPr>
              <w:t>136.9</w:t>
            </w:r>
          </w:p>
        </w:tc>
        <w:tc>
          <w:tcPr>
            <w:tcW w:w="520" w:type="dxa"/>
            <w:vAlign w:val="bottom"/>
            <w:gridSpan w:val="2"/>
          </w:tcPr>
          <w:p>
            <w:pPr>
              <w:ind w:left="400"/>
              <w:spacing w:after="0"/>
              <w:rPr>
                <w:sz w:val="20"/>
                <w:szCs w:val="20"/>
                <w:color w:val="auto"/>
              </w:rPr>
            </w:pPr>
            <w:r>
              <w:rPr>
                <w:rFonts w:ascii="Arial" w:cs="Arial" w:eastAsia="Arial" w:hAnsi="Arial"/>
                <w:sz w:val="18"/>
                <w:szCs w:val="18"/>
                <w:color w:val="auto"/>
                <w:w w:val="99"/>
              </w:rPr>
              <w:t>$</w:t>
            </w:r>
          </w:p>
        </w:tc>
        <w:tc>
          <w:tcPr>
            <w:tcW w:w="1660" w:type="dxa"/>
            <w:vAlign w:val="bottom"/>
            <w:gridSpan w:val="2"/>
          </w:tcPr>
          <w:p>
            <w:pPr>
              <w:jc w:val="right"/>
              <w:ind w:right="800"/>
              <w:spacing w:after="0"/>
              <w:rPr>
                <w:sz w:val="20"/>
                <w:szCs w:val="20"/>
                <w:color w:val="auto"/>
              </w:rPr>
            </w:pPr>
            <w:r>
              <w:rPr>
                <w:rFonts w:ascii="Arial" w:cs="Arial" w:eastAsia="Arial" w:hAnsi="Arial"/>
                <w:sz w:val="18"/>
                <w:szCs w:val="18"/>
                <w:color w:val="auto"/>
              </w:rPr>
              <w:t>74.7</w:t>
            </w: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720" w:type="dxa"/>
            <w:vAlign w:val="bottom"/>
            <w:gridSpan w:val="2"/>
          </w:tcPr>
          <w:p>
            <w:pPr>
              <w:jc w:val="right"/>
              <w:ind w:right="60"/>
              <w:spacing w:after="0"/>
              <w:rPr>
                <w:sz w:val="20"/>
                <w:szCs w:val="20"/>
                <w:color w:val="auto"/>
              </w:rPr>
            </w:pPr>
            <w:r>
              <w:rPr>
                <w:rFonts w:ascii="Arial" w:cs="Arial" w:eastAsia="Arial" w:hAnsi="Arial"/>
                <w:sz w:val="18"/>
                <w:szCs w:val="18"/>
                <w:color w:val="auto"/>
              </w:rPr>
              <w:t>45.5</w:t>
            </w:r>
          </w:p>
        </w:tc>
        <w:tc>
          <w:tcPr>
            <w:tcW w:w="0" w:type="dxa"/>
            <w:vAlign w:val="bottom"/>
          </w:tcPr>
          <w:p>
            <w:pPr>
              <w:spacing w:after="0"/>
              <w:rPr>
                <w:sz w:val="1"/>
                <w:szCs w:val="1"/>
                <w:color w:val="auto"/>
              </w:rPr>
            </w:pPr>
          </w:p>
        </w:tc>
      </w:tr>
      <w:tr>
        <w:trPr>
          <w:trHeight w:val="216"/>
        </w:trPr>
        <w:tc>
          <w:tcPr>
            <w:tcW w:w="6860" w:type="dxa"/>
            <w:vAlign w:val="bottom"/>
            <w:shd w:val="clear" w:color="auto" w:fill="CCEEFF"/>
          </w:tcPr>
          <w:p>
            <w:pPr>
              <w:spacing w:after="0"/>
              <w:rPr>
                <w:sz w:val="20"/>
                <w:szCs w:val="20"/>
                <w:color w:val="auto"/>
              </w:rPr>
            </w:pPr>
            <w:r>
              <w:rPr>
                <w:rFonts w:ascii="Arial" w:cs="Arial" w:eastAsia="Arial" w:hAnsi="Arial"/>
                <w:sz w:val="18"/>
                <w:szCs w:val="18"/>
                <w:color w:val="auto"/>
              </w:rPr>
              <w:t>2018</w:t>
            </w:r>
          </w:p>
        </w:tc>
        <w:tc>
          <w:tcPr>
            <w:tcW w:w="14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91.0</w:t>
            </w:r>
          </w:p>
        </w:tc>
        <w:tc>
          <w:tcPr>
            <w:tcW w:w="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60" w:type="dxa"/>
            <w:vAlign w:val="bottom"/>
            <w:gridSpan w:val="2"/>
            <w:shd w:val="clear" w:color="auto" w:fill="CCEEFF"/>
          </w:tcPr>
          <w:p>
            <w:pPr>
              <w:jc w:val="right"/>
              <w:ind w:right="800"/>
              <w:spacing w:after="0"/>
              <w:rPr>
                <w:sz w:val="20"/>
                <w:szCs w:val="20"/>
                <w:color w:val="auto"/>
              </w:rPr>
            </w:pPr>
            <w:r>
              <w:rPr>
                <w:rFonts w:ascii="Arial" w:cs="Arial" w:eastAsia="Arial" w:hAnsi="Arial"/>
                <w:sz w:val="18"/>
                <w:szCs w:val="18"/>
                <w:color w:val="auto"/>
              </w:rPr>
              <w:t>77.0</w:t>
            </w:r>
          </w:p>
        </w:tc>
        <w:tc>
          <w:tcPr>
            <w:tcW w:w="1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17.6</w:t>
            </w:r>
          </w:p>
        </w:tc>
        <w:tc>
          <w:tcPr>
            <w:tcW w:w="0" w:type="dxa"/>
            <w:vAlign w:val="bottom"/>
          </w:tcPr>
          <w:p>
            <w:pPr>
              <w:spacing w:after="0"/>
              <w:rPr>
                <w:sz w:val="1"/>
                <w:szCs w:val="1"/>
                <w:color w:val="auto"/>
              </w:rPr>
            </w:pPr>
          </w:p>
        </w:tc>
      </w:tr>
      <w:tr>
        <w:trPr>
          <w:trHeight w:val="216"/>
        </w:trPr>
        <w:tc>
          <w:tcPr>
            <w:tcW w:w="6860" w:type="dxa"/>
            <w:vAlign w:val="bottom"/>
          </w:tcPr>
          <w:p>
            <w:pPr>
              <w:spacing w:after="0"/>
              <w:rPr>
                <w:sz w:val="20"/>
                <w:szCs w:val="20"/>
                <w:color w:val="auto"/>
              </w:rPr>
            </w:pPr>
            <w:r>
              <w:rPr>
                <w:rFonts w:ascii="Arial" w:cs="Arial" w:eastAsia="Arial" w:hAnsi="Arial"/>
                <w:sz w:val="18"/>
                <w:szCs w:val="18"/>
                <w:color w:val="auto"/>
              </w:rPr>
              <w:t>2019</w:t>
            </w:r>
          </w:p>
        </w:tc>
        <w:tc>
          <w:tcPr>
            <w:tcW w:w="140" w:type="dxa"/>
            <w:vAlign w:val="bottom"/>
          </w:tcPr>
          <w:p>
            <w:pPr>
              <w:spacing w:after="0"/>
              <w:rPr>
                <w:sz w:val="18"/>
                <w:szCs w:val="18"/>
                <w:color w:val="auto"/>
              </w:rPr>
            </w:pPr>
          </w:p>
        </w:tc>
        <w:tc>
          <w:tcPr>
            <w:tcW w:w="1160" w:type="dxa"/>
            <w:vAlign w:val="bottom"/>
            <w:gridSpan w:val="2"/>
          </w:tcPr>
          <w:p>
            <w:pPr>
              <w:jc w:val="right"/>
              <w:ind w:right="460"/>
              <w:spacing w:after="0"/>
              <w:rPr>
                <w:sz w:val="20"/>
                <w:szCs w:val="20"/>
                <w:color w:val="auto"/>
              </w:rPr>
            </w:pPr>
            <w:r>
              <w:rPr>
                <w:rFonts w:ascii="Arial" w:cs="Arial" w:eastAsia="Arial" w:hAnsi="Arial"/>
                <w:sz w:val="18"/>
                <w:szCs w:val="18"/>
                <w:color w:val="auto"/>
              </w:rPr>
              <w:t>37.2</w:t>
            </w:r>
          </w:p>
        </w:tc>
        <w:tc>
          <w:tcPr>
            <w:tcW w:w="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60" w:type="dxa"/>
            <w:vAlign w:val="bottom"/>
            <w:gridSpan w:val="2"/>
          </w:tcPr>
          <w:p>
            <w:pPr>
              <w:jc w:val="right"/>
              <w:ind w:right="800"/>
              <w:spacing w:after="0"/>
              <w:rPr>
                <w:sz w:val="20"/>
                <w:szCs w:val="20"/>
                <w:color w:val="auto"/>
              </w:rPr>
            </w:pPr>
            <w:r>
              <w:rPr>
                <w:rFonts w:ascii="Arial" w:cs="Arial" w:eastAsia="Arial" w:hAnsi="Arial"/>
                <w:sz w:val="18"/>
                <w:szCs w:val="18"/>
                <w:color w:val="auto"/>
              </w:rPr>
              <w:t>75.4</w:t>
            </w:r>
          </w:p>
        </w:tc>
        <w:tc>
          <w:tcPr>
            <w:tcW w:w="180" w:type="dxa"/>
            <w:vAlign w:val="bottom"/>
          </w:tcPr>
          <w:p>
            <w:pPr>
              <w:spacing w:after="0"/>
              <w:rPr>
                <w:sz w:val="18"/>
                <w:szCs w:val="18"/>
                <w:color w:val="auto"/>
              </w:rPr>
            </w:pPr>
          </w:p>
        </w:tc>
        <w:tc>
          <w:tcPr>
            <w:tcW w:w="720" w:type="dxa"/>
            <w:vAlign w:val="bottom"/>
            <w:gridSpan w:val="2"/>
          </w:tcPr>
          <w:p>
            <w:pPr>
              <w:jc w:val="right"/>
              <w:ind w:right="60"/>
              <w:spacing w:after="0"/>
              <w:rPr>
                <w:sz w:val="20"/>
                <w:szCs w:val="20"/>
                <w:color w:val="auto"/>
              </w:rPr>
            </w:pPr>
            <w:r>
              <w:rPr>
                <w:rFonts w:ascii="Arial" w:cs="Arial" w:eastAsia="Arial" w:hAnsi="Arial"/>
                <w:sz w:val="18"/>
                <w:szCs w:val="18"/>
                <w:color w:val="auto"/>
              </w:rPr>
              <w:t>5.8</w:t>
            </w:r>
          </w:p>
        </w:tc>
        <w:tc>
          <w:tcPr>
            <w:tcW w:w="0" w:type="dxa"/>
            <w:vAlign w:val="bottom"/>
          </w:tcPr>
          <w:p>
            <w:pPr>
              <w:spacing w:after="0"/>
              <w:rPr>
                <w:sz w:val="1"/>
                <w:szCs w:val="1"/>
                <w:color w:val="auto"/>
              </w:rPr>
            </w:pPr>
          </w:p>
        </w:tc>
      </w:tr>
      <w:tr>
        <w:trPr>
          <w:trHeight w:val="216"/>
        </w:trPr>
        <w:tc>
          <w:tcPr>
            <w:tcW w:w="6860" w:type="dxa"/>
            <w:vAlign w:val="bottom"/>
            <w:shd w:val="clear" w:color="auto" w:fill="CCEEFF"/>
          </w:tcPr>
          <w:p>
            <w:pPr>
              <w:spacing w:after="0"/>
              <w:rPr>
                <w:sz w:val="20"/>
                <w:szCs w:val="20"/>
                <w:color w:val="auto"/>
              </w:rPr>
            </w:pPr>
            <w:r>
              <w:rPr>
                <w:rFonts w:ascii="Arial" w:cs="Arial" w:eastAsia="Arial" w:hAnsi="Arial"/>
                <w:sz w:val="18"/>
                <w:szCs w:val="18"/>
                <w:color w:val="auto"/>
              </w:rPr>
              <w:t>2020</w:t>
            </w:r>
          </w:p>
        </w:tc>
        <w:tc>
          <w:tcPr>
            <w:tcW w:w="14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6.3</w:t>
            </w:r>
          </w:p>
        </w:tc>
        <w:tc>
          <w:tcPr>
            <w:tcW w:w="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60" w:type="dxa"/>
            <w:vAlign w:val="bottom"/>
            <w:gridSpan w:val="2"/>
            <w:shd w:val="clear" w:color="auto" w:fill="CCEEFF"/>
          </w:tcPr>
          <w:p>
            <w:pPr>
              <w:jc w:val="right"/>
              <w:ind w:right="800"/>
              <w:spacing w:after="0"/>
              <w:rPr>
                <w:sz w:val="20"/>
                <w:szCs w:val="20"/>
                <w:color w:val="auto"/>
              </w:rPr>
            </w:pPr>
            <w:r>
              <w:rPr>
                <w:rFonts w:ascii="Arial" w:cs="Arial" w:eastAsia="Arial" w:hAnsi="Arial"/>
                <w:sz w:val="18"/>
                <w:szCs w:val="18"/>
                <w:color w:val="auto"/>
              </w:rPr>
              <w:t>72.4</w:t>
            </w:r>
          </w:p>
        </w:tc>
        <w:tc>
          <w:tcPr>
            <w:tcW w:w="1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0.2</w:t>
            </w:r>
          </w:p>
        </w:tc>
        <w:tc>
          <w:tcPr>
            <w:tcW w:w="0" w:type="dxa"/>
            <w:vAlign w:val="bottom"/>
          </w:tcPr>
          <w:p>
            <w:pPr>
              <w:spacing w:after="0"/>
              <w:rPr>
                <w:sz w:val="1"/>
                <w:szCs w:val="1"/>
                <w:color w:val="auto"/>
              </w:rPr>
            </w:pPr>
          </w:p>
        </w:tc>
      </w:tr>
      <w:tr>
        <w:trPr>
          <w:trHeight w:val="216"/>
        </w:trPr>
        <w:tc>
          <w:tcPr>
            <w:tcW w:w="6860" w:type="dxa"/>
            <w:vAlign w:val="bottom"/>
          </w:tcPr>
          <w:p>
            <w:pPr>
              <w:spacing w:after="0"/>
              <w:rPr>
                <w:sz w:val="20"/>
                <w:szCs w:val="20"/>
                <w:color w:val="auto"/>
              </w:rPr>
            </w:pPr>
            <w:r>
              <w:rPr>
                <w:rFonts w:ascii="Arial" w:cs="Arial" w:eastAsia="Arial" w:hAnsi="Arial"/>
                <w:sz w:val="18"/>
                <w:szCs w:val="18"/>
                <w:color w:val="auto"/>
              </w:rPr>
              <w:t>2021</w:t>
            </w:r>
          </w:p>
        </w:tc>
        <w:tc>
          <w:tcPr>
            <w:tcW w:w="140" w:type="dxa"/>
            <w:vAlign w:val="bottom"/>
          </w:tcPr>
          <w:p>
            <w:pPr>
              <w:spacing w:after="0"/>
              <w:rPr>
                <w:sz w:val="18"/>
                <w:szCs w:val="18"/>
                <w:color w:val="auto"/>
              </w:rPr>
            </w:pPr>
          </w:p>
        </w:tc>
        <w:tc>
          <w:tcPr>
            <w:tcW w:w="1160" w:type="dxa"/>
            <w:vAlign w:val="bottom"/>
            <w:gridSpan w:val="2"/>
          </w:tcPr>
          <w:p>
            <w:pPr>
              <w:jc w:val="right"/>
              <w:ind w:right="54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60" w:type="dxa"/>
            <w:vAlign w:val="bottom"/>
            <w:gridSpan w:val="2"/>
          </w:tcPr>
          <w:p>
            <w:pPr>
              <w:jc w:val="right"/>
              <w:ind w:right="800"/>
              <w:spacing w:after="0"/>
              <w:rPr>
                <w:sz w:val="20"/>
                <w:szCs w:val="20"/>
                <w:color w:val="auto"/>
              </w:rPr>
            </w:pPr>
            <w:r>
              <w:rPr>
                <w:rFonts w:ascii="Arial" w:cs="Arial" w:eastAsia="Arial" w:hAnsi="Arial"/>
                <w:sz w:val="18"/>
                <w:szCs w:val="18"/>
                <w:color w:val="auto"/>
              </w:rPr>
              <w:t>59.9</w:t>
            </w:r>
          </w:p>
        </w:tc>
        <w:tc>
          <w:tcPr>
            <w:tcW w:w="180" w:type="dxa"/>
            <w:vAlign w:val="bottom"/>
          </w:tcPr>
          <w:p>
            <w:pPr>
              <w:spacing w:after="0"/>
              <w:rPr>
                <w:sz w:val="18"/>
                <w:szCs w:val="18"/>
                <w:color w:val="auto"/>
              </w:rPr>
            </w:pPr>
          </w:p>
        </w:tc>
        <w:tc>
          <w:tcPr>
            <w:tcW w:w="720" w:type="dxa"/>
            <w:vAlign w:val="bottom"/>
            <w:gridSpan w:val="2"/>
          </w:tcPr>
          <w:p>
            <w:pPr>
              <w:jc w:val="right"/>
              <w:ind w:right="60"/>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16"/>
        </w:trPr>
        <w:tc>
          <w:tcPr>
            <w:tcW w:w="6860" w:type="dxa"/>
            <w:vAlign w:val="bottom"/>
            <w:shd w:val="clear" w:color="auto" w:fill="CCEEFF"/>
          </w:tcPr>
          <w:p>
            <w:pPr>
              <w:spacing w:after="0"/>
              <w:rPr>
                <w:sz w:val="20"/>
                <w:szCs w:val="20"/>
                <w:color w:val="auto"/>
              </w:rPr>
            </w:pPr>
            <w:r>
              <w:rPr>
                <w:rFonts w:ascii="Arial" w:cs="Arial" w:eastAsia="Arial" w:hAnsi="Arial"/>
                <w:sz w:val="18"/>
                <w:szCs w:val="18"/>
                <w:color w:val="auto"/>
              </w:rPr>
              <w:t>Thereafter</w:t>
            </w:r>
          </w:p>
        </w:tc>
        <w:tc>
          <w:tcPr>
            <w:tcW w:w="14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60" w:type="dxa"/>
            <w:vAlign w:val="bottom"/>
            <w:gridSpan w:val="2"/>
            <w:shd w:val="clear" w:color="auto" w:fill="CCEEFF"/>
          </w:tcPr>
          <w:p>
            <w:pPr>
              <w:jc w:val="right"/>
              <w:ind w:right="800"/>
              <w:spacing w:after="0"/>
              <w:rPr>
                <w:sz w:val="20"/>
                <w:szCs w:val="20"/>
                <w:color w:val="auto"/>
              </w:rPr>
            </w:pPr>
            <w:r>
              <w:rPr>
                <w:rFonts w:ascii="Arial" w:cs="Arial" w:eastAsia="Arial" w:hAnsi="Arial"/>
                <w:sz w:val="18"/>
                <w:szCs w:val="18"/>
                <w:color w:val="auto"/>
              </w:rPr>
              <w:t>197.8</w:t>
            </w:r>
          </w:p>
        </w:tc>
        <w:tc>
          <w:tcPr>
            <w:tcW w:w="1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4.7</w:t>
            </w:r>
          </w:p>
        </w:tc>
        <w:tc>
          <w:tcPr>
            <w:tcW w:w="0" w:type="dxa"/>
            <w:vAlign w:val="bottom"/>
          </w:tcPr>
          <w:p>
            <w:pPr>
              <w:spacing w:after="0"/>
              <w:rPr>
                <w:sz w:val="1"/>
                <w:szCs w:val="1"/>
                <w:color w:val="auto"/>
              </w:rPr>
            </w:pPr>
          </w:p>
        </w:tc>
      </w:tr>
      <w:tr>
        <w:trPr>
          <w:trHeight w:val="223"/>
        </w:trPr>
        <w:tc>
          <w:tcPr>
            <w:tcW w:w="6860" w:type="dxa"/>
            <w:vAlign w:val="bottom"/>
          </w:tcPr>
          <w:p>
            <w:pPr>
              <w:spacing w:after="0"/>
              <w:rPr>
                <w:sz w:val="20"/>
                <w:szCs w:val="20"/>
                <w:color w:val="auto"/>
              </w:rPr>
            </w:pPr>
            <w:r>
              <w:rPr>
                <w:rFonts w:ascii="Arial" w:cs="Arial" w:eastAsia="Arial" w:hAnsi="Arial"/>
                <w:sz w:val="18"/>
                <w:szCs w:val="18"/>
                <w:color w:val="auto"/>
              </w:rPr>
              <w:t>Future minimum payments</w:t>
            </w:r>
          </w:p>
        </w:tc>
        <w:tc>
          <w:tcPr>
            <w:tcW w:w="140" w:type="dxa"/>
            <w:vAlign w:val="bottom"/>
            <w:tcBorders>
              <w:top w:val="single" w:sz="8" w:color="auto"/>
            </w:tcBorders>
          </w:tcPr>
          <w:p>
            <w:pPr>
              <w:spacing w:after="0"/>
              <w:rPr>
                <w:sz w:val="19"/>
                <w:szCs w:val="19"/>
                <w:color w:val="auto"/>
              </w:rPr>
            </w:pP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271.4</w:t>
            </w:r>
          </w:p>
        </w:tc>
        <w:tc>
          <w:tcPr>
            <w:tcW w:w="4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99"/>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557.2</w:t>
            </w:r>
          </w:p>
        </w:tc>
        <w:tc>
          <w:tcPr>
            <w:tcW w:w="800" w:type="dxa"/>
            <w:vAlign w:val="bottom"/>
          </w:tcPr>
          <w:p>
            <w:pPr>
              <w:spacing w:after="0"/>
              <w:rPr>
                <w:sz w:val="19"/>
                <w:szCs w:val="19"/>
                <w:color w:val="auto"/>
              </w:rPr>
            </w:pPr>
          </w:p>
        </w:tc>
        <w:tc>
          <w:tcPr>
            <w:tcW w:w="18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75.3</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8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860" w:type="dxa"/>
            <w:vAlign w:val="bottom"/>
            <w:shd w:val="clear" w:color="auto" w:fill="CCEEFF"/>
          </w:tcPr>
          <w:p>
            <w:pPr>
              <w:spacing w:after="0"/>
              <w:rPr>
                <w:sz w:val="20"/>
                <w:szCs w:val="20"/>
                <w:color w:val="auto"/>
              </w:rPr>
            </w:pPr>
            <w:r>
              <w:rPr>
                <w:rFonts w:ascii="Arial" w:cs="Arial" w:eastAsia="Arial" w:hAnsi="Arial"/>
                <w:sz w:val="18"/>
                <w:szCs w:val="18"/>
                <w:color w:val="auto"/>
              </w:rPr>
              <w:t>Less interest and taxes</w:t>
            </w:r>
          </w:p>
        </w:tc>
        <w:tc>
          <w:tcPr>
            <w:tcW w:w="14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(14.2)</w:t>
            </w:r>
          </w:p>
        </w:tc>
        <w:tc>
          <w:tcPr>
            <w:tcW w:w="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60" w:type="dxa"/>
            <w:vAlign w:val="bottom"/>
          </w:tcPr>
          <w:p>
            <w:pPr>
              <w:spacing w:after="0"/>
              <w:rPr>
                <w:sz w:val="20"/>
                <w:szCs w:val="20"/>
                <w:color w:val="auto"/>
              </w:rPr>
            </w:pPr>
            <w:r>
              <w:rPr>
                <w:rFonts w:ascii="Arial" w:cs="Arial" w:eastAsia="Arial" w:hAnsi="Arial"/>
                <w:sz w:val="18"/>
                <w:szCs w:val="18"/>
                <w:color w:val="auto"/>
              </w:rPr>
              <w:t>Less current portion of the present value of minimum lease payments</w:t>
            </w:r>
          </w:p>
        </w:tc>
        <w:tc>
          <w:tcPr>
            <w:tcW w:w="140" w:type="dxa"/>
            <w:vAlign w:val="bottom"/>
          </w:tcPr>
          <w:p>
            <w:pPr>
              <w:spacing w:after="0"/>
              <w:rPr>
                <w:sz w:val="18"/>
                <w:szCs w:val="18"/>
                <w:color w:val="auto"/>
              </w:rPr>
            </w:pPr>
          </w:p>
        </w:tc>
        <w:tc>
          <w:tcPr>
            <w:tcW w:w="1160" w:type="dxa"/>
            <w:vAlign w:val="bottom"/>
            <w:gridSpan w:val="2"/>
          </w:tcPr>
          <w:p>
            <w:pPr>
              <w:jc w:val="right"/>
              <w:ind w:right="400"/>
              <w:spacing w:after="0"/>
              <w:rPr>
                <w:sz w:val="20"/>
                <w:szCs w:val="20"/>
                <w:color w:val="auto"/>
              </w:rPr>
            </w:pPr>
            <w:r>
              <w:rPr>
                <w:rFonts w:ascii="Arial" w:cs="Arial" w:eastAsia="Arial" w:hAnsi="Arial"/>
                <w:sz w:val="18"/>
                <w:szCs w:val="18"/>
                <w:color w:val="auto"/>
              </w:rPr>
              <w:t>(127.6)</w:t>
            </w:r>
          </w:p>
        </w:tc>
        <w:tc>
          <w:tcPr>
            <w:tcW w:w="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68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60" w:type="dxa"/>
            <w:vAlign w:val="bottom"/>
          </w:tcPr>
          <w:p>
            <w:pPr>
              <w:spacing w:after="0"/>
              <w:rPr>
                <w:sz w:val="2"/>
                <w:szCs w:val="2"/>
                <w:color w:val="auto"/>
              </w:rPr>
            </w:pPr>
          </w:p>
        </w:tc>
        <w:tc>
          <w:tcPr>
            <w:tcW w:w="800" w:type="dxa"/>
            <w:vAlign w:val="bottom"/>
          </w:tcPr>
          <w:p>
            <w:pPr>
              <w:spacing w:after="0"/>
              <w:rPr>
                <w:sz w:val="2"/>
                <w:szCs w:val="2"/>
                <w:color w:val="auto"/>
              </w:rPr>
            </w:pPr>
          </w:p>
        </w:tc>
        <w:tc>
          <w:tcPr>
            <w:tcW w:w="180" w:type="dxa"/>
            <w:vAlign w:val="bottom"/>
          </w:tcPr>
          <w:p>
            <w:pPr>
              <w:spacing w:after="0"/>
              <w:rPr>
                <w:sz w:val="2"/>
                <w:szCs w:val="2"/>
                <w:color w:val="auto"/>
              </w:rPr>
            </w:pPr>
          </w:p>
        </w:tc>
        <w:tc>
          <w:tcPr>
            <w:tcW w:w="660" w:type="dxa"/>
            <w:vAlign w:val="bottom"/>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6860" w:type="dxa"/>
            <w:vAlign w:val="bottom"/>
            <w:shd w:val="clear" w:color="auto" w:fill="CCEEFF"/>
          </w:tcPr>
          <w:p>
            <w:pPr>
              <w:spacing w:after="0"/>
              <w:rPr>
                <w:sz w:val="20"/>
                <w:szCs w:val="20"/>
                <w:color w:val="auto"/>
              </w:rPr>
            </w:pPr>
            <w:r>
              <w:rPr>
                <w:rFonts w:ascii="Arial" w:cs="Arial" w:eastAsia="Arial" w:hAnsi="Arial"/>
                <w:sz w:val="18"/>
                <w:szCs w:val="18"/>
                <w:color w:val="auto"/>
              </w:rPr>
              <w:t>Capital lease obligations, net of current portion</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129.6</w:t>
            </w:r>
          </w:p>
        </w:tc>
        <w:tc>
          <w:tcPr>
            <w:tcW w:w="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8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jc w:val="both"/>
        <w:ind w:left="460" w:right="200" w:hanging="452"/>
        <w:spacing w:after="0" w:line="342" w:lineRule="auto"/>
        <w:tabs>
          <w:tab w:leader="none" w:pos="460" w:val="left"/>
        </w:tabs>
        <w:numPr>
          <w:ilvl w:val="0"/>
          <w:numId w:val="106"/>
        </w:numPr>
        <w:rPr>
          <w:rFonts w:ascii="Arial" w:cs="Arial" w:eastAsia="Arial" w:hAnsi="Arial"/>
          <w:sz w:val="13"/>
          <w:szCs w:val="13"/>
          <w:color w:val="auto"/>
        </w:rPr>
      </w:pPr>
      <w:r>
        <w:rPr>
          <w:rFonts w:ascii="Arial" w:cs="Arial" w:eastAsia="Arial" w:hAnsi="Arial"/>
          <w:sz w:val="16"/>
          <w:szCs w:val="16"/>
          <w:color w:val="auto"/>
        </w:rPr>
        <w:t>Consists of future non-cancelable minimum rental payments under operating leases for the Company’s offices and datacenters, excluding sub-lease income and variable operating expenses. Non-cancelable sublease income as of December 31, 2016, is expected to be $15.6 million through 2023.</w:t>
      </w:r>
    </w:p>
    <w:p>
      <w:pPr>
        <w:spacing w:after="0" w:line="231" w:lineRule="exact"/>
        <w:rPr>
          <w:rFonts w:ascii="Arial" w:cs="Arial" w:eastAsia="Arial" w:hAnsi="Arial"/>
          <w:sz w:val="13"/>
          <w:szCs w:val="13"/>
          <w:color w:val="auto"/>
        </w:rPr>
      </w:pPr>
    </w:p>
    <w:p>
      <w:pPr>
        <w:ind w:left="460"/>
        <w:spacing w:after="0"/>
        <w:rPr>
          <w:rFonts w:ascii="Arial" w:cs="Arial" w:eastAsia="Arial" w:hAnsi="Arial"/>
          <w:sz w:val="13"/>
          <w:szCs w:val="13"/>
          <w:color w:val="auto"/>
        </w:rPr>
      </w:pPr>
      <w:r>
        <w:rPr>
          <w:rFonts w:ascii="Arial" w:cs="Arial" w:eastAsia="Arial" w:hAnsi="Arial"/>
          <w:sz w:val="18"/>
          <w:szCs w:val="18"/>
          <w:b w:val="1"/>
          <w:bCs w:val="1"/>
          <w:i w:val="1"/>
          <w:iCs w:val="1"/>
          <w:color w:val="auto"/>
        </w:rPr>
        <w:t>Legal matters</w:t>
      </w:r>
    </w:p>
    <w:p>
      <w:pPr>
        <w:spacing w:after="0" w:line="117" w:lineRule="exact"/>
        <w:rPr>
          <w:sz w:val="20"/>
          <w:szCs w:val="20"/>
          <w:color w:val="auto"/>
        </w:rPr>
      </w:pPr>
    </w:p>
    <w:p>
      <w:pPr>
        <w:ind w:right="100" w:firstLine="449"/>
        <w:spacing w:after="0" w:line="255" w:lineRule="auto"/>
        <w:rPr>
          <w:sz w:val="20"/>
          <w:szCs w:val="20"/>
          <w:color w:val="auto"/>
        </w:rPr>
      </w:pPr>
      <w:r>
        <w:rPr>
          <w:rFonts w:ascii="Arial" w:cs="Arial" w:eastAsia="Arial" w:hAnsi="Arial"/>
          <w:sz w:val="18"/>
          <w:szCs w:val="18"/>
          <w:color w:val="auto"/>
        </w:rPr>
        <w:t>From time to time, the Company is a party to a variety of claims, lawsuits, and proceedings which arise in the ordinary course of business, including claims of alleged infringement of intellectual property rights. The Company records a liability when it believes that it is probable that a loss will be incurred and the amount of loss or range of loss can be reasonably estimated. In its opinion, resolution of pending matters is not likely to have a material adverse impact on its consolidated results of operations, cash flows, or its financial position. Given the unpredictable nature of legal proceedings, the Company bases its estimate on the information available at the time of the assessment. As additional information becomes available, the Company reassesses the potential liability and may revise the estimate.</w:t>
      </w:r>
    </w:p>
    <w:p>
      <w:pPr>
        <w:spacing w:after="0" w:line="300"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Indemnification</w:t>
      </w:r>
    </w:p>
    <w:p>
      <w:pPr>
        <w:spacing w:after="0" w:line="117" w:lineRule="exact"/>
        <w:rPr>
          <w:sz w:val="20"/>
          <w:szCs w:val="20"/>
          <w:color w:val="auto"/>
        </w:rPr>
      </w:pPr>
    </w:p>
    <w:p>
      <w:pPr>
        <w:ind w:right="100" w:firstLine="449"/>
        <w:spacing w:after="0" w:line="277" w:lineRule="auto"/>
        <w:rPr>
          <w:sz w:val="20"/>
          <w:szCs w:val="20"/>
          <w:color w:val="auto"/>
        </w:rPr>
      </w:pPr>
      <w:r>
        <w:rPr>
          <w:rFonts w:ascii="Arial" w:cs="Arial" w:eastAsia="Arial" w:hAnsi="Arial"/>
          <w:sz w:val="18"/>
          <w:szCs w:val="18"/>
          <w:color w:val="auto"/>
        </w:rPr>
        <w:t>The Company’s arrangements generally include certain provisions for indemnifying customers against liabilities if its products or services infringe a third party’s intellectual property rights. It is not possible to</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F-24</w:t>
      </w:r>
    </w:p>
    <w:p>
      <w:pPr>
        <w:sectPr>
          <w:pgSz w:w="11900" w:h="16838" w:orient="portrait"/>
          <w:cols w:equalWidth="0" w:num="1">
            <w:col w:w="11240"/>
          </w:cols>
          <w:pgMar w:left="320" w:top="459" w:right="339" w:bottom="1440" w:gutter="0" w:footer="0" w:header="0"/>
        </w:sectPr>
      </w:pPr>
    </w:p>
    <w:bookmarkStart w:id="183" w:name="page184"/>
    <w:bookmarkEnd w:id="18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spacing w:after="0"/>
        <w:rPr>
          <w:sz w:val="20"/>
          <w:szCs w:val="20"/>
          <w:color w:val="auto"/>
        </w:rPr>
      </w:pPr>
      <w:r>
        <w:rPr>
          <w:rFonts w:ascii="Arial" w:cs="Arial" w:eastAsia="Arial" w:hAnsi="Arial"/>
          <w:sz w:val="18"/>
          <w:szCs w:val="18"/>
          <w:color w:val="auto"/>
        </w:rPr>
        <w:t>determine the maximum potential amount under these indemnification obligations due to the limited history of prior indemnification claims.</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11. Stockholders’ Equity</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Common stock</w:t>
      </w:r>
    </w:p>
    <w:p>
      <w:pPr>
        <w:spacing w:after="0" w:line="117" w:lineRule="exact"/>
        <w:rPr>
          <w:sz w:val="20"/>
          <w:szCs w:val="20"/>
          <w:color w:val="auto"/>
        </w:rPr>
      </w:pPr>
    </w:p>
    <w:p>
      <w:pPr>
        <w:ind w:right="40" w:firstLine="449"/>
        <w:spacing w:after="0" w:line="270" w:lineRule="auto"/>
        <w:rPr>
          <w:sz w:val="20"/>
          <w:szCs w:val="20"/>
          <w:color w:val="auto"/>
        </w:rPr>
      </w:pPr>
      <w:r>
        <w:rPr>
          <w:rFonts w:ascii="Arial" w:cs="Arial" w:eastAsia="Arial" w:hAnsi="Arial"/>
          <w:sz w:val="17"/>
          <w:szCs w:val="17"/>
          <w:color w:val="auto"/>
        </w:rPr>
        <w:t>The Company’s amended and restated certificate of incorporation authorizes the issuance of Class A common stock and Class B common stock. The Company is authorized to issue 800,000,000 shares of Class A common stock and 700,000,000 shares of Class B common stock. Holders of Class A common stock and Class B common stock are entitled to dividends on a pro rata basis, when, as, and if declared by the Company’s Board of Directors, subject to the rights of the holders of the Company’s preferred stock. Holders of Class A common stock are entitled to one vote per share, and holders of Class B common stock are entitled to 10 votes per share. Upon a liquidation event, as defined in the amended and restated certificate of incorporation, after payments are made to holders of the Company’s preferred stock, any distribution of proceeds to common stockholders will be made on a pro rata basis to the holders of Class A common stock and Class B common stock. Following the completion of an initial public offering of the Company, shares of Class B common stock will automatically convert into shares of Class A common stock upon a sale or transfer (other than with respect to certain estate planning transfers).</w:t>
      </w:r>
    </w:p>
    <w:p>
      <w:pPr>
        <w:spacing w:after="0" w:line="289"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Convertible preferred stock</w:t>
      </w:r>
    </w:p>
    <w:p>
      <w:pPr>
        <w:spacing w:after="0" w:line="117" w:lineRule="exact"/>
        <w:rPr>
          <w:sz w:val="20"/>
          <w:szCs w:val="20"/>
          <w:color w:val="auto"/>
        </w:rPr>
      </w:pPr>
    </w:p>
    <w:p>
      <w:pPr>
        <w:ind w:right="780" w:firstLine="449"/>
        <w:spacing w:after="0" w:line="277" w:lineRule="auto"/>
        <w:rPr>
          <w:sz w:val="20"/>
          <w:szCs w:val="20"/>
          <w:color w:val="auto"/>
        </w:rPr>
      </w:pPr>
      <w:r>
        <w:rPr>
          <w:rFonts w:ascii="Arial" w:cs="Arial" w:eastAsia="Arial" w:hAnsi="Arial"/>
          <w:sz w:val="18"/>
          <w:szCs w:val="18"/>
          <w:color w:val="auto"/>
        </w:rPr>
        <w:t>The Company is authorized to issue 226,818,439 shares of preferred stock. The following table summarizes the convertible preferred stock outstanding and liquidation preferences as of December 31, 2016, and September 30, 2017 (unaudited):</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7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60" w:type="dxa"/>
            <w:vAlign w:val="bottom"/>
            <w:gridSpan w:val="2"/>
            <w:vMerge w:val="restart"/>
          </w:tcPr>
          <w:p>
            <w:pPr>
              <w:jc w:val="right"/>
              <w:ind w:right="728"/>
              <w:spacing w:after="0"/>
              <w:rPr>
                <w:sz w:val="20"/>
                <w:szCs w:val="20"/>
                <w:color w:val="auto"/>
              </w:rPr>
            </w:pPr>
            <w:r>
              <w:rPr>
                <w:rFonts w:ascii="Arial" w:cs="Arial" w:eastAsia="Arial" w:hAnsi="Arial"/>
                <w:sz w:val="14"/>
                <w:szCs w:val="14"/>
                <w:b w:val="1"/>
                <w:bCs w:val="1"/>
                <w:color w:val="auto"/>
                <w:w w:val="94"/>
              </w:rPr>
              <w:t>Shares</w:t>
            </w:r>
          </w:p>
        </w:tc>
        <w:tc>
          <w:tcPr>
            <w:tcW w:w="260" w:type="dxa"/>
            <w:vAlign w:val="bottom"/>
            <w:vMerge w:val="restart"/>
          </w:tcPr>
          <w:p>
            <w:pPr>
              <w:spacing w:after="0"/>
              <w:rPr>
                <w:sz w:val="14"/>
                <w:szCs w:val="14"/>
                <w:color w:val="auto"/>
              </w:rPr>
            </w:pPr>
          </w:p>
        </w:tc>
        <w:tc>
          <w:tcPr>
            <w:tcW w:w="1380" w:type="dxa"/>
            <w:vAlign w:val="bottom"/>
            <w:gridSpan w:val="2"/>
          </w:tcPr>
          <w:p>
            <w:pPr>
              <w:ind w:left="260"/>
              <w:spacing w:after="0"/>
              <w:rPr>
                <w:sz w:val="20"/>
                <w:szCs w:val="20"/>
                <w:color w:val="auto"/>
              </w:rPr>
            </w:pPr>
            <w:r>
              <w:rPr>
                <w:rFonts w:ascii="Arial" w:cs="Arial" w:eastAsia="Arial" w:hAnsi="Arial"/>
                <w:sz w:val="14"/>
                <w:szCs w:val="14"/>
                <w:b w:val="1"/>
                <w:bCs w:val="1"/>
                <w:color w:val="auto"/>
              </w:rPr>
              <w:t>Per share</w:t>
            </w:r>
          </w:p>
        </w:tc>
        <w:tc>
          <w:tcPr>
            <w:tcW w:w="940" w:type="dxa"/>
            <w:vAlign w:val="bottom"/>
            <w:gridSpan w:val="3"/>
          </w:tcPr>
          <w:p>
            <w:pPr>
              <w:ind w:left="20"/>
              <w:spacing w:after="0"/>
              <w:rPr>
                <w:sz w:val="20"/>
                <w:szCs w:val="20"/>
                <w:color w:val="auto"/>
              </w:rPr>
            </w:pPr>
            <w:r>
              <w:rPr>
                <w:rFonts w:ascii="Arial" w:cs="Arial" w:eastAsia="Arial" w:hAnsi="Arial"/>
                <w:sz w:val="14"/>
                <w:szCs w:val="14"/>
                <w:b w:val="1"/>
                <w:bCs w:val="1"/>
                <w:color w:val="auto"/>
              </w:rPr>
              <w:t>Aggregate</w:t>
            </w:r>
          </w:p>
        </w:tc>
        <w:tc>
          <w:tcPr>
            <w:tcW w:w="900" w:type="dxa"/>
            <w:vAlign w:val="bottom"/>
            <w:gridSpan w:val="3"/>
          </w:tcPr>
          <w:p>
            <w:pPr>
              <w:ind w:left="280"/>
              <w:spacing w:after="0"/>
              <w:rPr>
                <w:sz w:val="20"/>
                <w:szCs w:val="20"/>
                <w:color w:val="auto"/>
              </w:rPr>
            </w:pPr>
            <w:r>
              <w:rPr>
                <w:rFonts w:ascii="Arial" w:cs="Arial" w:eastAsia="Arial" w:hAnsi="Arial"/>
                <w:sz w:val="14"/>
                <w:szCs w:val="14"/>
                <w:b w:val="1"/>
                <w:bCs w:val="1"/>
                <w:color w:val="auto"/>
              </w:rPr>
              <w:t>Dividend</w:t>
            </w:r>
          </w:p>
        </w:tc>
        <w:tc>
          <w:tcPr>
            <w:tcW w:w="0" w:type="dxa"/>
            <w:vAlign w:val="bottom"/>
          </w:tcPr>
          <w:p>
            <w:pPr>
              <w:spacing w:after="0"/>
              <w:rPr>
                <w:sz w:val="1"/>
                <w:szCs w:val="1"/>
                <w:color w:val="auto"/>
              </w:rPr>
            </w:pPr>
          </w:p>
        </w:tc>
      </w:tr>
      <w:tr>
        <w:trPr>
          <w:trHeight w:val="77"/>
        </w:trPr>
        <w:tc>
          <w:tcPr>
            <w:tcW w:w="5760" w:type="dxa"/>
            <w:vAlign w:val="bottom"/>
          </w:tcPr>
          <w:p>
            <w:pPr>
              <w:spacing w:after="0"/>
              <w:rPr>
                <w:sz w:val="6"/>
                <w:szCs w:val="6"/>
                <w:color w:val="auto"/>
              </w:rPr>
            </w:pPr>
          </w:p>
        </w:tc>
        <w:tc>
          <w:tcPr>
            <w:tcW w:w="700" w:type="dxa"/>
            <w:vAlign w:val="bottom"/>
            <w:tcBorders>
              <w:bottom w:val="single" w:sz="8" w:color="auto"/>
            </w:tcBorders>
          </w:tcPr>
          <w:p>
            <w:pPr>
              <w:spacing w:after="0"/>
              <w:rPr>
                <w:sz w:val="6"/>
                <w:szCs w:val="6"/>
                <w:color w:val="auto"/>
              </w:rPr>
            </w:pPr>
          </w:p>
        </w:tc>
        <w:tc>
          <w:tcPr>
            <w:tcW w:w="40" w:type="dxa"/>
            <w:vAlign w:val="bottom"/>
            <w:tcBorders>
              <w:bottom w:val="single" w:sz="8" w:color="auto"/>
            </w:tcBorders>
          </w:tcPr>
          <w:p>
            <w:pPr>
              <w:spacing w:after="0"/>
              <w:rPr>
                <w:sz w:val="6"/>
                <w:szCs w:val="6"/>
                <w:color w:val="auto"/>
              </w:rPr>
            </w:pPr>
          </w:p>
        </w:tc>
        <w:tc>
          <w:tcPr>
            <w:tcW w:w="1260" w:type="dxa"/>
            <w:vAlign w:val="bottom"/>
            <w:tcBorders>
              <w:bottom w:val="single" w:sz="8" w:color="auto"/>
            </w:tcBorders>
            <w:gridSpan w:val="2"/>
            <w:vMerge w:val="continue"/>
          </w:tcPr>
          <w:p>
            <w:pPr>
              <w:spacing w:after="0"/>
              <w:rPr>
                <w:sz w:val="6"/>
                <w:szCs w:val="6"/>
                <w:color w:val="auto"/>
              </w:rPr>
            </w:pPr>
          </w:p>
        </w:tc>
        <w:tc>
          <w:tcPr>
            <w:tcW w:w="260" w:type="dxa"/>
            <w:vAlign w:val="bottom"/>
            <w:vMerge w:val="continue"/>
          </w:tcPr>
          <w:p>
            <w:pPr>
              <w:spacing w:after="0"/>
              <w:rPr>
                <w:sz w:val="6"/>
                <w:szCs w:val="6"/>
                <w:color w:val="auto"/>
              </w:rPr>
            </w:pPr>
          </w:p>
        </w:tc>
        <w:tc>
          <w:tcPr>
            <w:tcW w:w="1380" w:type="dxa"/>
            <w:vAlign w:val="bottom"/>
            <w:gridSpan w:val="2"/>
            <w:vMerge w:val="restart"/>
          </w:tcPr>
          <w:p>
            <w:pPr>
              <w:jc w:val="right"/>
              <w:ind w:right="490"/>
              <w:spacing w:after="0" w:line="149" w:lineRule="exact"/>
              <w:rPr>
                <w:sz w:val="20"/>
                <w:szCs w:val="20"/>
                <w:color w:val="auto"/>
              </w:rPr>
            </w:pPr>
            <w:r>
              <w:rPr>
                <w:rFonts w:ascii="Arial" w:cs="Arial" w:eastAsia="Arial" w:hAnsi="Arial"/>
                <w:sz w:val="14"/>
                <w:szCs w:val="14"/>
                <w:b w:val="1"/>
                <w:bCs w:val="1"/>
                <w:color w:val="auto"/>
              </w:rPr>
              <w:t>price at</w:t>
            </w:r>
          </w:p>
        </w:tc>
        <w:tc>
          <w:tcPr>
            <w:tcW w:w="940" w:type="dxa"/>
            <w:vAlign w:val="bottom"/>
            <w:gridSpan w:val="3"/>
            <w:vMerge w:val="restart"/>
          </w:tcPr>
          <w:p>
            <w:pPr>
              <w:spacing w:after="0" w:line="149" w:lineRule="exact"/>
              <w:rPr>
                <w:sz w:val="20"/>
                <w:szCs w:val="20"/>
                <w:color w:val="auto"/>
              </w:rPr>
            </w:pPr>
            <w:r>
              <w:rPr>
                <w:rFonts w:ascii="Arial" w:cs="Arial" w:eastAsia="Arial" w:hAnsi="Arial"/>
                <w:sz w:val="14"/>
                <w:szCs w:val="14"/>
                <w:b w:val="1"/>
                <w:bCs w:val="1"/>
                <w:color w:val="auto"/>
              </w:rPr>
              <w:t>liquidation</w:t>
            </w:r>
          </w:p>
        </w:tc>
        <w:tc>
          <w:tcPr>
            <w:tcW w:w="900" w:type="dxa"/>
            <w:vAlign w:val="bottom"/>
            <w:gridSpan w:val="3"/>
            <w:vMerge w:val="restart"/>
          </w:tcPr>
          <w:p>
            <w:pPr>
              <w:jc w:val="right"/>
              <w:ind w:right="60"/>
              <w:spacing w:after="0" w:line="149" w:lineRule="exact"/>
              <w:rPr>
                <w:sz w:val="20"/>
                <w:szCs w:val="20"/>
                <w:color w:val="auto"/>
              </w:rPr>
            </w:pPr>
            <w:r>
              <w:rPr>
                <w:rFonts w:ascii="Arial" w:cs="Arial" w:eastAsia="Arial" w:hAnsi="Arial"/>
                <w:sz w:val="14"/>
                <w:szCs w:val="14"/>
                <w:b w:val="1"/>
                <w:bCs w:val="1"/>
                <w:color w:val="auto"/>
              </w:rPr>
              <w:t>per share</w:t>
            </w:r>
          </w:p>
        </w:tc>
        <w:tc>
          <w:tcPr>
            <w:tcW w:w="0" w:type="dxa"/>
            <w:vAlign w:val="bottom"/>
          </w:tcPr>
          <w:p>
            <w:pPr>
              <w:spacing w:after="0"/>
              <w:rPr>
                <w:sz w:val="1"/>
                <w:szCs w:val="1"/>
                <w:color w:val="auto"/>
              </w:rPr>
            </w:pPr>
          </w:p>
        </w:tc>
      </w:tr>
      <w:tr>
        <w:trPr>
          <w:trHeight w:val="52"/>
        </w:trPr>
        <w:tc>
          <w:tcPr>
            <w:tcW w:w="5760" w:type="dxa"/>
            <w:vAlign w:val="bottom"/>
          </w:tcPr>
          <w:p>
            <w:pPr>
              <w:spacing w:after="0"/>
              <w:rPr>
                <w:sz w:val="4"/>
                <w:szCs w:val="4"/>
                <w:color w:val="auto"/>
              </w:rPr>
            </w:pPr>
          </w:p>
        </w:tc>
        <w:tc>
          <w:tcPr>
            <w:tcW w:w="740" w:type="dxa"/>
            <w:vAlign w:val="bottom"/>
            <w:gridSpan w:val="2"/>
            <w:vMerge w:val="restart"/>
          </w:tcPr>
          <w:p>
            <w:pPr>
              <w:jc w:val="right"/>
              <w:ind w:right="40"/>
              <w:spacing w:after="0"/>
              <w:rPr>
                <w:sz w:val="20"/>
                <w:szCs w:val="20"/>
                <w:color w:val="auto"/>
              </w:rPr>
            </w:pPr>
            <w:r>
              <w:rPr>
                <w:rFonts w:ascii="Arial" w:cs="Arial" w:eastAsia="Arial" w:hAnsi="Arial"/>
                <w:sz w:val="14"/>
                <w:szCs w:val="14"/>
                <w:b w:val="1"/>
                <w:bCs w:val="1"/>
                <w:color w:val="auto"/>
                <w:w w:val="92"/>
              </w:rPr>
              <w:t>Authorized</w:t>
            </w:r>
          </w:p>
        </w:tc>
        <w:tc>
          <w:tcPr>
            <w:tcW w:w="480" w:type="dxa"/>
            <w:vAlign w:val="bottom"/>
          </w:tcPr>
          <w:p>
            <w:pPr>
              <w:spacing w:after="0"/>
              <w:rPr>
                <w:sz w:val="4"/>
                <w:szCs w:val="4"/>
                <w:color w:val="auto"/>
              </w:rPr>
            </w:pPr>
          </w:p>
        </w:tc>
        <w:tc>
          <w:tcPr>
            <w:tcW w:w="104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Outstanding</w:t>
            </w:r>
          </w:p>
        </w:tc>
        <w:tc>
          <w:tcPr>
            <w:tcW w:w="1380" w:type="dxa"/>
            <w:vAlign w:val="bottom"/>
            <w:gridSpan w:val="2"/>
            <w:vMerge w:val="continue"/>
          </w:tcPr>
          <w:p>
            <w:pPr>
              <w:spacing w:after="0"/>
              <w:rPr>
                <w:sz w:val="4"/>
                <w:szCs w:val="4"/>
                <w:color w:val="auto"/>
              </w:rPr>
            </w:pPr>
          </w:p>
        </w:tc>
        <w:tc>
          <w:tcPr>
            <w:tcW w:w="940" w:type="dxa"/>
            <w:vAlign w:val="bottom"/>
            <w:gridSpan w:val="3"/>
            <w:vMerge w:val="continue"/>
          </w:tcPr>
          <w:p>
            <w:pPr>
              <w:spacing w:after="0"/>
              <w:rPr>
                <w:sz w:val="4"/>
                <w:szCs w:val="4"/>
                <w:color w:val="auto"/>
              </w:rPr>
            </w:pPr>
          </w:p>
        </w:tc>
        <w:tc>
          <w:tcPr>
            <w:tcW w:w="900" w:type="dxa"/>
            <w:vAlign w:val="bottom"/>
            <w:gridSpan w:val="3"/>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5760" w:type="dxa"/>
            <w:vAlign w:val="bottom"/>
          </w:tcPr>
          <w:p>
            <w:pPr>
              <w:spacing w:after="0"/>
              <w:rPr>
                <w:sz w:val="14"/>
                <w:szCs w:val="14"/>
                <w:color w:val="auto"/>
              </w:rPr>
            </w:pPr>
          </w:p>
        </w:tc>
        <w:tc>
          <w:tcPr>
            <w:tcW w:w="740" w:type="dxa"/>
            <w:vAlign w:val="bottom"/>
            <w:gridSpan w:val="2"/>
            <w:vMerge w:val="continue"/>
          </w:tcPr>
          <w:p>
            <w:pPr>
              <w:spacing w:after="0"/>
              <w:rPr>
                <w:sz w:val="14"/>
                <w:szCs w:val="14"/>
                <w:color w:val="auto"/>
              </w:rPr>
            </w:pPr>
          </w:p>
        </w:tc>
        <w:tc>
          <w:tcPr>
            <w:tcW w:w="480" w:type="dxa"/>
            <w:vAlign w:val="bottom"/>
          </w:tcPr>
          <w:p>
            <w:pPr>
              <w:spacing w:after="0"/>
              <w:rPr>
                <w:sz w:val="14"/>
                <w:szCs w:val="14"/>
                <w:color w:val="auto"/>
              </w:rPr>
            </w:pPr>
          </w:p>
        </w:tc>
        <w:tc>
          <w:tcPr>
            <w:tcW w:w="1040" w:type="dxa"/>
            <w:vAlign w:val="bottom"/>
            <w:gridSpan w:val="2"/>
            <w:vMerge w:val="continue"/>
          </w:tcPr>
          <w:p>
            <w:pPr>
              <w:spacing w:after="0"/>
              <w:rPr>
                <w:sz w:val="14"/>
                <w:szCs w:val="14"/>
                <w:color w:val="auto"/>
              </w:rPr>
            </w:pPr>
          </w:p>
        </w:tc>
        <w:tc>
          <w:tcPr>
            <w:tcW w:w="1380" w:type="dxa"/>
            <w:vAlign w:val="bottom"/>
            <w:gridSpan w:val="2"/>
          </w:tcPr>
          <w:p>
            <w:pPr>
              <w:jc w:val="right"/>
              <w:ind w:right="470"/>
              <w:spacing w:after="0"/>
              <w:rPr>
                <w:sz w:val="20"/>
                <w:szCs w:val="20"/>
                <w:color w:val="auto"/>
              </w:rPr>
            </w:pPr>
            <w:r>
              <w:rPr>
                <w:rFonts w:ascii="Arial" w:cs="Arial" w:eastAsia="Arial" w:hAnsi="Arial"/>
                <w:sz w:val="14"/>
                <w:szCs w:val="14"/>
                <w:b w:val="1"/>
                <w:bCs w:val="1"/>
                <w:color w:val="auto"/>
              </w:rPr>
              <w:t>issuance</w:t>
            </w:r>
          </w:p>
        </w:tc>
        <w:tc>
          <w:tcPr>
            <w:tcW w:w="940" w:type="dxa"/>
            <w:vAlign w:val="bottom"/>
            <w:gridSpan w:val="3"/>
          </w:tcPr>
          <w:p>
            <w:pPr>
              <w:ind w:left="20"/>
              <w:spacing w:after="0"/>
              <w:rPr>
                <w:sz w:val="20"/>
                <w:szCs w:val="20"/>
                <w:color w:val="auto"/>
              </w:rPr>
            </w:pPr>
            <w:r>
              <w:rPr>
                <w:rFonts w:ascii="Arial" w:cs="Arial" w:eastAsia="Arial" w:hAnsi="Arial"/>
                <w:sz w:val="14"/>
                <w:szCs w:val="14"/>
                <w:b w:val="1"/>
                <w:bCs w:val="1"/>
                <w:color w:val="auto"/>
              </w:rPr>
              <w:t>preference</w:t>
            </w:r>
          </w:p>
        </w:tc>
        <w:tc>
          <w:tcPr>
            <w:tcW w:w="900" w:type="dxa"/>
            <w:vAlign w:val="bottom"/>
            <w:gridSpan w:val="3"/>
          </w:tcPr>
          <w:p>
            <w:pPr>
              <w:jc w:val="right"/>
              <w:ind w:right="100"/>
              <w:spacing w:after="0"/>
              <w:rPr>
                <w:sz w:val="20"/>
                <w:szCs w:val="20"/>
                <w:color w:val="auto"/>
              </w:rPr>
            </w:pPr>
            <w:r>
              <w:rPr>
                <w:rFonts w:ascii="Arial" w:cs="Arial" w:eastAsia="Arial" w:hAnsi="Arial"/>
                <w:sz w:val="14"/>
                <w:szCs w:val="14"/>
                <w:b w:val="1"/>
                <w:bCs w:val="1"/>
                <w:color w:val="auto"/>
              </w:rPr>
              <w:t>amount</w:t>
            </w:r>
          </w:p>
        </w:tc>
        <w:tc>
          <w:tcPr>
            <w:tcW w:w="0" w:type="dxa"/>
            <w:vAlign w:val="bottom"/>
          </w:tcPr>
          <w:p>
            <w:pPr>
              <w:spacing w:after="0"/>
              <w:rPr>
                <w:sz w:val="1"/>
                <w:szCs w:val="1"/>
                <w:color w:val="auto"/>
              </w:rPr>
            </w:pPr>
          </w:p>
        </w:tc>
      </w:tr>
      <w:tr>
        <w:trPr>
          <w:trHeight w:val="142"/>
        </w:trPr>
        <w:tc>
          <w:tcPr>
            <w:tcW w:w="5760" w:type="dxa"/>
            <w:vAlign w:val="bottom"/>
          </w:tcPr>
          <w:p>
            <w:pPr>
              <w:spacing w:after="0"/>
              <w:rPr>
                <w:sz w:val="12"/>
                <w:szCs w:val="12"/>
                <w:color w:val="auto"/>
              </w:rPr>
            </w:pPr>
          </w:p>
        </w:tc>
        <w:tc>
          <w:tcPr>
            <w:tcW w:w="700" w:type="dxa"/>
            <w:vAlign w:val="bottom"/>
            <w:tcBorders>
              <w:top w:val="single" w:sz="8" w:color="auto"/>
            </w:tcBorders>
          </w:tcPr>
          <w:p>
            <w:pPr>
              <w:spacing w:after="0"/>
              <w:rPr>
                <w:sz w:val="12"/>
                <w:szCs w:val="12"/>
                <w:color w:val="auto"/>
              </w:rPr>
            </w:pPr>
          </w:p>
        </w:tc>
        <w:tc>
          <w:tcPr>
            <w:tcW w:w="40" w:type="dxa"/>
            <w:vAlign w:val="bottom"/>
            <w:tcBorders>
              <w:top w:val="single" w:sz="8" w:color="auto"/>
            </w:tcBorders>
          </w:tcPr>
          <w:p>
            <w:pPr>
              <w:spacing w:after="0"/>
              <w:rPr>
                <w:sz w:val="12"/>
                <w:szCs w:val="12"/>
                <w:color w:val="auto"/>
              </w:rPr>
            </w:pPr>
          </w:p>
        </w:tc>
        <w:tc>
          <w:tcPr>
            <w:tcW w:w="480" w:type="dxa"/>
            <w:vAlign w:val="bottom"/>
            <w:tcBorders>
              <w:top w:val="single" w:sz="8" w:color="auto"/>
            </w:tcBorders>
          </w:tcPr>
          <w:p>
            <w:pPr>
              <w:spacing w:after="0"/>
              <w:rPr>
                <w:sz w:val="12"/>
                <w:szCs w:val="12"/>
                <w:color w:val="auto"/>
              </w:rPr>
            </w:pPr>
          </w:p>
        </w:tc>
        <w:tc>
          <w:tcPr>
            <w:tcW w:w="3360" w:type="dxa"/>
            <w:vAlign w:val="bottom"/>
            <w:tcBorders>
              <w:top w:val="single" w:sz="8" w:color="auto"/>
            </w:tcBorders>
            <w:gridSpan w:val="7"/>
          </w:tcPr>
          <w:p>
            <w:pPr>
              <w:ind w:left="260"/>
              <w:spacing w:after="0" w:line="142" w:lineRule="exact"/>
              <w:rPr>
                <w:sz w:val="20"/>
                <w:szCs w:val="20"/>
                <w:color w:val="auto"/>
              </w:rPr>
            </w:pPr>
            <w:r>
              <w:rPr>
                <w:rFonts w:ascii="Arial" w:cs="Arial" w:eastAsia="Arial" w:hAnsi="Arial"/>
                <w:sz w:val="14"/>
                <w:szCs w:val="14"/>
                <w:i w:val="1"/>
                <w:iCs w:val="1"/>
                <w:color w:val="auto"/>
              </w:rPr>
              <w:t>(In millions, except for per share amounts)</w:t>
            </w:r>
          </w:p>
        </w:tc>
        <w:tc>
          <w:tcPr>
            <w:tcW w:w="440" w:type="dxa"/>
            <w:vAlign w:val="bottom"/>
            <w:tcBorders>
              <w:top w:val="single" w:sz="8" w:color="auto"/>
            </w:tcBorders>
          </w:tcPr>
          <w:p>
            <w:pPr>
              <w:spacing w:after="0"/>
              <w:rPr>
                <w:sz w:val="12"/>
                <w:szCs w:val="12"/>
                <w:color w:val="auto"/>
              </w:rPr>
            </w:pPr>
          </w:p>
        </w:tc>
        <w:tc>
          <w:tcPr>
            <w:tcW w:w="400" w:type="dxa"/>
            <w:vAlign w:val="bottom"/>
            <w:tcBorders>
              <w:top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5760" w:type="dxa"/>
            <w:vAlign w:val="bottom"/>
            <w:shd w:val="clear" w:color="auto" w:fill="CCEEFF"/>
          </w:tcPr>
          <w:p>
            <w:pPr>
              <w:spacing w:after="0"/>
              <w:rPr>
                <w:sz w:val="20"/>
                <w:szCs w:val="20"/>
                <w:color w:val="auto"/>
              </w:rPr>
            </w:pPr>
            <w:r>
              <w:rPr>
                <w:rFonts w:ascii="Arial" w:cs="Arial" w:eastAsia="Arial" w:hAnsi="Arial"/>
                <w:sz w:val="18"/>
                <w:szCs w:val="18"/>
                <w:color w:val="auto"/>
              </w:rPr>
              <w:t>Series A</w:t>
            </w: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95.8</w:t>
            </w:r>
          </w:p>
        </w:tc>
        <w:tc>
          <w:tcPr>
            <w:tcW w:w="152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95.8</w:t>
            </w:r>
          </w:p>
        </w:tc>
        <w:tc>
          <w:tcPr>
            <w:tcW w:w="400" w:type="dxa"/>
            <w:vAlign w:val="bottom"/>
            <w:shd w:val="clear" w:color="auto" w:fill="CCEEFF"/>
          </w:tcPr>
          <w:p>
            <w:pPr>
              <w:ind w:left="26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ind w:right="430"/>
              <w:spacing w:after="0"/>
              <w:rPr>
                <w:sz w:val="20"/>
                <w:szCs w:val="20"/>
                <w:color w:val="auto"/>
              </w:rPr>
            </w:pPr>
            <w:r>
              <w:rPr>
                <w:rFonts w:ascii="Arial" w:cs="Arial" w:eastAsia="Arial" w:hAnsi="Arial"/>
                <w:sz w:val="18"/>
                <w:szCs w:val="18"/>
                <w:color w:val="auto"/>
              </w:rPr>
              <w:t>0.06</w:t>
            </w: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6.0</w:t>
            </w:r>
          </w:p>
        </w:tc>
        <w:tc>
          <w:tcPr>
            <w:tcW w:w="440" w:type="dxa"/>
            <w:vAlign w:val="bottom"/>
            <w:shd w:val="clear" w:color="auto" w:fill="CCEEFF"/>
          </w:tcPr>
          <w:p>
            <w:pPr>
              <w:ind w:left="260"/>
              <w:spacing w:after="0"/>
              <w:rPr>
                <w:sz w:val="20"/>
                <w:szCs w:val="20"/>
                <w:color w:val="auto"/>
              </w:rPr>
            </w:pPr>
            <w:r>
              <w:rPr>
                <w:rFonts w:ascii="Arial" w:cs="Arial" w:eastAsia="Arial" w:hAnsi="Arial"/>
                <w:sz w:val="18"/>
                <w:szCs w:val="18"/>
                <w:color w:val="auto"/>
              </w:rPr>
              <w:t>$</w:t>
            </w:r>
          </w:p>
        </w:tc>
        <w:tc>
          <w:tcPr>
            <w:tcW w:w="4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0.01</w:t>
            </w:r>
          </w:p>
        </w:tc>
        <w:tc>
          <w:tcPr>
            <w:tcW w:w="0" w:type="dxa"/>
            <w:vAlign w:val="bottom"/>
          </w:tcPr>
          <w:p>
            <w:pPr>
              <w:spacing w:after="0"/>
              <w:rPr>
                <w:sz w:val="1"/>
                <w:szCs w:val="1"/>
                <w:color w:val="auto"/>
              </w:rPr>
            </w:pPr>
          </w:p>
        </w:tc>
      </w:tr>
      <w:tr>
        <w:trPr>
          <w:trHeight w:val="216"/>
        </w:trPr>
        <w:tc>
          <w:tcPr>
            <w:tcW w:w="5760" w:type="dxa"/>
            <w:vAlign w:val="bottom"/>
          </w:tcPr>
          <w:p>
            <w:pPr>
              <w:spacing w:after="0"/>
              <w:rPr>
                <w:sz w:val="20"/>
                <w:szCs w:val="20"/>
                <w:color w:val="auto"/>
              </w:rPr>
            </w:pPr>
            <w:r>
              <w:rPr>
                <w:rFonts w:ascii="Arial" w:cs="Arial" w:eastAsia="Arial" w:hAnsi="Arial"/>
                <w:sz w:val="18"/>
                <w:szCs w:val="18"/>
                <w:color w:val="auto"/>
              </w:rPr>
              <w:t>Series A-1</w:t>
            </w:r>
          </w:p>
        </w:tc>
        <w:tc>
          <w:tcPr>
            <w:tcW w:w="740" w:type="dxa"/>
            <w:vAlign w:val="bottom"/>
            <w:gridSpan w:val="2"/>
          </w:tcPr>
          <w:p>
            <w:pPr>
              <w:jc w:val="right"/>
              <w:ind w:right="40"/>
              <w:spacing w:after="0"/>
              <w:rPr>
                <w:sz w:val="20"/>
                <w:szCs w:val="20"/>
                <w:color w:val="auto"/>
              </w:rPr>
            </w:pPr>
            <w:r>
              <w:rPr>
                <w:rFonts w:ascii="Arial" w:cs="Arial" w:eastAsia="Arial" w:hAnsi="Arial"/>
                <w:sz w:val="18"/>
                <w:szCs w:val="18"/>
                <w:color w:val="auto"/>
              </w:rPr>
              <w:t>78.0</w:t>
            </w:r>
          </w:p>
        </w:tc>
        <w:tc>
          <w:tcPr>
            <w:tcW w:w="1520" w:type="dxa"/>
            <w:vAlign w:val="bottom"/>
            <w:gridSpan w:val="3"/>
          </w:tcPr>
          <w:p>
            <w:pPr>
              <w:jc w:val="right"/>
              <w:ind w:right="260"/>
              <w:spacing w:after="0"/>
              <w:rPr>
                <w:sz w:val="20"/>
                <w:szCs w:val="20"/>
                <w:color w:val="auto"/>
              </w:rPr>
            </w:pPr>
            <w:r>
              <w:rPr>
                <w:rFonts w:ascii="Arial" w:cs="Arial" w:eastAsia="Arial" w:hAnsi="Arial"/>
                <w:sz w:val="18"/>
                <w:szCs w:val="18"/>
                <w:color w:val="auto"/>
              </w:rPr>
              <w:t>77.8</w:t>
            </w:r>
          </w:p>
        </w:tc>
        <w:tc>
          <w:tcPr>
            <w:tcW w:w="400" w:type="dxa"/>
            <w:vAlign w:val="bottom"/>
          </w:tcPr>
          <w:p>
            <w:pPr>
              <w:spacing w:after="0"/>
              <w:rPr>
                <w:sz w:val="18"/>
                <w:szCs w:val="18"/>
                <w:color w:val="auto"/>
              </w:rPr>
            </w:pPr>
          </w:p>
        </w:tc>
        <w:tc>
          <w:tcPr>
            <w:tcW w:w="980" w:type="dxa"/>
            <w:vAlign w:val="bottom"/>
          </w:tcPr>
          <w:p>
            <w:pPr>
              <w:jc w:val="right"/>
              <w:ind w:right="430"/>
              <w:spacing w:after="0"/>
              <w:rPr>
                <w:sz w:val="20"/>
                <w:szCs w:val="20"/>
                <w:color w:val="auto"/>
              </w:rPr>
            </w:pPr>
            <w:r>
              <w:rPr>
                <w:rFonts w:ascii="Arial" w:cs="Arial" w:eastAsia="Arial" w:hAnsi="Arial"/>
                <w:sz w:val="18"/>
                <w:szCs w:val="18"/>
                <w:color w:val="auto"/>
              </w:rPr>
              <w:t>0.02</w:t>
            </w:r>
          </w:p>
        </w:tc>
        <w:tc>
          <w:tcPr>
            <w:tcW w:w="180" w:type="dxa"/>
            <w:vAlign w:val="bottom"/>
          </w:tcPr>
          <w:p>
            <w:pPr>
              <w:spacing w:after="0"/>
              <w:rPr>
                <w:sz w:val="18"/>
                <w:szCs w:val="18"/>
                <w:color w:val="auto"/>
              </w:rPr>
            </w:pPr>
          </w:p>
        </w:tc>
        <w:tc>
          <w:tcPr>
            <w:tcW w:w="760" w:type="dxa"/>
            <w:vAlign w:val="bottom"/>
            <w:gridSpan w:val="2"/>
          </w:tcPr>
          <w:p>
            <w:pPr>
              <w:jc w:val="right"/>
              <w:ind w:right="260"/>
              <w:spacing w:after="0"/>
              <w:rPr>
                <w:sz w:val="20"/>
                <w:szCs w:val="20"/>
                <w:color w:val="auto"/>
              </w:rPr>
            </w:pPr>
            <w:r>
              <w:rPr>
                <w:rFonts w:ascii="Arial" w:cs="Arial" w:eastAsia="Arial" w:hAnsi="Arial"/>
                <w:sz w:val="18"/>
                <w:szCs w:val="18"/>
                <w:color w:val="auto"/>
              </w:rPr>
              <w:t>1.3</w:t>
            </w:r>
          </w:p>
        </w:tc>
        <w:tc>
          <w:tcPr>
            <w:tcW w:w="440" w:type="dxa"/>
            <w:vAlign w:val="bottom"/>
          </w:tcPr>
          <w:p>
            <w:pPr>
              <w:spacing w:after="0"/>
              <w:rPr>
                <w:sz w:val="18"/>
                <w:szCs w:val="18"/>
                <w:color w:val="auto"/>
              </w:rPr>
            </w:pPr>
          </w:p>
        </w:tc>
        <w:tc>
          <w:tcPr>
            <w:tcW w:w="460" w:type="dxa"/>
            <w:vAlign w:val="bottom"/>
            <w:gridSpan w:val="2"/>
          </w:tcPr>
          <w:p>
            <w:pPr>
              <w:jc w:val="right"/>
              <w:ind w:right="60"/>
              <w:spacing w:after="0"/>
              <w:rPr>
                <w:sz w:val="20"/>
                <w:szCs w:val="20"/>
                <w:color w:val="auto"/>
              </w:rPr>
            </w:pPr>
            <w:r>
              <w:rPr>
                <w:rFonts w:ascii="Arial" w:cs="Arial" w:eastAsia="Arial" w:hAnsi="Arial"/>
                <w:sz w:val="18"/>
                <w:szCs w:val="18"/>
                <w:color w:val="auto"/>
              </w:rPr>
              <w:t>0.01</w:t>
            </w:r>
          </w:p>
        </w:tc>
        <w:tc>
          <w:tcPr>
            <w:tcW w:w="0" w:type="dxa"/>
            <w:vAlign w:val="bottom"/>
          </w:tcPr>
          <w:p>
            <w:pPr>
              <w:spacing w:after="0"/>
              <w:rPr>
                <w:sz w:val="1"/>
                <w:szCs w:val="1"/>
                <w:color w:val="auto"/>
              </w:rPr>
            </w:pPr>
          </w:p>
        </w:tc>
      </w:tr>
      <w:tr>
        <w:trPr>
          <w:trHeight w:val="216"/>
        </w:trPr>
        <w:tc>
          <w:tcPr>
            <w:tcW w:w="5760" w:type="dxa"/>
            <w:vAlign w:val="bottom"/>
            <w:shd w:val="clear" w:color="auto" w:fill="CCEEFF"/>
          </w:tcPr>
          <w:p>
            <w:pPr>
              <w:spacing w:after="0"/>
              <w:rPr>
                <w:sz w:val="20"/>
                <w:szCs w:val="20"/>
                <w:color w:val="auto"/>
              </w:rPr>
            </w:pPr>
            <w:r>
              <w:rPr>
                <w:rFonts w:ascii="Arial" w:cs="Arial" w:eastAsia="Arial" w:hAnsi="Arial"/>
                <w:sz w:val="18"/>
                <w:szCs w:val="18"/>
                <w:color w:val="auto"/>
              </w:rPr>
              <w:t>Series B</w:t>
            </w: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29.3</w:t>
            </w:r>
          </w:p>
        </w:tc>
        <w:tc>
          <w:tcPr>
            <w:tcW w:w="152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29.3</w:t>
            </w:r>
          </w:p>
        </w:tc>
        <w:tc>
          <w:tcPr>
            <w:tcW w:w="40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430"/>
              <w:spacing w:after="0"/>
              <w:rPr>
                <w:sz w:val="20"/>
                <w:szCs w:val="20"/>
                <w:color w:val="auto"/>
              </w:rPr>
            </w:pPr>
            <w:r>
              <w:rPr>
                <w:rFonts w:ascii="Arial" w:cs="Arial" w:eastAsia="Arial" w:hAnsi="Arial"/>
                <w:sz w:val="18"/>
                <w:szCs w:val="18"/>
                <w:color w:val="auto"/>
              </w:rPr>
              <w:t>9.05</w:t>
            </w:r>
          </w:p>
        </w:tc>
        <w:tc>
          <w:tcPr>
            <w:tcW w:w="1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264.8</w:t>
            </w:r>
          </w:p>
        </w:tc>
        <w:tc>
          <w:tcPr>
            <w:tcW w:w="440" w:type="dxa"/>
            <w:vAlign w:val="bottom"/>
            <w:shd w:val="clear" w:color="auto" w:fill="CCEEFF"/>
          </w:tcPr>
          <w:p>
            <w:pPr>
              <w:spacing w:after="0"/>
              <w:rPr>
                <w:sz w:val="18"/>
                <w:szCs w:val="18"/>
                <w:color w:val="auto"/>
              </w:rPr>
            </w:pPr>
          </w:p>
        </w:tc>
        <w:tc>
          <w:tcPr>
            <w:tcW w:w="4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0.72</w:t>
            </w:r>
          </w:p>
        </w:tc>
        <w:tc>
          <w:tcPr>
            <w:tcW w:w="0" w:type="dxa"/>
            <w:vAlign w:val="bottom"/>
          </w:tcPr>
          <w:p>
            <w:pPr>
              <w:spacing w:after="0"/>
              <w:rPr>
                <w:sz w:val="1"/>
                <w:szCs w:val="1"/>
                <w:color w:val="auto"/>
              </w:rPr>
            </w:pPr>
          </w:p>
        </w:tc>
      </w:tr>
      <w:tr>
        <w:trPr>
          <w:trHeight w:val="216"/>
        </w:trPr>
        <w:tc>
          <w:tcPr>
            <w:tcW w:w="5760" w:type="dxa"/>
            <w:vAlign w:val="bottom"/>
          </w:tcPr>
          <w:p>
            <w:pPr>
              <w:spacing w:after="0"/>
              <w:rPr>
                <w:sz w:val="20"/>
                <w:szCs w:val="20"/>
                <w:color w:val="auto"/>
              </w:rPr>
            </w:pPr>
            <w:r>
              <w:rPr>
                <w:rFonts w:ascii="Arial" w:cs="Arial" w:eastAsia="Arial" w:hAnsi="Arial"/>
                <w:sz w:val="18"/>
                <w:szCs w:val="18"/>
                <w:color w:val="auto"/>
              </w:rPr>
              <w:t>Series C</w:t>
            </w:r>
          </w:p>
        </w:tc>
        <w:tc>
          <w:tcPr>
            <w:tcW w:w="740" w:type="dxa"/>
            <w:vAlign w:val="bottom"/>
            <w:gridSpan w:val="2"/>
          </w:tcPr>
          <w:p>
            <w:pPr>
              <w:jc w:val="right"/>
              <w:ind w:right="40"/>
              <w:spacing w:after="0"/>
              <w:rPr>
                <w:sz w:val="20"/>
                <w:szCs w:val="20"/>
                <w:color w:val="auto"/>
              </w:rPr>
            </w:pPr>
            <w:r>
              <w:rPr>
                <w:rFonts w:ascii="Arial" w:cs="Arial" w:eastAsia="Arial" w:hAnsi="Arial"/>
                <w:sz w:val="18"/>
                <w:szCs w:val="18"/>
                <w:color w:val="auto"/>
              </w:rPr>
              <w:t>23.7</w:t>
            </w:r>
          </w:p>
        </w:tc>
        <w:tc>
          <w:tcPr>
            <w:tcW w:w="1520" w:type="dxa"/>
            <w:vAlign w:val="bottom"/>
            <w:gridSpan w:val="3"/>
          </w:tcPr>
          <w:p>
            <w:pPr>
              <w:jc w:val="right"/>
              <w:ind w:right="260"/>
              <w:spacing w:after="0"/>
              <w:rPr>
                <w:sz w:val="20"/>
                <w:szCs w:val="20"/>
                <w:color w:val="auto"/>
              </w:rPr>
            </w:pPr>
            <w:r>
              <w:rPr>
                <w:rFonts w:ascii="Arial" w:cs="Arial" w:eastAsia="Arial" w:hAnsi="Arial"/>
                <w:sz w:val="18"/>
                <w:szCs w:val="18"/>
                <w:color w:val="auto"/>
              </w:rPr>
              <w:t>18.5</w:t>
            </w:r>
          </w:p>
        </w:tc>
        <w:tc>
          <w:tcPr>
            <w:tcW w:w="400" w:type="dxa"/>
            <w:vAlign w:val="bottom"/>
          </w:tcPr>
          <w:p>
            <w:pPr>
              <w:ind w:left="260"/>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430"/>
              <w:spacing w:after="0"/>
              <w:rPr>
                <w:sz w:val="20"/>
                <w:szCs w:val="20"/>
                <w:color w:val="auto"/>
              </w:rPr>
            </w:pPr>
            <w:r>
              <w:rPr>
                <w:rFonts w:ascii="Arial" w:cs="Arial" w:eastAsia="Arial" w:hAnsi="Arial"/>
                <w:sz w:val="18"/>
                <w:szCs w:val="18"/>
                <w:color w:val="auto"/>
                <w:w w:val="97"/>
              </w:rPr>
              <w:t>19.10</w:t>
            </w:r>
          </w:p>
        </w:tc>
        <w:tc>
          <w:tcPr>
            <w:tcW w:w="180" w:type="dxa"/>
            <w:vAlign w:val="bottom"/>
          </w:tcPr>
          <w:p>
            <w:pPr>
              <w:spacing w:after="0"/>
              <w:rPr>
                <w:sz w:val="18"/>
                <w:szCs w:val="18"/>
                <w:color w:val="auto"/>
              </w:rPr>
            </w:pPr>
          </w:p>
        </w:tc>
        <w:tc>
          <w:tcPr>
            <w:tcW w:w="760" w:type="dxa"/>
            <w:vAlign w:val="bottom"/>
            <w:gridSpan w:val="2"/>
          </w:tcPr>
          <w:p>
            <w:pPr>
              <w:jc w:val="right"/>
              <w:ind w:right="260"/>
              <w:spacing w:after="0"/>
              <w:rPr>
                <w:sz w:val="20"/>
                <w:szCs w:val="20"/>
                <w:color w:val="auto"/>
              </w:rPr>
            </w:pPr>
            <w:r>
              <w:rPr>
                <w:rFonts w:ascii="Arial" w:cs="Arial" w:eastAsia="Arial" w:hAnsi="Arial"/>
                <w:sz w:val="18"/>
                <w:szCs w:val="18"/>
                <w:color w:val="auto"/>
              </w:rPr>
              <w:t>352.6</w:t>
            </w:r>
          </w:p>
        </w:tc>
        <w:tc>
          <w:tcPr>
            <w:tcW w:w="440" w:type="dxa"/>
            <w:vAlign w:val="bottom"/>
          </w:tcPr>
          <w:p>
            <w:pPr>
              <w:ind w:left="260"/>
              <w:spacing w:after="0"/>
              <w:rPr>
                <w:sz w:val="20"/>
                <w:szCs w:val="20"/>
                <w:color w:val="auto"/>
              </w:rPr>
            </w:pPr>
            <w:r>
              <w:rPr>
                <w:rFonts w:ascii="Arial" w:cs="Arial" w:eastAsia="Arial" w:hAnsi="Arial"/>
                <w:sz w:val="18"/>
                <w:szCs w:val="18"/>
                <w:color w:val="auto"/>
              </w:rPr>
              <w:t>$</w:t>
            </w:r>
          </w:p>
        </w:tc>
        <w:tc>
          <w:tcPr>
            <w:tcW w:w="460" w:type="dxa"/>
            <w:vAlign w:val="bottom"/>
            <w:gridSpan w:val="2"/>
          </w:tcPr>
          <w:p>
            <w:pPr>
              <w:jc w:val="right"/>
              <w:ind w:right="60"/>
              <w:spacing w:after="0"/>
              <w:rPr>
                <w:sz w:val="20"/>
                <w:szCs w:val="20"/>
                <w:color w:val="auto"/>
              </w:rPr>
            </w:pPr>
            <w:r>
              <w:rPr>
                <w:rFonts w:ascii="Arial" w:cs="Arial" w:eastAsia="Arial" w:hAnsi="Arial"/>
                <w:sz w:val="18"/>
                <w:szCs w:val="18"/>
                <w:color w:val="auto"/>
              </w:rPr>
              <w:t>1.53</w:t>
            </w:r>
          </w:p>
        </w:tc>
        <w:tc>
          <w:tcPr>
            <w:tcW w:w="0" w:type="dxa"/>
            <w:vAlign w:val="bottom"/>
          </w:tcPr>
          <w:p>
            <w:pPr>
              <w:spacing w:after="0"/>
              <w:rPr>
                <w:sz w:val="1"/>
                <w:szCs w:val="1"/>
                <w:color w:val="auto"/>
              </w:rPr>
            </w:pPr>
          </w:p>
        </w:tc>
      </w:tr>
      <w:tr>
        <w:trPr>
          <w:trHeight w:val="27"/>
        </w:trPr>
        <w:tc>
          <w:tcPr>
            <w:tcW w:w="576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480" w:type="dxa"/>
            <w:vAlign w:val="bottom"/>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4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440" w:type="dxa"/>
            <w:vAlign w:val="bottom"/>
          </w:tcPr>
          <w:p>
            <w:pPr>
              <w:spacing w:after="0"/>
              <w:rPr>
                <w:sz w:val="2"/>
                <w:szCs w:val="2"/>
                <w:color w:val="auto"/>
              </w:rPr>
            </w:pPr>
          </w:p>
        </w:tc>
        <w:tc>
          <w:tcPr>
            <w:tcW w:w="400" w:type="dxa"/>
            <w:vAlign w:val="bottom"/>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57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226.8</w:t>
            </w:r>
          </w:p>
        </w:tc>
        <w:tc>
          <w:tcPr>
            <w:tcW w:w="152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221.4</w:t>
            </w:r>
          </w:p>
        </w:tc>
        <w:tc>
          <w:tcPr>
            <w:tcW w:w="4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624.7</w:t>
            </w:r>
          </w:p>
        </w:tc>
        <w:tc>
          <w:tcPr>
            <w:tcW w:w="4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76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Significant terms of the convertible preferred stock are as follows:</w:t>
      </w:r>
    </w:p>
    <w:p>
      <w:pPr>
        <w:spacing w:after="0" w:line="333"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Liquidation preference</w:t>
      </w:r>
    </w:p>
    <w:p>
      <w:pPr>
        <w:spacing w:after="0" w:line="117" w:lineRule="exact"/>
        <w:rPr>
          <w:sz w:val="20"/>
          <w:szCs w:val="20"/>
          <w:color w:val="auto"/>
        </w:rPr>
      </w:pPr>
    </w:p>
    <w:p>
      <w:pPr>
        <w:ind w:right="20" w:firstLine="449"/>
        <w:spacing w:after="0" w:line="293" w:lineRule="auto"/>
        <w:rPr>
          <w:sz w:val="20"/>
          <w:szCs w:val="20"/>
          <w:color w:val="auto"/>
        </w:rPr>
      </w:pPr>
      <w:r>
        <w:rPr>
          <w:rFonts w:ascii="Arial" w:cs="Arial" w:eastAsia="Arial" w:hAnsi="Arial"/>
          <w:sz w:val="16"/>
          <w:szCs w:val="16"/>
          <w:color w:val="auto"/>
        </w:rPr>
        <w:t>Upon a liquidation event, as defined in the amended and restated certificate of incorporation, the holders of Series A, Series A-1, Series B, and Series C convertible preferred stock are entitled to receive, prior to and in preference to any distribution of the proceeds of such liquidation to common stockholders, an amount per share equal to $0.06, $0.02, $9.05, and $19.10, respectively, plus any declared but unpaid dividends on such shares. If the proceeds distributed among the holders of the preferred stock are insufficient to permit the Series A, Series A-1, Series B, and Series C convertible preferred stock holders to receive the full payment noted above, then the entire proceeds legally available for distribution shall be distributed ratably among the holders of the preferred stock in proportion to the full preferential amount that each such holder is otherwise entitled to receive.</w:t>
      </w:r>
    </w:p>
    <w:p>
      <w:pPr>
        <w:spacing w:after="0" w:line="272"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Dividends</w:t>
      </w:r>
    </w:p>
    <w:p>
      <w:pPr>
        <w:spacing w:after="0" w:line="117" w:lineRule="exact"/>
        <w:rPr>
          <w:sz w:val="20"/>
          <w:szCs w:val="20"/>
          <w:color w:val="auto"/>
        </w:rPr>
      </w:pPr>
    </w:p>
    <w:p>
      <w:pPr>
        <w:ind w:right="360" w:firstLine="449"/>
        <w:spacing w:after="0" w:line="277" w:lineRule="auto"/>
        <w:rPr>
          <w:sz w:val="20"/>
          <w:szCs w:val="20"/>
          <w:color w:val="auto"/>
        </w:rPr>
      </w:pPr>
      <w:r>
        <w:rPr>
          <w:rFonts w:ascii="Arial" w:cs="Arial" w:eastAsia="Arial" w:hAnsi="Arial"/>
          <w:sz w:val="18"/>
          <w:szCs w:val="18"/>
          <w:color w:val="auto"/>
        </w:rPr>
        <w:t>Holders of the Company’s preferred stock are entitled to receive dividends, when, as and if declared by the Company’s Board of Directors, at the applicable dividend rate of $0.01, $0.01, $0.72, and $1.53 for each share of</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F-25</w:t>
      </w:r>
    </w:p>
    <w:p>
      <w:pPr>
        <w:sectPr>
          <w:pgSz w:w="11900" w:h="16838" w:orient="portrait"/>
          <w:cols w:equalWidth="0" w:num="1">
            <w:col w:w="11240"/>
          </w:cols>
          <w:pgMar w:left="320" w:top="459" w:right="339" w:bottom="1440" w:gutter="0" w:footer="0" w:header="0"/>
        </w:sectPr>
      </w:pPr>
    </w:p>
    <w:bookmarkStart w:id="184" w:name="page185"/>
    <w:bookmarkEnd w:id="18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Series A, Series A-1, Series B, and Series C convertible preferred stock, respectively, prior to and in preference of any dividend paid to holders of the Company’s common stock (other than a stock dividend declared and paid on the Class A common stock that is payable in shares of Class A common stock or on the Class B common stock that is payable in shares of Class B common stock). Such dividends shall not be cumulative or mandatory. No dividends have been declared in any period presented.</w:t>
      </w:r>
    </w:p>
    <w:p>
      <w:pPr>
        <w:spacing w:after="0" w:line="295"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Voting</w:t>
      </w:r>
    </w:p>
    <w:p>
      <w:pPr>
        <w:spacing w:after="0" w:line="117" w:lineRule="exact"/>
        <w:rPr>
          <w:sz w:val="20"/>
          <w:szCs w:val="20"/>
          <w:color w:val="auto"/>
        </w:rPr>
      </w:pPr>
    </w:p>
    <w:p>
      <w:pPr>
        <w:ind w:right="80" w:firstLine="449"/>
        <w:spacing w:after="0" w:line="301" w:lineRule="auto"/>
        <w:rPr>
          <w:sz w:val="20"/>
          <w:szCs w:val="20"/>
          <w:color w:val="auto"/>
        </w:rPr>
      </w:pPr>
      <w:r>
        <w:rPr>
          <w:rFonts w:ascii="Arial" w:cs="Arial" w:eastAsia="Arial" w:hAnsi="Arial"/>
          <w:sz w:val="16"/>
          <w:szCs w:val="16"/>
          <w:color w:val="auto"/>
        </w:rPr>
        <w:t>Each holder of preferred stock shall have the right to 10 votes for each share of Class B common stock into which the shares of preferred stock held by such holder could then be converted. In addition, so long as at least 45.0 million shares of preferred stock are outstanding, the holders of the preferred stock shall be entitled to elect one director of Dropbox. The holders of the shares of outstanding Class A common stock and Class B common stock representing at least a majority in voting power of the then-issued common stock shall be entitled to elect seven directors of Dropbox.</w:t>
      </w:r>
    </w:p>
    <w:p>
      <w:pPr>
        <w:spacing w:after="0" w:line="265"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Conversion</w:t>
      </w:r>
    </w:p>
    <w:p>
      <w:pPr>
        <w:spacing w:after="0" w:line="117" w:lineRule="exact"/>
        <w:rPr>
          <w:sz w:val="20"/>
          <w:szCs w:val="20"/>
          <w:color w:val="auto"/>
        </w:rPr>
      </w:pPr>
    </w:p>
    <w:p>
      <w:pPr>
        <w:ind w:firstLine="449"/>
        <w:spacing w:after="0" w:line="269" w:lineRule="auto"/>
        <w:rPr>
          <w:sz w:val="20"/>
          <w:szCs w:val="20"/>
          <w:color w:val="auto"/>
        </w:rPr>
      </w:pPr>
      <w:r>
        <w:rPr>
          <w:rFonts w:ascii="Arial" w:cs="Arial" w:eastAsia="Arial" w:hAnsi="Arial"/>
          <w:sz w:val="17"/>
          <w:szCs w:val="17"/>
          <w:color w:val="auto"/>
        </w:rPr>
        <w:t xml:space="preserve">At the option of the holder thereof, each share of preferred stock is convertible into a number of shares of Class B common stock that results from dividing the applicable original issue price for such series by the applicable conversion price in effect on the date of conversion (the “Conversion Rate”). Each share of preferred stock will be automatically converted into shares of Class B common stock at the Conversion Rate at the time in effect for such series of preferred stock upon the earlier of (i) immediately prior to the closing of a firm commitment underwritten public offering of Dropbox’s common stock on an internationally recognized securities exchange or trading system pursuant to a registration statement under the Securities Act of 1933, as amended, with gross proceeds of not less than $35.0 million in the aggregate (a “Qualified IPO”), or (ii) the date specified by written consent or agreement of the holders of a majority of the outstanding preferred stock, voting together as a single class; </w:t>
      </w:r>
      <w:r>
        <w:rPr>
          <w:rFonts w:ascii="Arial" w:cs="Arial" w:eastAsia="Arial" w:hAnsi="Arial"/>
          <w:sz w:val="17"/>
          <w:szCs w:val="17"/>
          <w:i w:val="1"/>
          <w:iCs w:val="1"/>
          <w:color w:val="auto"/>
        </w:rPr>
        <w:t>provided</w:t>
      </w:r>
      <w:r>
        <w:rPr>
          <w:rFonts w:ascii="Arial" w:cs="Arial" w:eastAsia="Arial" w:hAnsi="Arial"/>
          <w:sz w:val="17"/>
          <w:szCs w:val="17"/>
          <w:color w:val="auto"/>
        </w:rPr>
        <w:t>, that other than pursuant to a Qualified IPO (x) so long as a majority of the shares of Series B convertible preferred stock originally issued remains outstanding, the consent of the holders of 70% of the shares of the Series B convertible preferred stock, voting together as a single class, is required to convert any shares of Series B convertible preferred stock into Class B common stock and (y) so long as a majority of the shares of Series C convertible preferred stock originally issued remains outstanding, the consent of the holders of a majority of the shares of the Series C convertible preferred stock, voting together as a single class, is required to convert any shares of Series C convertible preferred stock into Class B common stock.</w:t>
      </w:r>
    </w:p>
    <w:p>
      <w:pPr>
        <w:spacing w:after="0" w:line="287"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Equity incentive plans</w:t>
      </w:r>
    </w:p>
    <w:p>
      <w:pPr>
        <w:spacing w:after="0" w:line="117" w:lineRule="exact"/>
        <w:rPr>
          <w:sz w:val="20"/>
          <w:szCs w:val="20"/>
          <w:color w:val="auto"/>
        </w:rPr>
      </w:pPr>
    </w:p>
    <w:p>
      <w:pPr>
        <w:ind w:firstLine="449"/>
        <w:spacing w:after="0" w:line="269" w:lineRule="auto"/>
        <w:rPr>
          <w:sz w:val="20"/>
          <w:szCs w:val="20"/>
          <w:color w:val="auto"/>
        </w:rPr>
      </w:pPr>
      <w:r>
        <w:rPr>
          <w:rFonts w:ascii="Arial" w:cs="Arial" w:eastAsia="Arial" w:hAnsi="Arial"/>
          <w:sz w:val="17"/>
          <w:szCs w:val="17"/>
          <w:color w:val="auto"/>
        </w:rPr>
        <w:t>Under the Company’s 2017 Equity Incentive Plan (the “Plan”), the Company may grant stock-based awards to purchase or directly issue shares of common stock to employees, directors, and consultants. Options are granted at a price per share equal to the fair market value of Dropbox’s common stock at the date of grant. Options granted are exercisable over a maximum term of 10 years from the date of grant and generally vest over a period of four years. No options have been granted since August of 2015. RSUs and Restricted Stock Awards (“RSAs”) are also granted under the Plan. The Plan will terminate 10 years after the later of (i) its adoption or (ii) the most recent stockholder-approved increase in the number of shares reserved under the Plan, unless terminated earlier by the Dropbox Board of Directors. This Plan was adopted on March 8, 2017, and replaced the Company’s 2008 Equity Incentive Plan (the “Prior Plan”). In August 2017, the Company increased the number of shares of common stock reserved for grant under the 2017 Plan by 10,000,000 shares. As of December 31, 2016, and September 30, 2017, there were 89.0 million and 91.9 million shares issued and outstanding under the Plan and the Prior Plan, respectively. Shares available for issuance under the plans were 18.2 million and 13.4 million as of December 31, 2016, and September 30, 2017, respectively.</w:t>
      </w:r>
    </w:p>
    <w:p>
      <w:pPr>
        <w:spacing w:after="0" w:line="118"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F-26</w:t>
      </w:r>
    </w:p>
    <w:p>
      <w:pPr>
        <w:sectPr>
          <w:pgSz w:w="11900" w:h="16838" w:orient="portrait"/>
          <w:cols w:equalWidth="0" w:num="1">
            <w:col w:w="11180"/>
          </w:cols>
          <w:pgMar w:left="320" w:top="459" w:right="399" w:bottom="1440" w:gutter="0" w:footer="0" w:header="0"/>
        </w:sectPr>
      </w:pPr>
    </w:p>
    <w:bookmarkStart w:id="185" w:name="page186"/>
    <w:bookmarkEnd w:id="18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460"/>
        <w:spacing w:after="0"/>
        <w:rPr>
          <w:sz w:val="20"/>
          <w:szCs w:val="20"/>
          <w:color w:val="auto"/>
        </w:rPr>
      </w:pPr>
      <w:r>
        <w:rPr>
          <w:rFonts w:ascii="Arial" w:cs="Arial" w:eastAsia="Arial" w:hAnsi="Arial"/>
          <w:sz w:val="16"/>
          <w:szCs w:val="16"/>
          <w:color w:val="auto"/>
        </w:rPr>
        <w:t>Stock option and restricted stock activity for the Plans was as follows for the years ended December 31, 2015 and 2016, and the nine months ended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September 30, 2017:</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620" w:type="dxa"/>
            <w:vAlign w:val="bottom"/>
          </w:tcPr>
          <w:p>
            <w:pPr>
              <w:spacing w:after="0"/>
              <w:rPr>
                <w:sz w:val="14"/>
                <w:szCs w:val="14"/>
                <w:color w:val="auto"/>
              </w:rPr>
            </w:pPr>
          </w:p>
        </w:tc>
        <w:tc>
          <w:tcPr>
            <w:tcW w:w="1180" w:type="dxa"/>
            <w:vAlign w:val="bottom"/>
            <w:gridSpan w:val="2"/>
            <w:vMerge w:val="restart"/>
          </w:tcPr>
          <w:p>
            <w:pPr>
              <w:jc w:val="center"/>
              <w:ind w:right="480"/>
              <w:spacing w:after="0"/>
              <w:rPr>
                <w:sz w:val="20"/>
                <w:szCs w:val="20"/>
                <w:color w:val="auto"/>
              </w:rPr>
            </w:pPr>
            <w:r>
              <w:rPr>
                <w:rFonts w:ascii="Arial" w:cs="Arial" w:eastAsia="Arial" w:hAnsi="Arial"/>
                <w:sz w:val="14"/>
                <w:szCs w:val="14"/>
                <w:color w:val="auto"/>
                <w:w w:val="94"/>
              </w:rPr>
              <w:t>Number of</w:t>
            </w:r>
          </w:p>
        </w:tc>
        <w:tc>
          <w:tcPr>
            <w:tcW w:w="6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320" w:type="dxa"/>
            <w:vAlign w:val="bottom"/>
            <w:gridSpan w:val="2"/>
          </w:tcPr>
          <w:p>
            <w:pPr>
              <w:jc w:val="right"/>
              <w:spacing w:after="0"/>
              <w:rPr>
                <w:sz w:val="20"/>
                <w:szCs w:val="20"/>
                <w:color w:val="auto"/>
              </w:rPr>
            </w:pPr>
            <w:r>
              <w:rPr>
                <w:rFonts w:ascii="Arial" w:cs="Arial" w:eastAsia="Arial" w:hAnsi="Arial"/>
                <w:sz w:val="14"/>
                <w:szCs w:val="14"/>
                <w:b w:val="1"/>
                <w:bCs w:val="1"/>
                <w:color w:val="auto"/>
                <w:w w:val="90"/>
              </w:rPr>
              <w:t>Options outstanding</w:t>
            </w:r>
          </w:p>
        </w:tc>
        <w:tc>
          <w:tcPr>
            <w:tcW w:w="7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240" w:type="dxa"/>
            <w:vAlign w:val="bottom"/>
            <w:gridSpan w:val="5"/>
          </w:tcPr>
          <w:p>
            <w:pPr>
              <w:jc w:val="right"/>
              <w:ind w:right="280"/>
              <w:spacing w:after="0"/>
              <w:rPr>
                <w:sz w:val="20"/>
                <w:szCs w:val="20"/>
                <w:color w:val="auto"/>
              </w:rPr>
            </w:pPr>
            <w:r>
              <w:rPr>
                <w:rFonts w:ascii="Arial" w:cs="Arial" w:eastAsia="Arial" w:hAnsi="Arial"/>
                <w:sz w:val="14"/>
                <w:szCs w:val="14"/>
                <w:b w:val="1"/>
                <w:bCs w:val="1"/>
                <w:color w:val="auto"/>
              </w:rPr>
              <w:t>Restricted stock outstanding</w:t>
            </w:r>
          </w:p>
        </w:tc>
        <w:tc>
          <w:tcPr>
            <w:tcW w:w="0" w:type="dxa"/>
            <w:vAlign w:val="bottom"/>
          </w:tcPr>
          <w:p>
            <w:pPr>
              <w:spacing w:after="0"/>
              <w:rPr>
                <w:sz w:val="1"/>
                <w:szCs w:val="1"/>
                <w:color w:val="auto"/>
              </w:rPr>
            </w:pPr>
          </w:p>
        </w:tc>
      </w:tr>
      <w:tr>
        <w:trPr>
          <w:trHeight w:val="123"/>
        </w:trPr>
        <w:tc>
          <w:tcPr>
            <w:tcW w:w="4620" w:type="dxa"/>
            <w:vAlign w:val="bottom"/>
          </w:tcPr>
          <w:p>
            <w:pPr>
              <w:spacing w:after="0"/>
              <w:rPr>
                <w:sz w:val="10"/>
                <w:szCs w:val="10"/>
                <w:color w:val="auto"/>
              </w:rPr>
            </w:pPr>
          </w:p>
        </w:tc>
        <w:tc>
          <w:tcPr>
            <w:tcW w:w="1180" w:type="dxa"/>
            <w:vAlign w:val="bottom"/>
            <w:gridSpan w:val="2"/>
            <w:vMerge w:val="continue"/>
          </w:tcPr>
          <w:p>
            <w:pPr>
              <w:spacing w:after="0"/>
              <w:rPr>
                <w:sz w:val="10"/>
                <w:szCs w:val="10"/>
                <w:color w:val="auto"/>
              </w:rPr>
            </w:pPr>
          </w:p>
        </w:tc>
        <w:tc>
          <w:tcPr>
            <w:tcW w:w="680" w:type="dxa"/>
            <w:vAlign w:val="bottom"/>
            <w:tcBorders>
              <w:top w:val="single" w:sz="8" w:color="auto"/>
            </w:tcBorders>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500" w:type="dxa"/>
            <w:vAlign w:val="bottom"/>
            <w:tcBorders>
              <w:top w:val="single" w:sz="8" w:color="auto"/>
            </w:tcBorders>
          </w:tcPr>
          <w:p>
            <w:pPr>
              <w:spacing w:after="0"/>
              <w:rPr>
                <w:sz w:val="10"/>
                <w:szCs w:val="10"/>
                <w:color w:val="auto"/>
              </w:rPr>
            </w:pPr>
          </w:p>
        </w:tc>
        <w:tc>
          <w:tcPr>
            <w:tcW w:w="820" w:type="dxa"/>
            <w:vAlign w:val="bottom"/>
            <w:tcBorders>
              <w:top w:val="single" w:sz="8" w:color="auto"/>
            </w:tcBorders>
          </w:tcPr>
          <w:p>
            <w:pPr>
              <w:spacing w:after="0"/>
              <w:rPr>
                <w:sz w:val="10"/>
                <w:szCs w:val="10"/>
                <w:color w:val="auto"/>
              </w:rPr>
            </w:pPr>
          </w:p>
        </w:tc>
        <w:tc>
          <w:tcPr>
            <w:tcW w:w="720" w:type="dxa"/>
            <w:vAlign w:val="bottom"/>
            <w:tcBorders>
              <w:top w:val="single" w:sz="8" w:color="auto"/>
            </w:tcBorders>
          </w:tcPr>
          <w:p>
            <w:pPr>
              <w:jc w:val="center"/>
              <w:spacing w:after="0" w:line="123" w:lineRule="exact"/>
              <w:rPr>
                <w:sz w:val="20"/>
                <w:szCs w:val="20"/>
                <w:color w:val="auto"/>
              </w:rPr>
            </w:pPr>
            <w:r>
              <w:rPr>
                <w:rFonts w:ascii="Arial" w:cs="Arial" w:eastAsia="Arial" w:hAnsi="Arial"/>
                <w:sz w:val="14"/>
                <w:szCs w:val="14"/>
                <w:color w:val="auto"/>
                <w:w w:val="90"/>
              </w:rPr>
              <w:t>Weighted-</w:t>
            </w:r>
          </w:p>
        </w:tc>
        <w:tc>
          <w:tcPr>
            <w:tcW w:w="400" w:type="dxa"/>
            <w:vAlign w:val="bottom"/>
          </w:tcPr>
          <w:p>
            <w:pPr>
              <w:spacing w:after="0"/>
              <w:rPr>
                <w:sz w:val="10"/>
                <w:szCs w:val="10"/>
                <w:color w:val="auto"/>
              </w:rPr>
            </w:pPr>
          </w:p>
        </w:tc>
        <w:tc>
          <w:tcPr>
            <w:tcW w:w="680" w:type="dxa"/>
            <w:vAlign w:val="bottom"/>
            <w:tcBorders>
              <w:top w:val="single" w:sz="8" w:color="auto"/>
            </w:tcBorders>
          </w:tcPr>
          <w:p>
            <w:pPr>
              <w:spacing w:after="0"/>
              <w:rPr>
                <w:sz w:val="10"/>
                <w:szCs w:val="10"/>
                <w:color w:val="auto"/>
              </w:rPr>
            </w:pPr>
          </w:p>
        </w:tc>
        <w:tc>
          <w:tcPr>
            <w:tcW w:w="260" w:type="dxa"/>
            <w:vAlign w:val="bottom"/>
            <w:tcBorders>
              <w:top w:val="single" w:sz="8" w:color="auto"/>
            </w:tcBorders>
          </w:tcPr>
          <w:p>
            <w:pPr>
              <w:spacing w:after="0"/>
              <w:rPr>
                <w:sz w:val="10"/>
                <w:szCs w:val="10"/>
                <w:color w:val="auto"/>
              </w:rPr>
            </w:pPr>
          </w:p>
        </w:tc>
        <w:tc>
          <w:tcPr>
            <w:tcW w:w="280" w:type="dxa"/>
            <w:vAlign w:val="bottom"/>
            <w:tcBorders>
              <w:top w:val="single" w:sz="8" w:color="auto"/>
            </w:tcBorders>
          </w:tcPr>
          <w:p>
            <w:pPr>
              <w:spacing w:after="0"/>
              <w:rPr>
                <w:sz w:val="10"/>
                <w:szCs w:val="10"/>
                <w:color w:val="auto"/>
              </w:rPr>
            </w:pPr>
          </w:p>
        </w:tc>
        <w:tc>
          <w:tcPr>
            <w:tcW w:w="960" w:type="dxa"/>
            <w:vAlign w:val="bottom"/>
            <w:tcBorders>
              <w:top w:val="single" w:sz="8" w:color="auto"/>
            </w:tcBorders>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4620" w:type="dxa"/>
            <w:vAlign w:val="bottom"/>
          </w:tcPr>
          <w:p>
            <w:pPr>
              <w:spacing w:after="0"/>
              <w:rPr>
                <w:sz w:val="12"/>
                <w:szCs w:val="12"/>
                <w:color w:val="auto"/>
              </w:rPr>
            </w:pPr>
          </w:p>
        </w:tc>
        <w:tc>
          <w:tcPr>
            <w:tcW w:w="1180" w:type="dxa"/>
            <w:vAlign w:val="bottom"/>
            <w:gridSpan w:val="2"/>
          </w:tcPr>
          <w:p>
            <w:pPr>
              <w:jc w:val="center"/>
              <w:ind w:right="460"/>
              <w:spacing w:after="0" w:line="149" w:lineRule="exact"/>
              <w:rPr>
                <w:sz w:val="20"/>
                <w:szCs w:val="20"/>
                <w:color w:val="auto"/>
              </w:rPr>
            </w:pPr>
            <w:r>
              <w:rPr>
                <w:rFonts w:ascii="Arial" w:cs="Arial" w:eastAsia="Arial" w:hAnsi="Arial"/>
                <w:sz w:val="14"/>
                <w:szCs w:val="14"/>
                <w:color w:val="auto"/>
                <w:w w:val="85"/>
              </w:rPr>
              <w:t>shares</w:t>
            </w:r>
          </w:p>
        </w:tc>
        <w:tc>
          <w:tcPr>
            <w:tcW w:w="760" w:type="dxa"/>
            <w:vAlign w:val="bottom"/>
            <w:gridSpan w:val="2"/>
          </w:tcPr>
          <w:p>
            <w:pPr>
              <w:jc w:val="center"/>
              <w:ind w:right="80"/>
              <w:spacing w:after="0" w:line="149" w:lineRule="exact"/>
              <w:rPr>
                <w:sz w:val="20"/>
                <w:szCs w:val="20"/>
                <w:color w:val="auto"/>
              </w:rPr>
            </w:pPr>
            <w:r>
              <w:rPr>
                <w:rFonts w:ascii="Arial" w:cs="Arial" w:eastAsia="Arial" w:hAnsi="Arial"/>
                <w:sz w:val="14"/>
                <w:szCs w:val="14"/>
                <w:color w:val="auto"/>
                <w:w w:val="97"/>
              </w:rPr>
              <w:t>Number of</w:t>
            </w:r>
          </w:p>
        </w:tc>
        <w:tc>
          <w:tcPr>
            <w:tcW w:w="1320" w:type="dxa"/>
            <w:vAlign w:val="bottom"/>
            <w:gridSpan w:val="2"/>
          </w:tcPr>
          <w:p>
            <w:pPr>
              <w:ind w:left="380"/>
              <w:spacing w:after="0" w:line="149" w:lineRule="exact"/>
              <w:rPr>
                <w:sz w:val="20"/>
                <w:szCs w:val="20"/>
                <w:color w:val="auto"/>
              </w:rPr>
            </w:pPr>
            <w:r>
              <w:rPr>
                <w:rFonts w:ascii="Arial" w:cs="Arial" w:eastAsia="Arial" w:hAnsi="Arial"/>
                <w:sz w:val="14"/>
                <w:szCs w:val="14"/>
                <w:color w:val="auto"/>
              </w:rPr>
              <w:t>Weighted-</w:t>
            </w:r>
          </w:p>
        </w:tc>
        <w:tc>
          <w:tcPr>
            <w:tcW w:w="1120" w:type="dxa"/>
            <w:vAlign w:val="bottom"/>
            <w:gridSpan w:val="2"/>
          </w:tcPr>
          <w:p>
            <w:pPr>
              <w:jc w:val="center"/>
              <w:ind w:right="340"/>
              <w:spacing w:after="0" w:line="149" w:lineRule="exact"/>
              <w:rPr>
                <w:sz w:val="20"/>
                <w:szCs w:val="20"/>
                <w:color w:val="auto"/>
              </w:rPr>
            </w:pPr>
            <w:r>
              <w:rPr>
                <w:rFonts w:ascii="Arial" w:cs="Arial" w:eastAsia="Arial" w:hAnsi="Arial"/>
                <w:sz w:val="14"/>
                <w:szCs w:val="14"/>
                <w:color w:val="auto"/>
                <w:w w:val="90"/>
              </w:rPr>
              <w:t>average</w:t>
            </w:r>
          </w:p>
        </w:tc>
        <w:tc>
          <w:tcPr>
            <w:tcW w:w="6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620" w:type="dxa"/>
            <w:vAlign w:val="bottom"/>
          </w:tcPr>
          <w:p>
            <w:pPr>
              <w:spacing w:after="0"/>
              <w:rPr>
                <w:sz w:val="12"/>
                <w:szCs w:val="12"/>
                <w:color w:val="auto"/>
              </w:rPr>
            </w:pPr>
          </w:p>
        </w:tc>
        <w:tc>
          <w:tcPr>
            <w:tcW w:w="1180" w:type="dxa"/>
            <w:vAlign w:val="bottom"/>
            <w:gridSpan w:val="2"/>
          </w:tcPr>
          <w:p>
            <w:pPr>
              <w:jc w:val="center"/>
              <w:ind w:right="460"/>
              <w:spacing w:after="0" w:line="149" w:lineRule="exact"/>
              <w:rPr>
                <w:sz w:val="20"/>
                <w:szCs w:val="20"/>
                <w:color w:val="auto"/>
              </w:rPr>
            </w:pPr>
            <w:r>
              <w:rPr>
                <w:rFonts w:ascii="Arial" w:cs="Arial" w:eastAsia="Arial" w:hAnsi="Arial"/>
                <w:sz w:val="14"/>
                <w:szCs w:val="14"/>
                <w:color w:val="auto"/>
                <w:w w:val="95"/>
              </w:rPr>
              <w:t>available for</w:t>
            </w:r>
          </w:p>
        </w:tc>
        <w:tc>
          <w:tcPr>
            <w:tcW w:w="760" w:type="dxa"/>
            <w:vAlign w:val="bottom"/>
            <w:gridSpan w:val="2"/>
          </w:tcPr>
          <w:p>
            <w:pPr>
              <w:jc w:val="center"/>
              <w:ind w:right="80"/>
              <w:spacing w:after="0" w:line="149" w:lineRule="exact"/>
              <w:rPr>
                <w:sz w:val="20"/>
                <w:szCs w:val="20"/>
                <w:color w:val="auto"/>
              </w:rPr>
            </w:pPr>
            <w:r>
              <w:rPr>
                <w:rFonts w:ascii="Arial" w:cs="Arial" w:eastAsia="Arial" w:hAnsi="Arial"/>
                <w:sz w:val="14"/>
                <w:szCs w:val="14"/>
                <w:color w:val="auto"/>
                <w:w w:val="85"/>
              </w:rPr>
              <w:t>shares</w:t>
            </w:r>
          </w:p>
        </w:tc>
        <w:tc>
          <w:tcPr>
            <w:tcW w:w="1320" w:type="dxa"/>
            <w:vAlign w:val="bottom"/>
            <w:gridSpan w:val="2"/>
          </w:tcPr>
          <w:p>
            <w:pPr>
              <w:jc w:val="center"/>
              <w:spacing w:after="0" w:line="149" w:lineRule="exact"/>
              <w:rPr>
                <w:sz w:val="20"/>
                <w:szCs w:val="20"/>
                <w:color w:val="auto"/>
              </w:rPr>
            </w:pPr>
            <w:r>
              <w:rPr>
                <w:rFonts w:ascii="Arial" w:cs="Arial" w:eastAsia="Arial" w:hAnsi="Arial"/>
                <w:sz w:val="14"/>
                <w:szCs w:val="14"/>
                <w:color w:val="auto"/>
                <w:w w:val="86"/>
              </w:rPr>
              <w:t>average</w:t>
            </w:r>
          </w:p>
        </w:tc>
        <w:tc>
          <w:tcPr>
            <w:tcW w:w="1120" w:type="dxa"/>
            <w:vAlign w:val="bottom"/>
            <w:gridSpan w:val="2"/>
          </w:tcPr>
          <w:p>
            <w:pPr>
              <w:jc w:val="center"/>
              <w:ind w:right="340"/>
              <w:spacing w:after="0" w:line="149" w:lineRule="exact"/>
              <w:rPr>
                <w:sz w:val="20"/>
                <w:szCs w:val="20"/>
                <w:color w:val="auto"/>
              </w:rPr>
            </w:pPr>
            <w:r>
              <w:rPr>
                <w:rFonts w:ascii="Arial" w:cs="Arial" w:eastAsia="Arial" w:hAnsi="Arial"/>
                <w:sz w:val="14"/>
                <w:szCs w:val="14"/>
                <w:color w:val="auto"/>
                <w:w w:val="94"/>
              </w:rPr>
              <w:t>remaining</w:t>
            </w:r>
          </w:p>
        </w:tc>
        <w:tc>
          <w:tcPr>
            <w:tcW w:w="940" w:type="dxa"/>
            <w:vAlign w:val="bottom"/>
            <w:gridSpan w:val="2"/>
          </w:tcPr>
          <w:p>
            <w:pPr>
              <w:jc w:val="center"/>
              <w:ind w:right="260"/>
              <w:spacing w:after="0" w:line="149" w:lineRule="exact"/>
              <w:rPr>
                <w:sz w:val="20"/>
                <w:szCs w:val="20"/>
                <w:color w:val="auto"/>
              </w:rPr>
            </w:pPr>
            <w:r>
              <w:rPr>
                <w:rFonts w:ascii="Arial" w:cs="Arial" w:eastAsia="Arial" w:hAnsi="Arial"/>
                <w:sz w:val="14"/>
                <w:szCs w:val="14"/>
                <w:color w:val="auto"/>
                <w:w w:val="97"/>
              </w:rPr>
              <w:t>Number of</w:t>
            </w:r>
          </w:p>
        </w:tc>
        <w:tc>
          <w:tcPr>
            <w:tcW w:w="28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620" w:type="dxa"/>
            <w:vAlign w:val="bottom"/>
          </w:tcPr>
          <w:p>
            <w:pPr>
              <w:spacing w:after="0"/>
              <w:rPr>
                <w:sz w:val="12"/>
                <w:szCs w:val="12"/>
                <w:color w:val="auto"/>
              </w:rPr>
            </w:pPr>
          </w:p>
        </w:tc>
        <w:tc>
          <w:tcPr>
            <w:tcW w:w="1180" w:type="dxa"/>
            <w:vAlign w:val="bottom"/>
            <w:gridSpan w:val="2"/>
          </w:tcPr>
          <w:p>
            <w:pPr>
              <w:jc w:val="center"/>
              <w:ind w:right="460"/>
              <w:spacing w:after="0" w:line="149" w:lineRule="exact"/>
              <w:rPr>
                <w:sz w:val="20"/>
                <w:szCs w:val="20"/>
                <w:color w:val="auto"/>
              </w:rPr>
            </w:pPr>
            <w:r>
              <w:rPr>
                <w:rFonts w:ascii="Arial" w:cs="Arial" w:eastAsia="Arial" w:hAnsi="Arial"/>
                <w:sz w:val="14"/>
                <w:szCs w:val="14"/>
                <w:color w:val="auto"/>
                <w:w w:val="86"/>
              </w:rPr>
              <w:t>issuance</w:t>
            </w:r>
          </w:p>
        </w:tc>
        <w:tc>
          <w:tcPr>
            <w:tcW w:w="760" w:type="dxa"/>
            <w:vAlign w:val="bottom"/>
            <w:gridSpan w:val="2"/>
          </w:tcPr>
          <w:p>
            <w:pPr>
              <w:jc w:val="center"/>
              <w:ind w:right="80"/>
              <w:spacing w:after="0" w:line="149" w:lineRule="exact"/>
              <w:rPr>
                <w:sz w:val="20"/>
                <w:szCs w:val="20"/>
                <w:color w:val="auto"/>
              </w:rPr>
            </w:pPr>
            <w:r>
              <w:rPr>
                <w:rFonts w:ascii="Arial" w:cs="Arial" w:eastAsia="Arial" w:hAnsi="Arial"/>
                <w:sz w:val="14"/>
                <w:szCs w:val="14"/>
                <w:color w:val="auto"/>
                <w:w w:val="93"/>
              </w:rPr>
              <w:t>outstanding</w:t>
            </w:r>
          </w:p>
        </w:tc>
        <w:tc>
          <w:tcPr>
            <w:tcW w:w="1320" w:type="dxa"/>
            <w:vAlign w:val="bottom"/>
            <w:gridSpan w:val="2"/>
          </w:tcPr>
          <w:p>
            <w:pPr>
              <w:jc w:val="center"/>
              <w:spacing w:after="0" w:line="149" w:lineRule="exact"/>
              <w:rPr>
                <w:sz w:val="20"/>
                <w:szCs w:val="20"/>
                <w:color w:val="auto"/>
              </w:rPr>
            </w:pPr>
            <w:r>
              <w:rPr>
                <w:rFonts w:ascii="Arial" w:cs="Arial" w:eastAsia="Arial" w:hAnsi="Arial"/>
                <w:sz w:val="14"/>
                <w:szCs w:val="14"/>
                <w:color w:val="auto"/>
                <w:w w:val="91"/>
              </w:rPr>
              <w:t>exercise</w:t>
            </w:r>
          </w:p>
        </w:tc>
        <w:tc>
          <w:tcPr>
            <w:tcW w:w="1120" w:type="dxa"/>
            <w:vAlign w:val="bottom"/>
            <w:gridSpan w:val="2"/>
          </w:tcPr>
          <w:p>
            <w:pPr>
              <w:jc w:val="right"/>
              <w:ind w:right="420"/>
              <w:spacing w:after="0" w:line="149" w:lineRule="exact"/>
              <w:rPr>
                <w:sz w:val="20"/>
                <w:szCs w:val="20"/>
                <w:color w:val="auto"/>
              </w:rPr>
            </w:pPr>
            <w:r>
              <w:rPr>
                <w:rFonts w:ascii="Arial" w:cs="Arial" w:eastAsia="Arial" w:hAnsi="Arial"/>
                <w:sz w:val="14"/>
                <w:szCs w:val="14"/>
                <w:color w:val="auto"/>
                <w:w w:val="99"/>
              </w:rPr>
              <w:t>contractual</w:t>
            </w:r>
          </w:p>
        </w:tc>
        <w:tc>
          <w:tcPr>
            <w:tcW w:w="940" w:type="dxa"/>
            <w:vAlign w:val="bottom"/>
            <w:gridSpan w:val="2"/>
          </w:tcPr>
          <w:p>
            <w:pPr>
              <w:jc w:val="center"/>
              <w:ind w:right="300"/>
              <w:spacing w:after="0" w:line="149" w:lineRule="exact"/>
              <w:rPr>
                <w:sz w:val="20"/>
                <w:szCs w:val="20"/>
                <w:color w:val="auto"/>
              </w:rPr>
            </w:pPr>
            <w:r>
              <w:rPr>
                <w:rFonts w:ascii="Arial" w:cs="Arial" w:eastAsia="Arial" w:hAnsi="Arial"/>
                <w:sz w:val="14"/>
                <w:szCs w:val="14"/>
                <w:color w:val="auto"/>
                <w:w w:val="85"/>
              </w:rPr>
              <w:t>Plan</w:t>
            </w:r>
          </w:p>
        </w:tc>
        <w:tc>
          <w:tcPr>
            <w:tcW w:w="1300" w:type="dxa"/>
            <w:vAlign w:val="bottom"/>
            <w:gridSpan w:val="3"/>
          </w:tcPr>
          <w:p>
            <w:pPr>
              <w:ind w:left="200"/>
              <w:spacing w:after="0" w:line="149" w:lineRule="exact"/>
              <w:rPr>
                <w:sz w:val="20"/>
                <w:szCs w:val="20"/>
                <w:color w:val="auto"/>
              </w:rPr>
            </w:pPr>
            <w:r>
              <w:rPr>
                <w:rFonts w:ascii="Arial" w:cs="Arial" w:eastAsia="Arial" w:hAnsi="Arial"/>
                <w:sz w:val="14"/>
                <w:szCs w:val="14"/>
                <w:color w:val="auto"/>
                <w:w w:val="94"/>
              </w:rPr>
              <w:t>Weighted-average</w:t>
            </w:r>
          </w:p>
        </w:tc>
        <w:tc>
          <w:tcPr>
            <w:tcW w:w="0" w:type="dxa"/>
            <w:vAlign w:val="bottom"/>
          </w:tcPr>
          <w:p>
            <w:pPr>
              <w:spacing w:after="0"/>
              <w:rPr>
                <w:sz w:val="1"/>
                <w:szCs w:val="1"/>
                <w:color w:val="auto"/>
              </w:rPr>
            </w:pPr>
          </w:p>
        </w:tc>
      </w:tr>
      <w:tr>
        <w:trPr>
          <w:trHeight w:val="148"/>
        </w:trPr>
        <w:tc>
          <w:tcPr>
            <w:tcW w:w="4620" w:type="dxa"/>
            <w:vAlign w:val="bottom"/>
          </w:tcPr>
          <w:p>
            <w:pPr>
              <w:spacing w:after="0"/>
              <w:rPr>
                <w:sz w:val="12"/>
                <w:szCs w:val="12"/>
                <w:color w:val="auto"/>
              </w:rPr>
            </w:pPr>
          </w:p>
        </w:tc>
        <w:tc>
          <w:tcPr>
            <w:tcW w:w="1180" w:type="dxa"/>
            <w:vAlign w:val="bottom"/>
            <w:gridSpan w:val="2"/>
          </w:tcPr>
          <w:p>
            <w:pPr>
              <w:jc w:val="center"/>
              <w:ind w:right="480"/>
              <w:spacing w:after="0" w:line="149" w:lineRule="exact"/>
              <w:rPr>
                <w:sz w:val="20"/>
                <w:szCs w:val="20"/>
                <w:color w:val="auto"/>
              </w:rPr>
            </w:pPr>
            <w:r>
              <w:rPr>
                <w:rFonts w:ascii="Arial" w:cs="Arial" w:eastAsia="Arial" w:hAnsi="Arial"/>
                <w:sz w:val="14"/>
                <w:szCs w:val="14"/>
                <w:color w:val="auto"/>
                <w:w w:val="91"/>
              </w:rPr>
              <w:t>under the</w:t>
            </w:r>
          </w:p>
        </w:tc>
        <w:tc>
          <w:tcPr>
            <w:tcW w:w="760" w:type="dxa"/>
            <w:vAlign w:val="bottom"/>
            <w:gridSpan w:val="2"/>
          </w:tcPr>
          <w:p>
            <w:pPr>
              <w:jc w:val="center"/>
              <w:ind w:right="100"/>
              <w:spacing w:after="0" w:line="149" w:lineRule="exact"/>
              <w:rPr>
                <w:sz w:val="20"/>
                <w:szCs w:val="20"/>
                <w:color w:val="auto"/>
              </w:rPr>
            </w:pPr>
            <w:r>
              <w:rPr>
                <w:rFonts w:ascii="Arial" w:cs="Arial" w:eastAsia="Arial" w:hAnsi="Arial"/>
                <w:sz w:val="14"/>
                <w:szCs w:val="14"/>
                <w:color w:val="auto"/>
                <w:w w:val="91"/>
              </w:rPr>
              <w:t>under the</w:t>
            </w:r>
          </w:p>
        </w:tc>
        <w:tc>
          <w:tcPr>
            <w:tcW w:w="500" w:type="dxa"/>
            <w:vAlign w:val="bottom"/>
          </w:tcPr>
          <w:p>
            <w:pPr>
              <w:spacing w:after="0"/>
              <w:rPr>
                <w:sz w:val="12"/>
                <w:szCs w:val="12"/>
                <w:color w:val="auto"/>
              </w:rPr>
            </w:pPr>
          </w:p>
        </w:tc>
        <w:tc>
          <w:tcPr>
            <w:tcW w:w="820" w:type="dxa"/>
            <w:vAlign w:val="bottom"/>
          </w:tcPr>
          <w:p>
            <w:pPr>
              <w:jc w:val="center"/>
              <w:ind w:right="371"/>
              <w:spacing w:after="0" w:line="149" w:lineRule="exact"/>
              <w:rPr>
                <w:sz w:val="20"/>
                <w:szCs w:val="20"/>
                <w:color w:val="auto"/>
              </w:rPr>
            </w:pPr>
            <w:r>
              <w:rPr>
                <w:rFonts w:ascii="Arial" w:cs="Arial" w:eastAsia="Arial" w:hAnsi="Arial"/>
                <w:sz w:val="14"/>
                <w:szCs w:val="14"/>
                <w:color w:val="auto"/>
                <w:w w:val="92"/>
              </w:rPr>
              <w:t>price</w:t>
            </w:r>
          </w:p>
        </w:tc>
        <w:tc>
          <w:tcPr>
            <w:tcW w:w="1120" w:type="dxa"/>
            <w:vAlign w:val="bottom"/>
            <w:gridSpan w:val="2"/>
          </w:tcPr>
          <w:p>
            <w:pPr>
              <w:jc w:val="center"/>
              <w:ind w:right="340"/>
              <w:spacing w:after="0" w:line="149" w:lineRule="exact"/>
              <w:rPr>
                <w:sz w:val="20"/>
                <w:szCs w:val="20"/>
                <w:color w:val="auto"/>
              </w:rPr>
            </w:pPr>
            <w:r>
              <w:rPr>
                <w:rFonts w:ascii="Arial" w:cs="Arial" w:eastAsia="Arial" w:hAnsi="Arial"/>
                <w:sz w:val="14"/>
                <w:szCs w:val="14"/>
                <w:color w:val="auto"/>
                <w:w w:val="92"/>
              </w:rPr>
              <w:t>term</w:t>
            </w:r>
          </w:p>
        </w:tc>
        <w:tc>
          <w:tcPr>
            <w:tcW w:w="940" w:type="dxa"/>
            <w:vAlign w:val="bottom"/>
            <w:gridSpan w:val="2"/>
          </w:tcPr>
          <w:p>
            <w:pPr>
              <w:jc w:val="center"/>
              <w:ind w:right="260"/>
              <w:spacing w:after="0" w:line="149" w:lineRule="exact"/>
              <w:rPr>
                <w:sz w:val="20"/>
                <w:szCs w:val="20"/>
                <w:color w:val="auto"/>
              </w:rPr>
            </w:pPr>
            <w:r>
              <w:rPr>
                <w:rFonts w:ascii="Arial" w:cs="Arial" w:eastAsia="Arial" w:hAnsi="Arial"/>
                <w:sz w:val="14"/>
                <w:szCs w:val="14"/>
                <w:color w:val="auto"/>
                <w:w w:val="85"/>
              </w:rPr>
              <w:t>shares</w:t>
            </w:r>
          </w:p>
        </w:tc>
        <w:tc>
          <w:tcPr>
            <w:tcW w:w="280" w:type="dxa"/>
            <w:vAlign w:val="bottom"/>
          </w:tcPr>
          <w:p>
            <w:pPr>
              <w:spacing w:after="0"/>
              <w:rPr>
                <w:sz w:val="12"/>
                <w:szCs w:val="12"/>
                <w:color w:val="auto"/>
              </w:rPr>
            </w:pPr>
          </w:p>
        </w:tc>
        <w:tc>
          <w:tcPr>
            <w:tcW w:w="102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w w:val="94"/>
              </w:rPr>
              <w:t>grant date fair</w:t>
            </w:r>
          </w:p>
        </w:tc>
        <w:tc>
          <w:tcPr>
            <w:tcW w:w="0" w:type="dxa"/>
            <w:vAlign w:val="bottom"/>
          </w:tcPr>
          <w:p>
            <w:pPr>
              <w:spacing w:after="0"/>
              <w:rPr>
                <w:sz w:val="1"/>
                <w:szCs w:val="1"/>
                <w:color w:val="auto"/>
              </w:rPr>
            </w:pPr>
          </w:p>
        </w:tc>
      </w:tr>
      <w:tr>
        <w:trPr>
          <w:trHeight w:val="167"/>
        </w:trPr>
        <w:tc>
          <w:tcPr>
            <w:tcW w:w="4620" w:type="dxa"/>
            <w:vAlign w:val="bottom"/>
          </w:tcPr>
          <w:p>
            <w:pPr>
              <w:spacing w:after="0"/>
              <w:rPr>
                <w:sz w:val="14"/>
                <w:szCs w:val="14"/>
                <w:color w:val="auto"/>
              </w:rPr>
            </w:pPr>
          </w:p>
        </w:tc>
        <w:tc>
          <w:tcPr>
            <w:tcW w:w="1180" w:type="dxa"/>
            <w:vAlign w:val="bottom"/>
            <w:gridSpan w:val="2"/>
          </w:tcPr>
          <w:p>
            <w:pPr>
              <w:jc w:val="center"/>
              <w:ind w:right="460"/>
              <w:spacing w:after="0"/>
              <w:rPr>
                <w:sz w:val="20"/>
                <w:szCs w:val="20"/>
                <w:color w:val="auto"/>
              </w:rPr>
            </w:pPr>
            <w:r>
              <w:rPr>
                <w:rFonts w:ascii="Arial" w:cs="Arial" w:eastAsia="Arial" w:hAnsi="Arial"/>
                <w:sz w:val="14"/>
                <w:szCs w:val="14"/>
                <w:color w:val="auto"/>
                <w:w w:val="91"/>
              </w:rPr>
              <w:t>Plans</w:t>
            </w:r>
          </w:p>
        </w:tc>
        <w:tc>
          <w:tcPr>
            <w:tcW w:w="760" w:type="dxa"/>
            <w:vAlign w:val="bottom"/>
            <w:gridSpan w:val="2"/>
          </w:tcPr>
          <w:p>
            <w:pPr>
              <w:jc w:val="center"/>
              <w:ind w:right="80"/>
              <w:spacing w:after="0"/>
              <w:rPr>
                <w:sz w:val="20"/>
                <w:szCs w:val="20"/>
                <w:color w:val="auto"/>
              </w:rPr>
            </w:pPr>
            <w:r>
              <w:rPr>
                <w:rFonts w:ascii="Arial" w:cs="Arial" w:eastAsia="Arial" w:hAnsi="Arial"/>
                <w:sz w:val="14"/>
                <w:szCs w:val="14"/>
                <w:color w:val="auto"/>
                <w:w w:val="91"/>
              </w:rPr>
              <w:t>Plans</w:t>
            </w:r>
          </w:p>
        </w:tc>
        <w:tc>
          <w:tcPr>
            <w:tcW w:w="1320" w:type="dxa"/>
            <w:vAlign w:val="bottom"/>
            <w:gridSpan w:val="2"/>
          </w:tcPr>
          <w:p>
            <w:pPr>
              <w:jc w:val="center"/>
              <w:spacing w:after="0"/>
              <w:rPr>
                <w:sz w:val="20"/>
                <w:szCs w:val="20"/>
                <w:color w:val="auto"/>
              </w:rPr>
            </w:pPr>
            <w:r>
              <w:rPr>
                <w:rFonts w:ascii="Arial" w:cs="Arial" w:eastAsia="Arial" w:hAnsi="Arial"/>
                <w:sz w:val="14"/>
                <w:szCs w:val="14"/>
                <w:color w:val="auto"/>
                <w:w w:val="87"/>
              </w:rPr>
              <w:t>per share</w:t>
            </w:r>
          </w:p>
        </w:tc>
        <w:tc>
          <w:tcPr>
            <w:tcW w:w="1120" w:type="dxa"/>
            <w:vAlign w:val="bottom"/>
            <w:gridSpan w:val="2"/>
          </w:tcPr>
          <w:p>
            <w:pPr>
              <w:jc w:val="center"/>
              <w:ind w:right="340"/>
              <w:spacing w:after="0"/>
              <w:rPr>
                <w:sz w:val="20"/>
                <w:szCs w:val="20"/>
                <w:color w:val="auto"/>
              </w:rPr>
            </w:pPr>
            <w:r>
              <w:rPr>
                <w:rFonts w:ascii="Arial" w:cs="Arial" w:eastAsia="Arial" w:hAnsi="Arial"/>
                <w:sz w:val="14"/>
                <w:szCs w:val="14"/>
                <w:color w:val="auto"/>
                <w:w w:val="87"/>
              </w:rPr>
              <w:t>(years)</w:t>
            </w:r>
          </w:p>
        </w:tc>
        <w:tc>
          <w:tcPr>
            <w:tcW w:w="940" w:type="dxa"/>
            <w:vAlign w:val="bottom"/>
            <w:gridSpan w:val="2"/>
          </w:tcPr>
          <w:p>
            <w:pPr>
              <w:jc w:val="center"/>
              <w:ind w:right="260"/>
              <w:spacing w:after="0"/>
              <w:rPr>
                <w:sz w:val="20"/>
                <w:szCs w:val="20"/>
                <w:color w:val="auto"/>
              </w:rPr>
            </w:pPr>
            <w:r>
              <w:rPr>
                <w:rFonts w:ascii="Arial" w:cs="Arial" w:eastAsia="Arial" w:hAnsi="Arial"/>
                <w:sz w:val="14"/>
                <w:szCs w:val="14"/>
                <w:color w:val="auto"/>
                <w:w w:val="93"/>
              </w:rPr>
              <w:t>outstanding</w:t>
            </w:r>
          </w:p>
        </w:tc>
        <w:tc>
          <w:tcPr>
            <w:tcW w:w="280" w:type="dxa"/>
            <w:vAlign w:val="bottom"/>
          </w:tcPr>
          <w:p>
            <w:pPr>
              <w:spacing w:after="0"/>
              <w:rPr>
                <w:sz w:val="14"/>
                <w:szCs w:val="14"/>
                <w:color w:val="auto"/>
              </w:rPr>
            </w:pPr>
          </w:p>
        </w:tc>
        <w:tc>
          <w:tcPr>
            <w:tcW w:w="1020" w:type="dxa"/>
            <w:vAlign w:val="bottom"/>
            <w:gridSpan w:val="2"/>
          </w:tcPr>
          <w:p>
            <w:pPr>
              <w:jc w:val="right"/>
              <w:ind w:right="140"/>
              <w:spacing w:after="0"/>
              <w:rPr>
                <w:sz w:val="20"/>
                <w:szCs w:val="20"/>
                <w:color w:val="auto"/>
              </w:rPr>
            </w:pPr>
            <w:r>
              <w:rPr>
                <w:rFonts w:ascii="Arial" w:cs="Arial" w:eastAsia="Arial" w:hAnsi="Arial"/>
                <w:sz w:val="14"/>
                <w:szCs w:val="14"/>
                <w:color w:val="auto"/>
                <w:w w:val="89"/>
              </w:rPr>
              <w:t>value per share</w:t>
            </w:r>
          </w:p>
        </w:tc>
        <w:tc>
          <w:tcPr>
            <w:tcW w:w="0" w:type="dxa"/>
            <w:vAlign w:val="bottom"/>
          </w:tcPr>
          <w:p>
            <w:pPr>
              <w:spacing w:after="0"/>
              <w:rPr>
                <w:sz w:val="1"/>
                <w:szCs w:val="1"/>
                <w:color w:val="auto"/>
              </w:rPr>
            </w:pPr>
          </w:p>
        </w:tc>
      </w:tr>
      <w:tr>
        <w:trPr>
          <w:trHeight w:val="142"/>
        </w:trPr>
        <w:tc>
          <w:tcPr>
            <w:tcW w:w="4620" w:type="dxa"/>
            <w:vAlign w:val="bottom"/>
          </w:tcPr>
          <w:p>
            <w:pPr>
              <w:spacing w:after="0"/>
              <w:rPr>
                <w:sz w:val="12"/>
                <w:szCs w:val="12"/>
                <w:color w:val="auto"/>
              </w:rPr>
            </w:pPr>
          </w:p>
        </w:tc>
        <w:tc>
          <w:tcPr>
            <w:tcW w:w="720" w:type="dxa"/>
            <w:vAlign w:val="bottom"/>
            <w:tcBorders>
              <w:top w:val="single" w:sz="8" w:color="auto"/>
            </w:tcBorders>
          </w:tcPr>
          <w:p>
            <w:pPr>
              <w:spacing w:after="0"/>
              <w:rPr>
                <w:sz w:val="12"/>
                <w:szCs w:val="12"/>
                <w:color w:val="auto"/>
              </w:rPr>
            </w:pPr>
          </w:p>
        </w:tc>
        <w:tc>
          <w:tcPr>
            <w:tcW w:w="460" w:type="dxa"/>
            <w:vAlign w:val="bottom"/>
            <w:tcBorders>
              <w:top w:val="single" w:sz="8" w:color="auto"/>
            </w:tcBorders>
          </w:tcPr>
          <w:p>
            <w:pPr>
              <w:spacing w:after="0"/>
              <w:rPr>
                <w:sz w:val="12"/>
                <w:szCs w:val="12"/>
                <w:color w:val="auto"/>
              </w:rPr>
            </w:pPr>
          </w:p>
        </w:tc>
        <w:tc>
          <w:tcPr>
            <w:tcW w:w="68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3380" w:type="dxa"/>
            <w:vAlign w:val="bottom"/>
            <w:tcBorders>
              <w:top w:val="single" w:sz="8" w:color="auto"/>
            </w:tcBorders>
            <w:gridSpan w:val="6"/>
          </w:tcPr>
          <w:p>
            <w:pPr>
              <w:ind w:left="220"/>
              <w:spacing w:after="0" w:line="142" w:lineRule="exact"/>
              <w:rPr>
                <w:sz w:val="20"/>
                <w:szCs w:val="20"/>
                <w:color w:val="auto"/>
              </w:rPr>
            </w:pPr>
            <w:r>
              <w:rPr>
                <w:rFonts w:ascii="Arial" w:cs="Arial" w:eastAsia="Arial" w:hAnsi="Arial"/>
                <w:sz w:val="14"/>
                <w:szCs w:val="14"/>
                <w:i w:val="1"/>
                <w:iCs w:val="1"/>
                <w:color w:val="auto"/>
              </w:rPr>
              <w:t>(In millions, except per share amounts)</w:t>
            </w:r>
          </w:p>
        </w:tc>
        <w:tc>
          <w:tcPr>
            <w:tcW w:w="280" w:type="dxa"/>
            <w:vAlign w:val="bottom"/>
            <w:tcBorders>
              <w:top w:val="single" w:sz="8" w:color="auto"/>
            </w:tcBorders>
          </w:tcPr>
          <w:p>
            <w:pPr>
              <w:spacing w:after="0"/>
              <w:rPr>
                <w:sz w:val="12"/>
                <w:szCs w:val="12"/>
                <w:color w:val="auto"/>
              </w:rPr>
            </w:pPr>
          </w:p>
        </w:tc>
        <w:tc>
          <w:tcPr>
            <w:tcW w:w="960" w:type="dxa"/>
            <w:vAlign w:val="bottom"/>
            <w:tcBorders>
              <w:top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4620" w:type="dxa"/>
            <w:vAlign w:val="bottom"/>
            <w:shd w:val="clear" w:color="auto" w:fill="CCEEFF"/>
          </w:tcPr>
          <w:p>
            <w:pPr>
              <w:spacing w:after="0"/>
              <w:rPr>
                <w:sz w:val="20"/>
                <w:szCs w:val="20"/>
                <w:color w:val="auto"/>
              </w:rPr>
            </w:pPr>
            <w:r>
              <w:rPr>
                <w:rFonts w:ascii="Arial" w:cs="Arial" w:eastAsia="Arial" w:hAnsi="Arial"/>
                <w:sz w:val="18"/>
                <w:szCs w:val="18"/>
                <w:color w:val="auto"/>
              </w:rPr>
              <w:t>Balance at December 31, 2014</w:t>
            </w:r>
          </w:p>
        </w:tc>
        <w:tc>
          <w:tcPr>
            <w:tcW w:w="118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0.6</w:t>
            </w:r>
          </w:p>
        </w:tc>
        <w:tc>
          <w:tcPr>
            <w:tcW w:w="7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20.2</w:t>
            </w:r>
          </w:p>
        </w:tc>
        <w:tc>
          <w:tcPr>
            <w:tcW w:w="500" w:type="dxa"/>
            <w:vAlign w:val="bottom"/>
            <w:shd w:val="clear" w:color="auto" w:fill="CCEEFF"/>
          </w:tcPr>
          <w:p>
            <w:pPr>
              <w:ind w:left="380"/>
              <w:spacing w:after="0"/>
              <w:rPr>
                <w:sz w:val="20"/>
                <w:szCs w:val="20"/>
                <w:color w:val="auto"/>
              </w:rPr>
            </w:pPr>
            <w:r>
              <w:rPr>
                <w:rFonts w:ascii="Arial" w:cs="Arial" w:eastAsia="Arial" w:hAnsi="Arial"/>
                <w:sz w:val="18"/>
                <w:szCs w:val="18"/>
                <w:color w:val="auto"/>
                <w:w w:val="99"/>
              </w:rPr>
              <w:t>$</w:t>
            </w:r>
          </w:p>
        </w:tc>
        <w:tc>
          <w:tcPr>
            <w:tcW w:w="820" w:type="dxa"/>
            <w:vAlign w:val="bottom"/>
            <w:shd w:val="clear" w:color="auto" w:fill="CCEEFF"/>
          </w:tcPr>
          <w:p>
            <w:pPr>
              <w:jc w:val="right"/>
              <w:ind w:right="251"/>
              <w:spacing w:after="0"/>
              <w:rPr>
                <w:sz w:val="20"/>
                <w:szCs w:val="20"/>
                <w:color w:val="auto"/>
              </w:rPr>
            </w:pPr>
            <w:r>
              <w:rPr>
                <w:rFonts w:ascii="Arial" w:cs="Arial" w:eastAsia="Arial" w:hAnsi="Arial"/>
                <w:sz w:val="18"/>
                <w:szCs w:val="18"/>
                <w:color w:val="auto"/>
              </w:rPr>
              <w:t>10.61</w:t>
            </w:r>
          </w:p>
        </w:tc>
        <w:tc>
          <w:tcPr>
            <w:tcW w:w="112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8.9</w:t>
            </w:r>
          </w:p>
        </w:tc>
        <w:tc>
          <w:tcPr>
            <w:tcW w:w="9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40.7</w:t>
            </w:r>
          </w:p>
        </w:tc>
        <w:tc>
          <w:tcPr>
            <w:tcW w:w="280" w:type="dxa"/>
            <w:vAlign w:val="bottom"/>
            <w:shd w:val="clear" w:color="auto" w:fill="CCEEFF"/>
          </w:tcPr>
          <w:p>
            <w:pPr>
              <w:ind w:left="200"/>
              <w:spacing w:after="0"/>
              <w:rPr>
                <w:sz w:val="20"/>
                <w:szCs w:val="20"/>
                <w:color w:val="auto"/>
              </w:rPr>
            </w:pPr>
            <w:r>
              <w:rPr>
                <w:rFonts w:ascii="Arial" w:cs="Arial" w:eastAsia="Arial" w:hAnsi="Arial"/>
                <w:sz w:val="15"/>
                <w:szCs w:val="15"/>
                <w:color w:val="auto"/>
                <w:w w:val="71"/>
              </w:rPr>
              <w:t>$</w:t>
            </w:r>
          </w:p>
        </w:tc>
        <w:tc>
          <w:tcPr>
            <w:tcW w:w="10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9.13</w:t>
            </w:r>
          </w:p>
        </w:tc>
        <w:tc>
          <w:tcPr>
            <w:tcW w:w="0" w:type="dxa"/>
            <w:vAlign w:val="bottom"/>
          </w:tcPr>
          <w:p>
            <w:pPr>
              <w:spacing w:after="0"/>
              <w:rPr>
                <w:sz w:val="1"/>
                <w:szCs w:val="1"/>
                <w:color w:val="auto"/>
              </w:rPr>
            </w:pPr>
          </w:p>
        </w:tc>
      </w:tr>
      <w:tr>
        <w:trPr>
          <w:trHeight w:val="216"/>
        </w:trPr>
        <w:tc>
          <w:tcPr>
            <w:tcW w:w="4620" w:type="dxa"/>
            <w:vAlign w:val="bottom"/>
          </w:tcPr>
          <w:p>
            <w:pPr>
              <w:spacing w:after="0"/>
              <w:rPr>
                <w:sz w:val="20"/>
                <w:szCs w:val="20"/>
                <w:color w:val="auto"/>
              </w:rPr>
            </w:pPr>
            <w:r>
              <w:rPr>
                <w:rFonts w:ascii="Arial" w:cs="Arial" w:eastAsia="Arial" w:hAnsi="Arial"/>
                <w:sz w:val="18"/>
                <w:szCs w:val="18"/>
                <w:color w:val="auto"/>
              </w:rPr>
              <w:t>Additional shares authorized</w:t>
            </w:r>
          </w:p>
        </w:tc>
        <w:tc>
          <w:tcPr>
            <w:tcW w:w="1180" w:type="dxa"/>
            <w:vAlign w:val="bottom"/>
            <w:gridSpan w:val="2"/>
          </w:tcPr>
          <w:p>
            <w:pPr>
              <w:jc w:val="right"/>
              <w:ind w:right="460"/>
              <w:spacing w:after="0"/>
              <w:rPr>
                <w:sz w:val="20"/>
                <w:szCs w:val="20"/>
                <w:color w:val="auto"/>
              </w:rPr>
            </w:pPr>
            <w:r>
              <w:rPr>
                <w:rFonts w:ascii="Arial" w:cs="Arial" w:eastAsia="Arial" w:hAnsi="Arial"/>
                <w:sz w:val="18"/>
                <w:szCs w:val="18"/>
                <w:color w:val="auto"/>
              </w:rPr>
              <w:t>46.0</w:t>
            </w:r>
          </w:p>
        </w:tc>
        <w:tc>
          <w:tcPr>
            <w:tcW w:w="7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500" w:type="dxa"/>
            <w:vAlign w:val="bottom"/>
          </w:tcPr>
          <w:p>
            <w:pPr>
              <w:spacing w:after="0"/>
              <w:rPr>
                <w:sz w:val="18"/>
                <w:szCs w:val="18"/>
                <w:color w:val="auto"/>
              </w:rPr>
            </w:pPr>
          </w:p>
        </w:tc>
        <w:tc>
          <w:tcPr>
            <w:tcW w:w="820" w:type="dxa"/>
            <w:vAlign w:val="bottom"/>
          </w:tcPr>
          <w:p>
            <w:pPr>
              <w:jc w:val="right"/>
              <w:ind w:right="331"/>
              <w:spacing w:after="0"/>
              <w:rPr>
                <w:sz w:val="20"/>
                <w:szCs w:val="20"/>
                <w:color w:val="auto"/>
              </w:rPr>
            </w:pPr>
            <w:r>
              <w:rPr>
                <w:rFonts w:ascii="Arial" w:cs="Arial" w:eastAsia="Arial" w:hAnsi="Arial"/>
                <w:sz w:val="18"/>
                <w:szCs w:val="18"/>
                <w:color w:val="auto"/>
              </w:rPr>
              <w:t>—</w:t>
            </w:r>
          </w:p>
        </w:tc>
        <w:tc>
          <w:tcPr>
            <w:tcW w:w="7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4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10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620" w:type="dxa"/>
            <w:vAlign w:val="bottom"/>
            <w:shd w:val="clear" w:color="auto" w:fill="CCEEFF"/>
          </w:tcPr>
          <w:p>
            <w:pPr>
              <w:spacing w:after="0"/>
              <w:rPr>
                <w:sz w:val="20"/>
                <w:szCs w:val="20"/>
                <w:color w:val="auto"/>
              </w:rPr>
            </w:pPr>
            <w:r>
              <w:rPr>
                <w:rFonts w:ascii="Arial" w:cs="Arial" w:eastAsia="Arial" w:hAnsi="Arial"/>
                <w:sz w:val="18"/>
                <w:szCs w:val="18"/>
                <w:color w:val="auto"/>
              </w:rPr>
              <w:t>Options granted</w:t>
            </w:r>
          </w:p>
        </w:tc>
        <w:tc>
          <w:tcPr>
            <w:tcW w:w="11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(3.0)</w:t>
            </w:r>
          </w:p>
        </w:tc>
        <w:tc>
          <w:tcPr>
            <w:tcW w:w="7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3.0</w:t>
            </w:r>
          </w:p>
        </w:tc>
        <w:tc>
          <w:tcPr>
            <w:tcW w:w="500" w:type="dxa"/>
            <w:vAlign w:val="bottom"/>
            <w:shd w:val="clear" w:color="auto" w:fill="CCEEFF"/>
          </w:tcPr>
          <w:p>
            <w:pPr>
              <w:spacing w:after="0"/>
              <w:rPr>
                <w:sz w:val="18"/>
                <w:szCs w:val="18"/>
                <w:color w:val="auto"/>
              </w:rPr>
            </w:pPr>
          </w:p>
        </w:tc>
        <w:tc>
          <w:tcPr>
            <w:tcW w:w="820" w:type="dxa"/>
            <w:vAlign w:val="bottom"/>
            <w:shd w:val="clear" w:color="auto" w:fill="CCEEFF"/>
          </w:tcPr>
          <w:p>
            <w:pPr>
              <w:jc w:val="right"/>
              <w:ind w:right="251"/>
              <w:spacing w:after="0"/>
              <w:rPr>
                <w:sz w:val="20"/>
                <w:szCs w:val="20"/>
                <w:color w:val="auto"/>
              </w:rPr>
            </w:pPr>
            <w:r>
              <w:rPr>
                <w:rFonts w:ascii="Arial" w:cs="Arial" w:eastAsia="Arial" w:hAnsi="Arial"/>
                <w:sz w:val="18"/>
                <w:szCs w:val="18"/>
                <w:color w:val="auto"/>
              </w:rPr>
              <w:t>16.82</w:t>
            </w:r>
          </w:p>
        </w:tc>
        <w:tc>
          <w:tcPr>
            <w:tcW w:w="7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620" w:type="dxa"/>
            <w:vAlign w:val="bottom"/>
          </w:tcPr>
          <w:p>
            <w:pPr>
              <w:spacing w:after="0"/>
              <w:rPr>
                <w:sz w:val="20"/>
                <w:szCs w:val="20"/>
                <w:color w:val="auto"/>
              </w:rPr>
            </w:pPr>
            <w:r>
              <w:rPr>
                <w:rFonts w:ascii="Arial" w:cs="Arial" w:eastAsia="Arial" w:hAnsi="Arial"/>
                <w:sz w:val="18"/>
                <w:szCs w:val="18"/>
                <w:color w:val="auto"/>
              </w:rPr>
              <w:t>Restricted stock granted</w:t>
            </w:r>
          </w:p>
        </w:tc>
        <w:tc>
          <w:tcPr>
            <w:tcW w:w="1180" w:type="dxa"/>
            <w:vAlign w:val="bottom"/>
            <w:gridSpan w:val="2"/>
          </w:tcPr>
          <w:p>
            <w:pPr>
              <w:jc w:val="right"/>
              <w:ind w:right="400"/>
              <w:spacing w:after="0"/>
              <w:rPr>
                <w:sz w:val="20"/>
                <w:szCs w:val="20"/>
                <w:color w:val="auto"/>
              </w:rPr>
            </w:pPr>
            <w:r>
              <w:rPr>
                <w:rFonts w:ascii="Arial" w:cs="Arial" w:eastAsia="Arial" w:hAnsi="Arial"/>
                <w:sz w:val="18"/>
                <w:szCs w:val="18"/>
                <w:color w:val="auto"/>
              </w:rPr>
              <w:t>(31.5)</w:t>
            </w:r>
          </w:p>
        </w:tc>
        <w:tc>
          <w:tcPr>
            <w:tcW w:w="7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500" w:type="dxa"/>
            <w:vAlign w:val="bottom"/>
          </w:tcPr>
          <w:p>
            <w:pPr>
              <w:spacing w:after="0"/>
              <w:rPr>
                <w:sz w:val="18"/>
                <w:szCs w:val="18"/>
                <w:color w:val="auto"/>
              </w:rPr>
            </w:pPr>
          </w:p>
        </w:tc>
        <w:tc>
          <w:tcPr>
            <w:tcW w:w="820" w:type="dxa"/>
            <w:vAlign w:val="bottom"/>
          </w:tcPr>
          <w:p>
            <w:pPr>
              <w:jc w:val="right"/>
              <w:ind w:right="331"/>
              <w:spacing w:after="0"/>
              <w:rPr>
                <w:sz w:val="20"/>
                <w:szCs w:val="20"/>
                <w:color w:val="auto"/>
              </w:rPr>
            </w:pPr>
            <w:r>
              <w:rPr>
                <w:rFonts w:ascii="Arial" w:cs="Arial" w:eastAsia="Arial" w:hAnsi="Arial"/>
                <w:sz w:val="18"/>
                <w:szCs w:val="18"/>
                <w:color w:val="auto"/>
              </w:rPr>
              <w:t>—</w:t>
            </w:r>
          </w:p>
        </w:tc>
        <w:tc>
          <w:tcPr>
            <w:tcW w:w="7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40" w:type="dxa"/>
            <w:vAlign w:val="bottom"/>
            <w:gridSpan w:val="2"/>
          </w:tcPr>
          <w:p>
            <w:pPr>
              <w:jc w:val="right"/>
              <w:ind w:right="260"/>
              <w:spacing w:after="0"/>
              <w:rPr>
                <w:sz w:val="20"/>
                <w:szCs w:val="20"/>
                <w:color w:val="auto"/>
              </w:rPr>
            </w:pPr>
            <w:r>
              <w:rPr>
                <w:rFonts w:ascii="Arial" w:cs="Arial" w:eastAsia="Arial" w:hAnsi="Arial"/>
                <w:sz w:val="18"/>
                <w:szCs w:val="18"/>
                <w:color w:val="auto"/>
              </w:rPr>
              <w:t>31.5</w:t>
            </w:r>
          </w:p>
        </w:tc>
        <w:tc>
          <w:tcPr>
            <w:tcW w:w="280" w:type="dxa"/>
            <w:vAlign w:val="bottom"/>
          </w:tcPr>
          <w:p>
            <w:pPr>
              <w:spacing w:after="0"/>
              <w:rPr>
                <w:sz w:val="18"/>
                <w:szCs w:val="18"/>
                <w:color w:val="auto"/>
              </w:rPr>
            </w:pPr>
          </w:p>
        </w:tc>
        <w:tc>
          <w:tcPr>
            <w:tcW w:w="1020" w:type="dxa"/>
            <w:vAlign w:val="bottom"/>
            <w:gridSpan w:val="2"/>
          </w:tcPr>
          <w:p>
            <w:pPr>
              <w:jc w:val="right"/>
              <w:ind w:right="60"/>
              <w:spacing w:after="0"/>
              <w:rPr>
                <w:sz w:val="20"/>
                <w:szCs w:val="20"/>
                <w:color w:val="auto"/>
              </w:rPr>
            </w:pPr>
            <w:r>
              <w:rPr>
                <w:rFonts w:ascii="Arial" w:cs="Arial" w:eastAsia="Arial" w:hAnsi="Arial"/>
                <w:sz w:val="18"/>
                <w:szCs w:val="18"/>
                <w:color w:val="auto"/>
              </w:rPr>
              <w:t>15.16</w:t>
            </w:r>
          </w:p>
        </w:tc>
        <w:tc>
          <w:tcPr>
            <w:tcW w:w="0" w:type="dxa"/>
            <w:vAlign w:val="bottom"/>
          </w:tcPr>
          <w:p>
            <w:pPr>
              <w:spacing w:after="0"/>
              <w:rPr>
                <w:sz w:val="1"/>
                <w:szCs w:val="1"/>
                <w:color w:val="auto"/>
              </w:rPr>
            </w:pPr>
          </w:p>
        </w:tc>
      </w:tr>
      <w:tr>
        <w:trPr>
          <w:trHeight w:val="216"/>
        </w:trPr>
        <w:tc>
          <w:tcPr>
            <w:tcW w:w="4620" w:type="dxa"/>
            <w:vAlign w:val="bottom"/>
            <w:shd w:val="clear" w:color="auto" w:fill="CCEEFF"/>
          </w:tcPr>
          <w:p>
            <w:pPr>
              <w:spacing w:after="0"/>
              <w:rPr>
                <w:sz w:val="20"/>
                <w:szCs w:val="20"/>
                <w:color w:val="auto"/>
              </w:rPr>
            </w:pPr>
            <w:r>
              <w:rPr>
                <w:rFonts w:ascii="Arial" w:cs="Arial" w:eastAsia="Arial" w:hAnsi="Arial"/>
                <w:sz w:val="18"/>
                <w:szCs w:val="18"/>
                <w:color w:val="auto"/>
              </w:rPr>
              <w:t>Options and RSAs exercised</w:t>
            </w:r>
          </w:p>
        </w:tc>
        <w:tc>
          <w:tcPr>
            <w:tcW w:w="118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(0.6)</w:t>
            </w:r>
          </w:p>
        </w:tc>
        <w:tc>
          <w:tcPr>
            <w:tcW w:w="500" w:type="dxa"/>
            <w:vAlign w:val="bottom"/>
            <w:shd w:val="clear" w:color="auto" w:fill="CCEEFF"/>
          </w:tcPr>
          <w:p>
            <w:pPr>
              <w:spacing w:after="0"/>
              <w:rPr>
                <w:sz w:val="18"/>
                <w:szCs w:val="18"/>
                <w:color w:val="auto"/>
              </w:rPr>
            </w:pPr>
          </w:p>
        </w:tc>
        <w:tc>
          <w:tcPr>
            <w:tcW w:w="820" w:type="dxa"/>
            <w:vAlign w:val="bottom"/>
            <w:shd w:val="clear" w:color="auto" w:fill="CCEEFF"/>
          </w:tcPr>
          <w:p>
            <w:pPr>
              <w:jc w:val="right"/>
              <w:ind w:right="251"/>
              <w:spacing w:after="0"/>
              <w:rPr>
                <w:sz w:val="20"/>
                <w:szCs w:val="20"/>
                <w:color w:val="auto"/>
              </w:rPr>
            </w:pPr>
            <w:r>
              <w:rPr>
                <w:rFonts w:ascii="Arial" w:cs="Arial" w:eastAsia="Arial" w:hAnsi="Arial"/>
                <w:sz w:val="18"/>
                <w:szCs w:val="18"/>
                <w:color w:val="auto"/>
              </w:rPr>
              <w:t>4.51</w:t>
            </w:r>
          </w:p>
        </w:tc>
        <w:tc>
          <w:tcPr>
            <w:tcW w:w="7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620" w:type="dxa"/>
            <w:vAlign w:val="bottom"/>
          </w:tcPr>
          <w:p>
            <w:pPr>
              <w:spacing w:after="0"/>
              <w:rPr>
                <w:sz w:val="20"/>
                <w:szCs w:val="20"/>
                <w:color w:val="auto"/>
              </w:rPr>
            </w:pPr>
            <w:r>
              <w:rPr>
                <w:rFonts w:ascii="Arial" w:cs="Arial" w:eastAsia="Arial" w:hAnsi="Arial"/>
                <w:sz w:val="18"/>
                <w:szCs w:val="18"/>
                <w:color w:val="auto"/>
              </w:rPr>
              <w:t>Options and RSUs canceled</w:t>
            </w:r>
          </w:p>
        </w:tc>
        <w:tc>
          <w:tcPr>
            <w:tcW w:w="1180" w:type="dxa"/>
            <w:vAlign w:val="bottom"/>
            <w:gridSpan w:val="2"/>
          </w:tcPr>
          <w:p>
            <w:pPr>
              <w:jc w:val="right"/>
              <w:ind w:right="460"/>
              <w:spacing w:after="0"/>
              <w:rPr>
                <w:sz w:val="20"/>
                <w:szCs w:val="20"/>
                <w:color w:val="auto"/>
              </w:rPr>
            </w:pPr>
            <w:r>
              <w:rPr>
                <w:rFonts w:ascii="Arial" w:cs="Arial" w:eastAsia="Arial" w:hAnsi="Arial"/>
                <w:sz w:val="18"/>
                <w:szCs w:val="18"/>
                <w:color w:val="auto"/>
              </w:rPr>
              <w:t>9.5</w:t>
            </w:r>
          </w:p>
        </w:tc>
        <w:tc>
          <w:tcPr>
            <w:tcW w:w="760" w:type="dxa"/>
            <w:vAlign w:val="bottom"/>
            <w:gridSpan w:val="2"/>
          </w:tcPr>
          <w:p>
            <w:pPr>
              <w:jc w:val="right"/>
              <w:ind w:right="20"/>
              <w:spacing w:after="0"/>
              <w:rPr>
                <w:sz w:val="20"/>
                <w:szCs w:val="20"/>
                <w:color w:val="auto"/>
              </w:rPr>
            </w:pPr>
            <w:r>
              <w:rPr>
                <w:rFonts w:ascii="Arial" w:cs="Arial" w:eastAsia="Arial" w:hAnsi="Arial"/>
                <w:sz w:val="18"/>
                <w:szCs w:val="18"/>
                <w:color w:val="auto"/>
              </w:rPr>
              <w:t>(2.6)</w:t>
            </w:r>
          </w:p>
        </w:tc>
        <w:tc>
          <w:tcPr>
            <w:tcW w:w="500" w:type="dxa"/>
            <w:vAlign w:val="bottom"/>
          </w:tcPr>
          <w:p>
            <w:pPr>
              <w:spacing w:after="0"/>
              <w:rPr>
                <w:sz w:val="18"/>
                <w:szCs w:val="18"/>
                <w:color w:val="auto"/>
              </w:rPr>
            </w:pPr>
          </w:p>
        </w:tc>
        <w:tc>
          <w:tcPr>
            <w:tcW w:w="820" w:type="dxa"/>
            <w:vAlign w:val="bottom"/>
          </w:tcPr>
          <w:p>
            <w:pPr>
              <w:jc w:val="right"/>
              <w:ind w:right="251"/>
              <w:spacing w:after="0"/>
              <w:rPr>
                <w:sz w:val="20"/>
                <w:szCs w:val="20"/>
                <w:color w:val="auto"/>
              </w:rPr>
            </w:pPr>
            <w:r>
              <w:rPr>
                <w:rFonts w:ascii="Arial" w:cs="Arial" w:eastAsia="Arial" w:hAnsi="Arial"/>
                <w:sz w:val="18"/>
                <w:szCs w:val="18"/>
                <w:color w:val="auto"/>
              </w:rPr>
              <w:t>10.87</w:t>
            </w:r>
          </w:p>
        </w:tc>
        <w:tc>
          <w:tcPr>
            <w:tcW w:w="7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40" w:type="dxa"/>
            <w:vAlign w:val="bottom"/>
            <w:gridSpan w:val="2"/>
          </w:tcPr>
          <w:p>
            <w:pPr>
              <w:jc w:val="right"/>
              <w:ind w:right="200"/>
              <w:spacing w:after="0"/>
              <w:rPr>
                <w:sz w:val="20"/>
                <w:szCs w:val="20"/>
                <w:color w:val="auto"/>
              </w:rPr>
            </w:pPr>
            <w:r>
              <w:rPr>
                <w:rFonts w:ascii="Arial" w:cs="Arial" w:eastAsia="Arial" w:hAnsi="Arial"/>
                <w:sz w:val="18"/>
                <w:szCs w:val="18"/>
                <w:color w:val="auto"/>
              </w:rPr>
              <w:t>(6.9)</w:t>
            </w:r>
          </w:p>
        </w:tc>
        <w:tc>
          <w:tcPr>
            <w:tcW w:w="280" w:type="dxa"/>
            <w:vAlign w:val="bottom"/>
          </w:tcPr>
          <w:p>
            <w:pPr>
              <w:spacing w:after="0"/>
              <w:rPr>
                <w:sz w:val="18"/>
                <w:szCs w:val="18"/>
                <w:color w:val="auto"/>
              </w:rPr>
            </w:pPr>
          </w:p>
        </w:tc>
        <w:tc>
          <w:tcPr>
            <w:tcW w:w="1020" w:type="dxa"/>
            <w:vAlign w:val="bottom"/>
            <w:gridSpan w:val="2"/>
          </w:tcPr>
          <w:p>
            <w:pPr>
              <w:jc w:val="right"/>
              <w:ind w:right="60"/>
              <w:spacing w:after="0"/>
              <w:rPr>
                <w:sz w:val="20"/>
                <w:szCs w:val="20"/>
                <w:color w:val="auto"/>
              </w:rPr>
            </w:pPr>
            <w:r>
              <w:rPr>
                <w:rFonts w:ascii="Arial" w:cs="Arial" w:eastAsia="Arial" w:hAnsi="Arial"/>
                <w:sz w:val="18"/>
                <w:szCs w:val="18"/>
                <w:color w:val="auto"/>
              </w:rPr>
              <w:t>11.57</w:t>
            </w:r>
          </w:p>
        </w:tc>
        <w:tc>
          <w:tcPr>
            <w:tcW w:w="0" w:type="dxa"/>
            <w:vAlign w:val="bottom"/>
          </w:tcPr>
          <w:p>
            <w:pPr>
              <w:spacing w:after="0"/>
              <w:rPr>
                <w:sz w:val="1"/>
                <w:szCs w:val="1"/>
                <w:color w:val="auto"/>
              </w:rPr>
            </w:pPr>
          </w:p>
        </w:tc>
      </w:tr>
      <w:tr>
        <w:trPr>
          <w:trHeight w:val="216"/>
        </w:trPr>
        <w:tc>
          <w:tcPr>
            <w:tcW w:w="4620" w:type="dxa"/>
            <w:vAlign w:val="bottom"/>
            <w:shd w:val="clear" w:color="auto" w:fill="CCEEFF"/>
          </w:tcPr>
          <w:p>
            <w:pPr>
              <w:spacing w:after="0"/>
              <w:rPr>
                <w:sz w:val="20"/>
                <w:szCs w:val="20"/>
                <w:color w:val="auto"/>
              </w:rPr>
            </w:pPr>
            <w:r>
              <w:rPr>
                <w:rFonts w:ascii="Arial" w:cs="Arial" w:eastAsia="Arial" w:hAnsi="Arial"/>
                <w:sz w:val="18"/>
                <w:szCs w:val="18"/>
                <w:color w:val="auto"/>
              </w:rPr>
              <w:t>Repurchased under the Plan</w:t>
            </w:r>
          </w:p>
        </w:tc>
        <w:tc>
          <w:tcPr>
            <w:tcW w:w="118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0.3</w:t>
            </w: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spacing w:after="0"/>
              <w:rPr>
                <w:sz w:val="18"/>
                <w:szCs w:val="18"/>
                <w:color w:val="auto"/>
              </w:rPr>
            </w:pPr>
          </w:p>
        </w:tc>
        <w:tc>
          <w:tcPr>
            <w:tcW w:w="820" w:type="dxa"/>
            <w:vAlign w:val="bottom"/>
            <w:shd w:val="clear" w:color="auto" w:fill="CCEEFF"/>
          </w:tcPr>
          <w:p>
            <w:pPr>
              <w:jc w:val="right"/>
              <w:ind w:right="331"/>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4620" w:type="dxa"/>
            <w:vAlign w:val="bottom"/>
          </w:tcPr>
          <w:p>
            <w:pPr>
              <w:spacing w:after="0"/>
              <w:rPr>
                <w:sz w:val="20"/>
                <w:szCs w:val="20"/>
                <w:color w:val="auto"/>
              </w:rPr>
            </w:pPr>
            <w:r>
              <w:rPr>
                <w:rFonts w:ascii="Arial" w:cs="Arial" w:eastAsia="Arial" w:hAnsi="Arial"/>
                <w:sz w:val="18"/>
                <w:szCs w:val="18"/>
                <w:color w:val="auto"/>
              </w:rPr>
              <w:t>Balance at December 31, 2015</w:t>
            </w: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21.9</w:t>
            </w:r>
          </w:p>
        </w:tc>
        <w:tc>
          <w:tcPr>
            <w:tcW w:w="460" w:type="dxa"/>
            <w:vAlign w:val="bottom"/>
          </w:tcPr>
          <w:p>
            <w:pPr>
              <w:spacing w:after="0"/>
              <w:rPr>
                <w:sz w:val="19"/>
                <w:szCs w:val="19"/>
                <w:color w:val="auto"/>
              </w:rPr>
            </w:pP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20.0</w:t>
            </w:r>
          </w:p>
        </w:tc>
        <w:tc>
          <w:tcPr>
            <w:tcW w:w="80" w:type="dxa"/>
            <w:vAlign w:val="bottom"/>
          </w:tcPr>
          <w:p>
            <w:pPr>
              <w:spacing w:after="0"/>
              <w:rPr>
                <w:sz w:val="19"/>
                <w:szCs w:val="19"/>
                <w:color w:val="auto"/>
              </w:rPr>
            </w:pPr>
          </w:p>
        </w:tc>
        <w:tc>
          <w:tcPr>
            <w:tcW w:w="500" w:type="dxa"/>
            <w:vAlign w:val="bottom"/>
          </w:tcPr>
          <w:p>
            <w:pPr>
              <w:ind w:left="380"/>
              <w:spacing w:after="0"/>
              <w:rPr>
                <w:sz w:val="20"/>
                <w:szCs w:val="20"/>
                <w:color w:val="auto"/>
              </w:rPr>
            </w:pPr>
            <w:r>
              <w:rPr>
                <w:rFonts w:ascii="Arial" w:cs="Arial" w:eastAsia="Arial" w:hAnsi="Arial"/>
                <w:sz w:val="18"/>
                <w:szCs w:val="18"/>
                <w:color w:val="auto"/>
                <w:w w:val="99"/>
              </w:rPr>
              <w:t>$</w:t>
            </w:r>
          </w:p>
        </w:tc>
        <w:tc>
          <w:tcPr>
            <w:tcW w:w="820" w:type="dxa"/>
            <w:vAlign w:val="bottom"/>
          </w:tcPr>
          <w:p>
            <w:pPr>
              <w:jc w:val="right"/>
              <w:ind w:right="251"/>
              <w:spacing w:after="0"/>
              <w:rPr>
                <w:sz w:val="20"/>
                <w:szCs w:val="20"/>
                <w:color w:val="auto"/>
              </w:rPr>
            </w:pPr>
            <w:r>
              <w:rPr>
                <w:rFonts w:ascii="Arial" w:cs="Arial" w:eastAsia="Arial" w:hAnsi="Arial"/>
                <w:sz w:val="18"/>
                <w:szCs w:val="18"/>
                <w:color w:val="auto"/>
              </w:rPr>
              <w:t>11.67</w:t>
            </w:r>
          </w:p>
        </w:tc>
        <w:tc>
          <w:tcPr>
            <w:tcW w:w="1120" w:type="dxa"/>
            <w:vAlign w:val="bottom"/>
            <w:gridSpan w:val="2"/>
          </w:tcPr>
          <w:p>
            <w:pPr>
              <w:jc w:val="right"/>
              <w:ind w:right="400"/>
              <w:spacing w:after="0"/>
              <w:rPr>
                <w:sz w:val="20"/>
                <w:szCs w:val="20"/>
                <w:color w:val="auto"/>
              </w:rPr>
            </w:pPr>
            <w:r>
              <w:rPr>
                <w:rFonts w:ascii="Arial" w:cs="Arial" w:eastAsia="Arial" w:hAnsi="Arial"/>
                <w:sz w:val="18"/>
                <w:szCs w:val="18"/>
                <w:color w:val="auto"/>
              </w:rPr>
              <w:t>8.1</w:t>
            </w: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65.3</w:t>
            </w:r>
          </w:p>
        </w:tc>
        <w:tc>
          <w:tcPr>
            <w:tcW w:w="260" w:type="dxa"/>
            <w:vAlign w:val="bottom"/>
          </w:tcPr>
          <w:p>
            <w:pPr>
              <w:spacing w:after="0"/>
              <w:rPr>
                <w:sz w:val="19"/>
                <w:szCs w:val="19"/>
                <w:color w:val="auto"/>
              </w:rPr>
            </w:pPr>
          </w:p>
        </w:tc>
        <w:tc>
          <w:tcPr>
            <w:tcW w:w="280" w:type="dxa"/>
            <w:vAlign w:val="bottom"/>
          </w:tcPr>
          <w:p>
            <w:pPr>
              <w:ind w:left="200"/>
              <w:spacing w:after="0"/>
              <w:rPr>
                <w:sz w:val="20"/>
                <w:szCs w:val="20"/>
                <w:color w:val="auto"/>
              </w:rPr>
            </w:pPr>
            <w:r>
              <w:rPr>
                <w:rFonts w:ascii="Arial" w:cs="Arial" w:eastAsia="Arial" w:hAnsi="Arial"/>
                <w:sz w:val="15"/>
                <w:szCs w:val="15"/>
                <w:color w:val="auto"/>
                <w:w w:val="71"/>
              </w:rPr>
              <w:t>$</w:t>
            </w:r>
          </w:p>
        </w:tc>
        <w:tc>
          <w:tcPr>
            <w:tcW w:w="1020" w:type="dxa"/>
            <w:vAlign w:val="bottom"/>
            <w:gridSpan w:val="2"/>
          </w:tcPr>
          <w:p>
            <w:pPr>
              <w:jc w:val="right"/>
              <w:ind w:right="60"/>
              <w:spacing w:after="0"/>
              <w:rPr>
                <w:sz w:val="20"/>
                <w:szCs w:val="20"/>
                <w:color w:val="auto"/>
              </w:rPr>
            </w:pPr>
            <w:r>
              <w:rPr>
                <w:rFonts w:ascii="Arial" w:cs="Arial" w:eastAsia="Arial" w:hAnsi="Arial"/>
                <w:sz w:val="18"/>
                <w:szCs w:val="18"/>
                <w:color w:val="auto"/>
              </w:rPr>
              <w:t>11.78</w:t>
            </w:r>
          </w:p>
        </w:tc>
        <w:tc>
          <w:tcPr>
            <w:tcW w:w="0" w:type="dxa"/>
            <w:vAlign w:val="bottom"/>
          </w:tcPr>
          <w:p>
            <w:pPr>
              <w:spacing w:after="0"/>
              <w:rPr>
                <w:sz w:val="1"/>
                <w:szCs w:val="1"/>
                <w:color w:val="auto"/>
              </w:rPr>
            </w:pPr>
          </w:p>
        </w:tc>
      </w:tr>
      <w:tr>
        <w:trPr>
          <w:trHeight w:val="216"/>
        </w:trPr>
        <w:tc>
          <w:tcPr>
            <w:tcW w:w="4620" w:type="dxa"/>
            <w:vAlign w:val="bottom"/>
            <w:shd w:val="clear" w:color="auto" w:fill="CCEEFF"/>
          </w:tcPr>
          <w:p>
            <w:pPr>
              <w:spacing w:after="0"/>
              <w:rPr>
                <w:sz w:val="20"/>
                <w:szCs w:val="20"/>
                <w:color w:val="auto"/>
              </w:rPr>
            </w:pPr>
            <w:r>
              <w:rPr>
                <w:rFonts w:ascii="Arial" w:cs="Arial" w:eastAsia="Arial" w:hAnsi="Arial"/>
                <w:sz w:val="18"/>
                <w:szCs w:val="18"/>
                <w:color w:val="auto"/>
              </w:rPr>
              <w:t>Options and RSUs canceled</w:t>
            </w:r>
          </w:p>
        </w:tc>
        <w:tc>
          <w:tcPr>
            <w:tcW w:w="118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21.2</w:t>
            </w:r>
          </w:p>
        </w:tc>
        <w:tc>
          <w:tcPr>
            <w:tcW w:w="7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(12.0)</w:t>
            </w:r>
          </w:p>
        </w:tc>
        <w:tc>
          <w:tcPr>
            <w:tcW w:w="500" w:type="dxa"/>
            <w:vAlign w:val="bottom"/>
            <w:shd w:val="clear" w:color="auto" w:fill="CCEEFF"/>
          </w:tcPr>
          <w:p>
            <w:pPr>
              <w:spacing w:after="0"/>
              <w:rPr>
                <w:sz w:val="18"/>
                <w:szCs w:val="18"/>
                <w:color w:val="auto"/>
              </w:rPr>
            </w:pPr>
          </w:p>
        </w:tc>
        <w:tc>
          <w:tcPr>
            <w:tcW w:w="820" w:type="dxa"/>
            <w:vAlign w:val="bottom"/>
            <w:shd w:val="clear" w:color="auto" w:fill="CCEEFF"/>
          </w:tcPr>
          <w:p>
            <w:pPr>
              <w:jc w:val="right"/>
              <w:ind w:right="251"/>
              <w:spacing w:after="0"/>
              <w:rPr>
                <w:sz w:val="20"/>
                <w:szCs w:val="20"/>
                <w:color w:val="auto"/>
              </w:rPr>
            </w:pPr>
            <w:r>
              <w:rPr>
                <w:rFonts w:ascii="Arial" w:cs="Arial" w:eastAsia="Arial" w:hAnsi="Arial"/>
                <w:sz w:val="18"/>
                <w:szCs w:val="18"/>
                <w:color w:val="auto"/>
              </w:rPr>
              <w:t>14.69</w:t>
            </w:r>
          </w:p>
        </w:tc>
        <w:tc>
          <w:tcPr>
            <w:tcW w:w="7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(9.2)</w:t>
            </w:r>
          </w:p>
        </w:tc>
        <w:tc>
          <w:tcPr>
            <w:tcW w:w="2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13.37</w:t>
            </w:r>
          </w:p>
        </w:tc>
        <w:tc>
          <w:tcPr>
            <w:tcW w:w="0" w:type="dxa"/>
            <w:vAlign w:val="bottom"/>
          </w:tcPr>
          <w:p>
            <w:pPr>
              <w:spacing w:after="0"/>
              <w:rPr>
                <w:sz w:val="1"/>
                <w:szCs w:val="1"/>
                <w:color w:val="auto"/>
              </w:rPr>
            </w:pPr>
          </w:p>
        </w:tc>
      </w:tr>
      <w:tr>
        <w:trPr>
          <w:trHeight w:val="216"/>
        </w:trPr>
        <w:tc>
          <w:tcPr>
            <w:tcW w:w="4620" w:type="dxa"/>
            <w:vAlign w:val="bottom"/>
          </w:tcPr>
          <w:p>
            <w:pPr>
              <w:spacing w:after="0"/>
              <w:rPr>
                <w:sz w:val="20"/>
                <w:szCs w:val="20"/>
                <w:color w:val="auto"/>
              </w:rPr>
            </w:pPr>
            <w:r>
              <w:rPr>
                <w:rFonts w:ascii="Arial" w:cs="Arial" w:eastAsia="Arial" w:hAnsi="Arial"/>
                <w:sz w:val="18"/>
                <w:szCs w:val="18"/>
                <w:color w:val="auto"/>
              </w:rPr>
              <w:t>Restricted stock granted</w:t>
            </w:r>
          </w:p>
        </w:tc>
        <w:tc>
          <w:tcPr>
            <w:tcW w:w="1180" w:type="dxa"/>
            <w:vAlign w:val="bottom"/>
            <w:gridSpan w:val="2"/>
          </w:tcPr>
          <w:p>
            <w:pPr>
              <w:jc w:val="right"/>
              <w:ind w:right="400"/>
              <w:spacing w:after="0"/>
              <w:rPr>
                <w:sz w:val="20"/>
                <w:szCs w:val="20"/>
                <w:color w:val="auto"/>
              </w:rPr>
            </w:pPr>
            <w:r>
              <w:rPr>
                <w:rFonts w:ascii="Arial" w:cs="Arial" w:eastAsia="Arial" w:hAnsi="Arial"/>
                <w:sz w:val="18"/>
                <w:szCs w:val="18"/>
                <w:color w:val="auto"/>
              </w:rPr>
              <w:t>(24.9)</w:t>
            </w:r>
          </w:p>
        </w:tc>
        <w:tc>
          <w:tcPr>
            <w:tcW w:w="7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500" w:type="dxa"/>
            <w:vAlign w:val="bottom"/>
          </w:tcPr>
          <w:p>
            <w:pPr>
              <w:spacing w:after="0"/>
              <w:rPr>
                <w:sz w:val="18"/>
                <w:szCs w:val="18"/>
                <w:color w:val="auto"/>
              </w:rPr>
            </w:pPr>
          </w:p>
        </w:tc>
        <w:tc>
          <w:tcPr>
            <w:tcW w:w="820" w:type="dxa"/>
            <w:vAlign w:val="bottom"/>
          </w:tcPr>
          <w:p>
            <w:pPr>
              <w:jc w:val="right"/>
              <w:ind w:right="331"/>
              <w:spacing w:after="0"/>
              <w:rPr>
                <w:sz w:val="20"/>
                <w:szCs w:val="20"/>
                <w:color w:val="auto"/>
              </w:rPr>
            </w:pPr>
            <w:r>
              <w:rPr>
                <w:rFonts w:ascii="Arial" w:cs="Arial" w:eastAsia="Arial" w:hAnsi="Arial"/>
                <w:sz w:val="18"/>
                <w:szCs w:val="18"/>
                <w:color w:val="auto"/>
              </w:rPr>
              <w:t>—</w:t>
            </w:r>
          </w:p>
        </w:tc>
        <w:tc>
          <w:tcPr>
            <w:tcW w:w="7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40" w:type="dxa"/>
            <w:vAlign w:val="bottom"/>
            <w:gridSpan w:val="2"/>
          </w:tcPr>
          <w:p>
            <w:pPr>
              <w:jc w:val="right"/>
              <w:ind w:right="260"/>
              <w:spacing w:after="0"/>
              <w:rPr>
                <w:sz w:val="20"/>
                <w:szCs w:val="20"/>
                <w:color w:val="auto"/>
              </w:rPr>
            </w:pPr>
            <w:r>
              <w:rPr>
                <w:rFonts w:ascii="Arial" w:cs="Arial" w:eastAsia="Arial" w:hAnsi="Arial"/>
                <w:sz w:val="18"/>
                <w:szCs w:val="18"/>
                <w:color w:val="auto"/>
              </w:rPr>
              <w:t>24.9</w:t>
            </w:r>
          </w:p>
        </w:tc>
        <w:tc>
          <w:tcPr>
            <w:tcW w:w="280" w:type="dxa"/>
            <w:vAlign w:val="bottom"/>
          </w:tcPr>
          <w:p>
            <w:pPr>
              <w:spacing w:after="0"/>
              <w:rPr>
                <w:sz w:val="18"/>
                <w:szCs w:val="18"/>
                <w:color w:val="auto"/>
              </w:rPr>
            </w:pPr>
          </w:p>
        </w:tc>
        <w:tc>
          <w:tcPr>
            <w:tcW w:w="1020" w:type="dxa"/>
            <w:vAlign w:val="bottom"/>
            <w:gridSpan w:val="2"/>
          </w:tcPr>
          <w:p>
            <w:pPr>
              <w:jc w:val="right"/>
              <w:ind w:right="60"/>
              <w:spacing w:after="0"/>
              <w:rPr>
                <w:sz w:val="20"/>
                <w:szCs w:val="20"/>
                <w:color w:val="auto"/>
              </w:rPr>
            </w:pPr>
            <w:r>
              <w:rPr>
                <w:rFonts w:ascii="Arial" w:cs="Arial" w:eastAsia="Arial" w:hAnsi="Arial"/>
                <w:sz w:val="18"/>
                <w:szCs w:val="18"/>
                <w:color w:val="auto"/>
              </w:rPr>
              <w:t>10.39</w:t>
            </w:r>
          </w:p>
        </w:tc>
        <w:tc>
          <w:tcPr>
            <w:tcW w:w="0" w:type="dxa"/>
            <w:vAlign w:val="bottom"/>
          </w:tcPr>
          <w:p>
            <w:pPr>
              <w:spacing w:after="0"/>
              <w:rPr>
                <w:sz w:val="1"/>
                <w:szCs w:val="1"/>
                <w:color w:val="auto"/>
              </w:rPr>
            </w:pPr>
          </w:p>
        </w:tc>
      </w:tr>
      <w:tr>
        <w:trPr>
          <w:trHeight w:val="27"/>
        </w:trPr>
        <w:tc>
          <w:tcPr>
            <w:tcW w:w="4620" w:type="dxa"/>
            <w:vAlign w:val="bottom"/>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500" w:type="dxa"/>
            <w:vAlign w:val="bottom"/>
          </w:tcPr>
          <w:p>
            <w:pPr>
              <w:spacing w:after="0"/>
              <w:rPr>
                <w:sz w:val="2"/>
                <w:szCs w:val="2"/>
                <w:color w:val="auto"/>
              </w:rPr>
            </w:pPr>
          </w:p>
        </w:tc>
        <w:tc>
          <w:tcPr>
            <w:tcW w:w="820" w:type="dxa"/>
            <w:vAlign w:val="bottom"/>
          </w:tcPr>
          <w:p>
            <w:pPr>
              <w:spacing w:after="0"/>
              <w:rPr>
                <w:sz w:val="2"/>
                <w:szCs w:val="2"/>
                <w:color w:val="auto"/>
              </w:rPr>
            </w:pPr>
          </w:p>
        </w:tc>
        <w:tc>
          <w:tcPr>
            <w:tcW w:w="720" w:type="dxa"/>
            <w:vAlign w:val="bottom"/>
          </w:tcPr>
          <w:p>
            <w:pPr>
              <w:spacing w:after="0"/>
              <w:rPr>
                <w:sz w:val="2"/>
                <w:szCs w:val="2"/>
                <w:color w:val="auto"/>
              </w:rPr>
            </w:pPr>
          </w:p>
        </w:tc>
        <w:tc>
          <w:tcPr>
            <w:tcW w:w="40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620" w:type="dxa"/>
            <w:vAlign w:val="bottom"/>
            <w:shd w:val="clear" w:color="auto" w:fill="CCEEFF"/>
          </w:tcPr>
          <w:p>
            <w:pPr>
              <w:spacing w:after="0"/>
              <w:rPr>
                <w:sz w:val="20"/>
                <w:szCs w:val="20"/>
                <w:color w:val="auto"/>
              </w:rPr>
            </w:pPr>
            <w:r>
              <w:rPr>
                <w:rFonts w:ascii="Arial" w:cs="Arial" w:eastAsia="Arial" w:hAnsi="Arial"/>
                <w:sz w:val="18"/>
                <w:szCs w:val="18"/>
                <w:color w:val="auto"/>
              </w:rPr>
              <w:t>Balance at December 31, 2016</w:t>
            </w:r>
          </w:p>
        </w:tc>
        <w:tc>
          <w:tcPr>
            <w:tcW w:w="118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18.2</w:t>
            </w:r>
          </w:p>
        </w:tc>
        <w:tc>
          <w:tcPr>
            <w:tcW w:w="7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8.0</w:t>
            </w:r>
          </w:p>
        </w:tc>
        <w:tc>
          <w:tcPr>
            <w:tcW w:w="500" w:type="dxa"/>
            <w:vAlign w:val="bottom"/>
            <w:shd w:val="clear" w:color="auto" w:fill="CCEEFF"/>
          </w:tcPr>
          <w:p>
            <w:pPr>
              <w:ind w:left="380"/>
              <w:spacing w:after="0"/>
              <w:rPr>
                <w:sz w:val="20"/>
                <w:szCs w:val="20"/>
                <w:color w:val="auto"/>
              </w:rPr>
            </w:pPr>
            <w:r>
              <w:rPr>
                <w:rFonts w:ascii="Arial" w:cs="Arial" w:eastAsia="Arial" w:hAnsi="Arial"/>
                <w:sz w:val="18"/>
                <w:szCs w:val="18"/>
                <w:color w:val="auto"/>
                <w:w w:val="99"/>
              </w:rPr>
              <w:t>$</w:t>
            </w:r>
          </w:p>
        </w:tc>
        <w:tc>
          <w:tcPr>
            <w:tcW w:w="820" w:type="dxa"/>
            <w:vAlign w:val="bottom"/>
            <w:shd w:val="clear" w:color="auto" w:fill="CCEEFF"/>
          </w:tcPr>
          <w:p>
            <w:pPr>
              <w:jc w:val="right"/>
              <w:ind w:right="251"/>
              <w:spacing w:after="0"/>
              <w:rPr>
                <w:sz w:val="20"/>
                <w:szCs w:val="20"/>
                <w:color w:val="auto"/>
              </w:rPr>
            </w:pPr>
            <w:r>
              <w:rPr>
                <w:rFonts w:ascii="Arial" w:cs="Arial" w:eastAsia="Arial" w:hAnsi="Arial"/>
                <w:sz w:val="18"/>
                <w:szCs w:val="18"/>
                <w:color w:val="auto"/>
              </w:rPr>
              <w:t>7.12</w:t>
            </w:r>
          </w:p>
        </w:tc>
        <w:tc>
          <w:tcPr>
            <w:tcW w:w="112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6.5</w:t>
            </w:r>
          </w:p>
        </w:tc>
        <w:tc>
          <w:tcPr>
            <w:tcW w:w="9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81.0</w:t>
            </w:r>
          </w:p>
        </w:tc>
        <w:tc>
          <w:tcPr>
            <w:tcW w:w="280" w:type="dxa"/>
            <w:vAlign w:val="bottom"/>
            <w:shd w:val="clear" w:color="auto" w:fill="CCEEFF"/>
          </w:tcPr>
          <w:p>
            <w:pPr>
              <w:ind w:left="200"/>
              <w:spacing w:after="0"/>
              <w:rPr>
                <w:sz w:val="20"/>
                <w:szCs w:val="20"/>
                <w:color w:val="auto"/>
              </w:rPr>
            </w:pPr>
            <w:r>
              <w:rPr>
                <w:rFonts w:ascii="Arial" w:cs="Arial" w:eastAsia="Arial" w:hAnsi="Arial"/>
                <w:sz w:val="15"/>
                <w:szCs w:val="15"/>
                <w:color w:val="auto"/>
                <w:w w:val="71"/>
              </w:rPr>
              <w:t>$</w:t>
            </w:r>
          </w:p>
        </w:tc>
        <w:tc>
          <w:tcPr>
            <w:tcW w:w="10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10.94</w:t>
            </w:r>
          </w:p>
        </w:tc>
        <w:tc>
          <w:tcPr>
            <w:tcW w:w="0" w:type="dxa"/>
            <w:vAlign w:val="bottom"/>
          </w:tcPr>
          <w:p>
            <w:pPr>
              <w:spacing w:after="0"/>
              <w:rPr>
                <w:sz w:val="1"/>
                <w:szCs w:val="1"/>
                <w:color w:val="auto"/>
              </w:rPr>
            </w:pPr>
          </w:p>
        </w:tc>
      </w:tr>
      <w:tr>
        <w:trPr>
          <w:trHeight w:val="216"/>
        </w:trPr>
        <w:tc>
          <w:tcPr>
            <w:tcW w:w="4620" w:type="dxa"/>
            <w:vAlign w:val="bottom"/>
          </w:tcPr>
          <w:p>
            <w:pPr>
              <w:spacing w:after="0"/>
              <w:rPr>
                <w:sz w:val="20"/>
                <w:szCs w:val="20"/>
                <w:color w:val="auto"/>
              </w:rPr>
            </w:pPr>
            <w:r>
              <w:rPr>
                <w:rFonts w:ascii="Arial" w:cs="Arial" w:eastAsia="Arial" w:hAnsi="Arial"/>
                <w:sz w:val="18"/>
                <w:szCs w:val="18"/>
                <w:color w:val="auto"/>
              </w:rPr>
              <w:t>Additional shares authorized (unaudited)</w:t>
            </w:r>
          </w:p>
        </w:tc>
        <w:tc>
          <w:tcPr>
            <w:tcW w:w="1180" w:type="dxa"/>
            <w:vAlign w:val="bottom"/>
            <w:gridSpan w:val="2"/>
          </w:tcPr>
          <w:p>
            <w:pPr>
              <w:jc w:val="right"/>
              <w:ind w:right="460"/>
              <w:spacing w:after="0"/>
              <w:rPr>
                <w:sz w:val="20"/>
                <w:szCs w:val="20"/>
                <w:color w:val="auto"/>
              </w:rPr>
            </w:pPr>
            <w:r>
              <w:rPr>
                <w:rFonts w:ascii="Arial" w:cs="Arial" w:eastAsia="Arial" w:hAnsi="Arial"/>
                <w:sz w:val="18"/>
                <w:szCs w:val="18"/>
                <w:color w:val="auto"/>
              </w:rPr>
              <w:t>10.0</w:t>
            </w:r>
          </w:p>
        </w:tc>
        <w:tc>
          <w:tcPr>
            <w:tcW w:w="6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20" w:type="dxa"/>
            <w:vAlign w:val="bottom"/>
            <w:shd w:val="clear" w:color="auto" w:fill="CCEEFF"/>
          </w:tcPr>
          <w:p>
            <w:pPr>
              <w:spacing w:after="0"/>
              <w:rPr>
                <w:sz w:val="20"/>
                <w:szCs w:val="20"/>
                <w:color w:val="auto"/>
              </w:rPr>
            </w:pPr>
            <w:r>
              <w:rPr>
                <w:rFonts w:ascii="Arial" w:cs="Arial" w:eastAsia="Arial" w:hAnsi="Arial"/>
                <w:sz w:val="18"/>
                <w:szCs w:val="18"/>
                <w:color w:val="auto"/>
              </w:rPr>
              <w:t>Options exercised and RSUs released (unaudited)</w:t>
            </w:r>
          </w:p>
        </w:tc>
        <w:tc>
          <w:tcPr>
            <w:tcW w:w="118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(0.2)</w:t>
            </w:r>
          </w:p>
        </w:tc>
        <w:tc>
          <w:tcPr>
            <w:tcW w:w="500" w:type="dxa"/>
            <w:vAlign w:val="bottom"/>
            <w:shd w:val="clear" w:color="auto" w:fill="CCEEFF"/>
          </w:tcPr>
          <w:p>
            <w:pPr>
              <w:spacing w:after="0"/>
              <w:rPr>
                <w:sz w:val="18"/>
                <w:szCs w:val="18"/>
                <w:color w:val="auto"/>
              </w:rPr>
            </w:pPr>
          </w:p>
        </w:tc>
        <w:tc>
          <w:tcPr>
            <w:tcW w:w="820" w:type="dxa"/>
            <w:vAlign w:val="bottom"/>
            <w:shd w:val="clear" w:color="auto" w:fill="CCEEFF"/>
          </w:tcPr>
          <w:p>
            <w:pPr>
              <w:jc w:val="right"/>
              <w:ind w:right="251"/>
              <w:spacing w:after="0"/>
              <w:rPr>
                <w:sz w:val="20"/>
                <w:szCs w:val="20"/>
                <w:color w:val="auto"/>
              </w:rPr>
            </w:pPr>
            <w:r>
              <w:rPr>
                <w:rFonts w:ascii="Arial" w:cs="Arial" w:eastAsia="Arial" w:hAnsi="Arial"/>
                <w:sz w:val="18"/>
                <w:szCs w:val="18"/>
                <w:color w:val="auto"/>
              </w:rPr>
              <w:t>3.77</w:t>
            </w:r>
          </w:p>
        </w:tc>
        <w:tc>
          <w:tcPr>
            <w:tcW w:w="7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(18.5)</w:t>
            </w:r>
          </w:p>
        </w:tc>
        <w:tc>
          <w:tcPr>
            <w:tcW w:w="2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11.55</w:t>
            </w:r>
          </w:p>
        </w:tc>
        <w:tc>
          <w:tcPr>
            <w:tcW w:w="0" w:type="dxa"/>
            <w:vAlign w:val="bottom"/>
          </w:tcPr>
          <w:p>
            <w:pPr>
              <w:spacing w:after="0"/>
              <w:rPr>
                <w:sz w:val="1"/>
                <w:szCs w:val="1"/>
                <w:color w:val="auto"/>
              </w:rPr>
            </w:pPr>
          </w:p>
        </w:tc>
      </w:tr>
      <w:tr>
        <w:trPr>
          <w:trHeight w:val="216"/>
        </w:trPr>
        <w:tc>
          <w:tcPr>
            <w:tcW w:w="4620" w:type="dxa"/>
            <w:vAlign w:val="bottom"/>
          </w:tcPr>
          <w:p>
            <w:pPr>
              <w:spacing w:after="0"/>
              <w:rPr>
                <w:sz w:val="20"/>
                <w:szCs w:val="20"/>
                <w:color w:val="auto"/>
              </w:rPr>
            </w:pPr>
            <w:r>
              <w:rPr>
                <w:rFonts w:ascii="Arial" w:cs="Arial" w:eastAsia="Arial" w:hAnsi="Arial"/>
                <w:sz w:val="18"/>
                <w:szCs w:val="18"/>
                <w:color w:val="auto"/>
              </w:rPr>
              <w:t>Options and RSUs canceled (unaudited)</w:t>
            </w:r>
          </w:p>
        </w:tc>
        <w:tc>
          <w:tcPr>
            <w:tcW w:w="1180" w:type="dxa"/>
            <w:vAlign w:val="bottom"/>
            <w:gridSpan w:val="2"/>
          </w:tcPr>
          <w:p>
            <w:pPr>
              <w:jc w:val="right"/>
              <w:ind w:right="460"/>
              <w:spacing w:after="0"/>
              <w:rPr>
                <w:sz w:val="20"/>
                <w:szCs w:val="20"/>
                <w:color w:val="auto"/>
              </w:rPr>
            </w:pPr>
            <w:r>
              <w:rPr>
                <w:rFonts w:ascii="Arial" w:cs="Arial" w:eastAsia="Arial" w:hAnsi="Arial"/>
                <w:sz w:val="18"/>
                <w:szCs w:val="18"/>
                <w:color w:val="auto"/>
              </w:rPr>
              <w:t>7.0</w:t>
            </w:r>
          </w:p>
        </w:tc>
        <w:tc>
          <w:tcPr>
            <w:tcW w:w="760" w:type="dxa"/>
            <w:vAlign w:val="bottom"/>
            <w:gridSpan w:val="2"/>
          </w:tcPr>
          <w:p>
            <w:pPr>
              <w:jc w:val="right"/>
              <w:ind w:right="20"/>
              <w:spacing w:after="0"/>
              <w:rPr>
                <w:sz w:val="20"/>
                <w:szCs w:val="20"/>
                <w:color w:val="auto"/>
              </w:rPr>
            </w:pPr>
            <w:r>
              <w:rPr>
                <w:rFonts w:ascii="Arial" w:cs="Arial" w:eastAsia="Arial" w:hAnsi="Arial"/>
                <w:sz w:val="18"/>
                <w:szCs w:val="18"/>
                <w:color w:val="auto"/>
              </w:rPr>
              <w:t>(0.3)</w:t>
            </w:r>
          </w:p>
        </w:tc>
        <w:tc>
          <w:tcPr>
            <w:tcW w:w="500" w:type="dxa"/>
            <w:vAlign w:val="bottom"/>
          </w:tcPr>
          <w:p>
            <w:pPr>
              <w:spacing w:after="0"/>
              <w:rPr>
                <w:sz w:val="18"/>
                <w:szCs w:val="18"/>
                <w:color w:val="auto"/>
              </w:rPr>
            </w:pPr>
          </w:p>
        </w:tc>
        <w:tc>
          <w:tcPr>
            <w:tcW w:w="820" w:type="dxa"/>
            <w:vAlign w:val="bottom"/>
          </w:tcPr>
          <w:p>
            <w:pPr>
              <w:jc w:val="right"/>
              <w:ind w:right="251"/>
              <w:spacing w:after="0"/>
              <w:rPr>
                <w:sz w:val="20"/>
                <w:szCs w:val="20"/>
                <w:color w:val="auto"/>
              </w:rPr>
            </w:pPr>
            <w:r>
              <w:rPr>
                <w:rFonts w:ascii="Arial" w:cs="Arial" w:eastAsia="Arial" w:hAnsi="Arial"/>
                <w:sz w:val="18"/>
                <w:szCs w:val="18"/>
                <w:color w:val="auto"/>
              </w:rPr>
              <w:t>11.25</w:t>
            </w:r>
          </w:p>
        </w:tc>
        <w:tc>
          <w:tcPr>
            <w:tcW w:w="7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40" w:type="dxa"/>
            <w:vAlign w:val="bottom"/>
            <w:gridSpan w:val="2"/>
          </w:tcPr>
          <w:p>
            <w:pPr>
              <w:jc w:val="right"/>
              <w:ind w:right="200"/>
              <w:spacing w:after="0"/>
              <w:rPr>
                <w:sz w:val="20"/>
                <w:szCs w:val="20"/>
                <w:color w:val="auto"/>
              </w:rPr>
            </w:pPr>
            <w:r>
              <w:rPr>
                <w:rFonts w:ascii="Arial" w:cs="Arial" w:eastAsia="Arial" w:hAnsi="Arial"/>
                <w:sz w:val="18"/>
                <w:szCs w:val="18"/>
                <w:color w:val="auto"/>
              </w:rPr>
              <w:t>(6.7)</w:t>
            </w:r>
          </w:p>
        </w:tc>
        <w:tc>
          <w:tcPr>
            <w:tcW w:w="280" w:type="dxa"/>
            <w:vAlign w:val="bottom"/>
          </w:tcPr>
          <w:p>
            <w:pPr>
              <w:spacing w:after="0"/>
              <w:rPr>
                <w:sz w:val="18"/>
                <w:szCs w:val="18"/>
                <w:color w:val="auto"/>
              </w:rPr>
            </w:pPr>
          </w:p>
        </w:tc>
        <w:tc>
          <w:tcPr>
            <w:tcW w:w="1020" w:type="dxa"/>
            <w:vAlign w:val="bottom"/>
            <w:gridSpan w:val="2"/>
          </w:tcPr>
          <w:p>
            <w:pPr>
              <w:jc w:val="right"/>
              <w:ind w:right="60"/>
              <w:spacing w:after="0"/>
              <w:rPr>
                <w:sz w:val="20"/>
                <w:szCs w:val="20"/>
                <w:color w:val="auto"/>
              </w:rPr>
            </w:pPr>
            <w:r>
              <w:rPr>
                <w:rFonts w:ascii="Arial" w:cs="Arial" w:eastAsia="Arial" w:hAnsi="Arial"/>
                <w:sz w:val="18"/>
                <w:szCs w:val="18"/>
                <w:color w:val="auto"/>
              </w:rPr>
              <w:t>12.26</w:t>
            </w:r>
          </w:p>
        </w:tc>
        <w:tc>
          <w:tcPr>
            <w:tcW w:w="0" w:type="dxa"/>
            <w:vAlign w:val="bottom"/>
          </w:tcPr>
          <w:p>
            <w:pPr>
              <w:spacing w:after="0"/>
              <w:rPr>
                <w:sz w:val="1"/>
                <w:szCs w:val="1"/>
                <w:color w:val="auto"/>
              </w:rPr>
            </w:pPr>
          </w:p>
        </w:tc>
      </w:tr>
      <w:tr>
        <w:trPr>
          <w:trHeight w:val="216"/>
        </w:trPr>
        <w:tc>
          <w:tcPr>
            <w:tcW w:w="4620" w:type="dxa"/>
            <w:vAlign w:val="bottom"/>
            <w:shd w:val="clear" w:color="auto" w:fill="CCEEFF"/>
          </w:tcPr>
          <w:p>
            <w:pPr>
              <w:spacing w:after="0"/>
              <w:rPr>
                <w:sz w:val="20"/>
                <w:szCs w:val="20"/>
                <w:color w:val="auto"/>
              </w:rPr>
            </w:pPr>
            <w:r>
              <w:rPr>
                <w:rFonts w:ascii="Arial" w:cs="Arial" w:eastAsia="Arial" w:hAnsi="Arial"/>
                <w:sz w:val="18"/>
                <w:szCs w:val="18"/>
                <w:color w:val="auto"/>
                <w:w w:val="97"/>
              </w:rPr>
              <w:t>Shares withheld related to net share settlement (unaudited)</w:t>
            </w:r>
          </w:p>
        </w:tc>
        <w:tc>
          <w:tcPr>
            <w:tcW w:w="118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6.8</w:t>
            </w:r>
          </w:p>
        </w:tc>
        <w:tc>
          <w:tcPr>
            <w:tcW w:w="6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11.52</w:t>
            </w:r>
          </w:p>
        </w:tc>
        <w:tc>
          <w:tcPr>
            <w:tcW w:w="0" w:type="dxa"/>
            <w:vAlign w:val="bottom"/>
          </w:tcPr>
          <w:p>
            <w:pPr>
              <w:spacing w:after="0"/>
              <w:rPr>
                <w:sz w:val="1"/>
                <w:szCs w:val="1"/>
                <w:color w:val="auto"/>
              </w:rPr>
            </w:pPr>
          </w:p>
        </w:tc>
      </w:tr>
      <w:tr>
        <w:trPr>
          <w:trHeight w:val="216"/>
        </w:trPr>
        <w:tc>
          <w:tcPr>
            <w:tcW w:w="4620" w:type="dxa"/>
            <w:vAlign w:val="bottom"/>
          </w:tcPr>
          <w:p>
            <w:pPr>
              <w:spacing w:after="0"/>
              <w:rPr>
                <w:sz w:val="20"/>
                <w:szCs w:val="20"/>
                <w:color w:val="auto"/>
              </w:rPr>
            </w:pPr>
            <w:r>
              <w:rPr>
                <w:rFonts w:ascii="Arial" w:cs="Arial" w:eastAsia="Arial" w:hAnsi="Arial"/>
                <w:sz w:val="18"/>
                <w:szCs w:val="18"/>
                <w:color w:val="auto"/>
              </w:rPr>
              <w:t>Restricted stock granted (unaudited)</w:t>
            </w:r>
          </w:p>
        </w:tc>
        <w:tc>
          <w:tcPr>
            <w:tcW w:w="1180" w:type="dxa"/>
            <w:vAlign w:val="bottom"/>
            <w:gridSpan w:val="2"/>
          </w:tcPr>
          <w:p>
            <w:pPr>
              <w:jc w:val="right"/>
              <w:ind w:right="400"/>
              <w:spacing w:after="0"/>
              <w:rPr>
                <w:sz w:val="20"/>
                <w:szCs w:val="20"/>
                <w:color w:val="auto"/>
              </w:rPr>
            </w:pPr>
            <w:r>
              <w:rPr>
                <w:rFonts w:ascii="Arial" w:cs="Arial" w:eastAsia="Arial" w:hAnsi="Arial"/>
                <w:sz w:val="18"/>
                <w:szCs w:val="18"/>
                <w:color w:val="auto"/>
              </w:rPr>
              <w:t>(28.6)</w:t>
            </w:r>
          </w:p>
        </w:tc>
        <w:tc>
          <w:tcPr>
            <w:tcW w:w="6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40" w:type="dxa"/>
            <w:vAlign w:val="bottom"/>
            <w:gridSpan w:val="2"/>
          </w:tcPr>
          <w:p>
            <w:pPr>
              <w:jc w:val="right"/>
              <w:ind w:right="260"/>
              <w:spacing w:after="0"/>
              <w:rPr>
                <w:sz w:val="20"/>
                <w:szCs w:val="20"/>
                <w:color w:val="auto"/>
              </w:rPr>
            </w:pPr>
            <w:r>
              <w:rPr>
                <w:rFonts w:ascii="Arial" w:cs="Arial" w:eastAsia="Arial" w:hAnsi="Arial"/>
                <w:sz w:val="18"/>
                <w:szCs w:val="18"/>
                <w:color w:val="auto"/>
              </w:rPr>
              <w:t>28.6</w:t>
            </w:r>
          </w:p>
        </w:tc>
        <w:tc>
          <w:tcPr>
            <w:tcW w:w="280" w:type="dxa"/>
            <w:vAlign w:val="bottom"/>
          </w:tcPr>
          <w:p>
            <w:pPr>
              <w:spacing w:after="0"/>
              <w:rPr>
                <w:sz w:val="18"/>
                <w:szCs w:val="18"/>
                <w:color w:val="auto"/>
              </w:rPr>
            </w:pPr>
          </w:p>
        </w:tc>
        <w:tc>
          <w:tcPr>
            <w:tcW w:w="1020" w:type="dxa"/>
            <w:vAlign w:val="bottom"/>
            <w:gridSpan w:val="2"/>
          </w:tcPr>
          <w:p>
            <w:pPr>
              <w:jc w:val="right"/>
              <w:ind w:right="60"/>
              <w:spacing w:after="0"/>
              <w:rPr>
                <w:sz w:val="20"/>
                <w:szCs w:val="20"/>
                <w:color w:val="auto"/>
              </w:rPr>
            </w:pPr>
            <w:r>
              <w:rPr>
                <w:rFonts w:ascii="Arial" w:cs="Arial" w:eastAsia="Arial" w:hAnsi="Arial"/>
                <w:sz w:val="18"/>
                <w:szCs w:val="18"/>
                <w:color w:val="auto"/>
              </w:rPr>
              <w:t>10.30</w:t>
            </w:r>
          </w:p>
        </w:tc>
        <w:tc>
          <w:tcPr>
            <w:tcW w:w="0" w:type="dxa"/>
            <w:vAlign w:val="bottom"/>
          </w:tcPr>
          <w:p>
            <w:pPr>
              <w:spacing w:after="0"/>
              <w:rPr>
                <w:sz w:val="1"/>
                <w:szCs w:val="1"/>
                <w:color w:val="auto"/>
              </w:rPr>
            </w:pPr>
          </w:p>
        </w:tc>
      </w:tr>
      <w:tr>
        <w:trPr>
          <w:trHeight w:val="27"/>
        </w:trPr>
        <w:tc>
          <w:tcPr>
            <w:tcW w:w="4620" w:type="dxa"/>
            <w:vAlign w:val="bottom"/>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500" w:type="dxa"/>
            <w:vAlign w:val="bottom"/>
          </w:tcPr>
          <w:p>
            <w:pPr>
              <w:spacing w:after="0"/>
              <w:rPr>
                <w:sz w:val="2"/>
                <w:szCs w:val="2"/>
                <w:color w:val="auto"/>
              </w:rPr>
            </w:pPr>
          </w:p>
        </w:tc>
        <w:tc>
          <w:tcPr>
            <w:tcW w:w="820" w:type="dxa"/>
            <w:vAlign w:val="bottom"/>
          </w:tcPr>
          <w:p>
            <w:pPr>
              <w:spacing w:after="0"/>
              <w:rPr>
                <w:sz w:val="2"/>
                <w:szCs w:val="2"/>
                <w:color w:val="auto"/>
              </w:rPr>
            </w:pPr>
          </w:p>
        </w:tc>
        <w:tc>
          <w:tcPr>
            <w:tcW w:w="720" w:type="dxa"/>
            <w:vAlign w:val="bottom"/>
          </w:tcPr>
          <w:p>
            <w:pPr>
              <w:spacing w:after="0"/>
              <w:rPr>
                <w:sz w:val="2"/>
                <w:szCs w:val="2"/>
                <w:color w:val="auto"/>
              </w:rPr>
            </w:pPr>
          </w:p>
        </w:tc>
        <w:tc>
          <w:tcPr>
            <w:tcW w:w="40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620" w:type="dxa"/>
            <w:vAlign w:val="bottom"/>
            <w:shd w:val="clear" w:color="auto" w:fill="CCEEFF"/>
          </w:tcPr>
          <w:p>
            <w:pPr>
              <w:spacing w:after="0"/>
              <w:rPr>
                <w:sz w:val="20"/>
                <w:szCs w:val="20"/>
                <w:color w:val="auto"/>
              </w:rPr>
            </w:pPr>
            <w:r>
              <w:rPr>
                <w:rFonts w:ascii="Arial" w:cs="Arial" w:eastAsia="Arial" w:hAnsi="Arial"/>
                <w:sz w:val="18"/>
                <w:szCs w:val="18"/>
                <w:color w:val="auto"/>
              </w:rPr>
              <w:t>Balance at September 30, 2017 (unaudited)</w:t>
            </w:r>
          </w:p>
        </w:tc>
        <w:tc>
          <w:tcPr>
            <w:tcW w:w="118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13.4</w:t>
            </w:r>
          </w:p>
        </w:tc>
        <w:tc>
          <w:tcPr>
            <w:tcW w:w="7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7.5</w:t>
            </w:r>
          </w:p>
        </w:tc>
        <w:tc>
          <w:tcPr>
            <w:tcW w:w="500" w:type="dxa"/>
            <w:vAlign w:val="bottom"/>
            <w:shd w:val="clear" w:color="auto" w:fill="CCEEFF"/>
          </w:tcPr>
          <w:p>
            <w:pPr>
              <w:ind w:left="380"/>
              <w:spacing w:after="0"/>
              <w:rPr>
                <w:sz w:val="20"/>
                <w:szCs w:val="20"/>
                <w:color w:val="auto"/>
              </w:rPr>
            </w:pPr>
            <w:r>
              <w:rPr>
                <w:rFonts w:ascii="Arial" w:cs="Arial" w:eastAsia="Arial" w:hAnsi="Arial"/>
                <w:sz w:val="18"/>
                <w:szCs w:val="18"/>
                <w:color w:val="auto"/>
                <w:w w:val="99"/>
              </w:rPr>
              <w:t>$</w:t>
            </w:r>
          </w:p>
        </w:tc>
        <w:tc>
          <w:tcPr>
            <w:tcW w:w="820" w:type="dxa"/>
            <w:vAlign w:val="bottom"/>
            <w:shd w:val="clear" w:color="auto" w:fill="CCEEFF"/>
          </w:tcPr>
          <w:p>
            <w:pPr>
              <w:jc w:val="right"/>
              <w:ind w:right="251"/>
              <w:spacing w:after="0"/>
              <w:rPr>
                <w:sz w:val="20"/>
                <w:szCs w:val="20"/>
                <w:color w:val="auto"/>
              </w:rPr>
            </w:pPr>
            <w:r>
              <w:rPr>
                <w:rFonts w:ascii="Arial" w:cs="Arial" w:eastAsia="Arial" w:hAnsi="Arial"/>
                <w:sz w:val="18"/>
                <w:szCs w:val="18"/>
                <w:color w:val="auto"/>
              </w:rPr>
              <w:t>7.03</w:t>
            </w:r>
          </w:p>
        </w:tc>
        <w:tc>
          <w:tcPr>
            <w:tcW w:w="112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5.8</w:t>
            </w:r>
          </w:p>
        </w:tc>
        <w:tc>
          <w:tcPr>
            <w:tcW w:w="9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84.4</w:t>
            </w:r>
          </w:p>
        </w:tc>
        <w:tc>
          <w:tcPr>
            <w:tcW w:w="280" w:type="dxa"/>
            <w:vAlign w:val="bottom"/>
            <w:shd w:val="clear" w:color="auto" w:fill="CCEEFF"/>
          </w:tcPr>
          <w:p>
            <w:pPr>
              <w:ind w:left="200"/>
              <w:spacing w:after="0"/>
              <w:rPr>
                <w:sz w:val="20"/>
                <w:szCs w:val="20"/>
                <w:color w:val="auto"/>
              </w:rPr>
            </w:pPr>
            <w:r>
              <w:rPr>
                <w:rFonts w:ascii="Arial" w:cs="Arial" w:eastAsia="Arial" w:hAnsi="Arial"/>
                <w:sz w:val="15"/>
                <w:szCs w:val="15"/>
                <w:color w:val="auto"/>
                <w:w w:val="71"/>
              </w:rPr>
              <w:t>$</w:t>
            </w:r>
          </w:p>
        </w:tc>
        <w:tc>
          <w:tcPr>
            <w:tcW w:w="10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10.37</w:t>
            </w:r>
          </w:p>
        </w:tc>
        <w:tc>
          <w:tcPr>
            <w:tcW w:w="0" w:type="dxa"/>
            <w:vAlign w:val="bottom"/>
          </w:tcPr>
          <w:p>
            <w:pPr>
              <w:spacing w:after="0"/>
              <w:rPr>
                <w:sz w:val="1"/>
                <w:szCs w:val="1"/>
                <w:color w:val="auto"/>
              </w:rPr>
            </w:pPr>
          </w:p>
        </w:tc>
      </w:tr>
      <w:tr>
        <w:trPr>
          <w:trHeight w:val="20"/>
        </w:trPr>
        <w:tc>
          <w:tcPr>
            <w:tcW w:w="4620" w:type="dxa"/>
            <w:vAlign w:val="bottom"/>
            <w:vMerge w:val="restart"/>
          </w:tcPr>
          <w:p>
            <w:pPr>
              <w:spacing w:after="0"/>
              <w:rPr>
                <w:sz w:val="20"/>
                <w:szCs w:val="20"/>
                <w:color w:val="auto"/>
              </w:rPr>
            </w:pPr>
            <w:r>
              <w:rPr>
                <w:rFonts w:ascii="Arial" w:cs="Arial" w:eastAsia="Arial" w:hAnsi="Arial"/>
                <w:sz w:val="18"/>
                <w:szCs w:val="18"/>
                <w:color w:val="auto"/>
              </w:rPr>
              <w:t>Vested at December 31, 2016</w:t>
            </w:r>
          </w:p>
        </w:tc>
        <w:tc>
          <w:tcPr>
            <w:tcW w:w="7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20" w:type="dxa"/>
            <w:vAlign w:val="bottom"/>
            <w:vMerge w:val="restart"/>
          </w:tcPr>
          <w:p>
            <w:pPr>
              <w:jc w:val="right"/>
              <w:ind w:right="251"/>
              <w:spacing w:after="0"/>
              <w:rPr>
                <w:sz w:val="20"/>
                <w:szCs w:val="20"/>
                <w:color w:val="auto"/>
              </w:rPr>
            </w:pPr>
            <w:r>
              <w:rPr>
                <w:rFonts w:ascii="Arial" w:cs="Arial" w:eastAsia="Arial" w:hAnsi="Arial"/>
                <w:sz w:val="18"/>
                <w:szCs w:val="18"/>
                <w:color w:val="auto"/>
              </w:rPr>
              <w:t>6.36</w:t>
            </w:r>
          </w:p>
        </w:tc>
        <w:tc>
          <w:tcPr>
            <w:tcW w:w="1120" w:type="dxa"/>
            <w:vAlign w:val="bottom"/>
            <w:gridSpan w:val="2"/>
            <w:vMerge w:val="restart"/>
          </w:tcPr>
          <w:p>
            <w:pPr>
              <w:jc w:val="right"/>
              <w:ind w:right="400"/>
              <w:spacing w:after="0"/>
              <w:rPr>
                <w:sz w:val="20"/>
                <w:szCs w:val="20"/>
                <w:color w:val="auto"/>
              </w:rPr>
            </w:pPr>
            <w:r>
              <w:rPr>
                <w:rFonts w:ascii="Arial" w:cs="Arial" w:eastAsia="Arial" w:hAnsi="Arial"/>
                <w:sz w:val="18"/>
                <w:szCs w:val="18"/>
                <w:color w:val="auto"/>
              </w:rPr>
              <w:t>6.4</w:t>
            </w:r>
          </w:p>
        </w:tc>
        <w:tc>
          <w:tcPr>
            <w:tcW w:w="6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vMerge w:val="restart"/>
          </w:tcPr>
          <w:p>
            <w:pPr>
              <w:ind w:left="200"/>
              <w:spacing w:after="0"/>
              <w:rPr>
                <w:sz w:val="20"/>
                <w:szCs w:val="20"/>
                <w:color w:val="auto"/>
              </w:rPr>
            </w:pPr>
            <w:r>
              <w:rPr>
                <w:rFonts w:ascii="Arial" w:cs="Arial" w:eastAsia="Arial" w:hAnsi="Arial"/>
                <w:sz w:val="15"/>
                <w:szCs w:val="15"/>
                <w:color w:val="auto"/>
                <w:w w:val="71"/>
              </w:rPr>
              <w:t>$</w:t>
            </w:r>
          </w:p>
        </w:tc>
        <w:tc>
          <w:tcPr>
            <w:tcW w:w="1020" w:type="dxa"/>
            <w:vAlign w:val="bottom"/>
            <w:gridSpan w:val="2"/>
            <w:vMerge w:val="restart"/>
          </w:tcPr>
          <w:p>
            <w:pPr>
              <w:jc w:val="right"/>
              <w:ind w:right="60"/>
              <w:spacing w:after="0"/>
              <w:rPr>
                <w:sz w:val="20"/>
                <w:szCs w:val="20"/>
                <w:color w:val="auto"/>
              </w:rPr>
            </w:pPr>
            <w:r>
              <w:rPr>
                <w:rFonts w:ascii="Arial" w:cs="Arial" w:eastAsia="Arial" w:hAnsi="Arial"/>
                <w:sz w:val="18"/>
                <w:szCs w:val="18"/>
                <w:color w:val="auto"/>
              </w:rPr>
              <w:t>12.51</w:t>
            </w:r>
          </w:p>
        </w:tc>
        <w:tc>
          <w:tcPr>
            <w:tcW w:w="0" w:type="dxa"/>
            <w:vAlign w:val="bottom"/>
          </w:tcPr>
          <w:p>
            <w:pPr>
              <w:spacing w:after="0" w:line="20" w:lineRule="exact"/>
              <w:rPr>
                <w:sz w:val="1"/>
                <w:szCs w:val="1"/>
                <w:color w:val="auto"/>
              </w:rPr>
            </w:pPr>
          </w:p>
        </w:tc>
      </w:tr>
      <w:tr>
        <w:trPr>
          <w:trHeight w:val="210"/>
        </w:trPr>
        <w:tc>
          <w:tcPr>
            <w:tcW w:w="4620" w:type="dxa"/>
            <w:vAlign w:val="bottom"/>
            <w:vMerge w:val="continue"/>
          </w:tcPr>
          <w:p>
            <w:pPr>
              <w:spacing w:after="0"/>
              <w:rPr>
                <w:sz w:val="18"/>
                <w:szCs w:val="18"/>
                <w:color w:val="auto"/>
              </w:rPr>
            </w:pPr>
          </w:p>
        </w:tc>
        <w:tc>
          <w:tcPr>
            <w:tcW w:w="7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6.6</w:t>
            </w: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20" w:type="dxa"/>
            <w:vAlign w:val="bottom"/>
            <w:vMerge w:val="continue"/>
          </w:tcPr>
          <w:p>
            <w:pPr>
              <w:spacing w:after="0"/>
              <w:rPr>
                <w:sz w:val="18"/>
                <w:szCs w:val="18"/>
                <w:color w:val="auto"/>
              </w:rPr>
            </w:pPr>
          </w:p>
        </w:tc>
        <w:tc>
          <w:tcPr>
            <w:tcW w:w="1120" w:type="dxa"/>
            <w:vAlign w:val="bottom"/>
            <w:gridSpan w:val="2"/>
            <w:vMerge w:val="continue"/>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7.9</w:t>
            </w:r>
          </w:p>
        </w:tc>
        <w:tc>
          <w:tcPr>
            <w:tcW w:w="260" w:type="dxa"/>
            <w:vAlign w:val="bottom"/>
          </w:tcPr>
          <w:p>
            <w:pPr>
              <w:spacing w:after="0"/>
              <w:rPr>
                <w:sz w:val="18"/>
                <w:szCs w:val="18"/>
                <w:color w:val="auto"/>
              </w:rPr>
            </w:pPr>
          </w:p>
        </w:tc>
        <w:tc>
          <w:tcPr>
            <w:tcW w:w="280" w:type="dxa"/>
            <w:vAlign w:val="bottom"/>
            <w:vMerge w:val="continue"/>
          </w:tcPr>
          <w:p>
            <w:pPr>
              <w:spacing w:after="0"/>
              <w:rPr>
                <w:sz w:val="18"/>
                <w:szCs w:val="18"/>
                <w:color w:val="auto"/>
              </w:rPr>
            </w:pPr>
          </w:p>
        </w:tc>
        <w:tc>
          <w:tcPr>
            <w:tcW w:w="102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6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620" w:type="dxa"/>
            <w:vAlign w:val="bottom"/>
            <w:shd w:val="clear" w:color="auto" w:fill="CCEEFF"/>
          </w:tcPr>
          <w:p>
            <w:pPr>
              <w:spacing w:after="0"/>
              <w:rPr>
                <w:sz w:val="20"/>
                <w:szCs w:val="20"/>
                <w:color w:val="auto"/>
              </w:rPr>
            </w:pPr>
            <w:r>
              <w:rPr>
                <w:rFonts w:ascii="Arial" w:cs="Arial" w:eastAsia="Arial" w:hAnsi="Arial"/>
                <w:sz w:val="18"/>
                <w:szCs w:val="18"/>
                <w:color w:val="auto"/>
              </w:rPr>
              <w:t>Unvested at December 31, 2016</w:t>
            </w:r>
          </w:p>
        </w:tc>
        <w:tc>
          <w:tcPr>
            <w:tcW w:w="7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820" w:type="dxa"/>
            <w:vAlign w:val="bottom"/>
            <w:shd w:val="clear" w:color="auto" w:fill="CCEEFF"/>
          </w:tcPr>
          <w:p>
            <w:pPr>
              <w:jc w:val="right"/>
              <w:ind w:right="251"/>
              <w:spacing w:after="0"/>
              <w:rPr>
                <w:sz w:val="20"/>
                <w:szCs w:val="20"/>
                <w:color w:val="auto"/>
              </w:rPr>
            </w:pPr>
            <w:r>
              <w:rPr>
                <w:rFonts w:ascii="Arial" w:cs="Arial" w:eastAsia="Arial" w:hAnsi="Arial"/>
                <w:sz w:val="18"/>
                <w:szCs w:val="18"/>
                <w:color w:val="auto"/>
              </w:rPr>
              <w:t>10.92</w:t>
            </w:r>
          </w:p>
        </w:tc>
        <w:tc>
          <w:tcPr>
            <w:tcW w:w="7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73.1</w:t>
            </w:r>
          </w:p>
        </w:tc>
        <w:tc>
          <w:tcPr>
            <w:tcW w:w="260" w:type="dxa"/>
            <w:vAlign w:val="bottom"/>
            <w:shd w:val="clear" w:color="auto" w:fill="CCEEFF"/>
          </w:tcPr>
          <w:p>
            <w:pPr>
              <w:spacing w:after="0"/>
              <w:rPr>
                <w:sz w:val="18"/>
                <w:szCs w:val="18"/>
                <w:color w:val="auto"/>
              </w:rPr>
            </w:pPr>
          </w:p>
        </w:tc>
        <w:tc>
          <w:tcPr>
            <w:tcW w:w="280" w:type="dxa"/>
            <w:vAlign w:val="bottom"/>
            <w:shd w:val="clear" w:color="auto" w:fill="CCEEFF"/>
          </w:tcPr>
          <w:p>
            <w:pPr>
              <w:ind w:left="200"/>
              <w:spacing w:after="0"/>
              <w:rPr>
                <w:sz w:val="20"/>
                <w:szCs w:val="20"/>
                <w:color w:val="auto"/>
              </w:rPr>
            </w:pPr>
            <w:r>
              <w:rPr>
                <w:rFonts w:ascii="Arial" w:cs="Arial" w:eastAsia="Arial" w:hAnsi="Arial"/>
                <w:sz w:val="15"/>
                <w:szCs w:val="15"/>
                <w:color w:val="auto"/>
                <w:w w:val="71"/>
              </w:rPr>
              <w:t>$</w:t>
            </w:r>
          </w:p>
        </w:tc>
        <w:tc>
          <w:tcPr>
            <w:tcW w:w="10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10.77</w:t>
            </w:r>
          </w:p>
        </w:tc>
        <w:tc>
          <w:tcPr>
            <w:tcW w:w="0" w:type="dxa"/>
            <w:vAlign w:val="bottom"/>
          </w:tcPr>
          <w:p>
            <w:pPr>
              <w:spacing w:after="0"/>
              <w:rPr>
                <w:sz w:val="1"/>
                <w:szCs w:val="1"/>
                <w:color w:val="auto"/>
              </w:rPr>
            </w:pPr>
          </w:p>
        </w:tc>
      </w:tr>
      <w:tr>
        <w:trPr>
          <w:trHeight w:val="20"/>
        </w:trPr>
        <w:tc>
          <w:tcPr>
            <w:tcW w:w="4620" w:type="dxa"/>
            <w:vAlign w:val="bottom"/>
            <w:vMerge w:val="restart"/>
          </w:tcPr>
          <w:p>
            <w:pPr>
              <w:spacing w:after="0"/>
              <w:rPr>
                <w:sz w:val="20"/>
                <w:szCs w:val="20"/>
                <w:color w:val="auto"/>
              </w:rPr>
            </w:pPr>
            <w:r>
              <w:rPr>
                <w:rFonts w:ascii="Arial" w:cs="Arial" w:eastAsia="Arial" w:hAnsi="Arial"/>
                <w:sz w:val="18"/>
                <w:szCs w:val="18"/>
                <w:color w:val="auto"/>
              </w:rPr>
              <w:t>Vested at September 30, 2017 (unaudited)</w:t>
            </w:r>
          </w:p>
        </w:tc>
        <w:tc>
          <w:tcPr>
            <w:tcW w:w="7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20" w:type="dxa"/>
            <w:vAlign w:val="bottom"/>
            <w:vMerge w:val="restart"/>
          </w:tcPr>
          <w:p>
            <w:pPr>
              <w:jc w:val="right"/>
              <w:ind w:right="251"/>
              <w:spacing w:after="0"/>
              <w:rPr>
                <w:sz w:val="20"/>
                <w:szCs w:val="20"/>
                <w:color w:val="auto"/>
              </w:rPr>
            </w:pPr>
            <w:r>
              <w:rPr>
                <w:rFonts w:ascii="Arial" w:cs="Arial" w:eastAsia="Arial" w:hAnsi="Arial"/>
                <w:sz w:val="18"/>
                <w:szCs w:val="18"/>
                <w:color w:val="auto"/>
              </w:rPr>
              <w:t>6.66</w:t>
            </w:r>
          </w:p>
        </w:tc>
        <w:tc>
          <w:tcPr>
            <w:tcW w:w="1120" w:type="dxa"/>
            <w:vAlign w:val="bottom"/>
            <w:gridSpan w:val="2"/>
            <w:vMerge w:val="restart"/>
          </w:tcPr>
          <w:p>
            <w:pPr>
              <w:jc w:val="right"/>
              <w:ind w:right="400"/>
              <w:spacing w:after="0"/>
              <w:rPr>
                <w:sz w:val="20"/>
                <w:szCs w:val="20"/>
                <w:color w:val="auto"/>
              </w:rPr>
            </w:pPr>
            <w:r>
              <w:rPr>
                <w:rFonts w:ascii="Arial" w:cs="Arial" w:eastAsia="Arial" w:hAnsi="Arial"/>
                <w:sz w:val="18"/>
                <w:szCs w:val="18"/>
                <w:color w:val="auto"/>
              </w:rPr>
              <w:t>5.7</w:t>
            </w:r>
          </w:p>
        </w:tc>
        <w:tc>
          <w:tcPr>
            <w:tcW w:w="94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20" w:type="dxa"/>
            <w:vAlign w:val="bottom"/>
            <w:gridSpan w:val="2"/>
            <w:vMerge w:val="restart"/>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line="20" w:lineRule="exact"/>
              <w:rPr>
                <w:sz w:val="1"/>
                <w:szCs w:val="1"/>
                <w:color w:val="auto"/>
              </w:rPr>
            </w:pPr>
          </w:p>
        </w:tc>
      </w:tr>
      <w:tr>
        <w:trPr>
          <w:trHeight w:val="210"/>
        </w:trPr>
        <w:tc>
          <w:tcPr>
            <w:tcW w:w="4620" w:type="dxa"/>
            <w:vAlign w:val="bottom"/>
            <w:vMerge w:val="continue"/>
          </w:tcPr>
          <w:p>
            <w:pPr>
              <w:spacing w:after="0"/>
              <w:rPr>
                <w:sz w:val="18"/>
                <w:szCs w:val="18"/>
                <w:color w:val="auto"/>
              </w:rPr>
            </w:pPr>
          </w:p>
        </w:tc>
        <w:tc>
          <w:tcPr>
            <w:tcW w:w="7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7.1</w:t>
            </w: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20" w:type="dxa"/>
            <w:vAlign w:val="bottom"/>
            <w:vMerge w:val="continue"/>
          </w:tcPr>
          <w:p>
            <w:pPr>
              <w:spacing w:after="0"/>
              <w:rPr>
                <w:sz w:val="18"/>
                <w:szCs w:val="18"/>
                <w:color w:val="auto"/>
              </w:rPr>
            </w:pPr>
          </w:p>
        </w:tc>
        <w:tc>
          <w:tcPr>
            <w:tcW w:w="1120" w:type="dxa"/>
            <w:vAlign w:val="bottom"/>
            <w:gridSpan w:val="2"/>
            <w:vMerge w:val="continue"/>
          </w:tcPr>
          <w:p>
            <w:pPr>
              <w:spacing w:after="0"/>
              <w:rPr>
                <w:sz w:val="18"/>
                <w:szCs w:val="18"/>
                <w:color w:val="auto"/>
              </w:rPr>
            </w:pPr>
          </w:p>
        </w:tc>
        <w:tc>
          <w:tcPr>
            <w:tcW w:w="68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2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6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620" w:type="dxa"/>
            <w:vAlign w:val="bottom"/>
            <w:shd w:val="clear" w:color="auto" w:fill="CCEEFF"/>
          </w:tcPr>
          <w:p>
            <w:pPr>
              <w:spacing w:after="0"/>
              <w:rPr>
                <w:sz w:val="20"/>
                <w:szCs w:val="20"/>
                <w:color w:val="auto"/>
              </w:rPr>
            </w:pPr>
            <w:r>
              <w:rPr>
                <w:rFonts w:ascii="Arial" w:cs="Arial" w:eastAsia="Arial" w:hAnsi="Arial"/>
                <w:sz w:val="18"/>
                <w:szCs w:val="18"/>
                <w:color w:val="auto"/>
              </w:rPr>
              <w:t>Unvested at September 30, 2017 (unaudited)</w:t>
            </w:r>
          </w:p>
        </w:tc>
        <w:tc>
          <w:tcPr>
            <w:tcW w:w="7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0.4</w:t>
            </w:r>
          </w:p>
        </w:tc>
        <w:tc>
          <w:tcPr>
            <w:tcW w:w="500" w:type="dxa"/>
            <w:vAlign w:val="bottom"/>
            <w:shd w:val="clear" w:color="auto" w:fill="CCEEFF"/>
          </w:tcPr>
          <w:p>
            <w:pPr>
              <w:spacing w:after="0"/>
              <w:rPr>
                <w:sz w:val="18"/>
                <w:szCs w:val="18"/>
                <w:color w:val="auto"/>
              </w:rPr>
            </w:pPr>
          </w:p>
        </w:tc>
        <w:tc>
          <w:tcPr>
            <w:tcW w:w="820" w:type="dxa"/>
            <w:vAlign w:val="bottom"/>
            <w:shd w:val="clear" w:color="auto" w:fill="CCEEFF"/>
          </w:tcPr>
          <w:p>
            <w:pPr>
              <w:jc w:val="right"/>
              <w:ind w:right="251"/>
              <w:spacing w:after="0"/>
              <w:rPr>
                <w:sz w:val="20"/>
                <w:szCs w:val="20"/>
                <w:color w:val="auto"/>
              </w:rPr>
            </w:pPr>
            <w:r>
              <w:rPr>
                <w:rFonts w:ascii="Arial" w:cs="Arial" w:eastAsia="Arial" w:hAnsi="Arial"/>
                <w:sz w:val="18"/>
                <w:szCs w:val="18"/>
                <w:color w:val="auto"/>
              </w:rPr>
              <w:t>13.35</w:t>
            </w:r>
          </w:p>
        </w:tc>
        <w:tc>
          <w:tcPr>
            <w:tcW w:w="7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84.4</w:t>
            </w:r>
          </w:p>
        </w:tc>
        <w:tc>
          <w:tcPr>
            <w:tcW w:w="280" w:type="dxa"/>
            <w:vAlign w:val="bottom"/>
            <w:shd w:val="clear" w:color="auto" w:fill="CCEEFF"/>
          </w:tcPr>
          <w:p>
            <w:pPr>
              <w:ind w:left="200"/>
              <w:spacing w:after="0"/>
              <w:rPr>
                <w:sz w:val="20"/>
                <w:szCs w:val="20"/>
                <w:color w:val="auto"/>
              </w:rPr>
            </w:pPr>
            <w:r>
              <w:rPr>
                <w:rFonts w:ascii="Arial" w:cs="Arial" w:eastAsia="Arial" w:hAnsi="Arial"/>
                <w:sz w:val="15"/>
                <w:szCs w:val="15"/>
                <w:color w:val="auto"/>
                <w:w w:val="71"/>
              </w:rPr>
              <w:t>$</w:t>
            </w:r>
          </w:p>
        </w:tc>
        <w:tc>
          <w:tcPr>
            <w:tcW w:w="10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10.37</w:t>
            </w:r>
          </w:p>
        </w:tc>
        <w:tc>
          <w:tcPr>
            <w:tcW w:w="0" w:type="dxa"/>
            <w:vAlign w:val="bottom"/>
          </w:tcPr>
          <w:p>
            <w:pPr>
              <w:spacing w:after="0"/>
              <w:rPr>
                <w:sz w:val="1"/>
                <w:szCs w:val="1"/>
                <w:color w:val="auto"/>
              </w:rPr>
            </w:pPr>
          </w:p>
        </w:tc>
      </w:tr>
      <w:tr>
        <w:trPr>
          <w:trHeight w:val="20"/>
        </w:trPr>
        <w:tc>
          <w:tcPr>
            <w:tcW w:w="46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Two-tier RSUs are included in the unvested share counts in the table above as the Performance Vesting Condition was not probable.</w:t>
      </w:r>
    </w:p>
    <w:p>
      <w:pPr>
        <w:spacing w:after="0" w:line="225" w:lineRule="exact"/>
        <w:rPr>
          <w:sz w:val="20"/>
          <w:szCs w:val="20"/>
          <w:color w:val="auto"/>
        </w:rPr>
      </w:pPr>
    </w:p>
    <w:p>
      <w:pPr>
        <w:ind w:right="100" w:firstLine="449"/>
        <w:spacing w:after="0" w:line="342" w:lineRule="auto"/>
        <w:rPr>
          <w:sz w:val="20"/>
          <w:szCs w:val="20"/>
          <w:color w:val="auto"/>
        </w:rPr>
      </w:pPr>
      <w:r>
        <w:rPr>
          <w:rFonts w:ascii="Arial" w:cs="Arial" w:eastAsia="Arial" w:hAnsi="Arial"/>
          <w:sz w:val="16"/>
          <w:szCs w:val="16"/>
          <w:color w:val="auto"/>
        </w:rPr>
        <w:t>The following table summarizes information about the pre-tax intrinsic value of options exercised and the weighted average grant date fair value per share of options granted during the years ended December 31, 2015 and 2016, and the nine months ended September 30, 2016 and 2017:</w:t>
      </w:r>
    </w:p>
    <w:p>
      <w:pPr>
        <w:spacing w:after="0" w:line="13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64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60" w:type="dxa"/>
            <w:vAlign w:val="bottom"/>
            <w:gridSpan w:val="4"/>
          </w:tcPr>
          <w:p>
            <w:pPr>
              <w:jc w:val="center"/>
              <w:ind w:right="100"/>
              <w:spacing w:after="0"/>
              <w:rPr>
                <w:sz w:val="20"/>
                <w:szCs w:val="20"/>
                <w:color w:val="auto"/>
              </w:rPr>
            </w:pPr>
            <w:r>
              <w:rPr>
                <w:rFonts w:ascii="Arial" w:cs="Arial" w:eastAsia="Arial" w:hAnsi="Arial"/>
                <w:sz w:val="14"/>
                <w:szCs w:val="14"/>
                <w:b w:val="1"/>
                <w:bCs w:val="1"/>
                <w:color w:val="auto"/>
                <w:w w:val="88"/>
              </w:rPr>
              <w:t>Years ended</w:t>
            </w:r>
          </w:p>
        </w:tc>
        <w:tc>
          <w:tcPr>
            <w:tcW w:w="4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560" w:type="dxa"/>
            <w:vAlign w:val="bottom"/>
            <w:gridSpan w:val="4"/>
          </w:tcPr>
          <w:p>
            <w:pPr>
              <w:jc w:val="center"/>
              <w:ind w:right="180"/>
              <w:spacing w:after="0"/>
              <w:rPr>
                <w:sz w:val="20"/>
                <w:szCs w:val="20"/>
                <w:color w:val="auto"/>
              </w:rPr>
            </w:pPr>
            <w:r>
              <w:rPr>
                <w:rFonts w:ascii="Arial" w:cs="Arial" w:eastAsia="Arial" w:hAnsi="Arial"/>
                <w:sz w:val="14"/>
                <w:szCs w:val="14"/>
                <w:b w:val="1"/>
                <w:bCs w:val="1"/>
                <w:color w:val="auto"/>
                <w:w w:val="90"/>
              </w:rPr>
              <w:t>Nine months ended</w:t>
            </w:r>
          </w:p>
        </w:tc>
      </w:tr>
      <w:tr>
        <w:trPr>
          <w:trHeight w:val="171"/>
        </w:trPr>
        <w:tc>
          <w:tcPr>
            <w:tcW w:w="664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60" w:type="dxa"/>
            <w:vAlign w:val="bottom"/>
            <w:gridSpan w:val="4"/>
          </w:tcPr>
          <w:p>
            <w:pPr>
              <w:jc w:val="center"/>
              <w:ind w:right="80"/>
              <w:spacing w:after="0"/>
              <w:rPr>
                <w:sz w:val="20"/>
                <w:szCs w:val="20"/>
                <w:color w:val="auto"/>
              </w:rPr>
            </w:pPr>
            <w:r>
              <w:rPr>
                <w:rFonts w:ascii="Arial" w:cs="Arial" w:eastAsia="Arial" w:hAnsi="Arial"/>
                <w:sz w:val="14"/>
                <w:szCs w:val="14"/>
                <w:b w:val="1"/>
                <w:bCs w:val="1"/>
                <w:color w:val="auto"/>
                <w:w w:val="92"/>
              </w:rPr>
              <w:t>December 31,</w:t>
            </w:r>
          </w:p>
        </w:tc>
        <w:tc>
          <w:tcPr>
            <w:tcW w:w="4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560" w:type="dxa"/>
            <w:vAlign w:val="bottom"/>
            <w:gridSpan w:val="4"/>
          </w:tcPr>
          <w:p>
            <w:pPr>
              <w:jc w:val="center"/>
              <w:ind w:right="180"/>
              <w:spacing w:after="0"/>
              <w:rPr>
                <w:sz w:val="20"/>
                <w:szCs w:val="20"/>
                <w:color w:val="auto"/>
              </w:rPr>
            </w:pPr>
            <w:r>
              <w:rPr>
                <w:rFonts w:ascii="Arial" w:cs="Arial" w:eastAsia="Arial" w:hAnsi="Arial"/>
                <w:sz w:val="14"/>
                <w:szCs w:val="14"/>
                <w:b w:val="1"/>
                <w:bCs w:val="1"/>
                <w:color w:val="auto"/>
                <w:w w:val="89"/>
              </w:rPr>
              <w:t>September 30,</w:t>
            </w:r>
          </w:p>
        </w:tc>
      </w:tr>
      <w:tr>
        <w:trPr>
          <w:trHeight w:val="142"/>
        </w:trPr>
        <w:tc>
          <w:tcPr>
            <w:tcW w:w="664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420" w:type="dxa"/>
            <w:vAlign w:val="bottom"/>
            <w:tcBorders>
              <w:top w:val="single" w:sz="8" w:color="auto"/>
            </w:tcBorders>
            <w:gridSpan w:val="2"/>
          </w:tcPr>
          <w:p>
            <w:pPr>
              <w:jc w:val="right"/>
              <w:spacing w:after="0" w:line="142" w:lineRule="exact"/>
              <w:rPr>
                <w:sz w:val="20"/>
                <w:szCs w:val="20"/>
                <w:color w:val="auto"/>
              </w:rPr>
            </w:pPr>
            <w:r>
              <w:rPr>
                <w:rFonts w:ascii="Arial" w:cs="Arial" w:eastAsia="Arial" w:hAnsi="Arial"/>
                <w:sz w:val="14"/>
                <w:szCs w:val="14"/>
                <w:b w:val="1"/>
                <w:bCs w:val="1"/>
                <w:color w:val="auto"/>
              </w:rPr>
              <w:t>2015</w:t>
            </w:r>
          </w:p>
        </w:tc>
        <w:tc>
          <w:tcPr>
            <w:tcW w:w="24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gridSpan w:val="2"/>
          </w:tcPr>
          <w:p>
            <w:pPr>
              <w:jc w:val="right"/>
              <w:ind w:right="40"/>
              <w:spacing w:after="0" w:line="142" w:lineRule="exact"/>
              <w:rPr>
                <w:sz w:val="20"/>
                <w:szCs w:val="20"/>
                <w:color w:val="auto"/>
              </w:rPr>
            </w:pPr>
            <w:r>
              <w:rPr>
                <w:rFonts w:ascii="Arial" w:cs="Arial" w:eastAsia="Arial" w:hAnsi="Arial"/>
                <w:sz w:val="14"/>
                <w:szCs w:val="14"/>
                <w:b w:val="1"/>
                <w:bCs w:val="1"/>
                <w:color w:val="auto"/>
              </w:rPr>
              <w:t>2016</w:t>
            </w:r>
          </w:p>
        </w:tc>
        <w:tc>
          <w:tcPr>
            <w:tcW w:w="48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640" w:type="dxa"/>
            <w:vAlign w:val="bottom"/>
            <w:tcBorders>
              <w:top w:val="single" w:sz="8" w:color="auto"/>
            </w:tcBorders>
          </w:tcPr>
          <w:p>
            <w:pPr>
              <w:jc w:val="right"/>
              <w:ind w:right="262"/>
              <w:spacing w:after="0" w:line="142" w:lineRule="exact"/>
              <w:rPr>
                <w:sz w:val="20"/>
                <w:szCs w:val="20"/>
                <w:color w:val="auto"/>
              </w:rPr>
            </w:pPr>
            <w:r>
              <w:rPr>
                <w:rFonts w:ascii="Arial" w:cs="Arial" w:eastAsia="Arial" w:hAnsi="Arial"/>
                <w:sz w:val="14"/>
                <w:szCs w:val="14"/>
                <w:b w:val="1"/>
                <w:bCs w:val="1"/>
                <w:color w:val="auto"/>
                <w:w w:val="89"/>
              </w:rPr>
              <w:t>2016</w:t>
            </w:r>
          </w:p>
        </w:tc>
        <w:tc>
          <w:tcPr>
            <w:tcW w:w="420" w:type="dxa"/>
            <w:vAlign w:val="bottom"/>
            <w:tcBorders>
              <w:top w:val="single" w:sz="8" w:color="auto"/>
            </w:tcBorders>
          </w:tcPr>
          <w:p>
            <w:pPr>
              <w:spacing w:after="0"/>
              <w:rPr>
                <w:sz w:val="12"/>
                <w:szCs w:val="12"/>
                <w:color w:val="auto"/>
              </w:rPr>
            </w:pPr>
          </w:p>
        </w:tc>
        <w:tc>
          <w:tcPr>
            <w:tcW w:w="440" w:type="dxa"/>
            <w:vAlign w:val="bottom"/>
            <w:tcBorders>
              <w:top w:val="single" w:sz="8" w:color="auto"/>
            </w:tcBorders>
          </w:tcPr>
          <w:p>
            <w:pPr>
              <w:jc w:val="right"/>
              <w:ind w:right="56"/>
              <w:spacing w:after="0" w:line="142" w:lineRule="exact"/>
              <w:rPr>
                <w:sz w:val="20"/>
                <w:szCs w:val="20"/>
                <w:color w:val="auto"/>
              </w:rPr>
            </w:pPr>
            <w:r>
              <w:rPr>
                <w:rFonts w:ascii="Arial" w:cs="Arial" w:eastAsia="Arial" w:hAnsi="Arial"/>
                <w:sz w:val="14"/>
                <w:szCs w:val="14"/>
                <w:b w:val="1"/>
                <w:bCs w:val="1"/>
                <w:color w:val="auto"/>
                <w:w w:val="89"/>
              </w:rPr>
              <w:t>2017</w:t>
            </w:r>
          </w:p>
        </w:tc>
        <w:tc>
          <w:tcPr>
            <w:tcW w:w="60" w:type="dxa"/>
            <w:vAlign w:val="bottom"/>
          </w:tcPr>
          <w:p>
            <w:pPr>
              <w:spacing w:after="0"/>
              <w:rPr>
                <w:sz w:val="12"/>
                <w:szCs w:val="12"/>
                <w:color w:val="auto"/>
              </w:rPr>
            </w:pPr>
          </w:p>
        </w:tc>
      </w:tr>
      <w:tr>
        <w:trPr>
          <w:trHeight w:val="142"/>
        </w:trPr>
        <w:tc>
          <w:tcPr>
            <w:tcW w:w="664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320" w:type="dxa"/>
            <w:vAlign w:val="bottom"/>
            <w:tcBorders>
              <w:top w:val="single" w:sz="8" w:color="auto"/>
            </w:tcBorders>
          </w:tcPr>
          <w:p>
            <w:pPr>
              <w:spacing w:after="0"/>
              <w:rPr>
                <w:sz w:val="12"/>
                <w:szCs w:val="12"/>
                <w:color w:val="auto"/>
              </w:rPr>
            </w:pPr>
          </w:p>
        </w:tc>
        <w:tc>
          <w:tcPr>
            <w:tcW w:w="2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360" w:type="dxa"/>
            <w:vAlign w:val="bottom"/>
            <w:tcBorders>
              <w:top w:val="single" w:sz="8" w:color="auto"/>
            </w:tcBorders>
          </w:tcPr>
          <w:p>
            <w:pPr>
              <w:spacing w:after="0"/>
              <w:rPr>
                <w:sz w:val="12"/>
                <w:szCs w:val="12"/>
                <w:color w:val="auto"/>
              </w:rPr>
            </w:pPr>
          </w:p>
        </w:tc>
        <w:tc>
          <w:tcPr>
            <w:tcW w:w="48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1060" w:type="dxa"/>
            <w:vAlign w:val="bottom"/>
            <w:tcBorders>
              <w:top w:val="single" w:sz="8" w:color="auto"/>
            </w:tcBorders>
            <w:gridSpan w:val="2"/>
          </w:tcPr>
          <w:p>
            <w:pPr>
              <w:jc w:val="center"/>
              <w:ind w:left="242"/>
              <w:spacing w:after="0" w:line="142" w:lineRule="exact"/>
              <w:rPr>
                <w:sz w:val="20"/>
                <w:szCs w:val="20"/>
                <w:color w:val="auto"/>
              </w:rPr>
            </w:pPr>
            <w:r>
              <w:rPr>
                <w:rFonts w:ascii="Arial" w:cs="Arial" w:eastAsia="Arial" w:hAnsi="Arial"/>
                <w:sz w:val="14"/>
                <w:szCs w:val="14"/>
                <w:i w:val="1"/>
                <w:iCs w:val="1"/>
                <w:color w:val="auto"/>
                <w:w w:val="95"/>
              </w:rPr>
              <w:t>(Unaudited)</w:t>
            </w:r>
          </w:p>
        </w:tc>
        <w:tc>
          <w:tcPr>
            <w:tcW w:w="440" w:type="dxa"/>
            <w:vAlign w:val="bottom"/>
            <w:tcBorders>
              <w:top w:val="single" w:sz="8" w:color="auto"/>
            </w:tcBorders>
          </w:tcPr>
          <w:p>
            <w:pPr>
              <w:spacing w:after="0"/>
              <w:rPr>
                <w:sz w:val="12"/>
                <w:szCs w:val="12"/>
                <w:color w:val="auto"/>
              </w:rPr>
            </w:pPr>
          </w:p>
        </w:tc>
        <w:tc>
          <w:tcPr>
            <w:tcW w:w="60" w:type="dxa"/>
            <w:vAlign w:val="bottom"/>
          </w:tcPr>
          <w:p>
            <w:pPr>
              <w:spacing w:after="0"/>
              <w:rPr>
                <w:sz w:val="12"/>
                <w:szCs w:val="12"/>
                <w:color w:val="auto"/>
              </w:rPr>
            </w:pPr>
          </w:p>
        </w:tc>
      </w:tr>
      <w:tr>
        <w:trPr>
          <w:trHeight w:val="216"/>
        </w:trPr>
        <w:tc>
          <w:tcPr>
            <w:tcW w:w="6640" w:type="dxa"/>
            <w:vAlign w:val="bottom"/>
            <w:shd w:val="clear" w:color="auto" w:fill="CCEEFF"/>
          </w:tcPr>
          <w:p>
            <w:pPr>
              <w:spacing w:after="0"/>
              <w:rPr>
                <w:sz w:val="20"/>
                <w:szCs w:val="20"/>
                <w:color w:val="auto"/>
              </w:rPr>
            </w:pPr>
            <w:r>
              <w:rPr>
                <w:rFonts w:ascii="Arial" w:cs="Arial" w:eastAsia="Arial" w:hAnsi="Arial"/>
                <w:sz w:val="18"/>
                <w:szCs w:val="18"/>
                <w:color w:val="auto"/>
              </w:rPr>
              <w:t>Intrinsic value of options exercised</w:t>
            </w:r>
          </w:p>
        </w:tc>
        <w:tc>
          <w:tcPr>
            <w:tcW w:w="1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7.4</w:t>
            </w:r>
          </w:p>
        </w:tc>
        <w:tc>
          <w:tcPr>
            <w:tcW w:w="60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6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1.0</w:t>
            </w:r>
          </w:p>
        </w:tc>
      </w:tr>
      <w:tr>
        <w:trPr>
          <w:trHeight w:val="230"/>
        </w:trPr>
        <w:tc>
          <w:tcPr>
            <w:tcW w:w="6640" w:type="dxa"/>
            <w:vAlign w:val="bottom"/>
          </w:tcPr>
          <w:p>
            <w:pPr>
              <w:spacing w:after="0"/>
              <w:rPr>
                <w:sz w:val="20"/>
                <w:szCs w:val="20"/>
                <w:color w:val="auto"/>
              </w:rPr>
            </w:pPr>
            <w:r>
              <w:rPr>
                <w:rFonts w:ascii="Arial" w:cs="Arial" w:eastAsia="Arial" w:hAnsi="Arial"/>
                <w:sz w:val="18"/>
                <w:szCs w:val="18"/>
                <w:color w:val="auto"/>
              </w:rPr>
              <w:t>Weighted average grant date fair value per share of stock options granted</w:t>
            </w:r>
            <w:r>
              <w:rPr>
                <w:rFonts w:ascii="Arial" w:cs="Arial" w:eastAsia="Arial" w:hAnsi="Arial"/>
                <w:sz w:val="15"/>
                <w:szCs w:val="15"/>
                <w:color w:val="auto"/>
              </w:rPr>
              <w:t>(1)</w:t>
            </w:r>
          </w:p>
        </w:tc>
        <w:tc>
          <w:tcPr>
            <w:tcW w:w="1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60" w:type="dxa"/>
            <w:vAlign w:val="bottom"/>
            <w:gridSpan w:val="2"/>
          </w:tcPr>
          <w:p>
            <w:pPr>
              <w:jc w:val="right"/>
              <w:ind w:right="240"/>
              <w:spacing w:after="0"/>
              <w:rPr>
                <w:sz w:val="20"/>
                <w:szCs w:val="20"/>
                <w:color w:val="auto"/>
              </w:rPr>
            </w:pPr>
            <w:r>
              <w:rPr>
                <w:rFonts w:ascii="Arial" w:cs="Arial" w:eastAsia="Arial" w:hAnsi="Arial"/>
                <w:sz w:val="18"/>
                <w:szCs w:val="18"/>
                <w:color w:val="auto"/>
                <w:w w:val="85"/>
              </w:rPr>
              <w:t>8.18</w:t>
            </w:r>
          </w:p>
        </w:tc>
        <w:tc>
          <w:tcPr>
            <w:tcW w:w="600" w:type="dxa"/>
            <w:vAlign w:val="bottom"/>
            <w:gridSpan w:val="2"/>
          </w:tcPr>
          <w:p>
            <w:pPr>
              <w:ind w:left="240"/>
              <w:spacing w:after="0"/>
              <w:rPr>
                <w:sz w:val="20"/>
                <w:szCs w:val="20"/>
                <w:color w:val="auto"/>
              </w:rPr>
            </w:pPr>
            <w:r>
              <w:rPr>
                <w:rFonts w:ascii="Arial" w:cs="Arial" w:eastAsia="Arial" w:hAnsi="Arial"/>
                <w:sz w:val="18"/>
                <w:szCs w:val="18"/>
                <w:color w:val="auto"/>
              </w:rPr>
              <w:t>$—</w:t>
            </w:r>
          </w:p>
        </w:tc>
        <w:tc>
          <w:tcPr>
            <w:tcW w:w="60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640" w:type="dxa"/>
            <w:vAlign w:val="bottom"/>
          </w:tcPr>
          <w:p>
            <w:pPr>
              <w:ind w:left="180"/>
              <w:spacing w:after="0"/>
              <w:rPr>
                <w:sz w:val="20"/>
                <w:szCs w:val="20"/>
                <w:color w:val="auto"/>
              </w:rPr>
            </w:pPr>
            <w:r>
              <w:rPr>
                <w:rFonts w:ascii="Arial" w:cs="Arial" w:eastAsia="Arial" w:hAnsi="Arial"/>
                <w:sz w:val="18"/>
                <w:szCs w:val="18"/>
                <w:color w:val="auto"/>
              </w:rPr>
              <w:t>—</w:t>
            </w:r>
          </w:p>
        </w:tc>
        <w:tc>
          <w:tcPr>
            <w:tcW w:w="420" w:type="dxa"/>
            <w:vAlign w:val="bottom"/>
          </w:tcPr>
          <w:p>
            <w:pPr>
              <w:jc w:val="right"/>
              <w:spacing w:after="0"/>
              <w:rPr>
                <w:sz w:val="20"/>
                <w:szCs w:val="20"/>
                <w:color w:val="auto"/>
              </w:rPr>
            </w:pPr>
            <w:r>
              <w:rPr>
                <w:rFonts w:ascii="Arial" w:cs="Arial" w:eastAsia="Arial" w:hAnsi="Arial"/>
                <w:sz w:val="18"/>
                <w:szCs w:val="18"/>
                <w:color w:val="auto"/>
              </w:rPr>
              <w:t>$</w:t>
            </w:r>
          </w:p>
        </w:tc>
        <w:tc>
          <w:tcPr>
            <w:tcW w:w="5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r>
    </w:tbl>
    <w:p>
      <w:pPr>
        <w:spacing w:after="0" w:line="214" w:lineRule="exact"/>
        <w:rPr>
          <w:sz w:val="20"/>
          <w:szCs w:val="20"/>
          <w:color w:val="auto"/>
        </w:rPr>
      </w:pPr>
    </w:p>
    <w:p>
      <w:pPr>
        <w:jc w:val="both"/>
        <w:ind w:left="460" w:right="200" w:hanging="452"/>
        <w:spacing w:after="0" w:line="342" w:lineRule="auto"/>
        <w:tabs>
          <w:tab w:leader="none" w:pos="460" w:val="left"/>
        </w:tabs>
        <w:numPr>
          <w:ilvl w:val="0"/>
          <w:numId w:val="107"/>
        </w:numPr>
        <w:rPr>
          <w:rFonts w:ascii="Arial" w:cs="Arial" w:eastAsia="Arial" w:hAnsi="Arial"/>
          <w:sz w:val="13"/>
          <w:szCs w:val="13"/>
          <w:color w:val="auto"/>
        </w:rPr>
      </w:pPr>
      <w:r>
        <w:rPr>
          <w:rFonts w:ascii="Arial" w:cs="Arial" w:eastAsia="Arial" w:hAnsi="Arial"/>
          <w:sz w:val="16"/>
          <w:szCs w:val="16"/>
          <w:color w:val="auto"/>
        </w:rPr>
        <w:t>The weighted average grant date fair value per share of stock options granted is calculated, as of the stock option grant date, using the BSM option pricing model. The Company did not grant stock options during the year ended December 31, 2016, or the nine months ended September 30, 2017.</w:t>
      </w:r>
    </w:p>
    <w:p>
      <w:pPr>
        <w:spacing w:after="0" w:line="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F-27</w:t>
      </w:r>
    </w:p>
    <w:p>
      <w:pPr>
        <w:sectPr>
          <w:pgSz w:w="11900" w:h="16838" w:orient="portrait"/>
          <w:cols w:equalWidth="0" w:num="1">
            <w:col w:w="11240"/>
          </w:cols>
          <w:pgMar w:left="320" w:top="459" w:right="339" w:bottom="1440" w:gutter="0" w:footer="0" w:header="0"/>
        </w:sectPr>
      </w:pPr>
    </w:p>
    <w:bookmarkStart w:id="186" w:name="page187"/>
    <w:bookmarkEnd w:id="18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right="40" w:firstLine="449"/>
        <w:spacing w:after="0" w:line="286" w:lineRule="auto"/>
        <w:rPr>
          <w:sz w:val="20"/>
          <w:szCs w:val="20"/>
          <w:color w:val="auto"/>
        </w:rPr>
      </w:pPr>
      <w:r>
        <w:rPr>
          <w:rFonts w:ascii="Arial" w:cs="Arial" w:eastAsia="Arial" w:hAnsi="Arial"/>
          <w:sz w:val="17"/>
          <w:szCs w:val="17"/>
          <w:color w:val="auto"/>
        </w:rPr>
        <w:t>As of December 31, 2016, and September 30, 2017, unamortized stock-based compensation expense related to unvested stock options, restricted stock awards and one-tier RSUs was $239.2 million and $412.9 million, respectively. The weighted-average period over which such compensation expense will be recognized is approximately 2.6 and 2.8 years, as of December 31, 2016, and September 30, 2017, respectively.</w:t>
      </w:r>
    </w:p>
    <w:p>
      <w:pPr>
        <w:spacing w:after="0" w:line="165" w:lineRule="exact"/>
        <w:rPr>
          <w:sz w:val="20"/>
          <w:szCs w:val="20"/>
          <w:color w:val="auto"/>
        </w:rPr>
      </w:pPr>
    </w:p>
    <w:p>
      <w:pPr>
        <w:ind w:right="40" w:firstLine="449"/>
        <w:spacing w:after="0" w:line="290" w:lineRule="auto"/>
        <w:rPr>
          <w:sz w:val="20"/>
          <w:szCs w:val="20"/>
          <w:color w:val="auto"/>
        </w:rPr>
      </w:pPr>
      <w:r>
        <w:rPr>
          <w:rFonts w:ascii="Arial" w:cs="Arial" w:eastAsia="Arial" w:hAnsi="Arial"/>
          <w:sz w:val="16"/>
          <w:szCs w:val="16"/>
          <w:color w:val="auto"/>
        </w:rPr>
        <w:t>As of December 31, 2016, and September 30, 2017, all compensation expense related to the Company’s two-tier RSUs remained unrecognized because the Performance Vesting Condition was not satisfied. Approximately 34.2 million and 38.2 million two-tier RSUs had met their service-based vesting condition as of December 31, 2016, and September 30, 2017, but not the Performance Vesting Condition. If the Performance Vesting Condition had been satisfied on December 31, 2016, or September 30, 2017, the Company would have recorded $401.0 million and $415.4 million of stock-based compensation expense using the accelerated attribution method related to the two-tier RSUs, respectively. As of December 31, 2016, and September 30, 2017, approximately 9.6 million and 4.3 million two-tier RSUs had not met their service-based vesting condition, respectively. If the Performance Vesting Condition had been satisfied on these two-tier RSUs as of December 31, 2016, or September 30, 2017, unamortized stock-based compensation expense of $33.8 million and $9.4 million would be recognized over a weighted-average period of approximately 1.3 years and 0.9 years, respectively.</w:t>
      </w:r>
    </w:p>
    <w:p>
      <w:pPr>
        <w:spacing w:after="0" w:line="273"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Award modifications</w:t>
      </w:r>
    </w:p>
    <w:p>
      <w:pPr>
        <w:spacing w:after="0" w:line="117" w:lineRule="exact"/>
        <w:rPr>
          <w:sz w:val="20"/>
          <w:szCs w:val="20"/>
          <w:color w:val="auto"/>
        </w:rPr>
      </w:pPr>
    </w:p>
    <w:p>
      <w:pPr>
        <w:ind w:right="80" w:firstLine="449"/>
        <w:spacing w:after="0" w:line="275" w:lineRule="auto"/>
        <w:rPr>
          <w:sz w:val="20"/>
          <w:szCs w:val="20"/>
          <w:color w:val="auto"/>
        </w:rPr>
      </w:pPr>
      <w:r>
        <w:rPr>
          <w:rFonts w:ascii="Arial" w:cs="Arial" w:eastAsia="Arial" w:hAnsi="Arial"/>
          <w:sz w:val="17"/>
          <w:szCs w:val="17"/>
          <w:color w:val="auto"/>
        </w:rPr>
        <w:t>During the nine months ended September 30, 2017, the Company’s Board of Directors voted to approve a modification of vesting schedules for certain unvested one-tier and two-tier RSUs to align the vesting schedules for all RSUs to vest once per quarter. As a result of this modification, the Company’s unamortized stock-based compensation expense related to one-tier RSUs increased by $3.2 million, which will be recognized over a weighted-average period of 2.8 years if and when the awards vest. The total unamortized stock-based compensation expense related to two-tier RSUs decreased by $9.5 million. The unamortized amount will be recognized over a period of 0.9 years if and when the awards vest.</w:t>
      </w:r>
    </w:p>
    <w:p>
      <w:pPr>
        <w:spacing w:after="0" w:line="176" w:lineRule="exact"/>
        <w:rPr>
          <w:sz w:val="20"/>
          <w:szCs w:val="20"/>
          <w:color w:val="auto"/>
        </w:rPr>
      </w:pPr>
    </w:p>
    <w:p>
      <w:pPr>
        <w:ind w:firstLine="449"/>
        <w:spacing w:after="0" w:line="254" w:lineRule="auto"/>
        <w:rPr>
          <w:sz w:val="20"/>
          <w:szCs w:val="20"/>
          <w:color w:val="auto"/>
        </w:rPr>
      </w:pPr>
      <w:r>
        <w:rPr>
          <w:rFonts w:ascii="Arial" w:cs="Arial" w:eastAsia="Arial" w:hAnsi="Arial"/>
          <w:sz w:val="18"/>
          <w:szCs w:val="18"/>
          <w:color w:val="auto"/>
        </w:rPr>
        <w:t>During the year ended December 31, 2016, the Company’s Board of Directors voted to approve the exchange of stock options previously granted to an executive officer under the Plan for one-tier RSUs. In total, options to purchase 6.5 million shares of common stock were exchanged for 3.3 million RSUs. Total compensation expense for the modified awards is $37.7 million, of which $18.8 million in stock-based compensation expense was recognized on the date of exchange representing the portion that vested immediately. Out of the total $37.7 million in stock-based compensation expense, $8.9 million was incremental to what would have been recognized related to the original stock option award. The Company will recognize approximately $2.4 million in stock-based compensation expense per quarter related to these awards. As of September 30, 2017, the total unamortized expense relating to these awards was $4.7 million.</w:t>
      </w:r>
    </w:p>
    <w:p>
      <w:pPr>
        <w:spacing w:after="0" w:line="195" w:lineRule="exact"/>
        <w:rPr>
          <w:sz w:val="20"/>
          <w:szCs w:val="20"/>
          <w:color w:val="auto"/>
        </w:rPr>
      </w:pPr>
    </w:p>
    <w:p>
      <w:pPr>
        <w:ind w:right="20" w:firstLine="449"/>
        <w:spacing w:after="0" w:line="255" w:lineRule="auto"/>
        <w:rPr>
          <w:sz w:val="20"/>
          <w:szCs w:val="20"/>
          <w:color w:val="auto"/>
        </w:rPr>
      </w:pPr>
      <w:r>
        <w:rPr>
          <w:rFonts w:ascii="Arial" w:cs="Arial" w:eastAsia="Arial" w:hAnsi="Arial"/>
          <w:sz w:val="18"/>
          <w:szCs w:val="18"/>
          <w:color w:val="auto"/>
        </w:rPr>
        <w:t>During 2016, the Board of Directors voted to approve a continuation of vesting upon change in employment status clause for an executive officer who had previously provided services to the Company. Under this clause, 0.6 million RSUs previously granted to the former executive officer will continue to vest for a pre-determined period of time. The continuation of vesting was accounted for as a modification of the terms of the original award. As a result, the Company recognized an incremental $4.2 million of stock-based compensation expense. An additional $1.5 million of stock-based compensation expense may be recognized in future periods for the former executive officers’ two-tier RSUs if the initial qualifying liquidity event defined under the award agreement occurs.</w:t>
      </w:r>
    </w:p>
    <w:p>
      <w:pPr>
        <w:spacing w:after="0" w:line="1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F-28</w:t>
      </w:r>
    </w:p>
    <w:p>
      <w:pPr>
        <w:sectPr>
          <w:pgSz w:w="11900" w:h="16838" w:orient="portrait"/>
          <w:cols w:equalWidth="0" w:num="1">
            <w:col w:w="11240"/>
          </w:cols>
          <w:pgMar w:left="320" w:top="459" w:right="339" w:bottom="1440" w:gutter="0" w:footer="0" w:header="0"/>
        </w:sectPr>
      </w:pPr>
    </w:p>
    <w:bookmarkStart w:id="187" w:name="page188"/>
    <w:bookmarkEnd w:id="18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12. Net Loss Per Share</w:t>
      </w:r>
    </w:p>
    <w:p>
      <w:pPr>
        <w:spacing w:after="0" w:line="121" w:lineRule="exact"/>
        <w:rPr>
          <w:sz w:val="20"/>
          <w:szCs w:val="20"/>
          <w:color w:val="auto"/>
        </w:rPr>
      </w:pPr>
    </w:p>
    <w:p>
      <w:pPr>
        <w:ind w:right="780" w:firstLine="449"/>
        <w:spacing w:after="0" w:line="277" w:lineRule="auto"/>
        <w:rPr>
          <w:sz w:val="20"/>
          <w:szCs w:val="20"/>
          <w:color w:val="auto"/>
        </w:rPr>
      </w:pPr>
      <w:r>
        <w:rPr>
          <w:rFonts w:ascii="Arial" w:cs="Arial" w:eastAsia="Arial" w:hAnsi="Arial"/>
          <w:sz w:val="18"/>
          <w:szCs w:val="18"/>
          <w:color w:val="auto"/>
        </w:rPr>
        <w:t>The following table sets forth the calculation of basic and diluted net loss per share attributable to common stockholders during the periods presented:</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76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2140" w:type="dxa"/>
            <w:vAlign w:val="bottom"/>
            <w:tcBorders>
              <w:bottom w:val="single" w:sz="8" w:color="auto"/>
            </w:tcBorders>
            <w:gridSpan w:val="9"/>
          </w:tcPr>
          <w:p>
            <w:pPr>
              <w:jc w:val="right"/>
              <w:ind w:right="320"/>
              <w:spacing w:after="0"/>
              <w:rPr>
                <w:sz w:val="20"/>
                <w:szCs w:val="20"/>
                <w:color w:val="auto"/>
              </w:rPr>
            </w:pPr>
            <w:r>
              <w:rPr>
                <w:rFonts w:ascii="Arial" w:cs="Arial" w:eastAsia="Arial" w:hAnsi="Arial"/>
                <w:sz w:val="14"/>
                <w:szCs w:val="14"/>
                <w:b w:val="1"/>
                <w:bCs w:val="1"/>
                <w:color w:val="auto"/>
              </w:rPr>
              <w:t>Year ended December 31,</w:t>
            </w:r>
          </w:p>
        </w:tc>
        <w:tc>
          <w:tcPr>
            <w:tcW w:w="8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42"/>
        </w:trPr>
        <w:tc>
          <w:tcPr>
            <w:tcW w:w="76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gridSpan w:val="4"/>
          </w:tcPr>
          <w:p>
            <w:pPr>
              <w:ind w:left="400"/>
              <w:spacing w:after="0" w:line="142" w:lineRule="exact"/>
              <w:rPr>
                <w:sz w:val="20"/>
                <w:szCs w:val="20"/>
                <w:color w:val="auto"/>
              </w:rPr>
            </w:pPr>
            <w:r>
              <w:rPr>
                <w:rFonts w:ascii="Arial" w:cs="Arial" w:eastAsia="Arial" w:hAnsi="Arial"/>
                <w:sz w:val="14"/>
                <w:szCs w:val="14"/>
                <w:b w:val="1"/>
                <w:bCs w:val="1"/>
                <w:color w:val="auto"/>
                <w:w w:val="89"/>
              </w:rPr>
              <w:t>2015</w:t>
            </w:r>
          </w:p>
        </w:tc>
        <w:tc>
          <w:tcPr>
            <w:tcW w:w="8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36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gridSpan w:val="4"/>
          </w:tcPr>
          <w:p>
            <w:pPr>
              <w:jc w:val="right"/>
              <w:ind w:right="20"/>
              <w:spacing w:after="0" w:line="142" w:lineRule="exact"/>
              <w:rPr>
                <w:sz w:val="20"/>
                <w:szCs w:val="20"/>
                <w:color w:val="auto"/>
              </w:rPr>
            </w:pPr>
            <w:r>
              <w:rPr>
                <w:rFonts w:ascii="Arial" w:cs="Arial" w:eastAsia="Arial" w:hAnsi="Arial"/>
                <w:sz w:val="14"/>
                <w:szCs w:val="14"/>
                <w:b w:val="1"/>
                <w:bCs w:val="1"/>
                <w:color w:val="auto"/>
              </w:rPr>
              <w:t>2016</w:t>
            </w:r>
          </w:p>
        </w:tc>
        <w:tc>
          <w:tcPr>
            <w:tcW w:w="8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r>
      <w:tr>
        <w:trPr>
          <w:trHeight w:val="142"/>
        </w:trPr>
        <w:tc>
          <w:tcPr>
            <w:tcW w:w="76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2880" w:type="dxa"/>
            <w:vAlign w:val="bottom"/>
            <w:tcBorders>
              <w:bottom w:val="single" w:sz="8" w:color="auto"/>
            </w:tcBorders>
            <w:gridSpan w:val="13"/>
          </w:tcPr>
          <w:p>
            <w:pPr>
              <w:jc w:val="right"/>
              <w:ind w:right="468"/>
              <w:spacing w:after="0" w:line="142" w:lineRule="exact"/>
              <w:rPr>
                <w:sz w:val="20"/>
                <w:szCs w:val="20"/>
                <w:color w:val="auto"/>
              </w:rPr>
            </w:pPr>
            <w:r>
              <w:rPr>
                <w:rFonts w:ascii="Arial" w:cs="Arial" w:eastAsia="Arial" w:hAnsi="Arial"/>
                <w:sz w:val="14"/>
                <w:szCs w:val="14"/>
                <w:i w:val="1"/>
                <w:iCs w:val="1"/>
                <w:color w:val="auto"/>
                <w:w w:val="96"/>
              </w:rPr>
              <w:t>(In millions, except per share amounts)</w:t>
            </w:r>
          </w:p>
        </w:tc>
        <w:tc>
          <w:tcPr>
            <w:tcW w:w="100" w:type="dxa"/>
            <w:vAlign w:val="bottom"/>
          </w:tcPr>
          <w:p>
            <w:pPr>
              <w:spacing w:after="0"/>
              <w:rPr>
                <w:sz w:val="12"/>
                <w:szCs w:val="12"/>
                <w:color w:val="auto"/>
              </w:rPr>
            </w:pPr>
          </w:p>
        </w:tc>
      </w:tr>
      <w:tr>
        <w:trPr>
          <w:trHeight w:val="142"/>
        </w:trPr>
        <w:tc>
          <w:tcPr>
            <w:tcW w:w="76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20" w:type="dxa"/>
            <w:vAlign w:val="bottom"/>
            <w:gridSpan w:val="5"/>
          </w:tcPr>
          <w:p>
            <w:pPr>
              <w:ind w:left="20"/>
              <w:spacing w:after="0" w:line="142" w:lineRule="exact"/>
              <w:rPr>
                <w:sz w:val="20"/>
                <w:szCs w:val="20"/>
                <w:color w:val="auto"/>
              </w:rPr>
            </w:pPr>
            <w:r>
              <w:rPr>
                <w:rFonts w:ascii="Arial" w:cs="Arial" w:eastAsia="Arial" w:hAnsi="Arial"/>
                <w:sz w:val="14"/>
                <w:szCs w:val="14"/>
                <w:color w:val="auto"/>
              </w:rPr>
              <w:t>Class A</w:t>
            </w:r>
          </w:p>
        </w:tc>
        <w:tc>
          <w:tcPr>
            <w:tcW w:w="260" w:type="dxa"/>
            <w:vAlign w:val="bottom"/>
          </w:tcPr>
          <w:p>
            <w:pPr>
              <w:spacing w:after="0"/>
              <w:rPr>
                <w:sz w:val="12"/>
                <w:szCs w:val="12"/>
                <w:color w:val="auto"/>
              </w:rPr>
            </w:pPr>
          </w:p>
        </w:tc>
        <w:tc>
          <w:tcPr>
            <w:tcW w:w="1000" w:type="dxa"/>
            <w:vAlign w:val="bottom"/>
            <w:gridSpan w:val="4"/>
          </w:tcPr>
          <w:p>
            <w:pPr>
              <w:jc w:val="right"/>
              <w:ind w:right="480"/>
              <w:spacing w:after="0" w:line="142" w:lineRule="exact"/>
              <w:rPr>
                <w:sz w:val="20"/>
                <w:szCs w:val="20"/>
                <w:color w:val="auto"/>
              </w:rPr>
            </w:pPr>
            <w:r>
              <w:rPr>
                <w:rFonts w:ascii="Arial" w:cs="Arial" w:eastAsia="Arial" w:hAnsi="Arial"/>
                <w:sz w:val="14"/>
                <w:szCs w:val="14"/>
                <w:color w:val="auto"/>
              </w:rPr>
              <w:t>Class B</w:t>
            </w:r>
          </w:p>
        </w:tc>
        <w:tc>
          <w:tcPr>
            <w:tcW w:w="880" w:type="dxa"/>
            <w:vAlign w:val="bottom"/>
            <w:gridSpan w:val="4"/>
          </w:tcPr>
          <w:p>
            <w:pPr>
              <w:jc w:val="right"/>
              <w:ind w:right="420"/>
              <w:spacing w:after="0" w:line="142" w:lineRule="exact"/>
              <w:rPr>
                <w:sz w:val="20"/>
                <w:szCs w:val="20"/>
                <w:color w:val="auto"/>
              </w:rPr>
            </w:pPr>
            <w:r>
              <w:rPr>
                <w:rFonts w:ascii="Arial" w:cs="Arial" w:eastAsia="Arial" w:hAnsi="Arial"/>
                <w:sz w:val="14"/>
                <w:szCs w:val="14"/>
                <w:color w:val="auto"/>
                <w:w w:val="91"/>
              </w:rPr>
              <w:t>Class A</w:t>
            </w:r>
          </w:p>
        </w:tc>
        <w:tc>
          <w:tcPr>
            <w:tcW w:w="580" w:type="dxa"/>
            <w:vAlign w:val="bottom"/>
            <w:gridSpan w:val="2"/>
          </w:tcPr>
          <w:p>
            <w:pPr>
              <w:jc w:val="right"/>
              <w:spacing w:after="0" w:line="142" w:lineRule="exact"/>
              <w:rPr>
                <w:sz w:val="20"/>
                <w:szCs w:val="20"/>
                <w:color w:val="auto"/>
              </w:rPr>
            </w:pPr>
            <w:r>
              <w:rPr>
                <w:rFonts w:ascii="Arial" w:cs="Arial" w:eastAsia="Arial" w:hAnsi="Arial"/>
                <w:sz w:val="14"/>
                <w:szCs w:val="14"/>
                <w:color w:val="auto"/>
              </w:rPr>
              <w:t>Class B</w:t>
            </w:r>
          </w:p>
        </w:tc>
        <w:tc>
          <w:tcPr>
            <w:tcW w:w="100" w:type="dxa"/>
            <w:vAlign w:val="bottom"/>
          </w:tcPr>
          <w:p>
            <w:pPr>
              <w:spacing w:after="0"/>
              <w:rPr>
                <w:sz w:val="12"/>
                <w:szCs w:val="12"/>
                <w:color w:val="auto"/>
              </w:rPr>
            </w:pPr>
          </w:p>
        </w:tc>
      </w:tr>
      <w:tr>
        <w:trPr>
          <w:trHeight w:val="196"/>
        </w:trPr>
        <w:tc>
          <w:tcPr>
            <w:tcW w:w="760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Numerator:</w:t>
            </w:r>
          </w:p>
        </w:tc>
        <w:tc>
          <w:tcPr>
            <w:tcW w:w="200" w:type="dxa"/>
            <w:vAlign w:val="bottom"/>
            <w:tcBorders>
              <w:top w:val="single" w:sz="8" w:color="CCEEFF"/>
            </w:tcBorders>
            <w:shd w:val="clear" w:color="auto" w:fill="CCEEFF"/>
          </w:tcPr>
          <w:p>
            <w:pPr>
              <w:spacing w:after="0"/>
              <w:rPr>
                <w:sz w:val="17"/>
                <w:szCs w:val="17"/>
                <w:color w:val="auto"/>
              </w:rPr>
            </w:pPr>
          </w:p>
        </w:tc>
        <w:tc>
          <w:tcPr>
            <w:tcW w:w="6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28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500" w:type="dxa"/>
            <w:vAlign w:val="bottom"/>
            <w:tcBorders>
              <w:top w:val="single" w:sz="8" w:color="auto"/>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360" w:type="dxa"/>
            <w:vAlign w:val="bottom"/>
            <w:tcBorders>
              <w:top w:val="single" w:sz="8" w:color="CCEEFF"/>
            </w:tcBorders>
            <w:shd w:val="clear" w:color="auto" w:fill="CCEEFF"/>
          </w:tcPr>
          <w:p>
            <w:pPr>
              <w:spacing w:after="0"/>
              <w:rPr>
                <w:sz w:val="17"/>
                <w:szCs w:val="17"/>
                <w:color w:val="auto"/>
              </w:rPr>
            </w:pPr>
          </w:p>
        </w:tc>
        <w:tc>
          <w:tcPr>
            <w:tcW w:w="60" w:type="dxa"/>
            <w:vAlign w:val="bottom"/>
            <w:tcBorders>
              <w:top w:val="single" w:sz="8" w:color="auto"/>
            </w:tcBorders>
            <w:shd w:val="clear" w:color="auto" w:fill="CCEEFF"/>
          </w:tcPr>
          <w:p>
            <w:pPr>
              <w:spacing w:after="0"/>
              <w:rPr>
                <w:sz w:val="17"/>
                <w:szCs w:val="17"/>
                <w:color w:val="auto"/>
              </w:rPr>
            </w:pPr>
          </w:p>
        </w:tc>
        <w:tc>
          <w:tcPr>
            <w:tcW w:w="40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34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5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r>
      <w:tr>
        <w:trPr>
          <w:trHeight w:val="216"/>
        </w:trPr>
        <w:tc>
          <w:tcPr>
            <w:tcW w:w="7600" w:type="dxa"/>
            <w:vAlign w:val="bottom"/>
          </w:tcPr>
          <w:p>
            <w:pPr>
              <w:spacing w:after="0"/>
              <w:rPr>
                <w:sz w:val="20"/>
                <w:szCs w:val="20"/>
                <w:color w:val="auto"/>
              </w:rPr>
            </w:pPr>
            <w:r>
              <w:rPr>
                <w:rFonts w:ascii="Arial" w:cs="Arial" w:eastAsia="Arial" w:hAnsi="Arial"/>
                <w:sz w:val="18"/>
                <w:szCs w:val="18"/>
                <w:color w:val="auto"/>
              </w:rPr>
              <w:t>Net loss attributable to common stockholders</w:t>
            </w:r>
          </w:p>
        </w:tc>
        <w:tc>
          <w:tcPr>
            <w:tcW w:w="380" w:type="dxa"/>
            <w:vAlign w:val="bottom"/>
            <w:gridSpan w:val="3"/>
          </w:tcPr>
          <w:p>
            <w:pPr>
              <w:ind w:left="200"/>
              <w:spacing w:after="0"/>
              <w:rPr>
                <w:sz w:val="20"/>
                <w:szCs w:val="20"/>
                <w:color w:val="auto"/>
              </w:rPr>
            </w:pPr>
            <w:r>
              <w:rPr>
                <w:rFonts w:ascii="Arial" w:cs="Arial" w:eastAsia="Arial" w:hAnsi="Arial"/>
                <w:sz w:val="18"/>
                <w:szCs w:val="18"/>
                <w:color w:val="auto"/>
              </w:rPr>
              <w:t>$</w:t>
            </w:r>
          </w:p>
        </w:tc>
        <w:tc>
          <w:tcPr>
            <w:tcW w:w="360" w:type="dxa"/>
            <w:vAlign w:val="bottom"/>
            <w:gridSpan w:val="2"/>
          </w:tcPr>
          <w:p>
            <w:pPr>
              <w:jc w:val="right"/>
              <w:spacing w:after="0"/>
              <w:rPr>
                <w:sz w:val="20"/>
                <w:szCs w:val="20"/>
                <w:color w:val="auto"/>
              </w:rPr>
            </w:pPr>
            <w:r>
              <w:rPr>
                <w:rFonts w:ascii="Arial" w:cs="Arial" w:eastAsia="Arial" w:hAnsi="Arial"/>
                <w:sz w:val="18"/>
                <w:szCs w:val="18"/>
                <w:color w:val="auto"/>
                <w:w w:val="91"/>
              </w:rPr>
              <w:t>(9.7)</w:t>
            </w:r>
          </w:p>
        </w:tc>
        <w:tc>
          <w:tcPr>
            <w:tcW w:w="80" w:type="dxa"/>
            <w:vAlign w:val="bottom"/>
          </w:tcPr>
          <w:p>
            <w:pPr>
              <w:spacing w:after="0"/>
              <w:rPr>
                <w:sz w:val="18"/>
                <w:szCs w:val="18"/>
                <w:color w:val="auto"/>
              </w:rPr>
            </w:pPr>
          </w:p>
        </w:tc>
        <w:tc>
          <w:tcPr>
            <w:tcW w:w="900" w:type="dxa"/>
            <w:vAlign w:val="bottom"/>
            <w:gridSpan w:val="4"/>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(316.2)</w:t>
            </w:r>
          </w:p>
        </w:tc>
        <w:tc>
          <w:tcPr>
            <w:tcW w:w="360" w:type="dxa"/>
            <w:vAlign w:val="bottom"/>
          </w:tcPr>
          <w:p>
            <w:pPr>
              <w:spacing w:after="0"/>
              <w:rPr>
                <w:sz w:val="18"/>
                <w:szCs w:val="18"/>
                <w:color w:val="auto"/>
              </w:rPr>
            </w:pPr>
          </w:p>
        </w:tc>
        <w:tc>
          <w:tcPr>
            <w:tcW w:w="540" w:type="dxa"/>
            <w:vAlign w:val="bottom"/>
            <w:gridSpan w:val="3"/>
          </w:tcPr>
          <w:p>
            <w:pPr>
              <w:jc w:val="right"/>
              <w:ind w:right="20"/>
              <w:spacing w:after="0"/>
              <w:rPr>
                <w:sz w:val="20"/>
                <w:szCs w:val="20"/>
                <w:color w:val="auto"/>
              </w:rPr>
            </w:pPr>
            <w:r>
              <w:rPr>
                <w:rFonts w:ascii="Arial" w:cs="Arial" w:eastAsia="Arial" w:hAnsi="Arial"/>
                <w:sz w:val="18"/>
                <w:szCs w:val="18"/>
                <w:color w:val="auto"/>
                <w:w w:val="96"/>
              </w:rPr>
              <w:t>$ (6.1)</w:t>
            </w:r>
          </w:p>
        </w:tc>
        <w:tc>
          <w:tcPr>
            <w:tcW w:w="340" w:type="dxa"/>
            <w:vAlign w:val="bottom"/>
          </w:tcPr>
          <w:p>
            <w:pPr>
              <w:spacing w:after="0"/>
              <w:rPr>
                <w:sz w:val="18"/>
                <w:szCs w:val="18"/>
                <w:color w:val="auto"/>
              </w:rPr>
            </w:pPr>
          </w:p>
        </w:tc>
        <w:tc>
          <w:tcPr>
            <w:tcW w:w="680" w:type="dxa"/>
            <w:vAlign w:val="bottom"/>
            <w:gridSpan w:val="3"/>
          </w:tcPr>
          <w:p>
            <w:pPr>
              <w:jc w:val="right"/>
              <w:ind w:right="40"/>
              <w:spacing w:after="0"/>
              <w:rPr>
                <w:sz w:val="20"/>
                <w:szCs w:val="20"/>
                <w:color w:val="auto"/>
              </w:rPr>
            </w:pPr>
            <w:r>
              <w:rPr>
                <w:rFonts w:ascii="Arial" w:cs="Arial" w:eastAsia="Arial" w:hAnsi="Arial"/>
                <w:sz w:val="18"/>
                <w:szCs w:val="18"/>
                <w:u w:val="single" w:color="auto"/>
                <w:color w:val="auto"/>
                <w:w w:val="92"/>
              </w:rPr>
              <w:t>$</w:t>
            </w:r>
            <w:r>
              <w:rPr>
                <w:rFonts w:ascii="Arial" w:cs="Arial" w:eastAsia="Arial" w:hAnsi="Arial"/>
                <w:sz w:val="18"/>
                <w:szCs w:val="18"/>
                <w:color w:val="auto"/>
                <w:w w:val="92"/>
              </w:rPr>
              <w:t>(204.1)</w:t>
            </w:r>
          </w:p>
        </w:tc>
      </w:tr>
      <w:tr>
        <w:trPr>
          <w:trHeight w:val="20"/>
        </w:trPr>
        <w:tc>
          <w:tcPr>
            <w:tcW w:w="76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7600" w:type="dxa"/>
            <w:vAlign w:val="bottom"/>
            <w:shd w:val="clear" w:color="auto" w:fill="CCEEFF"/>
          </w:tcPr>
          <w:p>
            <w:pPr>
              <w:spacing w:after="0"/>
              <w:rPr>
                <w:sz w:val="20"/>
                <w:szCs w:val="20"/>
                <w:color w:val="auto"/>
              </w:rPr>
            </w:pPr>
            <w:r>
              <w:rPr>
                <w:rFonts w:ascii="Arial" w:cs="Arial" w:eastAsia="Arial" w:hAnsi="Arial"/>
                <w:sz w:val="18"/>
                <w:szCs w:val="18"/>
                <w:color w:val="auto"/>
              </w:rPr>
              <w:t>Denominator:</w:t>
            </w:r>
          </w:p>
        </w:tc>
        <w:tc>
          <w:tcPr>
            <w:tcW w:w="2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02"/>
        </w:trPr>
        <w:tc>
          <w:tcPr>
            <w:tcW w:w="7600" w:type="dxa"/>
            <w:vAlign w:val="bottom"/>
          </w:tcPr>
          <w:p>
            <w:pPr>
              <w:spacing w:after="0" w:line="201" w:lineRule="exact"/>
              <w:rPr>
                <w:sz w:val="20"/>
                <w:szCs w:val="20"/>
                <w:color w:val="auto"/>
              </w:rPr>
            </w:pPr>
            <w:r>
              <w:rPr>
                <w:rFonts w:ascii="Arial" w:cs="Arial" w:eastAsia="Arial" w:hAnsi="Arial"/>
                <w:sz w:val="18"/>
                <w:szCs w:val="18"/>
                <w:color w:val="auto"/>
                <w:w w:val="92"/>
              </w:rPr>
              <w:t>Weighted-average number of common shares outstanding used in computing basic and diluted net loss</w:t>
            </w:r>
          </w:p>
        </w:tc>
        <w:tc>
          <w:tcPr>
            <w:tcW w:w="2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0"/>
        </w:trPr>
        <w:tc>
          <w:tcPr>
            <w:tcW w:w="7600" w:type="dxa"/>
            <w:vAlign w:val="bottom"/>
          </w:tcPr>
          <w:p>
            <w:pPr>
              <w:ind w:left="180"/>
              <w:spacing w:after="0"/>
              <w:rPr>
                <w:sz w:val="20"/>
                <w:szCs w:val="20"/>
                <w:color w:val="auto"/>
              </w:rPr>
            </w:pPr>
            <w:r>
              <w:rPr>
                <w:rFonts w:ascii="Arial" w:cs="Arial" w:eastAsia="Arial" w:hAnsi="Arial"/>
                <w:sz w:val="18"/>
                <w:szCs w:val="18"/>
                <w:color w:val="auto"/>
              </w:rPr>
              <w:t>per common share</w:t>
            </w:r>
          </w:p>
        </w:tc>
        <w:tc>
          <w:tcPr>
            <w:tcW w:w="2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60" w:type="dxa"/>
            <w:vAlign w:val="bottom"/>
            <w:gridSpan w:val="2"/>
          </w:tcPr>
          <w:p>
            <w:pPr>
              <w:jc w:val="right"/>
              <w:spacing w:after="0"/>
              <w:rPr>
                <w:sz w:val="20"/>
                <w:szCs w:val="20"/>
                <w:color w:val="auto"/>
              </w:rPr>
            </w:pPr>
            <w:r>
              <w:rPr>
                <w:rFonts w:ascii="Arial" w:cs="Arial" w:eastAsia="Arial" w:hAnsi="Arial"/>
                <w:sz w:val="18"/>
                <w:szCs w:val="18"/>
                <w:color w:val="auto"/>
              </w:rPr>
              <w:t>8.2</w:t>
            </w:r>
          </w:p>
        </w:tc>
        <w:tc>
          <w:tcPr>
            <w:tcW w:w="80" w:type="dxa"/>
            <w:vAlign w:val="bottom"/>
          </w:tcPr>
          <w:p>
            <w:pPr>
              <w:spacing w:after="0"/>
              <w:rPr>
                <w:sz w:val="20"/>
                <w:szCs w:val="20"/>
                <w:color w:val="auto"/>
              </w:rPr>
            </w:pPr>
          </w:p>
        </w:tc>
        <w:tc>
          <w:tcPr>
            <w:tcW w:w="900" w:type="dxa"/>
            <w:vAlign w:val="bottom"/>
            <w:gridSpan w:val="4"/>
          </w:tcPr>
          <w:p>
            <w:pPr>
              <w:jc w:val="right"/>
              <w:ind w:right="60"/>
              <w:spacing w:after="0"/>
              <w:rPr>
                <w:sz w:val="20"/>
                <w:szCs w:val="20"/>
                <w:color w:val="auto"/>
              </w:rPr>
            </w:pPr>
            <w:r>
              <w:rPr>
                <w:rFonts w:ascii="Arial" w:cs="Arial" w:eastAsia="Arial" w:hAnsi="Arial"/>
                <w:sz w:val="18"/>
                <w:szCs w:val="18"/>
                <w:color w:val="auto"/>
              </w:rPr>
              <w:t>268.6</w:t>
            </w:r>
          </w:p>
        </w:tc>
        <w:tc>
          <w:tcPr>
            <w:tcW w:w="360" w:type="dxa"/>
            <w:vAlign w:val="bottom"/>
          </w:tcPr>
          <w:p>
            <w:pPr>
              <w:spacing w:after="0"/>
              <w:rPr>
                <w:sz w:val="20"/>
                <w:szCs w:val="20"/>
                <w:color w:val="auto"/>
              </w:rPr>
            </w:pPr>
          </w:p>
        </w:tc>
        <w:tc>
          <w:tcPr>
            <w:tcW w:w="540" w:type="dxa"/>
            <w:vAlign w:val="bottom"/>
            <w:gridSpan w:val="3"/>
          </w:tcPr>
          <w:p>
            <w:pPr>
              <w:jc w:val="right"/>
              <w:ind w:right="80"/>
              <w:spacing w:after="0"/>
              <w:rPr>
                <w:sz w:val="20"/>
                <w:szCs w:val="20"/>
                <w:color w:val="auto"/>
              </w:rPr>
            </w:pPr>
            <w:r>
              <w:rPr>
                <w:rFonts w:ascii="Arial" w:cs="Arial" w:eastAsia="Arial" w:hAnsi="Arial"/>
                <w:sz w:val="18"/>
                <w:szCs w:val="18"/>
                <w:color w:val="auto"/>
              </w:rPr>
              <w:t>8.3</w:t>
            </w:r>
          </w:p>
        </w:tc>
        <w:tc>
          <w:tcPr>
            <w:tcW w:w="340" w:type="dxa"/>
            <w:vAlign w:val="bottom"/>
          </w:tcPr>
          <w:p>
            <w:pPr>
              <w:spacing w:after="0"/>
              <w:rPr>
                <w:sz w:val="20"/>
                <w:szCs w:val="20"/>
                <w:color w:val="auto"/>
              </w:rPr>
            </w:pPr>
          </w:p>
        </w:tc>
        <w:tc>
          <w:tcPr>
            <w:tcW w:w="680" w:type="dxa"/>
            <w:vAlign w:val="bottom"/>
            <w:gridSpan w:val="3"/>
          </w:tcPr>
          <w:p>
            <w:pPr>
              <w:jc w:val="right"/>
              <w:ind w:right="100"/>
              <w:spacing w:after="0"/>
              <w:rPr>
                <w:sz w:val="20"/>
                <w:szCs w:val="20"/>
                <w:color w:val="auto"/>
              </w:rPr>
            </w:pPr>
            <w:r>
              <w:rPr>
                <w:rFonts w:ascii="Arial" w:cs="Arial" w:eastAsia="Arial" w:hAnsi="Arial"/>
                <w:sz w:val="18"/>
                <w:szCs w:val="18"/>
                <w:color w:val="auto"/>
              </w:rPr>
              <w:t>275.4</w:t>
            </w:r>
          </w:p>
        </w:tc>
      </w:tr>
      <w:tr>
        <w:trPr>
          <w:trHeight w:val="20"/>
        </w:trPr>
        <w:tc>
          <w:tcPr>
            <w:tcW w:w="76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7600" w:type="dxa"/>
            <w:vAlign w:val="bottom"/>
            <w:shd w:val="clear" w:color="auto" w:fill="CCEEFF"/>
          </w:tcPr>
          <w:p>
            <w:pPr>
              <w:spacing w:after="0"/>
              <w:rPr>
                <w:sz w:val="20"/>
                <w:szCs w:val="20"/>
                <w:color w:val="auto"/>
              </w:rPr>
            </w:pPr>
            <w:r>
              <w:rPr>
                <w:rFonts w:ascii="Arial" w:cs="Arial" w:eastAsia="Arial" w:hAnsi="Arial"/>
                <w:sz w:val="18"/>
                <w:szCs w:val="18"/>
                <w:color w:val="auto"/>
              </w:rPr>
              <w:t>Net loss per common share, basic and diluted</w:t>
            </w:r>
          </w:p>
        </w:tc>
        <w:tc>
          <w:tcPr>
            <w:tcW w:w="740" w:type="dxa"/>
            <w:vAlign w:val="bottom"/>
            <w:gridSpan w:val="5"/>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(1.18)</w:t>
            </w:r>
          </w:p>
        </w:tc>
        <w:tc>
          <w:tcPr>
            <w:tcW w:w="80" w:type="dxa"/>
            <w:vAlign w:val="bottom"/>
            <w:shd w:val="clear" w:color="auto" w:fill="CCEEFF"/>
          </w:tcPr>
          <w:p>
            <w:pPr>
              <w:spacing w:after="0"/>
              <w:rPr>
                <w:sz w:val="18"/>
                <w:szCs w:val="18"/>
                <w:color w:val="auto"/>
              </w:rPr>
            </w:pPr>
          </w:p>
        </w:tc>
        <w:tc>
          <w:tcPr>
            <w:tcW w:w="90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 (1.18)</w:t>
            </w:r>
          </w:p>
        </w:tc>
        <w:tc>
          <w:tcPr>
            <w:tcW w:w="360" w:type="dxa"/>
            <w:vAlign w:val="bottom"/>
            <w:shd w:val="clear" w:color="auto" w:fill="CCEEFF"/>
          </w:tcPr>
          <w:p>
            <w:pPr>
              <w:spacing w:after="0"/>
              <w:rPr>
                <w:sz w:val="18"/>
                <w:szCs w:val="18"/>
                <w:color w:val="auto"/>
              </w:rPr>
            </w:pPr>
          </w:p>
        </w:tc>
        <w:tc>
          <w:tcPr>
            <w:tcW w:w="54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(0.74)</w:t>
            </w:r>
          </w:p>
        </w:tc>
        <w:tc>
          <w:tcPr>
            <w:tcW w:w="340" w:type="dxa"/>
            <w:vAlign w:val="bottom"/>
            <w:shd w:val="clear" w:color="auto" w:fill="CCEEFF"/>
          </w:tcPr>
          <w:p>
            <w:pPr>
              <w:spacing w:after="0"/>
              <w:rPr>
                <w:sz w:val="18"/>
                <w:szCs w:val="18"/>
                <w:color w:val="auto"/>
              </w:rPr>
            </w:pPr>
          </w:p>
        </w:tc>
        <w:tc>
          <w:tcPr>
            <w:tcW w:w="68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w w:val="99"/>
              </w:rPr>
              <w:t>$ (0.74)</w:t>
            </w:r>
          </w:p>
        </w:tc>
      </w:tr>
      <w:tr>
        <w:trPr>
          <w:trHeight w:val="20"/>
        </w:trPr>
        <w:tc>
          <w:tcPr>
            <w:tcW w:w="76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386"/>
        </w:trPr>
        <w:tc>
          <w:tcPr>
            <w:tcW w:w="76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140" w:type="dxa"/>
            <w:vAlign w:val="bottom"/>
            <w:tcBorders>
              <w:bottom w:val="single" w:sz="8" w:color="auto"/>
            </w:tcBorders>
            <w:gridSpan w:val="9"/>
          </w:tcPr>
          <w:p>
            <w:pPr>
              <w:jc w:val="right"/>
              <w:ind w:right="20"/>
              <w:spacing w:after="0"/>
              <w:rPr>
                <w:sz w:val="20"/>
                <w:szCs w:val="20"/>
                <w:color w:val="auto"/>
              </w:rPr>
            </w:pPr>
            <w:r>
              <w:rPr>
                <w:rFonts w:ascii="Arial" w:cs="Arial" w:eastAsia="Arial" w:hAnsi="Arial"/>
                <w:sz w:val="14"/>
                <w:szCs w:val="14"/>
                <w:b w:val="1"/>
                <w:bCs w:val="1"/>
                <w:color w:val="auto"/>
                <w:w w:val="91"/>
              </w:rPr>
              <w:t>Nine months ended September 30,</w:t>
            </w:r>
          </w:p>
        </w:tc>
        <w:tc>
          <w:tcPr>
            <w:tcW w:w="8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142"/>
        </w:trPr>
        <w:tc>
          <w:tcPr>
            <w:tcW w:w="76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340" w:type="dxa"/>
            <w:vAlign w:val="bottom"/>
            <w:tcBorders>
              <w:bottom w:val="single" w:sz="8" w:color="auto"/>
            </w:tcBorders>
            <w:gridSpan w:val="2"/>
          </w:tcPr>
          <w:p>
            <w:pPr>
              <w:jc w:val="right"/>
              <w:spacing w:after="0" w:line="142" w:lineRule="exact"/>
              <w:rPr>
                <w:sz w:val="20"/>
                <w:szCs w:val="20"/>
                <w:color w:val="auto"/>
              </w:rPr>
            </w:pPr>
            <w:r>
              <w:rPr>
                <w:rFonts w:ascii="Arial" w:cs="Arial" w:eastAsia="Arial" w:hAnsi="Arial"/>
                <w:sz w:val="14"/>
                <w:szCs w:val="14"/>
                <w:b w:val="1"/>
                <w:bCs w:val="1"/>
                <w:color w:val="auto"/>
                <w:w w:val="96"/>
              </w:rPr>
              <w:t>2016</w:t>
            </w:r>
          </w:p>
        </w:tc>
        <w:tc>
          <w:tcPr>
            <w:tcW w:w="500" w:type="dxa"/>
            <w:vAlign w:val="bottom"/>
            <w:tcBorders>
              <w:bottom w:val="single" w:sz="8" w:color="auto"/>
            </w:tcBorders>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360" w:type="dxa"/>
            <w:vAlign w:val="bottom"/>
            <w:tcBorders>
              <w:bottom w:val="single" w:sz="8" w:color="auto"/>
            </w:tcBorders>
          </w:tcPr>
          <w:p>
            <w:pPr>
              <w:spacing w:after="0"/>
              <w:rPr>
                <w:sz w:val="12"/>
                <w:szCs w:val="12"/>
                <w:color w:val="auto"/>
              </w:rPr>
            </w:pPr>
          </w:p>
        </w:tc>
        <w:tc>
          <w:tcPr>
            <w:tcW w:w="960" w:type="dxa"/>
            <w:vAlign w:val="bottom"/>
            <w:tcBorders>
              <w:bottom w:val="single" w:sz="8" w:color="auto"/>
            </w:tcBorders>
            <w:gridSpan w:val="5"/>
          </w:tcPr>
          <w:p>
            <w:pPr>
              <w:jc w:val="right"/>
              <w:spacing w:after="0" w:line="142" w:lineRule="exact"/>
              <w:rPr>
                <w:sz w:val="20"/>
                <w:szCs w:val="20"/>
                <w:color w:val="auto"/>
              </w:rPr>
            </w:pPr>
            <w:r>
              <w:rPr>
                <w:rFonts w:ascii="Arial" w:cs="Arial" w:eastAsia="Arial" w:hAnsi="Arial"/>
                <w:sz w:val="14"/>
                <w:szCs w:val="14"/>
                <w:b w:val="1"/>
                <w:bCs w:val="1"/>
                <w:color w:val="auto"/>
              </w:rPr>
              <w:t>2017</w:t>
            </w:r>
          </w:p>
        </w:tc>
        <w:tc>
          <w:tcPr>
            <w:tcW w:w="50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r>
      <w:tr>
        <w:trPr>
          <w:trHeight w:val="123"/>
        </w:trPr>
        <w:tc>
          <w:tcPr>
            <w:tcW w:w="76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800" w:type="dxa"/>
            <w:vAlign w:val="bottom"/>
            <w:gridSpan w:val="12"/>
          </w:tcPr>
          <w:p>
            <w:pPr>
              <w:ind w:left="40"/>
              <w:spacing w:after="0" w:line="123" w:lineRule="exact"/>
              <w:rPr>
                <w:sz w:val="20"/>
                <w:szCs w:val="20"/>
                <w:color w:val="auto"/>
              </w:rPr>
            </w:pPr>
            <w:r>
              <w:rPr>
                <w:rFonts w:ascii="Arial" w:cs="Arial" w:eastAsia="Arial" w:hAnsi="Arial"/>
                <w:sz w:val="14"/>
                <w:szCs w:val="14"/>
                <w:i w:val="1"/>
                <w:iCs w:val="1"/>
                <w:color w:val="auto"/>
              </w:rPr>
              <w:t>(In millions, except per share amounts)</w:t>
            </w:r>
          </w:p>
        </w:tc>
        <w:tc>
          <w:tcPr>
            <w:tcW w:w="100" w:type="dxa"/>
            <w:vAlign w:val="bottom"/>
          </w:tcPr>
          <w:p>
            <w:pPr>
              <w:spacing w:after="0"/>
              <w:rPr>
                <w:sz w:val="10"/>
                <w:szCs w:val="10"/>
                <w:color w:val="auto"/>
              </w:rPr>
            </w:pPr>
          </w:p>
        </w:tc>
      </w:tr>
      <w:tr>
        <w:trPr>
          <w:trHeight w:val="167"/>
        </w:trPr>
        <w:tc>
          <w:tcPr>
            <w:tcW w:w="76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800" w:type="dxa"/>
            <w:vAlign w:val="bottom"/>
            <w:tcBorders>
              <w:bottom w:val="single" w:sz="8" w:color="auto"/>
            </w:tcBorders>
            <w:gridSpan w:val="7"/>
          </w:tcPr>
          <w:p>
            <w:pPr>
              <w:jc w:val="right"/>
              <w:ind w:right="700"/>
              <w:spacing w:after="0"/>
              <w:rPr>
                <w:sz w:val="20"/>
                <w:szCs w:val="20"/>
                <w:color w:val="auto"/>
              </w:rPr>
            </w:pPr>
            <w:r>
              <w:rPr>
                <w:rFonts w:ascii="Arial" w:cs="Arial" w:eastAsia="Arial" w:hAnsi="Arial"/>
                <w:sz w:val="14"/>
                <w:szCs w:val="14"/>
                <w:i w:val="1"/>
                <w:iCs w:val="1"/>
                <w:color w:val="auto"/>
              </w:rPr>
              <w:t>(Unaudited)</w:t>
            </w:r>
          </w:p>
        </w:tc>
        <w:tc>
          <w:tcPr>
            <w:tcW w:w="8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42"/>
        </w:trPr>
        <w:tc>
          <w:tcPr>
            <w:tcW w:w="76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60" w:type="dxa"/>
            <w:vAlign w:val="bottom"/>
            <w:gridSpan w:val="4"/>
          </w:tcPr>
          <w:p>
            <w:pPr>
              <w:ind w:left="20"/>
              <w:spacing w:after="0" w:line="142" w:lineRule="exact"/>
              <w:rPr>
                <w:sz w:val="20"/>
                <w:szCs w:val="20"/>
                <w:color w:val="auto"/>
              </w:rPr>
            </w:pPr>
            <w:r>
              <w:rPr>
                <w:rFonts w:ascii="Arial" w:cs="Arial" w:eastAsia="Arial" w:hAnsi="Arial"/>
                <w:sz w:val="14"/>
                <w:szCs w:val="14"/>
                <w:color w:val="auto"/>
              </w:rPr>
              <w:t>Class A</w:t>
            </w: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gridSpan w:val="3"/>
          </w:tcPr>
          <w:p>
            <w:pPr>
              <w:jc w:val="right"/>
              <w:ind w:right="420"/>
              <w:spacing w:after="0" w:line="142" w:lineRule="exact"/>
              <w:rPr>
                <w:sz w:val="20"/>
                <w:szCs w:val="20"/>
                <w:color w:val="auto"/>
              </w:rPr>
            </w:pPr>
            <w:r>
              <w:rPr>
                <w:rFonts w:ascii="Arial" w:cs="Arial" w:eastAsia="Arial" w:hAnsi="Arial"/>
                <w:sz w:val="14"/>
                <w:szCs w:val="14"/>
                <w:color w:val="auto"/>
                <w:w w:val="99"/>
              </w:rPr>
              <w:t>Class B</w:t>
            </w:r>
          </w:p>
        </w:tc>
        <w:tc>
          <w:tcPr>
            <w:tcW w:w="60" w:type="dxa"/>
            <w:vAlign w:val="bottom"/>
          </w:tcPr>
          <w:p>
            <w:pPr>
              <w:spacing w:after="0"/>
              <w:rPr>
                <w:sz w:val="12"/>
                <w:szCs w:val="12"/>
                <w:color w:val="auto"/>
              </w:rPr>
            </w:pPr>
          </w:p>
        </w:tc>
        <w:tc>
          <w:tcPr>
            <w:tcW w:w="820" w:type="dxa"/>
            <w:vAlign w:val="bottom"/>
            <w:gridSpan w:val="3"/>
          </w:tcPr>
          <w:p>
            <w:pPr>
              <w:jc w:val="right"/>
              <w:ind w:right="360"/>
              <w:spacing w:after="0" w:line="142" w:lineRule="exact"/>
              <w:rPr>
                <w:sz w:val="20"/>
                <w:szCs w:val="20"/>
                <w:color w:val="auto"/>
              </w:rPr>
            </w:pPr>
            <w:r>
              <w:rPr>
                <w:rFonts w:ascii="Arial" w:cs="Arial" w:eastAsia="Arial" w:hAnsi="Arial"/>
                <w:sz w:val="14"/>
                <w:szCs w:val="14"/>
                <w:color w:val="auto"/>
                <w:w w:val="91"/>
              </w:rPr>
              <w:t>Class A</w:t>
            </w:r>
          </w:p>
        </w:tc>
        <w:tc>
          <w:tcPr>
            <w:tcW w:w="80" w:type="dxa"/>
            <w:vAlign w:val="bottom"/>
          </w:tcPr>
          <w:p>
            <w:pPr>
              <w:spacing w:after="0"/>
              <w:rPr>
                <w:sz w:val="12"/>
                <w:szCs w:val="12"/>
                <w:color w:val="auto"/>
              </w:rPr>
            </w:pPr>
          </w:p>
        </w:tc>
        <w:tc>
          <w:tcPr>
            <w:tcW w:w="500" w:type="dxa"/>
            <w:vAlign w:val="bottom"/>
          </w:tcPr>
          <w:p>
            <w:pPr>
              <w:jc w:val="right"/>
              <w:spacing w:after="0" w:line="142" w:lineRule="exact"/>
              <w:rPr>
                <w:sz w:val="20"/>
                <w:szCs w:val="20"/>
                <w:color w:val="auto"/>
              </w:rPr>
            </w:pPr>
            <w:r>
              <w:rPr>
                <w:rFonts w:ascii="Arial" w:cs="Arial" w:eastAsia="Arial" w:hAnsi="Arial"/>
                <w:sz w:val="14"/>
                <w:szCs w:val="14"/>
                <w:color w:val="auto"/>
                <w:w w:val="91"/>
              </w:rPr>
              <w:t>Class B</w:t>
            </w:r>
          </w:p>
        </w:tc>
        <w:tc>
          <w:tcPr>
            <w:tcW w:w="100" w:type="dxa"/>
            <w:vAlign w:val="bottom"/>
          </w:tcPr>
          <w:p>
            <w:pPr>
              <w:spacing w:after="0"/>
              <w:rPr>
                <w:sz w:val="12"/>
                <w:szCs w:val="12"/>
                <w:color w:val="auto"/>
              </w:rPr>
            </w:pPr>
          </w:p>
        </w:tc>
      </w:tr>
      <w:tr>
        <w:trPr>
          <w:trHeight w:val="196"/>
        </w:trPr>
        <w:tc>
          <w:tcPr>
            <w:tcW w:w="760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Numerator:</w:t>
            </w:r>
          </w:p>
        </w:tc>
        <w:tc>
          <w:tcPr>
            <w:tcW w:w="200" w:type="dxa"/>
            <w:vAlign w:val="bottom"/>
            <w:tcBorders>
              <w:top w:val="single" w:sz="8" w:color="CCEEFF"/>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28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500" w:type="dxa"/>
            <w:vAlign w:val="bottom"/>
            <w:tcBorders>
              <w:top w:val="single" w:sz="8" w:color="auto"/>
            </w:tcBorders>
            <w:shd w:val="clear" w:color="auto" w:fill="CCEEFF"/>
          </w:tcPr>
          <w:p>
            <w:pPr>
              <w:spacing w:after="0"/>
              <w:rPr>
                <w:sz w:val="17"/>
                <w:szCs w:val="17"/>
                <w:color w:val="auto"/>
              </w:rPr>
            </w:pPr>
          </w:p>
        </w:tc>
        <w:tc>
          <w:tcPr>
            <w:tcW w:w="60" w:type="dxa"/>
            <w:vAlign w:val="bottom"/>
            <w:tcBorders>
              <w:top w:val="single" w:sz="8" w:color="auto"/>
            </w:tcBorders>
            <w:shd w:val="clear" w:color="auto" w:fill="CCEEFF"/>
          </w:tcPr>
          <w:p>
            <w:pPr>
              <w:spacing w:after="0"/>
              <w:rPr>
                <w:sz w:val="17"/>
                <w:szCs w:val="17"/>
                <w:color w:val="auto"/>
              </w:rPr>
            </w:pPr>
          </w:p>
        </w:tc>
        <w:tc>
          <w:tcPr>
            <w:tcW w:w="360" w:type="dxa"/>
            <w:vAlign w:val="bottom"/>
            <w:tcBorders>
              <w:top w:val="single" w:sz="8" w:color="CCEEFF"/>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40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34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5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r>
      <w:tr>
        <w:trPr>
          <w:trHeight w:val="216"/>
        </w:trPr>
        <w:tc>
          <w:tcPr>
            <w:tcW w:w="7600" w:type="dxa"/>
            <w:vAlign w:val="bottom"/>
          </w:tcPr>
          <w:p>
            <w:pPr>
              <w:spacing w:after="0"/>
              <w:rPr>
                <w:sz w:val="20"/>
                <w:szCs w:val="20"/>
                <w:color w:val="auto"/>
              </w:rPr>
            </w:pPr>
            <w:r>
              <w:rPr>
                <w:rFonts w:ascii="Arial" w:cs="Arial" w:eastAsia="Arial" w:hAnsi="Arial"/>
                <w:sz w:val="18"/>
                <w:szCs w:val="18"/>
                <w:color w:val="auto"/>
              </w:rPr>
              <w:t>Net loss attributable to common stockholders</w:t>
            </w:r>
          </w:p>
        </w:tc>
        <w:tc>
          <w:tcPr>
            <w:tcW w:w="380" w:type="dxa"/>
            <w:vAlign w:val="bottom"/>
            <w:gridSpan w:val="3"/>
          </w:tcPr>
          <w:p>
            <w:pPr>
              <w:ind w:left="260"/>
              <w:spacing w:after="0"/>
              <w:rPr>
                <w:sz w:val="20"/>
                <w:szCs w:val="20"/>
                <w:color w:val="auto"/>
              </w:rPr>
            </w:pPr>
            <w:r>
              <w:rPr>
                <w:rFonts w:ascii="Arial" w:cs="Arial" w:eastAsia="Arial" w:hAnsi="Arial"/>
                <w:sz w:val="18"/>
                <w:szCs w:val="18"/>
                <w:color w:val="auto"/>
                <w:w w:val="99"/>
              </w:rPr>
              <w:t>$</w:t>
            </w:r>
          </w:p>
        </w:tc>
        <w:tc>
          <w:tcPr>
            <w:tcW w:w="440" w:type="dxa"/>
            <w:vAlign w:val="bottom"/>
            <w:gridSpan w:val="3"/>
          </w:tcPr>
          <w:p>
            <w:pPr>
              <w:jc w:val="right"/>
              <w:spacing w:after="0"/>
              <w:rPr>
                <w:sz w:val="20"/>
                <w:szCs w:val="20"/>
                <w:color w:val="auto"/>
              </w:rPr>
            </w:pPr>
            <w:r>
              <w:rPr>
                <w:rFonts w:ascii="Arial" w:cs="Arial" w:eastAsia="Arial" w:hAnsi="Arial"/>
                <w:sz w:val="18"/>
                <w:szCs w:val="18"/>
                <w:color w:val="auto"/>
              </w:rPr>
              <w:t>(5.3)</w:t>
            </w:r>
          </w:p>
        </w:tc>
        <w:tc>
          <w:tcPr>
            <w:tcW w:w="1260" w:type="dxa"/>
            <w:vAlign w:val="bottom"/>
            <w:gridSpan w:val="5"/>
          </w:tcPr>
          <w:p>
            <w:pPr>
              <w:jc w:val="right"/>
              <w:ind w:right="30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(175.8)</w:t>
            </w:r>
          </w:p>
        </w:tc>
        <w:tc>
          <w:tcPr>
            <w:tcW w:w="880" w:type="dxa"/>
            <w:vAlign w:val="bottom"/>
            <w:gridSpan w:val="4"/>
          </w:tcPr>
          <w:p>
            <w:pPr>
              <w:jc w:val="right"/>
              <w:ind w:right="280"/>
              <w:spacing w:after="0"/>
              <w:rPr>
                <w:sz w:val="20"/>
                <w:szCs w:val="20"/>
                <w:color w:val="auto"/>
              </w:rPr>
            </w:pPr>
            <w:r>
              <w:rPr>
                <w:rFonts w:ascii="Arial" w:cs="Arial" w:eastAsia="Arial" w:hAnsi="Arial"/>
                <w:sz w:val="18"/>
                <w:szCs w:val="18"/>
                <w:color w:val="auto"/>
              </w:rPr>
              <w:t>$ (2.3)</w:t>
            </w:r>
          </w:p>
        </w:tc>
        <w:tc>
          <w:tcPr>
            <w:tcW w:w="680" w:type="dxa"/>
            <w:vAlign w:val="bottom"/>
            <w:gridSpan w:val="3"/>
          </w:tcPr>
          <w:p>
            <w:pPr>
              <w:jc w:val="right"/>
              <w:ind w:right="40"/>
              <w:spacing w:after="0"/>
              <w:rPr>
                <w:sz w:val="20"/>
                <w:szCs w:val="20"/>
                <w:color w:val="auto"/>
              </w:rPr>
            </w:pPr>
            <w:r>
              <w:rPr>
                <w:rFonts w:ascii="Arial" w:cs="Arial" w:eastAsia="Arial" w:hAnsi="Arial"/>
                <w:sz w:val="18"/>
                <w:szCs w:val="18"/>
                <w:color w:val="auto"/>
                <w:w w:val="99"/>
              </w:rPr>
              <w:t>$ (71.7)</w:t>
            </w:r>
          </w:p>
        </w:tc>
      </w:tr>
      <w:tr>
        <w:trPr>
          <w:trHeight w:val="20"/>
        </w:trPr>
        <w:tc>
          <w:tcPr>
            <w:tcW w:w="76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7600" w:type="dxa"/>
            <w:vAlign w:val="bottom"/>
            <w:shd w:val="clear" w:color="auto" w:fill="CCEEFF"/>
          </w:tcPr>
          <w:p>
            <w:pPr>
              <w:spacing w:after="0"/>
              <w:rPr>
                <w:sz w:val="20"/>
                <w:szCs w:val="20"/>
                <w:color w:val="auto"/>
              </w:rPr>
            </w:pPr>
            <w:r>
              <w:rPr>
                <w:rFonts w:ascii="Arial" w:cs="Arial" w:eastAsia="Arial" w:hAnsi="Arial"/>
                <w:sz w:val="18"/>
                <w:szCs w:val="18"/>
                <w:color w:val="auto"/>
              </w:rPr>
              <w:t>Denominator:</w:t>
            </w:r>
          </w:p>
        </w:tc>
        <w:tc>
          <w:tcPr>
            <w:tcW w:w="2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02"/>
        </w:trPr>
        <w:tc>
          <w:tcPr>
            <w:tcW w:w="7600" w:type="dxa"/>
            <w:vAlign w:val="bottom"/>
          </w:tcPr>
          <w:p>
            <w:pPr>
              <w:spacing w:after="0" w:line="201" w:lineRule="exact"/>
              <w:rPr>
                <w:sz w:val="20"/>
                <w:szCs w:val="20"/>
                <w:color w:val="auto"/>
              </w:rPr>
            </w:pPr>
            <w:r>
              <w:rPr>
                <w:rFonts w:ascii="Arial" w:cs="Arial" w:eastAsia="Arial" w:hAnsi="Arial"/>
                <w:sz w:val="18"/>
                <w:szCs w:val="18"/>
                <w:color w:val="auto"/>
                <w:w w:val="92"/>
              </w:rPr>
              <w:t>Weighted-average number of common shares outstanding used in computing basic and diluted net loss</w:t>
            </w:r>
          </w:p>
        </w:tc>
        <w:tc>
          <w:tcPr>
            <w:tcW w:w="2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0"/>
        </w:trPr>
        <w:tc>
          <w:tcPr>
            <w:tcW w:w="7600" w:type="dxa"/>
            <w:vAlign w:val="bottom"/>
          </w:tcPr>
          <w:p>
            <w:pPr>
              <w:ind w:left="180"/>
              <w:spacing w:after="0"/>
              <w:rPr>
                <w:sz w:val="20"/>
                <w:szCs w:val="20"/>
                <w:color w:val="auto"/>
              </w:rPr>
            </w:pPr>
            <w:r>
              <w:rPr>
                <w:rFonts w:ascii="Arial" w:cs="Arial" w:eastAsia="Arial" w:hAnsi="Arial"/>
                <w:sz w:val="18"/>
                <w:szCs w:val="18"/>
                <w:color w:val="auto"/>
              </w:rPr>
              <w:t>per common share</w:t>
            </w:r>
          </w:p>
        </w:tc>
        <w:tc>
          <w:tcPr>
            <w:tcW w:w="2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40" w:type="dxa"/>
            <w:vAlign w:val="bottom"/>
            <w:gridSpan w:val="3"/>
          </w:tcPr>
          <w:p>
            <w:pPr>
              <w:jc w:val="right"/>
              <w:ind w:right="8"/>
              <w:spacing w:after="0"/>
              <w:rPr>
                <w:sz w:val="20"/>
                <w:szCs w:val="20"/>
                <w:color w:val="auto"/>
              </w:rPr>
            </w:pPr>
            <w:r>
              <w:rPr>
                <w:rFonts w:ascii="Arial" w:cs="Arial" w:eastAsia="Arial" w:hAnsi="Arial"/>
                <w:sz w:val="18"/>
                <w:szCs w:val="18"/>
                <w:color w:val="auto"/>
              </w:rPr>
              <w:t>8.3</w:t>
            </w:r>
          </w:p>
        </w:tc>
        <w:tc>
          <w:tcPr>
            <w:tcW w:w="1260" w:type="dxa"/>
            <w:vAlign w:val="bottom"/>
            <w:gridSpan w:val="5"/>
          </w:tcPr>
          <w:p>
            <w:pPr>
              <w:jc w:val="right"/>
              <w:ind w:right="360"/>
              <w:spacing w:after="0"/>
              <w:rPr>
                <w:sz w:val="20"/>
                <w:szCs w:val="20"/>
                <w:color w:val="auto"/>
              </w:rPr>
            </w:pPr>
            <w:r>
              <w:rPr>
                <w:rFonts w:ascii="Arial" w:cs="Arial" w:eastAsia="Arial" w:hAnsi="Arial"/>
                <w:sz w:val="18"/>
                <w:szCs w:val="18"/>
                <w:color w:val="auto"/>
              </w:rPr>
              <w:t>274.0</w:t>
            </w:r>
          </w:p>
        </w:tc>
        <w:tc>
          <w:tcPr>
            <w:tcW w:w="880" w:type="dxa"/>
            <w:vAlign w:val="bottom"/>
            <w:gridSpan w:val="4"/>
          </w:tcPr>
          <w:p>
            <w:pPr>
              <w:jc w:val="right"/>
              <w:ind w:right="340"/>
              <w:spacing w:after="0"/>
              <w:rPr>
                <w:sz w:val="20"/>
                <w:szCs w:val="20"/>
                <w:color w:val="auto"/>
              </w:rPr>
            </w:pPr>
            <w:r>
              <w:rPr>
                <w:rFonts w:ascii="Arial" w:cs="Arial" w:eastAsia="Arial" w:hAnsi="Arial"/>
                <w:sz w:val="18"/>
                <w:szCs w:val="18"/>
                <w:color w:val="auto"/>
              </w:rPr>
              <w:t>9.1</w:t>
            </w:r>
          </w:p>
        </w:tc>
        <w:tc>
          <w:tcPr>
            <w:tcW w:w="680" w:type="dxa"/>
            <w:vAlign w:val="bottom"/>
            <w:gridSpan w:val="3"/>
          </w:tcPr>
          <w:p>
            <w:pPr>
              <w:jc w:val="right"/>
              <w:ind w:right="100"/>
              <w:spacing w:after="0"/>
              <w:rPr>
                <w:sz w:val="20"/>
                <w:szCs w:val="20"/>
                <w:color w:val="auto"/>
              </w:rPr>
            </w:pPr>
            <w:r>
              <w:rPr>
                <w:rFonts w:ascii="Arial" w:cs="Arial" w:eastAsia="Arial" w:hAnsi="Arial"/>
                <w:sz w:val="18"/>
                <w:szCs w:val="18"/>
                <w:color w:val="auto"/>
              </w:rPr>
              <w:t>284.2</w:t>
            </w:r>
          </w:p>
        </w:tc>
      </w:tr>
      <w:tr>
        <w:trPr>
          <w:trHeight w:val="20"/>
        </w:trPr>
        <w:tc>
          <w:tcPr>
            <w:tcW w:w="76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7600" w:type="dxa"/>
            <w:vAlign w:val="bottom"/>
            <w:shd w:val="clear" w:color="auto" w:fill="CCEEFF"/>
          </w:tcPr>
          <w:p>
            <w:pPr>
              <w:spacing w:after="0"/>
              <w:rPr>
                <w:sz w:val="20"/>
                <w:szCs w:val="20"/>
                <w:color w:val="auto"/>
              </w:rPr>
            </w:pPr>
            <w:r>
              <w:rPr>
                <w:rFonts w:ascii="Arial" w:cs="Arial" w:eastAsia="Arial" w:hAnsi="Arial"/>
                <w:sz w:val="18"/>
                <w:szCs w:val="18"/>
                <w:color w:val="auto"/>
              </w:rPr>
              <w:t>Net loss per common share, basic and diluted</w:t>
            </w:r>
          </w:p>
        </w:tc>
        <w:tc>
          <w:tcPr>
            <w:tcW w:w="820" w:type="dxa"/>
            <w:vAlign w:val="bottom"/>
            <w:gridSpan w:val="6"/>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(0.64)</w:t>
            </w:r>
          </w:p>
        </w:tc>
        <w:tc>
          <w:tcPr>
            <w:tcW w:w="1260" w:type="dxa"/>
            <w:vAlign w:val="bottom"/>
            <w:gridSpan w:val="5"/>
            <w:shd w:val="clear" w:color="auto" w:fill="CCEEFF"/>
          </w:tcPr>
          <w:p>
            <w:pPr>
              <w:jc w:val="right"/>
              <w:ind w:right="300"/>
              <w:spacing w:after="0"/>
              <w:rPr>
                <w:sz w:val="20"/>
                <w:szCs w:val="20"/>
                <w:color w:val="auto"/>
              </w:rPr>
            </w:pPr>
            <w:r>
              <w:rPr>
                <w:rFonts w:ascii="Arial" w:cs="Arial" w:eastAsia="Arial" w:hAnsi="Arial"/>
                <w:sz w:val="18"/>
                <w:szCs w:val="18"/>
                <w:color w:val="auto"/>
              </w:rPr>
              <w:t>$ (0.64)</w:t>
            </w:r>
          </w:p>
        </w:tc>
        <w:tc>
          <w:tcPr>
            <w:tcW w:w="880" w:type="dxa"/>
            <w:vAlign w:val="bottom"/>
            <w:gridSpan w:val="4"/>
            <w:shd w:val="clear" w:color="auto" w:fill="CCEEFF"/>
          </w:tcPr>
          <w:p>
            <w:pPr>
              <w:jc w:val="right"/>
              <w:ind w:right="28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(0.25)</w:t>
            </w:r>
          </w:p>
        </w:tc>
        <w:tc>
          <w:tcPr>
            <w:tcW w:w="68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w w:val="99"/>
              </w:rPr>
              <w:t>$ (0.25)</w:t>
            </w:r>
          </w:p>
        </w:tc>
      </w:tr>
      <w:tr>
        <w:trPr>
          <w:trHeight w:val="20"/>
        </w:trPr>
        <w:tc>
          <w:tcPr>
            <w:tcW w:w="76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15" w:lineRule="exact"/>
        <w:rPr>
          <w:sz w:val="20"/>
          <w:szCs w:val="20"/>
          <w:color w:val="auto"/>
        </w:rPr>
      </w:pPr>
    </w:p>
    <w:p>
      <w:pPr>
        <w:ind w:right="420" w:firstLine="449"/>
        <w:spacing w:after="0" w:line="286" w:lineRule="auto"/>
        <w:rPr>
          <w:sz w:val="20"/>
          <w:szCs w:val="20"/>
          <w:color w:val="auto"/>
        </w:rPr>
      </w:pPr>
      <w:r>
        <w:rPr>
          <w:rFonts w:ascii="Arial" w:cs="Arial" w:eastAsia="Arial" w:hAnsi="Arial"/>
          <w:sz w:val="17"/>
          <w:szCs w:val="17"/>
          <w:color w:val="auto"/>
        </w:rPr>
        <w:t>Since the Company was in a loss position for all periods presented, basic net loss per share attributable to common stockholders is the same as diluted net loss per share for all periods as the inclusion of all potential common shares outstanding would have been anti-dilutive. Potentially dilutive securities that were not included in the diluted per share calculations because they would be anti-dilutive were as follows:</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780" w:type="dxa"/>
            <w:vAlign w:val="bottom"/>
          </w:tcPr>
          <w:p>
            <w:pPr>
              <w:spacing w:after="0"/>
              <w:rPr>
                <w:sz w:val="14"/>
                <w:szCs w:val="14"/>
                <w:color w:val="auto"/>
              </w:rPr>
            </w:pPr>
          </w:p>
        </w:tc>
        <w:tc>
          <w:tcPr>
            <w:tcW w:w="2800" w:type="dxa"/>
            <w:vAlign w:val="bottom"/>
            <w:gridSpan w:val="4"/>
          </w:tcPr>
          <w:p>
            <w:pPr>
              <w:ind w:left="260"/>
              <w:spacing w:after="0"/>
              <w:rPr>
                <w:sz w:val="20"/>
                <w:szCs w:val="20"/>
                <w:color w:val="auto"/>
              </w:rPr>
            </w:pPr>
            <w:r>
              <w:rPr>
                <w:rFonts w:ascii="Arial" w:cs="Arial" w:eastAsia="Arial" w:hAnsi="Arial"/>
                <w:sz w:val="14"/>
                <w:szCs w:val="14"/>
                <w:b w:val="1"/>
                <w:bCs w:val="1"/>
                <w:color w:val="auto"/>
              </w:rPr>
              <w:t>Year ended December 31,</w:t>
            </w:r>
          </w:p>
        </w:tc>
        <w:tc>
          <w:tcPr>
            <w:tcW w:w="2660" w:type="dxa"/>
            <w:vAlign w:val="bottom"/>
            <w:gridSpan w:val="5"/>
          </w:tcPr>
          <w:p>
            <w:pPr>
              <w:jc w:val="center"/>
              <w:ind w:right="40"/>
              <w:spacing w:after="0"/>
              <w:rPr>
                <w:sz w:val="20"/>
                <w:szCs w:val="20"/>
                <w:color w:val="auto"/>
              </w:rPr>
            </w:pPr>
            <w:r>
              <w:rPr>
                <w:rFonts w:ascii="Arial" w:cs="Arial" w:eastAsia="Arial" w:hAnsi="Arial"/>
                <w:sz w:val="14"/>
                <w:szCs w:val="14"/>
                <w:b w:val="1"/>
                <w:bCs w:val="1"/>
                <w:color w:val="auto"/>
                <w:w w:val="91"/>
              </w:rPr>
              <w:t>Nine months ended September 30,</w:t>
            </w:r>
          </w:p>
        </w:tc>
      </w:tr>
      <w:tr>
        <w:trPr>
          <w:trHeight w:val="142"/>
        </w:trPr>
        <w:tc>
          <w:tcPr>
            <w:tcW w:w="5780" w:type="dxa"/>
            <w:vAlign w:val="bottom"/>
          </w:tcPr>
          <w:p>
            <w:pPr>
              <w:spacing w:after="0"/>
              <w:rPr>
                <w:sz w:val="12"/>
                <w:szCs w:val="12"/>
                <w:color w:val="auto"/>
              </w:rPr>
            </w:pPr>
          </w:p>
        </w:tc>
        <w:tc>
          <w:tcPr>
            <w:tcW w:w="660" w:type="dxa"/>
            <w:vAlign w:val="bottom"/>
            <w:tcBorders>
              <w:top w:val="single" w:sz="8" w:color="auto"/>
              <w:bottom w:val="single" w:sz="8" w:color="auto"/>
            </w:tcBorders>
          </w:tcPr>
          <w:p>
            <w:pPr>
              <w:jc w:val="right"/>
              <w:ind w:right="97"/>
              <w:spacing w:after="0" w:line="142" w:lineRule="exact"/>
              <w:rPr>
                <w:sz w:val="20"/>
                <w:szCs w:val="20"/>
                <w:color w:val="auto"/>
              </w:rPr>
            </w:pPr>
            <w:r>
              <w:rPr>
                <w:rFonts w:ascii="Arial" w:cs="Arial" w:eastAsia="Arial" w:hAnsi="Arial"/>
                <w:sz w:val="14"/>
                <w:szCs w:val="14"/>
                <w:b w:val="1"/>
                <w:bCs w:val="1"/>
                <w:color w:val="auto"/>
              </w:rPr>
              <w:t>2015</w:t>
            </w:r>
          </w:p>
        </w:tc>
        <w:tc>
          <w:tcPr>
            <w:tcW w:w="700" w:type="dxa"/>
            <w:vAlign w:val="bottom"/>
            <w:tcBorders>
              <w:top w:val="single" w:sz="8" w:color="auto"/>
              <w:bottom w:val="single" w:sz="8" w:color="auto"/>
            </w:tcBorders>
          </w:tcPr>
          <w:p>
            <w:pPr>
              <w:spacing w:after="0"/>
              <w:rPr>
                <w:sz w:val="12"/>
                <w:szCs w:val="12"/>
                <w:color w:val="auto"/>
              </w:rPr>
            </w:pPr>
          </w:p>
        </w:tc>
        <w:tc>
          <w:tcPr>
            <w:tcW w:w="740" w:type="dxa"/>
            <w:vAlign w:val="bottom"/>
            <w:tcBorders>
              <w:top w:val="single" w:sz="8" w:color="auto"/>
              <w:bottom w:val="single" w:sz="8" w:color="auto"/>
            </w:tcBorders>
          </w:tcPr>
          <w:p>
            <w:pPr>
              <w:jc w:val="right"/>
              <w:ind w:right="133"/>
              <w:spacing w:after="0" w:line="142" w:lineRule="exact"/>
              <w:rPr>
                <w:sz w:val="20"/>
                <w:szCs w:val="20"/>
                <w:color w:val="auto"/>
              </w:rPr>
            </w:pPr>
            <w:r>
              <w:rPr>
                <w:rFonts w:ascii="Arial" w:cs="Arial" w:eastAsia="Arial" w:hAnsi="Arial"/>
                <w:sz w:val="14"/>
                <w:szCs w:val="14"/>
                <w:b w:val="1"/>
                <w:bCs w:val="1"/>
                <w:color w:val="auto"/>
              </w:rPr>
              <w:t>2016</w:t>
            </w:r>
          </w:p>
        </w:tc>
        <w:tc>
          <w:tcPr>
            <w:tcW w:w="700" w:type="dxa"/>
            <w:vAlign w:val="bottom"/>
          </w:tcPr>
          <w:p>
            <w:pPr>
              <w:spacing w:after="0"/>
              <w:rPr>
                <w:sz w:val="12"/>
                <w:szCs w:val="12"/>
                <w:color w:val="auto"/>
              </w:rPr>
            </w:pPr>
          </w:p>
        </w:tc>
        <w:tc>
          <w:tcPr>
            <w:tcW w:w="940" w:type="dxa"/>
            <w:vAlign w:val="bottom"/>
            <w:tcBorders>
              <w:top w:val="single" w:sz="8" w:color="auto"/>
              <w:bottom w:val="single" w:sz="8" w:color="auto"/>
            </w:tcBorders>
          </w:tcPr>
          <w:p>
            <w:pPr>
              <w:jc w:val="right"/>
              <w:ind w:right="237"/>
              <w:spacing w:after="0" w:line="142" w:lineRule="exact"/>
              <w:rPr>
                <w:sz w:val="20"/>
                <w:szCs w:val="20"/>
                <w:color w:val="auto"/>
              </w:rPr>
            </w:pPr>
            <w:r>
              <w:rPr>
                <w:rFonts w:ascii="Arial" w:cs="Arial" w:eastAsia="Arial" w:hAnsi="Arial"/>
                <w:sz w:val="14"/>
                <w:szCs w:val="14"/>
                <w:b w:val="1"/>
                <w:bCs w:val="1"/>
                <w:color w:val="auto"/>
              </w:rPr>
              <w:t>2016</w:t>
            </w:r>
          </w:p>
        </w:tc>
        <w:tc>
          <w:tcPr>
            <w:tcW w:w="720" w:type="dxa"/>
            <w:vAlign w:val="bottom"/>
            <w:tcBorders>
              <w:top w:val="single" w:sz="8" w:color="auto"/>
              <w:bottom w:val="single" w:sz="8" w:color="auto"/>
            </w:tcBorders>
          </w:tcPr>
          <w:p>
            <w:pPr>
              <w:spacing w:after="0"/>
              <w:rPr>
                <w:sz w:val="12"/>
                <w:szCs w:val="12"/>
                <w:color w:val="auto"/>
              </w:rPr>
            </w:pPr>
          </w:p>
        </w:tc>
        <w:tc>
          <w:tcPr>
            <w:tcW w:w="260" w:type="dxa"/>
            <w:vAlign w:val="bottom"/>
            <w:tcBorders>
              <w:top w:val="single" w:sz="8" w:color="auto"/>
              <w:bottom w:val="single" w:sz="8" w:color="auto"/>
            </w:tcBorders>
          </w:tcPr>
          <w:p>
            <w:pPr>
              <w:spacing w:after="0"/>
              <w:rPr>
                <w:sz w:val="12"/>
                <w:szCs w:val="12"/>
                <w:color w:val="auto"/>
              </w:rPr>
            </w:pPr>
          </w:p>
        </w:tc>
        <w:tc>
          <w:tcPr>
            <w:tcW w:w="680" w:type="dxa"/>
            <w:vAlign w:val="bottom"/>
            <w:tcBorders>
              <w:top w:val="single" w:sz="8" w:color="auto"/>
              <w:bottom w:val="single" w:sz="8" w:color="auto"/>
            </w:tcBorders>
          </w:tcPr>
          <w:p>
            <w:pPr>
              <w:jc w:val="right"/>
              <w:ind w:right="233"/>
              <w:spacing w:after="0" w:line="142" w:lineRule="exact"/>
              <w:rPr>
                <w:sz w:val="20"/>
                <w:szCs w:val="20"/>
                <w:color w:val="auto"/>
              </w:rPr>
            </w:pPr>
            <w:r>
              <w:rPr>
                <w:rFonts w:ascii="Arial" w:cs="Arial" w:eastAsia="Arial" w:hAnsi="Arial"/>
                <w:sz w:val="14"/>
                <w:szCs w:val="14"/>
                <w:b w:val="1"/>
                <w:bCs w:val="1"/>
                <w:color w:val="auto"/>
              </w:rPr>
              <w:t>2017</w:t>
            </w:r>
          </w:p>
        </w:tc>
        <w:tc>
          <w:tcPr>
            <w:tcW w:w="60" w:type="dxa"/>
            <w:vAlign w:val="bottom"/>
          </w:tcPr>
          <w:p>
            <w:pPr>
              <w:spacing w:after="0"/>
              <w:rPr>
                <w:sz w:val="12"/>
                <w:szCs w:val="12"/>
                <w:color w:val="auto"/>
              </w:rPr>
            </w:pPr>
          </w:p>
        </w:tc>
      </w:tr>
      <w:tr>
        <w:trPr>
          <w:trHeight w:val="123"/>
        </w:trPr>
        <w:tc>
          <w:tcPr>
            <w:tcW w:w="5780" w:type="dxa"/>
            <w:vAlign w:val="bottom"/>
          </w:tcPr>
          <w:p>
            <w:pPr>
              <w:spacing w:after="0"/>
              <w:rPr>
                <w:sz w:val="10"/>
                <w:szCs w:val="10"/>
                <w:color w:val="auto"/>
              </w:rPr>
            </w:pPr>
          </w:p>
        </w:tc>
        <w:tc>
          <w:tcPr>
            <w:tcW w:w="2100" w:type="dxa"/>
            <w:vAlign w:val="bottom"/>
            <w:gridSpan w:val="3"/>
          </w:tcPr>
          <w:p>
            <w:pPr>
              <w:jc w:val="right"/>
              <w:ind w:right="393"/>
              <w:spacing w:after="0" w:line="123" w:lineRule="exact"/>
              <w:rPr>
                <w:sz w:val="20"/>
                <w:szCs w:val="20"/>
                <w:color w:val="auto"/>
              </w:rPr>
            </w:pPr>
            <w:r>
              <w:rPr>
                <w:rFonts w:ascii="Arial" w:cs="Arial" w:eastAsia="Arial" w:hAnsi="Arial"/>
                <w:sz w:val="14"/>
                <w:szCs w:val="14"/>
                <w:i w:val="1"/>
                <w:iCs w:val="1"/>
                <w:color w:val="auto"/>
              </w:rPr>
              <w:t>(Shares in millions)</w:t>
            </w:r>
          </w:p>
        </w:tc>
        <w:tc>
          <w:tcPr>
            <w:tcW w:w="700" w:type="dxa"/>
            <w:vAlign w:val="bottom"/>
          </w:tcPr>
          <w:p>
            <w:pPr>
              <w:spacing w:after="0"/>
              <w:rPr>
                <w:sz w:val="10"/>
                <w:szCs w:val="10"/>
                <w:color w:val="auto"/>
              </w:rPr>
            </w:pPr>
          </w:p>
        </w:tc>
        <w:tc>
          <w:tcPr>
            <w:tcW w:w="1920" w:type="dxa"/>
            <w:vAlign w:val="bottom"/>
            <w:gridSpan w:val="3"/>
          </w:tcPr>
          <w:p>
            <w:pPr>
              <w:jc w:val="center"/>
              <w:ind w:left="597"/>
              <w:spacing w:after="0" w:line="123" w:lineRule="exact"/>
              <w:rPr>
                <w:sz w:val="20"/>
                <w:szCs w:val="20"/>
                <w:color w:val="auto"/>
              </w:rPr>
            </w:pPr>
            <w:r>
              <w:rPr>
                <w:rFonts w:ascii="Arial" w:cs="Arial" w:eastAsia="Arial" w:hAnsi="Arial"/>
                <w:sz w:val="14"/>
                <w:szCs w:val="14"/>
                <w:i w:val="1"/>
                <w:iCs w:val="1"/>
                <w:color w:val="auto"/>
                <w:w w:val="94"/>
              </w:rPr>
              <w:t>(Shares in millions)</w:t>
            </w:r>
          </w:p>
        </w:tc>
        <w:tc>
          <w:tcPr>
            <w:tcW w:w="680" w:type="dxa"/>
            <w:vAlign w:val="bottom"/>
          </w:tcPr>
          <w:p>
            <w:pPr>
              <w:spacing w:after="0"/>
              <w:rPr>
                <w:sz w:val="10"/>
                <w:szCs w:val="10"/>
                <w:color w:val="auto"/>
              </w:rPr>
            </w:pPr>
          </w:p>
        </w:tc>
        <w:tc>
          <w:tcPr>
            <w:tcW w:w="60" w:type="dxa"/>
            <w:vAlign w:val="bottom"/>
          </w:tcPr>
          <w:p>
            <w:pPr>
              <w:spacing w:after="0"/>
              <w:rPr>
                <w:sz w:val="10"/>
                <w:szCs w:val="10"/>
                <w:color w:val="auto"/>
              </w:rPr>
            </w:pPr>
          </w:p>
        </w:tc>
      </w:tr>
      <w:tr>
        <w:trPr>
          <w:trHeight w:val="167"/>
        </w:trPr>
        <w:tc>
          <w:tcPr>
            <w:tcW w:w="57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980" w:type="dxa"/>
            <w:vAlign w:val="bottom"/>
            <w:gridSpan w:val="2"/>
          </w:tcPr>
          <w:p>
            <w:pPr>
              <w:jc w:val="center"/>
              <w:ind w:right="240"/>
              <w:spacing w:after="0"/>
              <w:rPr>
                <w:sz w:val="20"/>
                <w:szCs w:val="20"/>
                <w:color w:val="auto"/>
              </w:rPr>
            </w:pPr>
            <w:r>
              <w:rPr>
                <w:rFonts w:ascii="Arial" w:cs="Arial" w:eastAsia="Arial" w:hAnsi="Arial"/>
                <w:sz w:val="14"/>
                <w:szCs w:val="14"/>
                <w:i w:val="1"/>
                <w:iCs w:val="1"/>
                <w:color w:val="auto"/>
                <w:w w:val="95"/>
              </w:rPr>
              <w:t>(Unaudited)</w:t>
            </w:r>
          </w:p>
        </w:tc>
        <w:tc>
          <w:tcPr>
            <w:tcW w:w="680" w:type="dxa"/>
            <w:vAlign w:val="bottom"/>
          </w:tcPr>
          <w:p>
            <w:pPr>
              <w:spacing w:after="0"/>
              <w:rPr>
                <w:sz w:val="14"/>
                <w:szCs w:val="14"/>
                <w:color w:val="auto"/>
              </w:rPr>
            </w:pPr>
          </w:p>
        </w:tc>
        <w:tc>
          <w:tcPr>
            <w:tcW w:w="60" w:type="dxa"/>
            <w:vAlign w:val="bottom"/>
          </w:tcPr>
          <w:p>
            <w:pPr>
              <w:spacing w:after="0"/>
              <w:rPr>
                <w:sz w:val="14"/>
                <w:szCs w:val="14"/>
                <w:color w:val="auto"/>
              </w:rPr>
            </w:pPr>
          </w:p>
        </w:tc>
      </w:tr>
      <w:tr>
        <w:trPr>
          <w:trHeight w:val="216"/>
        </w:trPr>
        <w:tc>
          <w:tcPr>
            <w:tcW w:w="5780" w:type="dxa"/>
            <w:vAlign w:val="bottom"/>
            <w:shd w:val="clear" w:color="auto" w:fill="CCEEFF"/>
          </w:tcPr>
          <w:p>
            <w:pPr>
              <w:spacing w:after="0"/>
              <w:rPr>
                <w:sz w:val="20"/>
                <w:szCs w:val="20"/>
                <w:color w:val="auto"/>
              </w:rPr>
            </w:pPr>
            <w:r>
              <w:rPr>
                <w:rFonts w:ascii="Arial" w:cs="Arial" w:eastAsia="Arial" w:hAnsi="Arial"/>
                <w:sz w:val="18"/>
                <w:szCs w:val="18"/>
                <w:color w:val="auto"/>
              </w:rPr>
              <w:t>Convertible preferred stock</w:t>
            </w:r>
          </w:p>
        </w:tc>
        <w:tc>
          <w:tcPr>
            <w:tcW w:w="136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color w:val="auto"/>
              </w:rPr>
              <w:t>221.4</w:t>
            </w:r>
          </w:p>
        </w:tc>
        <w:tc>
          <w:tcPr>
            <w:tcW w:w="144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color w:val="auto"/>
              </w:rPr>
              <w:t>221.4</w:t>
            </w:r>
          </w:p>
        </w:tc>
        <w:tc>
          <w:tcPr>
            <w:tcW w:w="1660" w:type="dxa"/>
            <w:vAlign w:val="bottom"/>
            <w:gridSpan w:val="2"/>
            <w:shd w:val="clear" w:color="auto" w:fill="CCEEFF"/>
          </w:tcPr>
          <w:p>
            <w:pPr>
              <w:jc w:val="right"/>
              <w:ind w:right="648"/>
              <w:spacing w:after="0"/>
              <w:rPr>
                <w:sz w:val="20"/>
                <w:szCs w:val="20"/>
                <w:color w:val="auto"/>
              </w:rPr>
            </w:pPr>
            <w:r>
              <w:rPr>
                <w:rFonts w:ascii="Arial" w:cs="Arial" w:eastAsia="Arial" w:hAnsi="Arial"/>
                <w:sz w:val="18"/>
                <w:szCs w:val="18"/>
                <w:color w:val="auto"/>
              </w:rPr>
              <w:t>221.4</w:t>
            </w:r>
          </w:p>
        </w:tc>
        <w:tc>
          <w:tcPr>
            <w:tcW w:w="2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221.4</w:t>
            </w:r>
          </w:p>
        </w:tc>
      </w:tr>
      <w:tr>
        <w:trPr>
          <w:trHeight w:val="216"/>
        </w:trPr>
        <w:tc>
          <w:tcPr>
            <w:tcW w:w="5780" w:type="dxa"/>
            <w:vAlign w:val="bottom"/>
          </w:tcPr>
          <w:p>
            <w:pPr>
              <w:spacing w:after="0"/>
              <w:rPr>
                <w:sz w:val="20"/>
                <w:szCs w:val="20"/>
                <w:color w:val="auto"/>
              </w:rPr>
            </w:pPr>
            <w:r>
              <w:rPr>
                <w:rFonts w:ascii="Arial" w:cs="Arial" w:eastAsia="Arial" w:hAnsi="Arial"/>
                <w:sz w:val="18"/>
                <w:szCs w:val="18"/>
                <w:color w:val="auto"/>
              </w:rPr>
              <w:t>Options to purchase shares of common stock</w:t>
            </w:r>
          </w:p>
        </w:tc>
        <w:tc>
          <w:tcPr>
            <w:tcW w:w="1360" w:type="dxa"/>
            <w:vAlign w:val="bottom"/>
            <w:gridSpan w:val="2"/>
          </w:tcPr>
          <w:p>
            <w:pPr>
              <w:jc w:val="right"/>
              <w:ind w:right="700"/>
              <w:spacing w:after="0"/>
              <w:rPr>
                <w:sz w:val="20"/>
                <w:szCs w:val="20"/>
                <w:color w:val="auto"/>
              </w:rPr>
            </w:pPr>
            <w:r>
              <w:rPr>
                <w:rFonts w:ascii="Arial" w:cs="Arial" w:eastAsia="Arial" w:hAnsi="Arial"/>
                <w:sz w:val="18"/>
                <w:szCs w:val="18"/>
                <w:color w:val="auto"/>
              </w:rPr>
              <w:t>21.0</w:t>
            </w:r>
          </w:p>
        </w:tc>
        <w:tc>
          <w:tcPr>
            <w:tcW w:w="1440" w:type="dxa"/>
            <w:vAlign w:val="bottom"/>
            <w:gridSpan w:val="2"/>
          </w:tcPr>
          <w:p>
            <w:pPr>
              <w:jc w:val="right"/>
              <w:ind w:right="700"/>
              <w:spacing w:after="0"/>
              <w:rPr>
                <w:sz w:val="20"/>
                <w:szCs w:val="20"/>
                <w:color w:val="auto"/>
              </w:rPr>
            </w:pPr>
            <w:r>
              <w:rPr>
                <w:rFonts w:ascii="Arial" w:cs="Arial" w:eastAsia="Arial" w:hAnsi="Arial"/>
                <w:sz w:val="18"/>
                <w:szCs w:val="18"/>
                <w:color w:val="auto"/>
              </w:rPr>
              <w:t>11.8</w:t>
            </w:r>
          </w:p>
        </w:tc>
        <w:tc>
          <w:tcPr>
            <w:tcW w:w="1660" w:type="dxa"/>
            <w:vAlign w:val="bottom"/>
            <w:gridSpan w:val="2"/>
          </w:tcPr>
          <w:p>
            <w:pPr>
              <w:jc w:val="right"/>
              <w:ind w:right="648"/>
              <w:spacing w:after="0"/>
              <w:rPr>
                <w:sz w:val="20"/>
                <w:szCs w:val="20"/>
                <w:color w:val="auto"/>
              </w:rPr>
            </w:pPr>
            <w:r>
              <w:rPr>
                <w:rFonts w:ascii="Arial" w:cs="Arial" w:eastAsia="Arial" w:hAnsi="Arial"/>
                <w:sz w:val="18"/>
                <w:szCs w:val="18"/>
                <w:color w:val="auto"/>
              </w:rPr>
              <w:t>13.0</w:t>
            </w:r>
          </w:p>
        </w:tc>
        <w:tc>
          <w:tcPr>
            <w:tcW w:w="260" w:type="dxa"/>
            <w:vAlign w:val="bottom"/>
          </w:tcPr>
          <w:p>
            <w:pPr>
              <w:spacing w:after="0"/>
              <w:rPr>
                <w:sz w:val="18"/>
                <w:szCs w:val="18"/>
                <w:color w:val="auto"/>
              </w:rPr>
            </w:pPr>
          </w:p>
        </w:tc>
        <w:tc>
          <w:tcPr>
            <w:tcW w:w="740" w:type="dxa"/>
            <w:vAlign w:val="bottom"/>
            <w:gridSpan w:val="2"/>
          </w:tcPr>
          <w:p>
            <w:pPr>
              <w:jc w:val="right"/>
              <w:ind w:right="60"/>
              <w:spacing w:after="0"/>
              <w:rPr>
                <w:sz w:val="20"/>
                <w:szCs w:val="20"/>
                <w:color w:val="auto"/>
              </w:rPr>
            </w:pPr>
            <w:r>
              <w:rPr>
                <w:rFonts w:ascii="Arial" w:cs="Arial" w:eastAsia="Arial" w:hAnsi="Arial"/>
                <w:sz w:val="18"/>
                <w:szCs w:val="18"/>
                <w:color w:val="auto"/>
              </w:rPr>
              <w:t>7.7</w:t>
            </w:r>
          </w:p>
        </w:tc>
      </w:tr>
      <w:tr>
        <w:trPr>
          <w:trHeight w:val="216"/>
        </w:trPr>
        <w:tc>
          <w:tcPr>
            <w:tcW w:w="5780" w:type="dxa"/>
            <w:vAlign w:val="bottom"/>
            <w:shd w:val="clear" w:color="auto" w:fill="CCEEFF"/>
          </w:tcPr>
          <w:p>
            <w:pPr>
              <w:spacing w:after="0"/>
              <w:rPr>
                <w:sz w:val="20"/>
                <w:szCs w:val="20"/>
                <w:color w:val="auto"/>
              </w:rPr>
            </w:pPr>
            <w:r>
              <w:rPr>
                <w:rFonts w:ascii="Arial" w:cs="Arial" w:eastAsia="Arial" w:hAnsi="Arial"/>
                <w:sz w:val="18"/>
                <w:szCs w:val="18"/>
                <w:color w:val="auto"/>
              </w:rPr>
              <w:t>Restricted stock units</w:t>
            </w:r>
          </w:p>
        </w:tc>
        <w:tc>
          <w:tcPr>
            <w:tcW w:w="136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color w:val="auto"/>
              </w:rPr>
              <w:t>51.1</w:t>
            </w:r>
          </w:p>
        </w:tc>
        <w:tc>
          <w:tcPr>
            <w:tcW w:w="144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color w:val="auto"/>
              </w:rPr>
              <w:t>71.8</w:t>
            </w:r>
          </w:p>
        </w:tc>
        <w:tc>
          <w:tcPr>
            <w:tcW w:w="1660" w:type="dxa"/>
            <w:vAlign w:val="bottom"/>
            <w:gridSpan w:val="2"/>
            <w:shd w:val="clear" w:color="auto" w:fill="CCEEFF"/>
          </w:tcPr>
          <w:p>
            <w:pPr>
              <w:jc w:val="right"/>
              <w:ind w:right="648"/>
              <w:spacing w:after="0"/>
              <w:rPr>
                <w:sz w:val="20"/>
                <w:szCs w:val="20"/>
                <w:color w:val="auto"/>
              </w:rPr>
            </w:pPr>
            <w:r>
              <w:rPr>
                <w:rFonts w:ascii="Arial" w:cs="Arial" w:eastAsia="Arial" w:hAnsi="Arial"/>
                <w:sz w:val="18"/>
                <w:szCs w:val="18"/>
                <w:color w:val="auto"/>
              </w:rPr>
              <w:t>71.5</w:t>
            </w:r>
          </w:p>
        </w:tc>
        <w:tc>
          <w:tcPr>
            <w:tcW w:w="2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71.0</w:t>
            </w:r>
          </w:p>
        </w:tc>
      </w:tr>
      <w:tr>
        <w:trPr>
          <w:trHeight w:val="202"/>
        </w:trPr>
        <w:tc>
          <w:tcPr>
            <w:tcW w:w="5780" w:type="dxa"/>
            <w:vAlign w:val="bottom"/>
          </w:tcPr>
          <w:p>
            <w:pPr>
              <w:spacing w:after="0" w:line="201" w:lineRule="exact"/>
              <w:rPr>
                <w:sz w:val="20"/>
                <w:szCs w:val="20"/>
                <w:color w:val="auto"/>
              </w:rPr>
            </w:pPr>
            <w:r>
              <w:rPr>
                <w:rFonts w:ascii="Arial" w:cs="Arial" w:eastAsia="Arial" w:hAnsi="Arial"/>
                <w:sz w:val="18"/>
                <w:szCs w:val="18"/>
                <w:color w:val="auto"/>
              </w:rPr>
              <w:t>Shares subject to repurchase from early-exercised options and</w:t>
            </w:r>
          </w:p>
        </w:tc>
        <w:tc>
          <w:tcPr>
            <w:tcW w:w="6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230"/>
        </w:trPr>
        <w:tc>
          <w:tcPr>
            <w:tcW w:w="5780" w:type="dxa"/>
            <w:vAlign w:val="bottom"/>
          </w:tcPr>
          <w:p>
            <w:pPr>
              <w:ind w:left="180"/>
              <w:spacing w:after="0"/>
              <w:rPr>
                <w:sz w:val="20"/>
                <w:szCs w:val="20"/>
                <w:color w:val="auto"/>
              </w:rPr>
            </w:pPr>
            <w:r>
              <w:rPr>
                <w:rFonts w:ascii="Arial" w:cs="Arial" w:eastAsia="Arial" w:hAnsi="Arial"/>
                <w:sz w:val="18"/>
                <w:szCs w:val="18"/>
                <w:color w:val="auto"/>
              </w:rPr>
              <w:t>unvested restricted stock</w:t>
            </w:r>
          </w:p>
        </w:tc>
        <w:tc>
          <w:tcPr>
            <w:tcW w:w="1360" w:type="dxa"/>
            <w:vAlign w:val="bottom"/>
            <w:gridSpan w:val="2"/>
          </w:tcPr>
          <w:p>
            <w:pPr>
              <w:jc w:val="right"/>
              <w:ind w:right="700"/>
              <w:spacing w:after="0"/>
              <w:rPr>
                <w:sz w:val="20"/>
                <w:szCs w:val="20"/>
                <w:color w:val="auto"/>
              </w:rPr>
            </w:pPr>
            <w:r>
              <w:rPr>
                <w:rFonts w:ascii="Arial" w:cs="Arial" w:eastAsia="Arial" w:hAnsi="Arial"/>
                <w:sz w:val="18"/>
                <w:szCs w:val="18"/>
                <w:color w:val="auto"/>
              </w:rPr>
              <w:t>5.4</w:t>
            </w:r>
          </w:p>
        </w:tc>
        <w:tc>
          <w:tcPr>
            <w:tcW w:w="1440" w:type="dxa"/>
            <w:vAlign w:val="bottom"/>
            <w:gridSpan w:val="2"/>
          </w:tcPr>
          <w:p>
            <w:pPr>
              <w:jc w:val="right"/>
              <w:ind w:right="700"/>
              <w:spacing w:after="0"/>
              <w:rPr>
                <w:sz w:val="20"/>
                <w:szCs w:val="20"/>
                <w:color w:val="auto"/>
              </w:rPr>
            </w:pPr>
            <w:r>
              <w:rPr>
                <w:rFonts w:ascii="Arial" w:cs="Arial" w:eastAsia="Arial" w:hAnsi="Arial"/>
                <w:sz w:val="18"/>
                <w:szCs w:val="18"/>
                <w:color w:val="auto"/>
              </w:rPr>
              <w:t>1.4</w:t>
            </w:r>
          </w:p>
        </w:tc>
        <w:tc>
          <w:tcPr>
            <w:tcW w:w="1660" w:type="dxa"/>
            <w:vAlign w:val="bottom"/>
            <w:gridSpan w:val="2"/>
          </w:tcPr>
          <w:p>
            <w:pPr>
              <w:jc w:val="right"/>
              <w:ind w:right="648"/>
              <w:spacing w:after="0"/>
              <w:rPr>
                <w:sz w:val="20"/>
                <w:szCs w:val="20"/>
                <w:color w:val="auto"/>
              </w:rPr>
            </w:pPr>
            <w:r>
              <w:rPr>
                <w:rFonts w:ascii="Arial" w:cs="Arial" w:eastAsia="Arial" w:hAnsi="Arial"/>
                <w:sz w:val="18"/>
                <w:szCs w:val="18"/>
                <w:color w:val="auto"/>
              </w:rPr>
              <w:t>1.6</w:t>
            </w:r>
          </w:p>
        </w:tc>
        <w:tc>
          <w:tcPr>
            <w:tcW w:w="260" w:type="dxa"/>
            <w:vAlign w:val="bottom"/>
          </w:tcPr>
          <w:p>
            <w:pPr>
              <w:spacing w:after="0"/>
              <w:rPr>
                <w:sz w:val="20"/>
                <w:szCs w:val="20"/>
                <w:color w:val="auto"/>
              </w:rPr>
            </w:pPr>
          </w:p>
        </w:tc>
        <w:tc>
          <w:tcPr>
            <w:tcW w:w="740" w:type="dxa"/>
            <w:vAlign w:val="bottom"/>
            <w:gridSpan w:val="2"/>
          </w:tcPr>
          <w:p>
            <w:pPr>
              <w:jc w:val="right"/>
              <w:ind w:right="60"/>
              <w:spacing w:after="0"/>
              <w:rPr>
                <w:sz w:val="20"/>
                <w:szCs w:val="20"/>
                <w:color w:val="auto"/>
              </w:rPr>
            </w:pPr>
            <w:r>
              <w:rPr>
                <w:rFonts w:ascii="Arial" w:cs="Arial" w:eastAsia="Arial" w:hAnsi="Arial"/>
                <w:sz w:val="18"/>
                <w:szCs w:val="18"/>
                <w:color w:val="auto"/>
              </w:rPr>
              <w:t>0.4</w:t>
            </w:r>
          </w:p>
        </w:tc>
      </w:tr>
      <w:tr>
        <w:trPr>
          <w:trHeight w:val="27"/>
        </w:trPr>
        <w:tc>
          <w:tcPr>
            <w:tcW w:w="578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700" w:type="dxa"/>
            <w:vAlign w:val="bottom"/>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700" w:type="dxa"/>
            <w:vAlign w:val="bottom"/>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72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r>
      <w:tr>
        <w:trPr>
          <w:trHeight w:val="216"/>
        </w:trPr>
        <w:tc>
          <w:tcPr>
            <w:tcW w:w="578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136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color w:val="auto"/>
              </w:rPr>
              <w:t>298.9</w:t>
            </w:r>
          </w:p>
        </w:tc>
        <w:tc>
          <w:tcPr>
            <w:tcW w:w="144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color w:val="auto"/>
              </w:rPr>
              <w:t>306.4</w:t>
            </w:r>
          </w:p>
        </w:tc>
        <w:tc>
          <w:tcPr>
            <w:tcW w:w="1660" w:type="dxa"/>
            <w:vAlign w:val="bottom"/>
            <w:gridSpan w:val="2"/>
            <w:shd w:val="clear" w:color="auto" w:fill="CCEEFF"/>
          </w:tcPr>
          <w:p>
            <w:pPr>
              <w:jc w:val="right"/>
              <w:ind w:right="648"/>
              <w:spacing w:after="0"/>
              <w:rPr>
                <w:sz w:val="20"/>
                <w:szCs w:val="20"/>
                <w:color w:val="auto"/>
              </w:rPr>
            </w:pPr>
            <w:r>
              <w:rPr>
                <w:rFonts w:ascii="Arial" w:cs="Arial" w:eastAsia="Arial" w:hAnsi="Arial"/>
                <w:sz w:val="18"/>
                <w:szCs w:val="18"/>
                <w:color w:val="auto"/>
              </w:rPr>
              <w:t>307.5</w:t>
            </w:r>
          </w:p>
        </w:tc>
        <w:tc>
          <w:tcPr>
            <w:tcW w:w="2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300.5</w:t>
            </w:r>
          </w:p>
        </w:tc>
      </w:tr>
      <w:tr>
        <w:trPr>
          <w:trHeight w:val="20"/>
        </w:trPr>
        <w:tc>
          <w:tcPr>
            <w:tcW w:w="578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3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13. Unaudited Pro Forma Net Loss Per Share</w:t>
      </w:r>
    </w:p>
    <w:p>
      <w:pPr>
        <w:spacing w:after="0" w:line="121" w:lineRule="exact"/>
        <w:rPr>
          <w:sz w:val="20"/>
          <w:szCs w:val="20"/>
          <w:color w:val="auto"/>
        </w:rPr>
      </w:pPr>
    </w:p>
    <w:p>
      <w:pPr>
        <w:ind w:right="220" w:firstLine="449"/>
        <w:spacing w:after="0" w:line="286" w:lineRule="auto"/>
        <w:rPr>
          <w:sz w:val="20"/>
          <w:szCs w:val="20"/>
          <w:color w:val="auto"/>
        </w:rPr>
      </w:pPr>
      <w:r>
        <w:rPr>
          <w:rFonts w:ascii="Arial" w:cs="Arial" w:eastAsia="Arial" w:hAnsi="Arial"/>
          <w:sz w:val="17"/>
          <w:szCs w:val="17"/>
          <w:color w:val="auto"/>
        </w:rPr>
        <w:t>Pro forma net loss per share was computed to give effect to the automatic conversion of all series of convertible preferred stock using the if-converted method as though the conversion had occurred as of the beginning of the period or the date of issuance, if later. Subject to the satisfaction of certain conditions, immediately prior to the completion of the Company’s initial public offering, all of the 220,965,979 shares of</w:t>
      </w:r>
    </w:p>
    <w:p>
      <w:pPr>
        <w:spacing w:after="0" w:line="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F-29</w:t>
      </w:r>
    </w:p>
    <w:p>
      <w:pPr>
        <w:sectPr>
          <w:pgSz w:w="11900" w:h="16838" w:orient="portrait"/>
          <w:cols w:equalWidth="0" w:num="1">
            <w:col w:w="11240"/>
          </w:cols>
          <w:pgMar w:left="320" w:top="459" w:right="339" w:bottom="1440" w:gutter="0" w:footer="0" w:header="0"/>
        </w:sectPr>
      </w:pPr>
    </w:p>
    <w:bookmarkStart w:id="188" w:name="page189"/>
    <w:bookmarkEnd w:id="18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spacing w:after="0" w:line="296" w:lineRule="auto"/>
        <w:rPr>
          <w:sz w:val="20"/>
          <w:szCs w:val="20"/>
          <w:color w:val="auto"/>
        </w:rPr>
      </w:pPr>
      <w:r>
        <w:rPr>
          <w:rFonts w:ascii="Arial" w:cs="Arial" w:eastAsia="Arial" w:hAnsi="Arial"/>
          <w:sz w:val="16"/>
          <w:szCs w:val="16"/>
          <w:color w:val="auto"/>
        </w:rPr>
        <w:t>convertible preferred stock will convert into an equivalent number of shares of Class B common stock. Further, pursuant to transfer agreements with certain of the Company’s stockholders, 387,934 shares of the Company’s preferred stock and 3,914,934 shares of the Company’s Class B common stock will automatically convert into an equivalent number of shares of Class A common stock. In addition, the pro forma share amounts give effect to the weighted average issuance of two-tier RSUs that have satisfied the service-based vesting condition and the Performance Vesting Condition as of December 31, 2016 and September 30, 2017. Share repurchases to satisfy tax withholding obligations have not been included in these pro forma adjustments.</w:t>
      </w:r>
    </w:p>
    <w:p>
      <w:pPr>
        <w:spacing w:after="0" w:line="161" w:lineRule="exact"/>
        <w:rPr>
          <w:sz w:val="20"/>
          <w:szCs w:val="20"/>
          <w:color w:val="auto"/>
        </w:rPr>
      </w:pPr>
    </w:p>
    <w:p>
      <w:pPr>
        <w:ind w:right="80" w:firstLine="449"/>
        <w:spacing w:after="0" w:line="257" w:lineRule="auto"/>
        <w:rPr>
          <w:sz w:val="20"/>
          <w:szCs w:val="20"/>
          <w:color w:val="auto"/>
        </w:rPr>
      </w:pPr>
      <w:r>
        <w:rPr>
          <w:rFonts w:ascii="Arial" w:cs="Arial" w:eastAsia="Arial" w:hAnsi="Arial"/>
          <w:sz w:val="18"/>
          <w:szCs w:val="18"/>
          <w:color w:val="auto"/>
        </w:rPr>
        <w:t>The net loss used in computing pro forma net loss per share amount in the table below does not give effect to the stock-based compensation expense associated with two-tier RSUs that have both a service-based vesting condition and the Performance Vesting Condition. If an initial public offering had been completed on September 30, 2017, the Company would have recognized approximately $415.4 million of stock-based compensation expense on the effective date, and would have approximately $9.4 million of additional future period expense to be recognized over the remaining service periods through 2019.</w:t>
      </w:r>
    </w:p>
    <w:p>
      <w:pPr>
        <w:spacing w:after="0" w:line="18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presents the calculation of pro forma net loss attributable to common stockholders per share, basic and diluted:</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2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20" w:type="dxa"/>
            <w:vAlign w:val="bottom"/>
            <w:gridSpan w:val="6"/>
          </w:tcPr>
          <w:p>
            <w:pPr>
              <w:jc w:val="center"/>
              <w:ind w:right="500"/>
              <w:spacing w:after="0"/>
              <w:rPr>
                <w:sz w:val="20"/>
                <w:szCs w:val="20"/>
                <w:color w:val="auto"/>
              </w:rPr>
            </w:pPr>
            <w:r>
              <w:rPr>
                <w:rFonts w:ascii="Arial" w:cs="Arial" w:eastAsia="Arial" w:hAnsi="Arial"/>
                <w:sz w:val="14"/>
                <w:szCs w:val="14"/>
                <w:b w:val="1"/>
                <w:bCs w:val="1"/>
                <w:color w:val="auto"/>
                <w:w w:val="91"/>
              </w:rPr>
              <w:t>Year ended December 31,</w:t>
            </w:r>
          </w:p>
        </w:tc>
        <w:tc>
          <w:tcPr>
            <w:tcW w:w="3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580" w:type="dxa"/>
            <w:vAlign w:val="bottom"/>
            <w:gridSpan w:val="6"/>
          </w:tcPr>
          <w:p>
            <w:pPr>
              <w:jc w:val="center"/>
              <w:ind w:right="280"/>
              <w:spacing w:after="0"/>
              <w:rPr>
                <w:sz w:val="20"/>
                <w:szCs w:val="20"/>
                <w:color w:val="auto"/>
              </w:rPr>
            </w:pPr>
            <w:r>
              <w:rPr>
                <w:rFonts w:ascii="Arial" w:cs="Arial" w:eastAsia="Arial" w:hAnsi="Arial"/>
                <w:sz w:val="14"/>
                <w:szCs w:val="14"/>
                <w:b w:val="1"/>
                <w:bCs w:val="1"/>
                <w:color w:val="auto"/>
                <w:w w:val="91"/>
              </w:rPr>
              <w:t>Nine months ended September 30,</w:t>
            </w:r>
          </w:p>
        </w:tc>
        <w:tc>
          <w:tcPr>
            <w:tcW w:w="0" w:type="dxa"/>
            <w:vAlign w:val="bottom"/>
          </w:tcPr>
          <w:p>
            <w:pPr>
              <w:spacing w:after="0"/>
              <w:rPr>
                <w:sz w:val="1"/>
                <w:szCs w:val="1"/>
                <w:color w:val="auto"/>
              </w:rPr>
            </w:pPr>
          </w:p>
        </w:tc>
      </w:tr>
      <w:tr>
        <w:trPr>
          <w:trHeight w:val="142"/>
        </w:trPr>
        <w:tc>
          <w:tcPr>
            <w:tcW w:w="52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80" w:type="dxa"/>
            <w:vAlign w:val="bottom"/>
            <w:tcBorders>
              <w:top w:val="single" w:sz="8" w:color="auto"/>
              <w:bottom w:val="single" w:sz="8" w:color="auto"/>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580" w:type="dxa"/>
            <w:vAlign w:val="bottom"/>
            <w:tcBorders>
              <w:top w:val="single" w:sz="8" w:color="auto"/>
              <w:bottom w:val="single" w:sz="8" w:color="auto"/>
            </w:tcBorders>
          </w:tcPr>
          <w:p>
            <w:pPr>
              <w:jc w:val="right"/>
              <w:ind w:right="115"/>
              <w:spacing w:after="0" w:line="142" w:lineRule="exact"/>
              <w:rPr>
                <w:sz w:val="20"/>
                <w:szCs w:val="20"/>
                <w:color w:val="auto"/>
              </w:rPr>
            </w:pPr>
            <w:r>
              <w:rPr>
                <w:rFonts w:ascii="Arial" w:cs="Arial" w:eastAsia="Arial" w:hAnsi="Arial"/>
                <w:sz w:val="14"/>
                <w:szCs w:val="14"/>
                <w:b w:val="1"/>
                <w:bCs w:val="1"/>
                <w:color w:val="auto"/>
              </w:rPr>
              <w:t>2016</w:t>
            </w:r>
          </w:p>
        </w:tc>
        <w:tc>
          <w:tcPr>
            <w:tcW w:w="120" w:type="dxa"/>
            <w:vAlign w:val="bottom"/>
            <w:tcBorders>
              <w:top w:val="single" w:sz="8" w:color="auto"/>
              <w:bottom w:val="single" w:sz="8" w:color="auto"/>
            </w:tcBorders>
          </w:tcPr>
          <w:p>
            <w:pPr>
              <w:spacing w:after="0"/>
              <w:rPr>
                <w:sz w:val="12"/>
                <w:szCs w:val="12"/>
                <w:color w:val="auto"/>
              </w:rPr>
            </w:pPr>
          </w:p>
        </w:tc>
        <w:tc>
          <w:tcPr>
            <w:tcW w:w="600" w:type="dxa"/>
            <w:vAlign w:val="bottom"/>
            <w:tcBorders>
              <w:top w:val="single" w:sz="8" w:color="auto"/>
              <w:bottom w:val="single" w:sz="8" w:color="auto"/>
            </w:tcBorders>
          </w:tcPr>
          <w:p>
            <w:pPr>
              <w:spacing w:after="0"/>
              <w:rPr>
                <w:sz w:val="12"/>
                <w:szCs w:val="12"/>
                <w:color w:val="auto"/>
              </w:rPr>
            </w:pPr>
          </w:p>
        </w:tc>
        <w:tc>
          <w:tcPr>
            <w:tcW w:w="400" w:type="dxa"/>
            <w:vAlign w:val="bottom"/>
            <w:tcBorders>
              <w:bottom w:val="single" w:sz="8" w:color="auto"/>
            </w:tcBorders>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740" w:type="dxa"/>
            <w:vAlign w:val="bottom"/>
            <w:tcBorders>
              <w:top w:val="single" w:sz="8" w:color="auto"/>
              <w:bottom w:val="single" w:sz="8" w:color="auto"/>
            </w:tcBorders>
          </w:tcPr>
          <w:p>
            <w:pPr>
              <w:spacing w:after="0"/>
              <w:rPr>
                <w:sz w:val="12"/>
                <w:szCs w:val="12"/>
                <w:color w:val="auto"/>
              </w:rPr>
            </w:pPr>
          </w:p>
        </w:tc>
        <w:tc>
          <w:tcPr>
            <w:tcW w:w="200" w:type="dxa"/>
            <w:vAlign w:val="bottom"/>
            <w:tcBorders>
              <w:top w:val="single" w:sz="8" w:color="auto"/>
              <w:bottom w:val="single" w:sz="8" w:color="auto"/>
            </w:tcBorders>
          </w:tcPr>
          <w:p>
            <w:pPr>
              <w:spacing w:after="0"/>
              <w:rPr>
                <w:sz w:val="12"/>
                <w:szCs w:val="12"/>
                <w:color w:val="auto"/>
              </w:rPr>
            </w:pPr>
          </w:p>
        </w:tc>
        <w:tc>
          <w:tcPr>
            <w:tcW w:w="580" w:type="dxa"/>
            <w:vAlign w:val="bottom"/>
            <w:tcBorders>
              <w:top w:val="single" w:sz="8" w:color="auto"/>
              <w:bottom w:val="single" w:sz="8" w:color="auto"/>
            </w:tcBorders>
          </w:tcPr>
          <w:p>
            <w:pPr>
              <w:jc w:val="right"/>
              <w:ind w:right="135"/>
              <w:spacing w:after="0" w:line="142" w:lineRule="exact"/>
              <w:rPr>
                <w:sz w:val="20"/>
                <w:szCs w:val="20"/>
                <w:color w:val="auto"/>
              </w:rPr>
            </w:pPr>
            <w:r>
              <w:rPr>
                <w:rFonts w:ascii="Arial" w:cs="Arial" w:eastAsia="Arial" w:hAnsi="Arial"/>
                <w:sz w:val="14"/>
                <w:szCs w:val="14"/>
                <w:b w:val="1"/>
                <w:bCs w:val="1"/>
                <w:color w:val="auto"/>
              </w:rPr>
              <w:t>2017</w:t>
            </w:r>
          </w:p>
        </w:tc>
        <w:tc>
          <w:tcPr>
            <w:tcW w:w="160" w:type="dxa"/>
            <w:vAlign w:val="bottom"/>
            <w:tcBorders>
              <w:top w:val="single" w:sz="8" w:color="auto"/>
              <w:bottom w:val="single" w:sz="8" w:color="auto"/>
            </w:tcBorders>
          </w:tcPr>
          <w:p>
            <w:pPr>
              <w:spacing w:after="0"/>
              <w:rPr>
                <w:sz w:val="12"/>
                <w:szCs w:val="12"/>
                <w:color w:val="auto"/>
              </w:rPr>
            </w:pPr>
          </w:p>
        </w:tc>
        <w:tc>
          <w:tcPr>
            <w:tcW w:w="800" w:type="dxa"/>
            <w:vAlign w:val="bottom"/>
            <w:tcBorders>
              <w:top w:val="single" w:sz="8" w:color="auto"/>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52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2420" w:type="dxa"/>
            <w:vAlign w:val="bottom"/>
            <w:tcBorders>
              <w:bottom w:val="single" w:sz="8" w:color="auto"/>
            </w:tcBorders>
            <w:gridSpan w:val="6"/>
          </w:tcPr>
          <w:p>
            <w:pPr>
              <w:jc w:val="right"/>
              <w:ind w:right="80"/>
              <w:spacing w:after="0" w:line="142" w:lineRule="exact"/>
              <w:rPr>
                <w:sz w:val="20"/>
                <w:szCs w:val="20"/>
                <w:color w:val="auto"/>
              </w:rPr>
            </w:pPr>
            <w:r>
              <w:rPr>
                <w:rFonts w:ascii="Arial" w:cs="Arial" w:eastAsia="Arial" w:hAnsi="Arial"/>
                <w:sz w:val="14"/>
                <w:szCs w:val="14"/>
                <w:i w:val="1"/>
                <w:iCs w:val="1"/>
                <w:color w:val="auto"/>
                <w:w w:val="96"/>
              </w:rPr>
              <w:t>(In millions, except per share amounts)</w:t>
            </w:r>
          </w:p>
        </w:tc>
        <w:tc>
          <w:tcPr>
            <w:tcW w:w="580" w:type="dxa"/>
            <w:vAlign w:val="bottom"/>
            <w:tcBorders>
              <w:bottom w:val="single" w:sz="8" w:color="auto"/>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52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gridSpan w:val="2"/>
          </w:tcPr>
          <w:p>
            <w:pPr>
              <w:jc w:val="right"/>
              <w:ind w:right="260"/>
              <w:spacing w:after="0" w:line="142" w:lineRule="exact"/>
              <w:rPr>
                <w:sz w:val="20"/>
                <w:szCs w:val="20"/>
                <w:color w:val="auto"/>
              </w:rPr>
            </w:pPr>
            <w:r>
              <w:rPr>
                <w:rFonts w:ascii="Arial" w:cs="Arial" w:eastAsia="Arial" w:hAnsi="Arial"/>
                <w:sz w:val="14"/>
                <w:szCs w:val="14"/>
                <w:color w:val="auto"/>
                <w:w w:val="91"/>
              </w:rPr>
              <w:t>Class A</w:t>
            </w:r>
          </w:p>
        </w:tc>
        <w:tc>
          <w:tcPr>
            <w:tcW w:w="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gridSpan w:val="2"/>
          </w:tcPr>
          <w:p>
            <w:pPr>
              <w:jc w:val="right"/>
              <w:ind w:right="540"/>
              <w:spacing w:after="0" w:line="142" w:lineRule="exact"/>
              <w:rPr>
                <w:sz w:val="20"/>
                <w:szCs w:val="20"/>
                <w:color w:val="auto"/>
              </w:rPr>
            </w:pPr>
            <w:r>
              <w:rPr>
                <w:rFonts w:ascii="Arial" w:cs="Arial" w:eastAsia="Arial" w:hAnsi="Arial"/>
                <w:sz w:val="14"/>
                <w:szCs w:val="14"/>
                <w:color w:val="auto"/>
                <w:w w:val="91"/>
              </w:rPr>
              <w:t>Class B</w:t>
            </w:r>
          </w:p>
        </w:tc>
        <w:tc>
          <w:tcPr>
            <w:tcW w:w="3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40" w:type="dxa"/>
            <w:vAlign w:val="bottom"/>
            <w:gridSpan w:val="2"/>
          </w:tcPr>
          <w:p>
            <w:pPr>
              <w:jc w:val="right"/>
              <w:ind w:right="420"/>
              <w:spacing w:after="0" w:line="142" w:lineRule="exact"/>
              <w:rPr>
                <w:sz w:val="20"/>
                <w:szCs w:val="20"/>
                <w:color w:val="auto"/>
              </w:rPr>
            </w:pPr>
            <w:r>
              <w:rPr>
                <w:rFonts w:ascii="Arial" w:cs="Arial" w:eastAsia="Arial" w:hAnsi="Arial"/>
                <w:sz w:val="14"/>
                <w:szCs w:val="14"/>
                <w:color w:val="auto"/>
              </w:rPr>
              <w:t>Class A</w:t>
            </w:r>
          </w:p>
        </w:tc>
        <w:tc>
          <w:tcPr>
            <w:tcW w:w="5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0" w:type="dxa"/>
            <w:vAlign w:val="bottom"/>
          </w:tcPr>
          <w:p>
            <w:pPr>
              <w:jc w:val="right"/>
              <w:ind w:right="172"/>
              <w:spacing w:after="0" w:line="142" w:lineRule="exact"/>
              <w:rPr>
                <w:sz w:val="20"/>
                <w:szCs w:val="20"/>
                <w:color w:val="auto"/>
              </w:rPr>
            </w:pPr>
            <w:r>
              <w:rPr>
                <w:rFonts w:ascii="Arial" w:cs="Arial" w:eastAsia="Arial" w:hAnsi="Arial"/>
                <w:sz w:val="14"/>
                <w:szCs w:val="14"/>
                <w:color w:val="auto"/>
              </w:rPr>
              <w:t>Class B</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524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Numerator:</w:t>
            </w:r>
          </w:p>
        </w:tc>
        <w:tc>
          <w:tcPr>
            <w:tcW w:w="4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58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600" w:type="dxa"/>
            <w:vAlign w:val="bottom"/>
            <w:tcBorders>
              <w:top w:val="single" w:sz="8" w:color="auto"/>
            </w:tcBorders>
            <w:shd w:val="clear" w:color="auto" w:fill="CCEEFF"/>
          </w:tcPr>
          <w:p>
            <w:pPr>
              <w:spacing w:after="0"/>
              <w:rPr>
                <w:sz w:val="17"/>
                <w:szCs w:val="17"/>
                <w:color w:val="auto"/>
              </w:rPr>
            </w:pPr>
          </w:p>
        </w:tc>
        <w:tc>
          <w:tcPr>
            <w:tcW w:w="400" w:type="dxa"/>
            <w:vAlign w:val="bottom"/>
            <w:tcBorders>
              <w:top w:val="single" w:sz="8" w:color="CCEEFF"/>
            </w:tcBorders>
            <w:shd w:val="clear" w:color="auto" w:fill="CCEEFF"/>
          </w:tcPr>
          <w:p>
            <w:pPr>
              <w:spacing w:after="0"/>
              <w:rPr>
                <w:sz w:val="17"/>
                <w:szCs w:val="17"/>
                <w:color w:val="auto"/>
              </w:rPr>
            </w:pPr>
          </w:p>
        </w:tc>
        <w:tc>
          <w:tcPr>
            <w:tcW w:w="32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74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58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8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240" w:type="dxa"/>
            <w:vAlign w:val="bottom"/>
          </w:tcPr>
          <w:p>
            <w:pPr>
              <w:ind w:left="360"/>
              <w:spacing w:after="0"/>
              <w:rPr>
                <w:sz w:val="20"/>
                <w:szCs w:val="20"/>
                <w:color w:val="auto"/>
              </w:rPr>
            </w:pPr>
            <w:r>
              <w:rPr>
                <w:rFonts w:ascii="Arial" w:cs="Arial" w:eastAsia="Arial" w:hAnsi="Arial"/>
                <w:sz w:val="18"/>
                <w:szCs w:val="18"/>
                <w:color w:val="auto"/>
              </w:rPr>
              <w:t>Net loss as reported</w:t>
            </w:r>
          </w:p>
        </w:tc>
        <w:tc>
          <w:tcPr>
            <w:tcW w:w="42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gridSpan w:val="2"/>
          </w:tcPr>
          <w:p>
            <w:pPr>
              <w:jc w:val="right"/>
              <w:ind w:right="80"/>
              <w:spacing w:after="0"/>
              <w:rPr>
                <w:sz w:val="20"/>
                <w:szCs w:val="20"/>
                <w:color w:val="auto"/>
              </w:rPr>
            </w:pPr>
            <w:r>
              <w:rPr>
                <w:rFonts w:ascii="Arial" w:cs="Arial" w:eastAsia="Arial" w:hAnsi="Arial"/>
                <w:sz w:val="18"/>
                <w:szCs w:val="18"/>
                <w:color w:val="auto"/>
              </w:rPr>
              <w:t>(6.1)</w:t>
            </w:r>
          </w:p>
        </w:tc>
        <w:tc>
          <w:tcPr>
            <w:tcW w:w="7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340"/>
              <w:spacing w:after="0"/>
              <w:rPr>
                <w:sz w:val="20"/>
                <w:szCs w:val="20"/>
                <w:color w:val="auto"/>
              </w:rPr>
            </w:pPr>
            <w:r>
              <w:rPr>
                <w:rFonts w:ascii="Arial" w:cs="Arial" w:eastAsia="Arial" w:hAnsi="Arial"/>
                <w:sz w:val="18"/>
                <w:szCs w:val="18"/>
                <w:color w:val="auto"/>
              </w:rPr>
              <w:t>(204.1)</w:t>
            </w:r>
          </w:p>
        </w:tc>
        <w:tc>
          <w:tcPr>
            <w:tcW w:w="48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140"/>
              <w:spacing w:after="0"/>
              <w:rPr>
                <w:sz w:val="20"/>
                <w:szCs w:val="20"/>
                <w:color w:val="auto"/>
              </w:rPr>
            </w:pPr>
            <w:r>
              <w:rPr>
                <w:rFonts w:ascii="Arial" w:cs="Arial" w:eastAsia="Arial" w:hAnsi="Arial"/>
                <w:sz w:val="18"/>
                <w:szCs w:val="18"/>
                <w:color w:val="auto"/>
              </w:rPr>
              <w:t>(2.3)</w:t>
            </w:r>
          </w:p>
        </w:tc>
        <w:tc>
          <w:tcPr>
            <w:tcW w:w="74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40"/>
              <w:spacing w:after="0"/>
              <w:rPr>
                <w:sz w:val="20"/>
                <w:szCs w:val="20"/>
                <w:color w:val="auto"/>
              </w:rPr>
            </w:pPr>
            <w:r>
              <w:rPr>
                <w:rFonts w:ascii="Arial" w:cs="Arial" w:eastAsia="Arial" w:hAnsi="Arial"/>
                <w:sz w:val="18"/>
                <w:szCs w:val="18"/>
                <w:color w:val="auto"/>
              </w:rPr>
              <w:t>(71.7)</w:t>
            </w:r>
          </w:p>
        </w:tc>
        <w:tc>
          <w:tcPr>
            <w:tcW w:w="0" w:type="dxa"/>
            <w:vAlign w:val="bottom"/>
          </w:tcPr>
          <w:p>
            <w:pPr>
              <w:spacing w:after="0"/>
              <w:rPr>
                <w:sz w:val="1"/>
                <w:szCs w:val="1"/>
                <w:color w:val="auto"/>
              </w:rPr>
            </w:pPr>
          </w:p>
        </w:tc>
      </w:tr>
      <w:tr>
        <w:trPr>
          <w:trHeight w:val="27"/>
        </w:trPr>
        <w:tc>
          <w:tcPr>
            <w:tcW w:w="524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5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5240" w:type="dxa"/>
            <w:vAlign w:val="bottom"/>
            <w:shd w:val="clear" w:color="auto" w:fill="CCEEFF"/>
          </w:tcPr>
          <w:p>
            <w:pPr>
              <w:ind w:left="720"/>
              <w:spacing w:after="0"/>
              <w:rPr>
                <w:sz w:val="20"/>
                <w:szCs w:val="20"/>
                <w:color w:val="auto"/>
              </w:rPr>
            </w:pPr>
            <w:r>
              <w:rPr>
                <w:rFonts w:ascii="Arial" w:cs="Arial" w:eastAsia="Arial" w:hAnsi="Arial"/>
                <w:sz w:val="18"/>
                <w:szCs w:val="18"/>
                <w:color w:val="auto"/>
              </w:rPr>
              <w:t>Reallocation of net loss due to pro forma adjustments</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w:t>
            </w:r>
          </w:p>
        </w:tc>
        <w:tc>
          <w:tcPr>
            <w:tcW w:w="1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(2.8)</w:t>
            </w:r>
          </w:p>
        </w:tc>
        <w:tc>
          <w:tcPr>
            <w:tcW w:w="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0.5</w:t>
            </w:r>
          </w:p>
        </w:tc>
        <w:tc>
          <w:tcPr>
            <w:tcW w:w="5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(0.5)</w:t>
            </w:r>
          </w:p>
        </w:tc>
        <w:tc>
          <w:tcPr>
            <w:tcW w:w="0" w:type="dxa"/>
            <w:vAlign w:val="bottom"/>
          </w:tcPr>
          <w:p>
            <w:pPr>
              <w:spacing w:after="0"/>
              <w:rPr>
                <w:sz w:val="1"/>
                <w:szCs w:val="1"/>
                <w:color w:val="auto"/>
              </w:rPr>
            </w:pPr>
          </w:p>
        </w:tc>
      </w:tr>
      <w:tr>
        <w:trPr>
          <w:trHeight w:val="202"/>
        </w:trPr>
        <w:tc>
          <w:tcPr>
            <w:tcW w:w="5240" w:type="dxa"/>
            <w:vAlign w:val="bottom"/>
          </w:tcPr>
          <w:p>
            <w:pPr>
              <w:ind w:left="720"/>
              <w:spacing w:after="0" w:line="201" w:lineRule="exact"/>
              <w:rPr>
                <w:sz w:val="20"/>
                <w:szCs w:val="20"/>
                <w:color w:val="auto"/>
              </w:rPr>
            </w:pPr>
            <w:r>
              <w:rPr>
                <w:rFonts w:ascii="Arial" w:cs="Arial" w:eastAsia="Arial" w:hAnsi="Arial"/>
                <w:sz w:val="18"/>
                <w:szCs w:val="18"/>
                <w:color w:val="auto"/>
                <w:w w:val="96"/>
              </w:rPr>
              <w:t>Net loss attributable to common stockholders for pro forma</w:t>
            </w:r>
          </w:p>
        </w:tc>
        <w:tc>
          <w:tcPr>
            <w:tcW w:w="4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5240" w:type="dxa"/>
            <w:vAlign w:val="bottom"/>
          </w:tcPr>
          <w:p>
            <w:pPr>
              <w:ind w:left="900"/>
              <w:spacing w:after="0"/>
              <w:rPr>
                <w:sz w:val="20"/>
                <w:szCs w:val="20"/>
                <w:color w:val="auto"/>
              </w:rPr>
            </w:pPr>
            <w:r>
              <w:rPr>
                <w:rFonts w:ascii="Arial" w:cs="Arial" w:eastAsia="Arial" w:hAnsi="Arial"/>
                <w:sz w:val="18"/>
                <w:szCs w:val="18"/>
                <w:color w:val="auto"/>
              </w:rPr>
              <w:t>net loss per share computation, basic and diluted</w:t>
            </w:r>
          </w:p>
        </w:tc>
        <w:tc>
          <w:tcPr>
            <w:tcW w:w="5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20" w:type="dxa"/>
            <w:vAlign w:val="bottom"/>
            <w:gridSpan w:val="2"/>
          </w:tcPr>
          <w:p>
            <w:pPr>
              <w:jc w:val="right"/>
              <w:ind w:right="80"/>
              <w:spacing w:after="0"/>
              <w:rPr>
                <w:sz w:val="20"/>
                <w:szCs w:val="20"/>
                <w:color w:val="auto"/>
              </w:rPr>
            </w:pPr>
            <w:r>
              <w:rPr>
                <w:rFonts w:ascii="Arial" w:cs="Arial" w:eastAsia="Arial" w:hAnsi="Arial"/>
                <w:sz w:val="18"/>
                <w:szCs w:val="18"/>
                <w:color w:val="auto"/>
              </w:rPr>
              <w:t>(3.3)</w:t>
            </w:r>
          </w:p>
        </w:tc>
        <w:tc>
          <w:tcPr>
            <w:tcW w:w="7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340"/>
              <w:spacing w:after="0"/>
              <w:rPr>
                <w:sz w:val="20"/>
                <w:szCs w:val="20"/>
                <w:color w:val="auto"/>
              </w:rPr>
            </w:pPr>
            <w:r>
              <w:rPr>
                <w:rFonts w:ascii="Arial" w:cs="Arial" w:eastAsia="Arial" w:hAnsi="Arial"/>
                <w:sz w:val="18"/>
                <w:szCs w:val="18"/>
                <w:color w:val="auto"/>
              </w:rPr>
              <w:t>(206.9)</w:t>
            </w:r>
          </w:p>
        </w:tc>
        <w:tc>
          <w:tcPr>
            <w:tcW w:w="48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140"/>
              <w:spacing w:after="0"/>
              <w:rPr>
                <w:sz w:val="20"/>
                <w:szCs w:val="20"/>
                <w:color w:val="auto"/>
              </w:rPr>
            </w:pPr>
            <w:r>
              <w:rPr>
                <w:rFonts w:ascii="Arial" w:cs="Arial" w:eastAsia="Arial" w:hAnsi="Arial"/>
                <w:sz w:val="18"/>
                <w:szCs w:val="18"/>
                <w:color w:val="auto"/>
              </w:rPr>
              <w:t>(1.8)</w:t>
            </w:r>
          </w:p>
        </w:tc>
        <w:tc>
          <w:tcPr>
            <w:tcW w:w="74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40"/>
              <w:spacing w:after="0"/>
              <w:rPr>
                <w:sz w:val="20"/>
                <w:szCs w:val="20"/>
                <w:color w:val="auto"/>
              </w:rPr>
            </w:pPr>
            <w:r>
              <w:rPr>
                <w:rFonts w:ascii="Arial" w:cs="Arial" w:eastAsia="Arial" w:hAnsi="Arial"/>
                <w:sz w:val="18"/>
                <w:szCs w:val="18"/>
                <w:color w:val="auto"/>
              </w:rPr>
              <w:t>(72.2)</w:t>
            </w:r>
          </w:p>
        </w:tc>
        <w:tc>
          <w:tcPr>
            <w:tcW w:w="0" w:type="dxa"/>
            <w:vAlign w:val="bottom"/>
          </w:tcPr>
          <w:p>
            <w:pPr>
              <w:spacing w:after="0"/>
              <w:rPr>
                <w:sz w:val="1"/>
                <w:szCs w:val="1"/>
                <w:color w:val="auto"/>
              </w:rPr>
            </w:pPr>
          </w:p>
        </w:tc>
      </w:tr>
      <w:tr>
        <w:trPr>
          <w:trHeight w:val="20"/>
        </w:trPr>
        <w:tc>
          <w:tcPr>
            <w:tcW w:w="52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240" w:type="dxa"/>
            <w:vAlign w:val="bottom"/>
            <w:shd w:val="clear" w:color="auto" w:fill="CCEEFF"/>
          </w:tcPr>
          <w:p>
            <w:pPr>
              <w:spacing w:after="0"/>
              <w:rPr>
                <w:sz w:val="20"/>
                <w:szCs w:val="20"/>
                <w:color w:val="auto"/>
              </w:rPr>
            </w:pPr>
            <w:r>
              <w:rPr>
                <w:rFonts w:ascii="Arial" w:cs="Arial" w:eastAsia="Arial" w:hAnsi="Arial"/>
                <w:sz w:val="18"/>
                <w:szCs w:val="18"/>
                <w:color w:val="auto"/>
              </w:rPr>
              <w:t>Denominator:</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5240" w:type="dxa"/>
            <w:vAlign w:val="bottom"/>
          </w:tcPr>
          <w:p>
            <w:pPr>
              <w:ind w:left="360"/>
              <w:spacing w:after="0" w:line="201" w:lineRule="exact"/>
              <w:rPr>
                <w:sz w:val="20"/>
                <w:szCs w:val="20"/>
                <w:color w:val="auto"/>
              </w:rPr>
            </w:pPr>
            <w:r>
              <w:rPr>
                <w:rFonts w:ascii="Arial" w:cs="Arial" w:eastAsia="Arial" w:hAnsi="Arial"/>
                <w:sz w:val="18"/>
                <w:szCs w:val="18"/>
                <w:color w:val="auto"/>
                <w:w w:val="97"/>
              </w:rPr>
              <w:t>Weighted-average shares of common stock used in computing</w:t>
            </w:r>
          </w:p>
        </w:tc>
        <w:tc>
          <w:tcPr>
            <w:tcW w:w="4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240" w:type="dxa"/>
            <w:vAlign w:val="bottom"/>
          </w:tcPr>
          <w:p>
            <w:pPr>
              <w:ind w:left="540"/>
              <w:spacing w:after="0"/>
              <w:rPr>
                <w:sz w:val="20"/>
                <w:szCs w:val="20"/>
                <w:color w:val="auto"/>
              </w:rPr>
            </w:pPr>
            <w:r>
              <w:rPr>
                <w:rFonts w:ascii="Arial" w:cs="Arial" w:eastAsia="Arial" w:hAnsi="Arial"/>
                <w:sz w:val="18"/>
                <w:szCs w:val="18"/>
                <w:color w:val="auto"/>
                <w:w w:val="95"/>
              </w:rPr>
              <w:t>net loss per share attributable to common stockholders, basic</w:t>
            </w: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240" w:type="dxa"/>
            <w:vAlign w:val="bottom"/>
          </w:tcPr>
          <w:p>
            <w:pPr>
              <w:ind w:left="540"/>
              <w:spacing w:after="0"/>
              <w:rPr>
                <w:sz w:val="20"/>
                <w:szCs w:val="20"/>
                <w:color w:val="auto"/>
              </w:rPr>
            </w:pPr>
            <w:r>
              <w:rPr>
                <w:rFonts w:ascii="Arial" w:cs="Arial" w:eastAsia="Arial" w:hAnsi="Arial"/>
                <w:sz w:val="18"/>
                <w:szCs w:val="18"/>
                <w:color w:val="auto"/>
              </w:rPr>
              <w:t>and diluted</w:t>
            </w:r>
          </w:p>
        </w:tc>
        <w:tc>
          <w:tcPr>
            <w:tcW w:w="4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20" w:type="dxa"/>
            <w:vAlign w:val="bottom"/>
            <w:gridSpan w:val="2"/>
          </w:tcPr>
          <w:p>
            <w:pPr>
              <w:jc w:val="right"/>
              <w:ind w:right="140"/>
              <w:spacing w:after="0"/>
              <w:rPr>
                <w:sz w:val="20"/>
                <w:szCs w:val="20"/>
                <w:color w:val="auto"/>
              </w:rPr>
            </w:pPr>
            <w:r>
              <w:rPr>
                <w:rFonts w:ascii="Arial" w:cs="Arial" w:eastAsia="Arial" w:hAnsi="Arial"/>
                <w:sz w:val="18"/>
                <w:szCs w:val="18"/>
                <w:color w:val="auto"/>
              </w:rPr>
              <w:t>8.3</w:t>
            </w:r>
          </w:p>
        </w:tc>
        <w:tc>
          <w:tcPr>
            <w:tcW w:w="5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gridSpan w:val="2"/>
          </w:tcPr>
          <w:p>
            <w:pPr>
              <w:jc w:val="right"/>
              <w:ind w:right="400"/>
              <w:spacing w:after="0"/>
              <w:rPr>
                <w:sz w:val="20"/>
                <w:szCs w:val="20"/>
                <w:color w:val="auto"/>
              </w:rPr>
            </w:pPr>
            <w:r>
              <w:rPr>
                <w:rFonts w:ascii="Arial" w:cs="Arial" w:eastAsia="Arial" w:hAnsi="Arial"/>
                <w:sz w:val="18"/>
                <w:szCs w:val="18"/>
                <w:color w:val="auto"/>
              </w:rPr>
              <w:t>275.4</w:t>
            </w:r>
          </w:p>
        </w:tc>
        <w:tc>
          <w:tcPr>
            <w:tcW w:w="3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40" w:type="dxa"/>
            <w:vAlign w:val="bottom"/>
            <w:gridSpan w:val="2"/>
          </w:tcPr>
          <w:p>
            <w:pPr>
              <w:jc w:val="right"/>
              <w:ind w:right="200"/>
              <w:spacing w:after="0"/>
              <w:rPr>
                <w:sz w:val="20"/>
                <w:szCs w:val="20"/>
                <w:color w:val="auto"/>
              </w:rPr>
            </w:pPr>
            <w:r>
              <w:rPr>
                <w:rFonts w:ascii="Arial" w:cs="Arial" w:eastAsia="Arial" w:hAnsi="Arial"/>
                <w:sz w:val="18"/>
                <w:szCs w:val="18"/>
                <w:color w:val="auto"/>
              </w:rPr>
              <w:t>9.1</w:t>
            </w:r>
          </w:p>
        </w:tc>
        <w:tc>
          <w:tcPr>
            <w:tcW w:w="5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284.2</w:t>
            </w:r>
          </w:p>
        </w:tc>
        <w:tc>
          <w:tcPr>
            <w:tcW w:w="0" w:type="dxa"/>
            <w:vAlign w:val="bottom"/>
          </w:tcPr>
          <w:p>
            <w:pPr>
              <w:spacing w:after="0"/>
              <w:rPr>
                <w:sz w:val="1"/>
                <w:szCs w:val="1"/>
                <w:color w:val="auto"/>
              </w:rPr>
            </w:pPr>
          </w:p>
        </w:tc>
      </w:tr>
      <w:tr>
        <w:trPr>
          <w:trHeight w:val="202"/>
        </w:trPr>
        <w:tc>
          <w:tcPr>
            <w:tcW w:w="5240" w:type="dxa"/>
            <w:vAlign w:val="bottom"/>
            <w:shd w:val="clear" w:color="auto" w:fill="CCEEFF"/>
          </w:tcPr>
          <w:p>
            <w:pPr>
              <w:ind w:left="720"/>
              <w:spacing w:after="0" w:line="201" w:lineRule="exact"/>
              <w:rPr>
                <w:sz w:val="20"/>
                <w:szCs w:val="20"/>
                <w:color w:val="auto"/>
              </w:rPr>
            </w:pPr>
            <w:r>
              <w:rPr>
                <w:rFonts w:ascii="Arial" w:cs="Arial" w:eastAsia="Arial" w:hAnsi="Arial"/>
                <w:sz w:val="18"/>
                <w:szCs w:val="18"/>
                <w:color w:val="auto"/>
              </w:rPr>
              <w:t>Weighted-average pro forma adjustment to reflect</w:t>
            </w:r>
          </w:p>
        </w:tc>
        <w:tc>
          <w:tcPr>
            <w:tcW w:w="4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5240" w:type="dxa"/>
            <w:vAlign w:val="bottom"/>
            <w:shd w:val="clear" w:color="auto" w:fill="CCEEFF"/>
          </w:tcPr>
          <w:p>
            <w:pPr>
              <w:ind w:left="900"/>
              <w:spacing w:after="0"/>
              <w:rPr>
                <w:sz w:val="20"/>
                <w:szCs w:val="20"/>
                <w:color w:val="auto"/>
              </w:rPr>
            </w:pPr>
            <w:r>
              <w:rPr>
                <w:rFonts w:ascii="Arial" w:cs="Arial" w:eastAsia="Arial" w:hAnsi="Arial"/>
                <w:sz w:val="18"/>
                <w:szCs w:val="18"/>
                <w:color w:val="auto"/>
              </w:rPr>
              <w:t>conversion of convertible preferred stock</w:t>
            </w:r>
          </w:p>
        </w:tc>
        <w:tc>
          <w:tcPr>
            <w:tcW w:w="4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7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221.4</w:t>
            </w:r>
          </w:p>
        </w:tc>
        <w:tc>
          <w:tcPr>
            <w:tcW w:w="3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9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0.4</w:t>
            </w:r>
          </w:p>
        </w:tc>
        <w:tc>
          <w:tcPr>
            <w:tcW w:w="5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221.0</w:t>
            </w:r>
          </w:p>
        </w:tc>
        <w:tc>
          <w:tcPr>
            <w:tcW w:w="0" w:type="dxa"/>
            <w:vAlign w:val="bottom"/>
          </w:tcPr>
          <w:p>
            <w:pPr>
              <w:spacing w:after="0"/>
              <w:rPr>
                <w:sz w:val="1"/>
                <w:szCs w:val="1"/>
                <w:color w:val="auto"/>
              </w:rPr>
            </w:pPr>
          </w:p>
        </w:tc>
      </w:tr>
      <w:tr>
        <w:trPr>
          <w:trHeight w:val="202"/>
        </w:trPr>
        <w:tc>
          <w:tcPr>
            <w:tcW w:w="5240" w:type="dxa"/>
            <w:vAlign w:val="bottom"/>
          </w:tcPr>
          <w:p>
            <w:pPr>
              <w:ind w:left="720"/>
              <w:spacing w:after="0" w:line="201" w:lineRule="exact"/>
              <w:rPr>
                <w:sz w:val="20"/>
                <w:szCs w:val="20"/>
                <w:color w:val="auto"/>
              </w:rPr>
            </w:pPr>
            <w:r>
              <w:rPr>
                <w:rFonts w:ascii="Arial" w:cs="Arial" w:eastAsia="Arial" w:hAnsi="Arial"/>
                <w:sz w:val="18"/>
                <w:szCs w:val="18"/>
                <w:color w:val="auto"/>
                <w:w w:val="94"/>
              </w:rPr>
              <w:t>Weighted-average pro forma adjustment to reflect assumed</w:t>
            </w:r>
          </w:p>
        </w:tc>
        <w:tc>
          <w:tcPr>
            <w:tcW w:w="4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5240" w:type="dxa"/>
            <w:vAlign w:val="bottom"/>
          </w:tcPr>
          <w:p>
            <w:pPr>
              <w:ind w:left="900"/>
              <w:spacing w:after="0"/>
              <w:rPr>
                <w:sz w:val="20"/>
                <w:szCs w:val="20"/>
                <w:color w:val="auto"/>
              </w:rPr>
            </w:pPr>
            <w:r>
              <w:rPr>
                <w:rFonts w:ascii="Arial" w:cs="Arial" w:eastAsia="Arial" w:hAnsi="Arial"/>
                <w:sz w:val="18"/>
                <w:szCs w:val="18"/>
                <w:color w:val="auto"/>
              </w:rPr>
              <w:t>vesting of two-tier RSUs</w:t>
            </w:r>
          </w:p>
        </w:tc>
        <w:tc>
          <w:tcPr>
            <w:tcW w:w="4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5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gridSpan w:val="2"/>
          </w:tcPr>
          <w:p>
            <w:pPr>
              <w:jc w:val="right"/>
              <w:ind w:right="400"/>
              <w:spacing w:after="0"/>
              <w:rPr>
                <w:sz w:val="20"/>
                <w:szCs w:val="20"/>
                <w:color w:val="auto"/>
              </w:rPr>
            </w:pPr>
            <w:r>
              <w:rPr>
                <w:rFonts w:ascii="Arial" w:cs="Arial" w:eastAsia="Arial" w:hAnsi="Arial"/>
                <w:sz w:val="18"/>
                <w:szCs w:val="18"/>
                <w:color w:val="auto"/>
              </w:rPr>
              <w:t>30.3</w:t>
            </w:r>
          </w:p>
        </w:tc>
        <w:tc>
          <w:tcPr>
            <w:tcW w:w="3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4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5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36.5</w:t>
            </w:r>
          </w:p>
        </w:tc>
        <w:tc>
          <w:tcPr>
            <w:tcW w:w="0" w:type="dxa"/>
            <w:vAlign w:val="bottom"/>
          </w:tcPr>
          <w:p>
            <w:pPr>
              <w:spacing w:after="0"/>
              <w:rPr>
                <w:sz w:val="1"/>
                <w:szCs w:val="1"/>
                <w:color w:val="auto"/>
              </w:rPr>
            </w:pPr>
          </w:p>
        </w:tc>
      </w:tr>
      <w:tr>
        <w:trPr>
          <w:trHeight w:val="202"/>
        </w:trPr>
        <w:tc>
          <w:tcPr>
            <w:tcW w:w="5240" w:type="dxa"/>
            <w:vAlign w:val="bottom"/>
            <w:shd w:val="clear" w:color="auto" w:fill="CCEEFF"/>
          </w:tcPr>
          <w:p>
            <w:pPr>
              <w:ind w:left="720"/>
              <w:spacing w:after="0" w:line="201" w:lineRule="exact"/>
              <w:rPr>
                <w:sz w:val="20"/>
                <w:szCs w:val="20"/>
                <w:color w:val="auto"/>
              </w:rPr>
            </w:pPr>
            <w:r>
              <w:rPr>
                <w:rFonts w:ascii="Arial" w:cs="Arial" w:eastAsia="Arial" w:hAnsi="Arial"/>
                <w:sz w:val="18"/>
                <w:szCs w:val="18"/>
                <w:color w:val="auto"/>
                <w:w w:val="97"/>
              </w:rPr>
              <w:t>Weighted-average pro forma adjustment of conversions of</w:t>
            </w:r>
          </w:p>
        </w:tc>
        <w:tc>
          <w:tcPr>
            <w:tcW w:w="4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5240" w:type="dxa"/>
            <w:vAlign w:val="bottom"/>
            <w:shd w:val="clear" w:color="auto" w:fill="CCEEFF"/>
          </w:tcPr>
          <w:p>
            <w:pPr>
              <w:ind w:left="900"/>
              <w:spacing w:after="0"/>
              <w:rPr>
                <w:sz w:val="20"/>
                <w:szCs w:val="20"/>
                <w:color w:val="auto"/>
              </w:rPr>
            </w:pPr>
            <w:r>
              <w:rPr>
                <w:rFonts w:ascii="Arial" w:cs="Arial" w:eastAsia="Arial" w:hAnsi="Arial"/>
                <w:sz w:val="18"/>
                <w:szCs w:val="18"/>
                <w:color w:val="auto"/>
              </w:rPr>
              <w:t>Class B to Class A common stock</w:t>
            </w:r>
          </w:p>
        </w:tc>
        <w:tc>
          <w:tcPr>
            <w:tcW w:w="4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7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9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3.9</w:t>
            </w:r>
          </w:p>
        </w:tc>
        <w:tc>
          <w:tcPr>
            <w:tcW w:w="5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9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(3.9)</w:t>
            </w:r>
          </w:p>
        </w:tc>
        <w:tc>
          <w:tcPr>
            <w:tcW w:w="0" w:type="dxa"/>
            <w:vAlign w:val="bottom"/>
          </w:tcPr>
          <w:p>
            <w:pPr>
              <w:spacing w:after="0"/>
              <w:rPr>
                <w:sz w:val="1"/>
                <w:szCs w:val="1"/>
                <w:color w:val="auto"/>
              </w:rPr>
            </w:pPr>
          </w:p>
        </w:tc>
      </w:tr>
      <w:tr>
        <w:trPr>
          <w:trHeight w:val="20"/>
        </w:trPr>
        <w:tc>
          <w:tcPr>
            <w:tcW w:w="5240" w:type="dxa"/>
            <w:vAlign w:val="bottom"/>
            <w:vMerge w:val="restart"/>
          </w:tcPr>
          <w:p>
            <w:pPr>
              <w:ind w:left="720"/>
              <w:spacing w:after="0"/>
              <w:rPr>
                <w:sz w:val="20"/>
                <w:szCs w:val="20"/>
                <w:color w:val="auto"/>
              </w:rPr>
            </w:pPr>
            <w:r>
              <w:rPr>
                <w:rFonts w:ascii="Arial" w:cs="Arial" w:eastAsia="Arial" w:hAnsi="Arial"/>
                <w:sz w:val="18"/>
                <w:szCs w:val="18"/>
                <w:color w:val="auto"/>
                <w:w w:val="95"/>
              </w:rPr>
              <w:t>Weighted-average shares used in computing pro forma net</w:t>
            </w:r>
          </w:p>
        </w:tc>
        <w:tc>
          <w:tcPr>
            <w:tcW w:w="4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240" w:type="dxa"/>
            <w:vAlign w:val="bottom"/>
            <w:vMerge w:val="continue"/>
          </w:tcPr>
          <w:p>
            <w:pPr>
              <w:spacing w:after="0"/>
              <w:rPr>
                <w:sz w:val="17"/>
                <w:szCs w:val="17"/>
                <w:color w:val="auto"/>
              </w:rPr>
            </w:pPr>
          </w:p>
        </w:tc>
        <w:tc>
          <w:tcPr>
            <w:tcW w:w="4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240" w:type="dxa"/>
            <w:vAlign w:val="bottom"/>
          </w:tcPr>
          <w:p>
            <w:pPr>
              <w:ind w:left="900"/>
              <w:spacing w:after="0"/>
              <w:rPr>
                <w:sz w:val="20"/>
                <w:szCs w:val="20"/>
                <w:color w:val="auto"/>
              </w:rPr>
            </w:pPr>
            <w:r>
              <w:rPr>
                <w:rFonts w:ascii="Arial" w:cs="Arial" w:eastAsia="Arial" w:hAnsi="Arial"/>
                <w:sz w:val="18"/>
                <w:szCs w:val="18"/>
                <w:color w:val="auto"/>
                <w:w w:val="94"/>
              </w:rPr>
              <w:t>loss per share attributable to common stockholders, basic</w:t>
            </w: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240" w:type="dxa"/>
            <w:vAlign w:val="bottom"/>
          </w:tcPr>
          <w:p>
            <w:pPr>
              <w:ind w:left="900"/>
              <w:spacing w:after="0"/>
              <w:rPr>
                <w:sz w:val="20"/>
                <w:szCs w:val="20"/>
                <w:color w:val="auto"/>
              </w:rPr>
            </w:pPr>
            <w:r>
              <w:rPr>
                <w:rFonts w:ascii="Arial" w:cs="Arial" w:eastAsia="Arial" w:hAnsi="Arial"/>
                <w:sz w:val="18"/>
                <w:szCs w:val="18"/>
                <w:color w:val="auto"/>
              </w:rPr>
              <w:t>and diluted</w:t>
            </w:r>
          </w:p>
        </w:tc>
        <w:tc>
          <w:tcPr>
            <w:tcW w:w="4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20" w:type="dxa"/>
            <w:vAlign w:val="bottom"/>
            <w:gridSpan w:val="2"/>
          </w:tcPr>
          <w:p>
            <w:pPr>
              <w:jc w:val="right"/>
              <w:ind w:right="140"/>
              <w:spacing w:after="0"/>
              <w:rPr>
                <w:sz w:val="20"/>
                <w:szCs w:val="20"/>
                <w:color w:val="auto"/>
              </w:rPr>
            </w:pPr>
            <w:r>
              <w:rPr>
                <w:rFonts w:ascii="Arial" w:cs="Arial" w:eastAsia="Arial" w:hAnsi="Arial"/>
                <w:sz w:val="18"/>
                <w:szCs w:val="18"/>
                <w:color w:val="auto"/>
              </w:rPr>
              <w:t>8.3</w:t>
            </w:r>
          </w:p>
        </w:tc>
        <w:tc>
          <w:tcPr>
            <w:tcW w:w="5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gridSpan w:val="2"/>
          </w:tcPr>
          <w:p>
            <w:pPr>
              <w:jc w:val="right"/>
              <w:ind w:right="400"/>
              <w:spacing w:after="0"/>
              <w:rPr>
                <w:sz w:val="20"/>
                <w:szCs w:val="20"/>
                <w:color w:val="auto"/>
              </w:rPr>
            </w:pPr>
            <w:r>
              <w:rPr>
                <w:rFonts w:ascii="Arial" w:cs="Arial" w:eastAsia="Arial" w:hAnsi="Arial"/>
                <w:sz w:val="18"/>
                <w:szCs w:val="18"/>
                <w:color w:val="auto"/>
              </w:rPr>
              <w:t>527.1</w:t>
            </w:r>
          </w:p>
        </w:tc>
        <w:tc>
          <w:tcPr>
            <w:tcW w:w="3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40" w:type="dxa"/>
            <w:vAlign w:val="bottom"/>
            <w:gridSpan w:val="2"/>
          </w:tcPr>
          <w:p>
            <w:pPr>
              <w:jc w:val="right"/>
              <w:ind w:right="200"/>
              <w:spacing w:after="0"/>
              <w:rPr>
                <w:sz w:val="20"/>
                <w:szCs w:val="20"/>
                <w:color w:val="auto"/>
              </w:rPr>
            </w:pPr>
            <w:r>
              <w:rPr>
                <w:rFonts w:ascii="Arial" w:cs="Arial" w:eastAsia="Arial" w:hAnsi="Arial"/>
                <w:sz w:val="18"/>
                <w:szCs w:val="18"/>
                <w:color w:val="auto"/>
              </w:rPr>
              <w:t>13.4</w:t>
            </w:r>
          </w:p>
        </w:tc>
        <w:tc>
          <w:tcPr>
            <w:tcW w:w="5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537.8</w:t>
            </w:r>
          </w:p>
        </w:tc>
        <w:tc>
          <w:tcPr>
            <w:tcW w:w="0" w:type="dxa"/>
            <w:vAlign w:val="bottom"/>
          </w:tcPr>
          <w:p>
            <w:pPr>
              <w:spacing w:after="0"/>
              <w:rPr>
                <w:sz w:val="1"/>
                <w:szCs w:val="1"/>
                <w:color w:val="auto"/>
              </w:rPr>
            </w:pPr>
          </w:p>
        </w:tc>
      </w:tr>
      <w:tr>
        <w:trPr>
          <w:trHeight w:val="20"/>
        </w:trPr>
        <w:tc>
          <w:tcPr>
            <w:tcW w:w="52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240" w:type="dxa"/>
            <w:vAlign w:val="bottom"/>
            <w:shd w:val="clear" w:color="auto" w:fill="CCEEFF"/>
          </w:tcPr>
          <w:p>
            <w:pPr>
              <w:spacing w:after="0" w:line="195" w:lineRule="exact"/>
              <w:rPr>
                <w:sz w:val="20"/>
                <w:szCs w:val="20"/>
                <w:color w:val="auto"/>
              </w:rPr>
            </w:pPr>
            <w:r>
              <w:rPr>
                <w:rFonts w:ascii="Arial" w:cs="Arial" w:eastAsia="Arial" w:hAnsi="Arial"/>
                <w:sz w:val="18"/>
                <w:szCs w:val="18"/>
                <w:color w:val="auto"/>
                <w:w w:val="99"/>
              </w:rPr>
              <w:t>Pro forma net loss attributable to common stockholders per share,</w:t>
            </w:r>
          </w:p>
        </w:tc>
        <w:tc>
          <w:tcPr>
            <w:tcW w:w="4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52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basic and diluted</w:t>
            </w:r>
          </w:p>
        </w:tc>
        <w:tc>
          <w:tcPr>
            <w:tcW w:w="420" w:type="dxa"/>
            <w:vAlign w:val="bottom"/>
            <w:shd w:val="clear" w:color="auto" w:fill="CCEEFF"/>
          </w:tcPr>
          <w:p>
            <w:pPr>
              <w:spacing w:after="0"/>
              <w:rPr>
                <w:sz w:val="20"/>
                <w:szCs w:val="20"/>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(0.39)</w:t>
            </w:r>
          </w:p>
        </w:tc>
        <w:tc>
          <w:tcPr>
            <w:tcW w:w="7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(0.39)</w:t>
            </w:r>
          </w:p>
        </w:tc>
        <w:tc>
          <w:tcPr>
            <w:tcW w:w="4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(0.13)</w:t>
            </w:r>
          </w:p>
        </w:tc>
        <w:tc>
          <w:tcPr>
            <w:tcW w:w="7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(0.13)</w:t>
            </w:r>
          </w:p>
        </w:tc>
        <w:tc>
          <w:tcPr>
            <w:tcW w:w="0" w:type="dxa"/>
            <w:vAlign w:val="bottom"/>
          </w:tcPr>
          <w:p>
            <w:pPr>
              <w:spacing w:after="0"/>
              <w:rPr>
                <w:sz w:val="1"/>
                <w:szCs w:val="1"/>
                <w:color w:val="auto"/>
              </w:rPr>
            </w:pPr>
          </w:p>
        </w:tc>
      </w:tr>
      <w:tr>
        <w:trPr>
          <w:trHeight w:val="20"/>
        </w:trPr>
        <w:tc>
          <w:tcPr>
            <w:tcW w:w="52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5240" w:type="dxa"/>
            <w:vAlign w:val="bottom"/>
          </w:tcPr>
          <w:p>
            <w:pPr>
              <w:spacing w:after="0"/>
              <w:rPr>
                <w:sz w:val="24"/>
                <w:szCs w:val="24"/>
                <w:color w:val="auto"/>
              </w:rPr>
            </w:pPr>
          </w:p>
        </w:tc>
        <w:tc>
          <w:tcPr>
            <w:tcW w:w="1240" w:type="dxa"/>
            <w:vAlign w:val="bottom"/>
            <w:gridSpan w:val="4"/>
          </w:tcPr>
          <w:p>
            <w:pPr>
              <w:jc w:val="right"/>
              <w:ind w:right="680"/>
              <w:spacing w:after="0"/>
              <w:rPr>
                <w:sz w:val="20"/>
                <w:szCs w:val="20"/>
                <w:color w:val="auto"/>
              </w:rPr>
            </w:pPr>
            <w:r>
              <w:rPr>
                <w:rFonts w:ascii="Arial" w:cs="Arial" w:eastAsia="Arial" w:hAnsi="Arial"/>
                <w:sz w:val="18"/>
                <w:szCs w:val="18"/>
                <w:color w:val="auto"/>
              </w:rPr>
              <w:t>F-30</w:t>
            </w:r>
          </w:p>
        </w:tc>
        <w:tc>
          <w:tcPr>
            <w:tcW w:w="5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459" w:right="339" w:bottom="1440" w:gutter="0" w:footer="0" w:header="0"/>
        </w:sectPr>
      </w:pPr>
    </w:p>
    <w:bookmarkStart w:id="189" w:name="page190"/>
    <w:bookmarkEnd w:id="18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14. Income Taxes</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6"/>
          <w:szCs w:val="16"/>
          <w:color w:val="auto"/>
        </w:rPr>
        <w:t>For the years ended December 31, 2015 and 2016, the Company’s loss from continuing operations before provision for income taxes was as follows:</w:t>
      </w:r>
    </w:p>
    <w:p>
      <w:pPr>
        <w:spacing w:after="0" w:line="267" w:lineRule="exact"/>
        <w:rPr>
          <w:sz w:val="20"/>
          <w:szCs w:val="20"/>
          <w:color w:val="auto"/>
        </w:rPr>
      </w:pPr>
    </w:p>
    <w:tbl>
      <w:tblPr>
        <w:tblLayout w:type="fixed"/>
        <w:tblInd w:w="1360" w:type="dxa"/>
        <w:tblCellMar>
          <w:top w:w="0" w:type="dxa"/>
          <w:left w:w="0" w:type="dxa"/>
          <w:bottom w:w="0" w:type="dxa"/>
          <w:right w:w="0" w:type="dxa"/>
        </w:tblCellMar>
      </w:tblPr>
      <w:tr>
        <w:trPr>
          <w:trHeight w:val="171"/>
        </w:trPr>
        <w:tc>
          <w:tcPr>
            <w:tcW w:w="4100" w:type="dxa"/>
            <w:vAlign w:val="bottom"/>
          </w:tcPr>
          <w:p>
            <w:pPr>
              <w:spacing w:after="0"/>
              <w:rPr>
                <w:sz w:val="14"/>
                <w:szCs w:val="14"/>
                <w:color w:val="auto"/>
              </w:rPr>
            </w:pPr>
          </w:p>
        </w:tc>
        <w:tc>
          <w:tcPr>
            <w:tcW w:w="22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00" w:type="dxa"/>
            <w:vAlign w:val="bottom"/>
            <w:gridSpan w:val="5"/>
          </w:tcPr>
          <w:p>
            <w:pPr>
              <w:ind w:left="100"/>
              <w:spacing w:after="0"/>
              <w:rPr>
                <w:sz w:val="20"/>
                <w:szCs w:val="20"/>
                <w:color w:val="auto"/>
              </w:rPr>
            </w:pPr>
            <w:r>
              <w:rPr>
                <w:rFonts w:ascii="Arial" w:cs="Arial" w:eastAsia="Arial" w:hAnsi="Arial"/>
                <w:sz w:val="14"/>
                <w:szCs w:val="14"/>
                <w:b w:val="1"/>
                <w:bCs w:val="1"/>
                <w:color w:val="auto"/>
              </w:rPr>
              <w:t>Year ended December 31,</w:t>
            </w:r>
          </w:p>
        </w:tc>
      </w:tr>
      <w:tr>
        <w:trPr>
          <w:trHeight w:val="142"/>
        </w:trPr>
        <w:tc>
          <w:tcPr>
            <w:tcW w:w="4100" w:type="dxa"/>
            <w:vAlign w:val="bottom"/>
            <w:tcBorders>
              <w:bottom w:val="single" w:sz="8" w:color="CCEEFF"/>
            </w:tcBorders>
          </w:tcPr>
          <w:p>
            <w:pPr>
              <w:spacing w:after="0"/>
              <w:rPr>
                <w:sz w:val="12"/>
                <w:szCs w:val="12"/>
                <w:color w:val="auto"/>
              </w:rPr>
            </w:pPr>
          </w:p>
        </w:tc>
        <w:tc>
          <w:tcPr>
            <w:tcW w:w="2280" w:type="dxa"/>
            <w:vAlign w:val="bottom"/>
            <w:tcBorders>
              <w:bottom w:val="single" w:sz="8" w:color="CCEEFF"/>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520" w:type="dxa"/>
            <w:vAlign w:val="bottom"/>
            <w:tcBorders>
              <w:top w:val="single" w:sz="8" w:color="auto"/>
              <w:bottom w:val="single" w:sz="8" w:color="auto"/>
            </w:tcBorders>
          </w:tcPr>
          <w:p>
            <w:pPr>
              <w:ind w:left="60"/>
              <w:spacing w:after="0" w:line="142" w:lineRule="exact"/>
              <w:rPr>
                <w:sz w:val="20"/>
                <w:szCs w:val="20"/>
                <w:color w:val="auto"/>
              </w:rPr>
            </w:pPr>
            <w:r>
              <w:rPr>
                <w:rFonts w:ascii="Arial" w:cs="Arial" w:eastAsia="Arial" w:hAnsi="Arial"/>
                <w:sz w:val="14"/>
                <w:szCs w:val="14"/>
                <w:b w:val="1"/>
                <w:bCs w:val="1"/>
                <w:color w:val="auto"/>
              </w:rPr>
              <w:t>2015</w:t>
            </w:r>
          </w:p>
        </w:tc>
        <w:tc>
          <w:tcPr>
            <w:tcW w:w="700" w:type="dxa"/>
            <w:vAlign w:val="bottom"/>
            <w:tcBorders>
              <w:top w:val="single" w:sz="8" w:color="auto"/>
              <w:bottom w:val="single" w:sz="8" w:color="CCEEFF"/>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540" w:type="dxa"/>
            <w:vAlign w:val="bottom"/>
            <w:tcBorders>
              <w:top w:val="single" w:sz="8" w:color="auto"/>
              <w:bottom w:val="single" w:sz="8" w:color="auto"/>
            </w:tcBorders>
          </w:tcPr>
          <w:p>
            <w:pPr>
              <w:jc w:val="right"/>
              <w:ind w:right="115"/>
              <w:spacing w:after="0" w:line="142" w:lineRule="exact"/>
              <w:rPr>
                <w:sz w:val="20"/>
                <w:szCs w:val="20"/>
                <w:color w:val="auto"/>
              </w:rPr>
            </w:pPr>
            <w:r>
              <w:rPr>
                <w:rFonts w:ascii="Arial" w:cs="Arial" w:eastAsia="Arial" w:hAnsi="Arial"/>
                <w:sz w:val="14"/>
                <w:szCs w:val="14"/>
                <w:b w:val="1"/>
                <w:bCs w:val="1"/>
                <w:color w:val="auto"/>
              </w:rPr>
              <w:t>2016</w:t>
            </w:r>
          </w:p>
        </w:tc>
        <w:tc>
          <w:tcPr>
            <w:tcW w:w="100" w:type="dxa"/>
            <w:vAlign w:val="bottom"/>
            <w:tcBorders>
              <w:bottom w:val="single" w:sz="8" w:color="CCEEFF"/>
            </w:tcBorders>
          </w:tcPr>
          <w:p>
            <w:pPr>
              <w:spacing w:after="0"/>
              <w:rPr>
                <w:sz w:val="12"/>
                <w:szCs w:val="12"/>
                <w:color w:val="auto"/>
              </w:rPr>
            </w:pPr>
          </w:p>
        </w:tc>
      </w:tr>
      <w:tr>
        <w:trPr>
          <w:trHeight w:val="209"/>
        </w:trPr>
        <w:tc>
          <w:tcPr>
            <w:tcW w:w="4100" w:type="dxa"/>
            <w:vAlign w:val="bottom"/>
            <w:shd w:val="clear" w:color="auto" w:fill="CCEEFF"/>
          </w:tcPr>
          <w:p>
            <w:pPr>
              <w:spacing w:after="0"/>
              <w:rPr>
                <w:sz w:val="20"/>
                <w:szCs w:val="20"/>
                <w:color w:val="auto"/>
              </w:rPr>
            </w:pPr>
            <w:r>
              <w:rPr>
                <w:rFonts w:ascii="Arial" w:cs="Arial" w:eastAsia="Arial" w:hAnsi="Arial"/>
                <w:sz w:val="18"/>
                <w:szCs w:val="18"/>
                <w:color w:val="auto"/>
              </w:rPr>
              <w:t>Domestic</w:t>
            </w:r>
          </w:p>
        </w:tc>
        <w:tc>
          <w:tcPr>
            <w:tcW w:w="228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20" w:type="dxa"/>
            <w:vAlign w:val="bottom"/>
            <w:shd w:val="clear" w:color="auto" w:fill="CCEEFF"/>
          </w:tcPr>
          <w:p>
            <w:pPr>
              <w:ind w:left="60"/>
              <w:spacing w:after="0"/>
              <w:rPr>
                <w:sz w:val="20"/>
                <w:szCs w:val="20"/>
                <w:color w:val="auto"/>
              </w:rPr>
            </w:pPr>
            <w:r>
              <w:rPr>
                <w:rFonts w:ascii="Arial" w:cs="Arial" w:eastAsia="Arial" w:hAnsi="Arial"/>
                <w:sz w:val="18"/>
                <w:szCs w:val="18"/>
                <w:color w:val="auto"/>
                <w:w w:val="77"/>
              </w:rPr>
              <w:t>(176.9)</w:t>
            </w:r>
          </w:p>
        </w:tc>
        <w:tc>
          <w:tcPr>
            <w:tcW w:w="7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(94.4)</w:t>
            </w:r>
          </w:p>
        </w:tc>
        <w:tc>
          <w:tcPr>
            <w:tcW w:w="100" w:type="dxa"/>
            <w:vAlign w:val="bottom"/>
            <w:shd w:val="clear" w:color="auto" w:fill="CCEEFF"/>
          </w:tcPr>
          <w:p>
            <w:pPr>
              <w:spacing w:after="0"/>
              <w:rPr>
                <w:sz w:val="18"/>
                <w:szCs w:val="18"/>
                <w:color w:val="auto"/>
              </w:rPr>
            </w:pPr>
          </w:p>
        </w:tc>
      </w:tr>
      <w:tr>
        <w:trPr>
          <w:trHeight w:val="216"/>
        </w:trPr>
        <w:tc>
          <w:tcPr>
            <w:tcW w:w="4100" w:type="dxa"/>
            <w:vAlign w:val="bottom"/>
          </w:tcPr>
          <w:p>
            <w:pPr>
              <w:spacing w:after="0"/>
              <w:rPr>
                <w:sz w:val="20"/>
                <w:szCs w:val="20"/>
                <w:color w:val="auto"/>
              </w:rPr>
            </w:pPr>
            <w:r>
              <w:rPr>
                <w:rFonts w:ascii="Arial" w:cs="Arial" w:eastAsia="Arial" w:hAnsi="Arial"/>
                <w:sz w:val="18"/>
                <w:szCs w:val="18"/>
                <w:color w:val="auto"/>
              </w:rPr>
              <w:t>Foreign</w:t>
            </w:r>
          </w:p>
        </w:tc>
        <w:tc>
          <w:tcPr>
            <w:tcW w:w="2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gridSpan w:val="2"/>
          </w:tcPr>
          <w:p>
            <w:pPr>
              <w:ind w:left="60"/>
              <w:spacing w:after="0"/>
              <w:rPr>
                <w:sz w:val="20"/>
                <w:szCs w:val="20"/>
                <w:color w:val="auto"/>
              </w:rPr>
            </w:pPr>
            <w:r>
              <w:rPr>
                <w:rFonts w:ascii="Arial" w:cs="Arial" w:eastAsia="Arial" w:hAnsi="Arial"/>
                <w:sz w:val="18"/>
                <w:szCs w:val="18"/>
                <w:color w:val="auto"/>
              </w:rPr>
              <w:t>(148.7)</w:t>
            </w:r>
          </w:p>
        </w:tc>
        <w:tc>
          <w:tcPr>
            <w:tcW w:w="140" w:type="dxa"/>
            <w:vAlign w:val="bottom"/>
          </w:tcPr>
          <w:p>
            <w:pPr>
              <w:spacing w:after="0"/>
              <w:rPr>
                <w:sz w:val="18"/>
                <w:szCs w:val="18"/>
                <w:color w:val="auto"/>
              </w:rPr>
            </w:pPr>
          </w:p>
        </w:tc>
        <w:tc>
          <w:tcPr>
            <w:tcW w:w="640" w:type="dxa"/>
            <w:vAlign w:val="bottom"/>
            <w:gridSpan w:val="2"/>
          </w:tcPr>
          <w:p>
            <w:pPr>
              <w:jc w:val="right"/>
              <w:ind w:right="40"/>
              <w:spacing w:after="0"/>
              <w:rPr>
                <w:sz w:val="20"/>
                <w:szCs w:val="20"/>
                <w:color w:val="auto"/>
              </w:rPr>
            </w:pPr>
            <w:r>
              <w:rPr>
                <w:rFonts w:ascii="Arial" w:cs="Arial" w:eastAsia="Arial" w:hAnsi="Arial"/>
                <w:sz w:val="18"/>
                <w:szCs w:val="18"/>
                <w:color w:val="auto"/>
              </w:rPr>
              <w:t>(110.6)</w:t>
            </w:r>
          </w:p>
        </w:tc>
      </w:tr>
      <w:tr>
        <w:trPr>
          <w:trHeight w:val="27"/>
        </w:trPr>
        <w:tc>
          <w:tcPr>
            <w:tcW w:w="4100" w:type="dxa"/>
            <w:vAlign w:val="bottom"/>
          </w:tcPr>
          <w:p>
            <w:pPr>
              <w:spacing w:after="0"/>
              <w:rPr>
                <w:sz w:val="2"/>
                <w:szCs w:val="2"/>
                <w:color w:val="auto"/>
              </w:rPr>
            </w:pPr>
          </w:p>
        </w:tc>
        <w:tc>
          <w:tcPr>
            <w:tcW w:w="22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7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4100" w:type="dxa"/>
            <w:vAlign w:val="bottom"/>
            <w:shd w:val="clear" w:color="auto" w:fill="CCEEFF"/>
          </w:tcPr>
          <w:p>
            <w:pPr>
              <w:spacing w:after="0"/>
              <w:rPr>
                <w:sz w:val="20"/>
                <w:szCs w:val="20"/>
                <w:color w:val="auto"/>
              </w:rPr>
            </w:pPr>
            <w:r>
              <w:rPr>
                <w:rFonts w:ascii="Arial" w:cs="Arial" w:eastAsia="Arial" w:hAnsi="Arial"/>
                <w:sz w:val="18"/>
                <w:szCs w:val="18"/>
                <w:color w:val="auto"/>
              </w:rPr>
              <w:t>Loss before income taxes</w:t>
            </w:r>
          </w:p>
        </w:tc>
        <w:tc>
          <w:tcPr>
            <w:tcW w:w="228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(325.6)</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(205.0)</w:t>
            </w:r>
          </w:p>
        </w:tc>
      </w:tr>
      <w:tr>
        <w:trPr>
          <w:trHeight w:val="20"/>
        </w:trPr>
        <w:tc>
          <w:tcPr>
            <w:tcW w:w="410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1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components of the provision for income taxes in the years ended December 31, 2015 and 2016, are as follows:</w:t>
      </w:r>
    </w:p>
    <w:p>
      <w:pPr>
        <w:spacing w:after="0" w:line="244" w:lineRule="exact"/>
        <w:rPr>
          <w:sz w:val="20"/>
          <w:szCs w:val="20"/>
          <w:color w:val="auto"/>
        </w:rPr>
      </w:pPr>
    </w:p>
    <w:tbl>
      <w:tblPr>
        <w:tblLayout w:type="fixed"/>
        <w:tblInd w:w="1360" w:type="dxa"/>
        <w:tblCellMar>
          <w:top w:w="0" w:type="dxa"/>
          <w:left w:w="0" w:type="dxa"/>
          <w:bottom w:w="0" w:type="dxa"/>
          <w:right w:w="0" w:type="dxa"/>
        </w:tblCellMar>
      </w:tblPr>
      <w:tr>
        <w:trPr>
          <w:trHeight w:val="171"/>
        </w:trPr>
        <w:tc>
          <w:tcPr>
            <w:tcW w:w="6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180" w:type="dxa"/>
            <w:vAlign w:val="bottom"/>
            <w:gridSpan w:val="5"/>
          </w:tcPr>
          <w:p>
            <w:pPr>
              <w:ind w:left="200"/>
              <w:spacing w:after="0"/>
              <w:rPr>
                <w:sz w:val="20"/>
                <w:szCs w:val="20"/>
                <w:color w:val="auto"/>
              </w:rPr>
            </w:pPr>
            <w:r>
              <w:rPr>
                <w:rFonts w:ascii="Arial" w:cs="Arial" w:eastAsia="Arial" w:hAnsi="Arial"/>
                <w:sz w:val="14"/>
                <w:szCs w:val="14"/>
                <w:b w:val="1"/>
                <w:bCs w:val="1"/>
                <w:color w:val="auto"/>
              </w:rPr>
              <w:t>Year ended December 31,</w:t>
            </w:r>
          </w:p>
        </w:tc>
      </w:tr>
      <w:tr>
        <w:trPr>
          <w:trHeight w:val="142"/>
        </w:trPr>
        <w:tc>
          <w:tcPr>
            <w:tcW w:w="6200" w:type="dxa"/>
            <w:vAlign w:val="bottom"/>
            <w:tcBorders>
              <w:bottom w:val="single" w:sz="8" w:color="CCEEFF"/>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520" w:type="dxa"/>
            <w:vAlign w:val="bottom"/>
            <w:tcBorders>
              <w:top w:val="single" w:sz="8" w:color="auto"/>
              <w:bottom w:val="single" w:sz="8" w:color="auto"/>
            </w:tcBorders>
          </w:tcPr>
          <w:p>
            <w:pPr>
              <w:jc w:val="right"/>
              <w:ind w:right="94"/>
              <w:spacing w:after="0" w:line="142" w:lineRule="exact"/>
              <w:rPr>
                <w:sz w:val="20"/>
                <w:szCs w:val="20"/>
                <w:color w:val="auto"/>
              </w:rPr>
            </w:pPr>
            <w:r>
              <w:rPr>
                <w:rFonts w:ascii="Arial" w:cs="Arial" w:eastAsia="Arial" w:hAnsi="Arial"/>
                <w:sz w:val="14"/>
                <w:szCs w:val="14"/>
                <w:b w:val="1"/>
                <w:bCs w:val="1"/>
                <w:color w:val="auto"/>
              </w:rPr>
              <w:t>2015</w:t>
            </w:r>
          </w:p>
        </w:tc>
        <w:tc>
          <w:tcPr>
            <w:tcW w:w="880" w:type="dxa"/>
            <w:vAlign w:val="bottom"/>
            <w:tcBorders>
              <w:top w:val="single" w:sz="8" w:color="auto"/>
              <w:bottom w:val="single" w:sz="8" w:color="CCEEFF"/>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540" w:type="dxa"/>
            <w:vAlign w:val="bottom"/>
            <w:tcBorders>
              <w:top w:val="single" w:sz="8" w:color="auto"/>
              <w:bottom w:val="single" w:sz="8" w:color="auto"/>
            </w:tcBorders>
          </w:tcPr>
          <w:p>
            <w:pPr>
              <w:ind w:left="60"/>
              <w:spacing w:after="0" w:line="142" w:lineRule="exact"/>
              <w:rPr>
                <w:sz w:val="20"/>
                <w:szCs w:val="20"/>
                <w:color w:val="auto"/>
              </w:rPr>
            </w:pPr>
            <w:r>
              <w:rPr>
                <w:rFonts w:ascii="Arial" w:cs="Arial" w:eastAsia="Arial" w:hAnsi="Arial"/>
                <w:sz w:val="14"/>
                <w:szCs w:val="14"/>
                <w:b w:val="1"/>
                <w:bCs w:val="1"/>
                <w:color w:val="auto"/>
              </w:rPr>
              <w:t>2016</w:t>
            </w:r>
          </w:p>
        </w:tc>
        <w:tc>
          <w:tcPr>
            <w:tcW w:w="100" w:type="dxa"/>
            <w:vAlign w:val="bottom"/>
            <w:tcBorders>
              <w:bottom w:val="single" w:sz="8" w:color="CCEEFF"/>
            </w:tcBorders>
          </w:tcPr>
          <w:p>
            <w:pPr>
              <w:spacing w:after="0"/>
              <w:rPr>
                <w:sz w:val="12"/>
                <w:szCs w:val="12"/>
                <w:color w:val="auto"/>
              </w:rPr>
            </w:pPr>
          </w:p>
        </w:tc>
      </w:tr>
      <w:tr>
        <w:trPr>
          <w:trHeight w:val="196"/>
        </w:trPr>
        <w:tc>
          <w:tcPr>
            <w:tcW w:w="620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Current:</w:t>
            </w:r>
          </w:p>
        </w:tc>
        <w:tc>
          <w:tcPr>
            <w:tcW w:w="14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6"/>
        </w:trPr>
        <w:tc>
          <w:tcPr>
            <w:tcW w:w="6200" w:type="dxa"/>
            <w:vAlign w:val="bottom"/>
          </w:tcPr>
          <w:p>
            <w:pPr>
              <w:ind w:left="360"/>
              <w:spacing w:after="0"/>
              <w:rPr>
                <w:sz w:val="20"/>
                <w:szCs w:val="20"/>
                <w:color w:val="auto"/>
              </w:rPr>
            </w:pPr>
            <w:r>
              <w:rPr>
                <w:rFonts w:ascii="Arial" w:cs="Arial" w:eastAsia="Arial" w:hAnsi="Arial"/>
                <w:sz w:val="18"/>
                <w:szCs w:val="18"/>
                <w:color w:val="auto"/>
              </w:rPr>
              <w:t>Federal</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400" w:type="dxa"/>
            <w:vAlign w:val="bottom"/>
            <w:gridSpan w:val="2"/>
          </w:tcPr>
          <w:p>
            <w:pPr>
              <w:jc w:val="right"/>
              <w:ind w:right="960"/>
              <w:spacing w:after="0"/>
              <w:rPr>
                <w:sz w:val="20"/>
                <w:szCs w:val="20"/>
                <w:color w:val="auto"/>
              </w:rPr>
            </w:pPr>
            <w:r>
              <w:rPr>
                <w:rFonts w:ascii="Arial" w:cs="Arial" w:eastAsia="Arial" w:hAnsi="Arial"/>
                <w:sz w:val="18"/>
                <w:szCs w:val="18"/>
                <w:color w:val="auto"/>
              </w:rPr>
              <w:t>—</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gridSpan w:val="2"/>
          </w:tcPr>
          <w:p>
            <w:pPr>
              <w:ind w:left="260"/>
              <w:spacing w:after="0"/>
              <w:rPr>
                <w:sz w:val="20"/>
                <w:szCs w:val="20"/>
                <w:color w:val="auto"/>
              </w:rPr>
            </w:pPr>
            <w:r>
              <w:rPr>
                <w:rFonts w:ascii="Arial" w:cs="Arial" w:eastAsia="Arial" w:hAnsi="Arial"/>
                <w:sz w:val="18"/>
                <w:szCs w:val="18"/>
                <w:color w:val="auto"/>
                <w:w w:val="97"/>
              </w:rPr>
              <w:t>(1.5)</w:t>
            </w:r>
          </w:p>
        </w:tc>
      </w:tr>
      <w:tr>
        <w:trPr>
          <w:trHeight w:val="216"/>
        </w:trPr>
        <w:tc>
          <w:tcPr>
            <w:tcW w:w="62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State</w:t>
            </w:r>
          </w:p>
        </w:tc>
        <w:tc>
          <w:tcPr>
            <w:tcW w:w="14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9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w w:val="97"/>
              </w:rPr>
              <w:t>(0.6)</w:t>
            </w:r>
          </w:p>
        </w:tc>
      </w:tr>
      <w:tr>
        <w:trPr>
          <w:trHeight w:val="216"/>
        </w:trPr>
        <w:tc>
          <w:tcPr>
            <w:tcW w:w="6200" w:type="dxa"/>
            <w:vAlign w:val="bottom"/>
          </w:tcPr>
          <w:p>
            <w:pPr>
              <w:ind w:left="360"/>
              <w:spacing w:after="0"/>
              <w:rPr>
                <w:sz w:val="20"/>
                <w:szCs w:val="20"/>
                <w:color w:val="auto"/>
              </w:rPr>
            </w:pPr>
            <w:r>
              <w:rPr>
                <w:rFonts w:ascii="Arial" w:cs="Arial" w:eastAsia="Arial" w:hAnsi="Arial"/>
                <w:sz w:val="18"/>
                <w:szCs w:val="18"/>
                <w:color w:val="auto"/>
              </w:rPr>
              <w:t>Foreign</w:t>
            </w:r>
          </w:p>
        </w:tc>
        <w:tc>
          <w:tcPr>
            <w:tcW w:w="140" w:type="dxa"/>
            <w:vAlign w:val="bottom"/>
          </w:tcPr>
          <w:p>
            <w:pPr>
              <w:spacing w:after="0"/>
              <w:rPr>
                <w:sz w:val="18"/>
                <w:szCs w:val="18"/>
                <w:color w:val="auto"/>
              </w:rPr>
            </w:pPr>
          </w:p>
        </w:tc>
        <w:tc>
          <w:tcPr>
            <w:tcW w:w="1400" w:type="dxa"/>
            <w:vAlign w:val="bottom"/>
            <w:gridSpan w:val="2"/>
          </w:tcPr>
          <w:p>
            <w:pPr>
              <w:jc w:val="right"/>
              <w:ind w:right="820"/>
              <w:spacing w:after="0"/>
              <w:rPr>
                <w:sz w:val="20"/>
                <w:szCs w:val="20"/>
                <w:color w:val="auto"/>
              </w:rPr>
            </w:pPr>
            <w:r>
              <w:rPr>
                <w:rFonts w:ascii="Arial" w:cs="Arial" w:eastAsia="Arial" w:hAnsi="Arial"/>
                <w:sz w:val="18"/>
                <w:szCs w:val="18"/>
                <w:color w:val="auto"/>
              </w:rPr>
              <w:t>(0.5)</w:t>
            </w:r>
          </w:p>
        </w:tc>
        <w:tc>
          <w:tcPr>
            <w:tcW w:w="140" w:type="dxa"/>
            <w:vAlign w:val="bottom"/>
          </w:tcPr>
          <w:p>
            <w:pPr>
              <w:spacing w:after="0"/>
              <w:rPr>
                <w:sz w:val="18"/>
                <w:szCs w:val="18"/>
                <w:color w:val="auto"/>
              </w:rPr>
            </w:pPr>
          </w:p>
        </w:tc>
        <w:tc>
          <w:tcPr>
            <w:tcW w:w="640" w:type="dxa"/>
            <w:vAlign w:val="bottom"/>
            <w:gridSpan w:val="2"/>
          </w:tcPr>
          <w:p>
            <w:pPr>
              <w:ind w:left="260"/>
              <w:spacing w:after="0"/>
              <w:rPr>
                <w:sz w:val="20"/>
                <w:szCs w:val="20"/>
                <w:color w:val="auto"/>
              </w:rPr>
            </w:pPr>
            <w:r>
              <w:rPr>
                <w:rFonts w:ascii="Arial" w:cs="Arial" w:eastAsia="Arial" w:hAnsi="Arial"/>
                <w:sz w:val="18"/>
                <w:szCs w:val="18"/>
                <w:color w:val="auto"/>
                <w:w w:val="97"/>
              </w:rPr>
              <w:t>(2.9)</w:t>
            </w:r>
          </w:p>
        </w:tc>
      </w:tr>
      <w:tr>
        <w:trPr>
          <w:trHeight w:val="216"/>
        </w:trPr>
        <w:tc>
          <w:tcPr>
            <w:tcW w:w="6200" w:type="dxa"/>
            <w:vAlign w:val="bottom"/>
            <w:shd w:val="clear" w:color="auto" w:fill="CCEEFF"/>
          </w:tcPr>
          <w:p>
            <w:pPr>
              <w:spacing w:after="0"/>
              <w:rPr>
                <w:sz w:val="20"/>
                <w:szCs w:val="20"/>
                <w:color w:val="auto"/>
              </w:rPr>
            </w:pPr>
            <w:r>
              <w:rPr>
                <w:rFonts w:ascii="Arial" w:cs="Arial" w:eastAsia="Arial" w:hAnsi="Arial"/>
                <w:sz w:val="18"/>
                <w:szCs w:val="18"/>
                <w:color w:val="auto"/>
              </w:rPr>
              <w:t>Deferred:</w:t>
            </w:r>
          </w:p>
        </w:tc>
        <w:tc>
          <w:tcPr>
            <w:tcW w:w="1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6200" w:type="dxa"/>
            <w:vAlign w:val="bottom"/>
          </w:tcPr>
          <w:p>
            <w:pPr>
              <w:ind w:left="360"/>
              <w:spacing w:after="0"/>
              <w:rPr>
                <w:sz w:val="20"/>
                <w:szCs w:val="20"/>
                <w:color w:val="auto"/>
              </w:rPr>
            </w:pPr>
            <w:r>
              <w:rPr>
                <w:rFonts w:ascii="Arial" w:cs="Arial" w:eastAsia="Arial" w:hAnsi="Arial"/>
                <w:sz w:val="18"/>
                <w:szCs w:val="18"/>
                <w:color w:val="auto"/>
              </w:rPr>
              <w:t>Federal</w:t>
            </w:r>
          </w:p>
        </w:tc>
        <w:tc>
          <w:tcPr>
            <w:tcW w:w="140" w:type="dxa"/>
            <w:vAlign w:val="bottom"/>
          </w:tcPr>
          <w:p>
            <w:pPr>
              <w:spacing w:after="0"/>
              <w:rPr>
                <w:sz w:val="18"/>
                <w:szCs w:val="18"/>
                <w:color w:val="auto"/>
              </w:rPr>
            </w:pPr>
          </w:p>
        </w:tc>
        <w:tc>
          <w:tcPr>
            <w:tcW w:w="1400" w:type="dxa"/>
            <w:vAlign w:val="bottom"/>
            <w:gridSpan w:val="2"/>
          </w:tcPr>
          <w:p>
            <w:pPr>
              <w:jc w:val="right"/>
              <w:ind w:right="9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640" w:type="dxa"/>
            <w:vAlign w:val="bottom"/>
            <w:gridSpan w:val="2"/>
          </w:tcPr>
          <w:p>
            <w:pPr>
              <w:ind w:left="280"/>
              <w:spacing w:after="0"/>
              <w:rPr>
                <w:sz w:val="20"/>
                <w:szCs w:val="20"/>
                <w:color w:val="auto"/>
              </w:rPr>
            </w:pPr>
            <w:r>
              <w:rPr>
                <w:rFonts w:ascii="Arial" w:cs="Arial" w:eastAsia="Arial" w:hAnsi="Arial"/>
                <w:sz w:val="18"/>
                <w:szCs w:val="18"/>
                <w:color w:val="auto"/>
              </w:rPr>
              <w:t>—</w:t>
            </w:r>
          </w:p>
        </w:tc>
      </w:tr>
      <w:tr>
        <w:trPr>
          <w:trHeight w:val="216"/>
        </w:trPr>
        <w:tc>
          <w:tcPr>
            <w:tcW w:w="62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State</w:t>
            </w:r>
          </w:p>
        </w:tc>
        <w:tc>
          <w:tcPr>
            <w:tcW w:w="14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9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r>
      <w:tr>
        <w:trPr>
          <w:trHeight w:val="216"/>
        </w:trPr>
        <w:tc>
          <w:tcPr>
            <w:tcW w:w="6200" w:type="dxa"/>
            <w:vAlign w:val="bottom"/>
          </w:tcPr>
          <w:p>
            <w:pPr>
              <w:ind w:left="360"/>
              <w:spacing w:after="0"/>
              <w:rPr>
                <w:sz w:val="20"/>
                <w:szCs w:val="20"/>
                <w:color w:val="auto"/>
              </w:rPr>
            </w:pPr>
            <w:r>
              <w:rPr>
                <w:rFonts w:ascii="Arial" w:cs="Arial" w:eastAsia="Arial" w:hAnsi="Arial"/>
                <w:sz w:val="18"/>
                <w:szCs w:val="18"/>
                <w:color w:val="auto"/>
              </w:rPr>
              <w:t>Foreign</w:t>
            </w:r>
          </w:p>
        </w:tc>
        <w:tc>
          <w:tcPr>
            <w:tcW w:w="140" w:type="dxa"/>
            <w:vAlign w:val="bottom"/>
          </w:tcPr>
          <w:p>
            <w:pPr>
              <w:spacing w:after="0"/>
              <w:rPr>
                <w:sz w:val="18"/>
                <w:szCs w:val="18"/>
                <w:color w:val="auto"/>
              </w:rPr>
            </w:pPr>
          </w:p>
        </w:tc>
        <w:tc>
          <w:tcPr>
            <w:tcW w:w="1400" w:type="dxa"/>
            <w:vAlign w:val="bottom"/>
            <w:gridSpan w:val="2"/>
          </w:tcPr>
          <w:p>
            <w:pPr>
              <w:jc w:val="right"/>
              <w:ind w:right="880"/>
              <w:spacing w:after="0"/>
              <w:rPr>
                <w:sz w:val="20"/>
                <w:szCs w:val="20"/>
                <w:color w:val="auto"/>
              </w:rPr>
            </w:pPr>
            <w:r>
              <w:rPr>
                <w:rFonts w:ascii="Arial" w:cs="Arial" w:eastAsia="Arial" w:hAnsi="Arial"/>
                <w:sz w:val="18"/>
                <w:szCs w:val="18"/>
                <w:color w:val="auto"/>
              </w:rPr>
              <w:t>0.2</w:t>
            </w:r>
          </w:p>
        </w:tc>
        <w:tc>
          <w:tcPr>
            <w:tcW w:w="140" w:type="dxa"/>
            <w:vAlign w:val="bottom"/>
          </w:tcPr>
          <w:p>
            <w:pPr>
              <w:spacing w:after="0"/>
              <w:rPr>
                <w:sz w:val="18"/>
                <w:szCs w:val="18"/>
                <w:color w:val="auto"/>
              </w:rPr>
            </w:pPr>
          </w:p>
        </w:tc>
        <w:tc>
          <w:tcPr>
            <w:tcW w:w="640" w:type="dxa"/>
            <w:vAlign w:val="bottom"/>
            <w:gridSpan w:val="2"/>
          </w:tcPr>
          <w:p>
            <w:pPr>
              <w:ind w:left="260"/>
              <w:spacing w:after="0"/>
              <w:rPr>
                <w:sz w:val="20"/>
                <w:szCs w:val="20"/>
                <w:color w:val="auto"/>
              </w:rPr>
            </w:pPr>
            <w:r>
              <w:rPr>
                <w:rFonts w:ascii="Arial" w:cs="Arial" w:eastAsia="Arial" w:hAnsi="Arial"/>
                <w:sz w:val="18"/>
                <w:szCs w:val="18"/>
                <w:color w:val="auto"/>
                <w:w w:val="97"/>
              </w:rPr>
              <w:t>(0.2)</w:t>
            </w:r>
          </w:p>
        </w:tc>
      </w:tr>
      <w:tr>
        <w:trPr>
          <w:trHeight w:val="27"/>
        </w:trPr>
        <w:tc>
          <w:tcPr>
            <w:tcW w:w="62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8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6200" w:type="dxa"/>
            <w:vAlign w:val="bottom"/>
            <w:shd w:val="clear" w:color="auto" w:fill="CCEEFF"/>
          </w:tcPr>
          <w:p>
            <w:pPr>
              <w:spacing w:after="0"/>
              <w:rPr>
                <w:sz w:val="20"/>
                <w:szCs w:val="20"/>
                <w:color w:val="auto"/>
              </w:rPr>
            </w:pPr>
            <w:r>
              <w:rPr>
                <w:rFonts w:ascii="Arial" w:cs="Arial" w:eastAsia="Arial" w:hAnsi="Arial"/>
                <w:sz w:val="18"/>
                <w:szCs w:val="18"/>
                <w:color w:val="auto"/>
              </w:rPr>
              <w:t>Provision for income taxes</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00" w:type="dxa"/>
            <w:vAlign w:val="bottom"/>
            <w:gridSpan w:val="2"/>
            <w:shd w:val="clear" w:color="auto" w:fill="CCEEFF"/>
          </w:tcPr>
          <w:p>
            <w:pPr>
              <w:jc w:val="right"/>
              <w:ind w:right="820"/>
              <w:spacing w:after="0"/>
              <w:rPr>
                <w:sz w:val="20"/>
                <w:szCs w:val="20"/>
                <w:color w:val="auto"/>
              </w:rPr>
            </w:pPr>
            <w:r>
              <w:rPr>
                <w:rFonts w:ascii="Arial" w:cs="Arial" w:eastAsia="Arial" w:hAnsi="Arial"/>
                <w:sz w:val="18"/>
                <w:szCs w:val="18"/>
                <w:color w:val="auto"/>
              </w:rPr>
              <w:t>(0.3)</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w w:val="97"/>
              </w:rPr>
              <w:t>(5.2)</w:t>
            </w:r>
          </w:p>
        </w:tc>
      </w:tr>
      <w:tr>
        <w:trPr>
          <w:trHeight w:val="20"/>
        </w:trPr>
        <w:tc>
          <w:tcPr>
            <w:tcW w:w="62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15" w:lineRule="exact"/>
        <w:rPr>
          <w:sz w:val="20"/>
          <w:szCs w:val="20"/>
          <w:color w:val="auto"/>
        </w:rPr>
      </w:pPr>
    </w:p>
    <w:p>
      <w:pPr>
        <w:ind w:right="240" w:firstLine="449"/>
        <w:spacing w:after="0" w:line="277" w:lineRule="auto"/>
        <w:rPr>
          <w:sz w:val="20"/>
          <w:szCs w:val="20"/>
          <w:color w:val="auto"/>
        </w:rPr>
      </w:pPr>
      <w:r>
        <w:rPr>
          <w:rFonts w:ascii="Arial" w:cs="Arial" w:eastAsia="Arial" w:hAnsi="Arial"/>
          <w:sz w:val="18"/>
          <w:szCs w:val="18"/>
          <w:color w:val="auto"/>
        </w:rPr>
        <w:t>Income tax expense attributable to income from continuing operations differed from the amounts computed by applying the statutory U.S. federal income tax rate of 34% to pretax loss from continuing operations as a result of the following:</w:t>
      </w:r>
    </w:p>
    <w:p>
      <w:pPr>
        <w:spacing w:after="0" w:line="189" w:lineRule="exact"/>
        <w:rPr>
          <w:sz w:val="20"/>
          <w:szCs w:val="20"/>
          <w:color w:val="auto"/>
        </w:rPr>
      </w:pPr>
    </w:p>
    <w:tbl>
      <w:tblPr>
        <w:tblLayout w:type="fixed"/>
        <w:tblInd w:w="1360" w:type="dxa"/>
        <w:tblCellMar>
          <w:top w:w="0" w:type="dxa"/>
          <w:left w:w="0" w:type="dxa"/>
          <w:bottom w:w="0" w:type="dxa"/>
          <w:right w:w="0" w:type="dxa"/>
        </w:tblCellMar>
      </w:tblPr>
      <w:tr>
        <w:trPr>
          <w:trHeight w:val="171"/>
        </w:trPr>
        <w:tc>
          <w:tcPr>
            <w:tcW w:w="3600" w:type="dxa"/>
            <w:vAlign w:val="bottom"/>
          </w:tcPr>
          <w:p>
            <w:pPr>
              <w:spacing w:after="0"/>
              <w:rPr>
                <w:sz w:val="14"/>
                <w:szCs w:val="14"/>
                <w:color w:val="auto"/>
              </w:rPr>
            </w:pPr>
          </w:p>
        </w:tc>
        <w:tc>
          <w:tcPr>
            <w:tcW w:w="26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100" w:type="dxa"/>
            <w:vAlign w:val="bottom"/>
            <w:gridSpan w:val="5"/>
          </w:tcPr>
          <w:p>
            <w:pPr>
              <w:jc w:val="right"/>
              <w:ind w:right="321"/>
              <w:spacing w:after="0"/>
              <w:rPr>
                <w:sz w:val="20"/>
                <w:szCs w:val="20"/>
                <w:color w:val="auto"/>
              </w:rPr>
            </w:pPr>
            <w:r>
              <w:rPr>
                <w:rFonts w:ascii="Arial" w:cs="Arial" w:eastAsia="Arial" w:hAnsi="Arial"/>
                <w:sz w:val="14"/>
                <w:szCs w:val="14"/>
                <w:b w:val="1"/>
                <w:bCs w:val="1"/>
                <w:color w:val="auto"/>
                <w:w w:val="98"/>
              </w:rPr>
              <w:t>Year ended December 31,</w:t>
            </w:r>
          </w:p>
        </w:tc>
      </w:tr>
      <w:tr>
        <w:trPr>
          <w:trHeight w:val="142"/>
        </w:trPr>
        <w:tc>
          <w:tcPr>
            <w:tcW w:w="3600" w:type="dxa"/>
            <w:vAlign w:val="bottom"/>
            <w:tcBorders>
              <w:bottom w:val="single" w:sz="8" w:color="CCEEFF"/>
            </w:tcBorders>
          </w:tcPr>
          <w:p>
            <w:pPr>
              <w:spacing w:after="0"/>
              <w:rPr>
                <w:sz w:val="12"/>
                <w:szCs w:val="12"/>
                <w:color w:val="auto"/>
              </w:rPr>
            </w:pPr>
          </w:p>
        </w:tc>
        <w:tc>
          <w:tcPr>
            <w:tcW w:w="2680" w:type="dxa"/>
            <w:vAlign w:val="bottom"/>
            <w:tcBorders>
              <w:bottom w:val="single" w:sz="8" w:color="CCEEFF"/>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520" w:type="dxa"/>
            <w:vAlign w:val="bottom"/>
            <w:tcBorders>
              <w:top w:val="single" w:sz="8" w:color="auto"/>
              <w:bottom w:val="single" w:sz="8" w:color="auto"/>
            </w:tcBorders>
          </w:tcPr>
          <w:p>
            <w:pPr>
              <w:jc w:val="right"/>
              <w:ind w:right="94"/>
              <w:spacing w:after="0" w:line="142" w:lineRule="exact"/>
              <w:rPr>
                <w:sz w:val="20"/>
                <w:szCs w:val="20"/>
                <w:color w:val="auto"/>
              </w:rPr>
            </w:pPr>
            <w:r>
              <w:rPr>
                <w:rFonts w:ascii="Arial" w:cs="Arial" w:eastAsia="Arial" w:hAnsi="Arial"/>
                <w:sz w:val="14"/>
                <w:szCs w:val="14"/>
                <w:b w:val="1"/>
                <w:bCs w:val="1"/>
                <w:color w:val="auto"/>
              </w:rPr>
              <w:t>2015</w:t>
            </w:r>
          </w:p>
        </w:tc>
        <w:tc>
          <w:tcPr>
            <w:tcW w:w="800" w:type="dxa"/>
            <w:vAlign w:val="bottom"/>
            <w:tcBorders>
              <w:top w:val="single" w:sz="8" w:color="auto"/>
              <w:bottom w:val="single" w:sz="8" w:color="CCEEFF"/>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540" w:type="dxa"/>
            <w:vAlign w:val="bottom"/>
            <w:tcBorders>
              <w:top w:val="single" w:sz="8" w:color="auto"/>
              <w:bottom w:val="single" w:sz="8" w:color="auto"/>
            </w:tcBorders>
          </w:tcPr>
          <w:p>
            <w:pPr>
              <w:jc w:val="right"/>
              <w:ind w:right="112"/>
              <w:spacing w:after="0" w:line="142" w:lineRule="exact"/>
              <w:rPr>
                <w:sz w:val="20"/>
                <w:szCs w:val="20"/>
                <w:color w:val="auto"/>
              </w:rPr>
            </w:pPr>
            <w:r>
              <w:rPr>
                <w:rFonts w:ascii="Arial" w:cs="Arial" w:eastAsia="Arial" w:hAnsi="Arial"/>
                <w:sz w:val="14"/>
                <w:szCs w:val="14"/>
                <w:b w:val="1"/>
                <w:bCs w:val="1"/>
                <w:color w:val="auto"/>
              </w:rPr>
              <w:t>2016</w:t>
            </w:r>
          </w:p>
        </w:tc>
        <w:tc>
          <w:tcPr>
            <w:tcW w:w="100" w:type="dxa"/>
            <w:vAlign w:val="bottom"/>
            <w:tcBorders>
              <w:bottom w:val="single" w:sz="8" w:color="CCEEFF"/>
            </w:tcBorders>
          </w:tcPr>
          <w:p>
            <w:pPr>
              <w:spacing w:after="0"/>
              <w:rPr>
                <w:sz w:val="12"/>
                <w:szCs w:val="12"/>
                <w:color w:val="auto"/>
              </w:rPr>
            </w:pPr>
          </w:p>
        </w:tc>
      </w:tr>
      <w:tr>
        <w:trPr>
          <w:trHeight w:val="209"/>
        </w:trPr>
        <w:tc>
          <w:tcPr>
            <w:tcW w:w="3600" w:type="dxa"/>
            <w:vAlign w:val="bottom"/>
            <w:shd w:val="clear" w:color="auto" w:fill="CCEEFF"/>
          </w:tcPr>
          <w:p>
            <w:pPr>
              <w:spacing w:after="0"/>
              <w:rPr>
                <w:sz w:val="20"/>
                <w:szCs w:val="20"/>
                <w:color w:val="auto"/>
              </w:rPr>
            </w:pPr>
            <w:r>
              <w:rPr>
                <w:rFonts w:ascii="Arial" w:cs="Arial" w:eastAsia="Arial" w:hAnsi="Arial"/>
                <w:sz w:val="18"/>
                <w:szCs w:val="18"/>
                <w:color w:val="auto"/>
              </w:rPr>
              <w:t>Tax benefit at federal statutory rate of 34%</w:t>
            </w:r>
          </w:p>
        </w:tc>
        <w:tc>
          <w:tcPr>
            <w:tcW w:w="268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110.7</w:t>
            </w:r>
          </w:p>
        </w:tc>
        <w:tc>
          <w:tcPr>
            <w:tcW w:w="8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69.7</w:t>
            </w:r>
          </w:p>
        </w:tc>
        <w:tc>
          <w:tcPr>
            <w:tcW w:w="100" w:type="dxa"/>
            <w:vAlign w:val="bottom"/>
            <w:shd w:val="clear" w:color="auto" w:fill="CCEEFF"/>
          </w:tcPr>
          <w:p>
            <w:pPr>
              <w:spacing w:after="0"/>
              <w:rPr>
                <w:sz w:val="18"/>
                <w:szCs w:val="18"/>
                <w:color w:val="auto"/>
              </w:rPr>
            </w:pPr>
          </w:p>
        </w:tc>
      </w:tr>
      <w:tr>
        <w:trPr>
          <w:trHeight w:val="216"/>
        </w:trPr>
        <w:tc>
          <w:tcPr>
            <w:tcW w:w="3600" w:type="dxa"/>
            <w:vAlign w:val="bottom"/>
          </w:tcPr>
          <w:p>
            <w:pPr>
              <w:spacing w:after="0"/>
              <w:rPr>
                <w:sz w:val="20"/>
                <w:szCs w:val="20"/>
                <w:color w:val="auto"/>
              </w:rPr>
            </w:pPr>
            <w:r>
              <w:rPr>
                <w:rFonts w:ascii="Arial" w:cs="Arial" w:eastAsia="Arial" w:hAnsi="Arial"/>
                <w:sz w:val="18"/>
                <w:szCs w:val="18"/>
                <w:color w:val="auto"/>
              </w:rPr>
              <w:t>State taxes, net of federal benefit</w:t>
            </w:r>
          </w:p>
        </w:tc>
        <w:tc>
          <w:tcPr>
            <w:tcW w:w="26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gridSpan w:val="2"/>
          </w:tcPr>
          <w:p>
            <w:pPr>
              <w:jc w:val="right"/>
              <w:ind w:right="721"/>
              <w:spacing w:after="0"/>
              <w:rPr>
                <w:sz w:val="20"/>
                <w:szCs w:val="20"/>
                <w:color w:val="auto"/>
              </w:rPr>
            </w:pPr>
            <w:r>
              <w:rPr>
                <w:rFonts w:ascii="Arial" w:cs="Arial" w:eastAsia="Arial" w:hAnsi="Arial"/>
                <w:sz w:val="18"/>
                <w:szCs w:val="18"/>
                <w:color w:val="auto"/>
              </w:rPr>
              <w:t>4.5</w:t>
            </w:r>
          </w:p>
        </w:tc>
        <w:tc>
          <w:tcPr>
            <w:tcW w:w="140" w:type="dxa"/>
            <w:vAlign w:val="bottom"/>
          </w:tcPr>
          <w:p>
            <w:pPr>
              <w:spacing w:after="0"/>
              <w:rPr>
                <w:sz w:val="18"/>
                <w:szCs w:val="18"/>
                <w:color w:val="auto"/>
              </w:rPr>
            </w:pPr>
          </w:p>
        </w:tc>
        <w:tc>
          <w:tcPr>
            <w:tcW w:w="640" w:type="dxa"/>
            <w:vAlign w:val="bottom"/>
            <w:gridSpan w:val="2"/>
          </w:tcPr>
          <w:p>
            <w:pPr>
              <w:jc w:val="right"/>
              <w:ind w:right="21"/>
              <w:spacing w:after="0"/>
              <w:rPr>
                <w:sz w:val="20"/>
                <w:szCs w:val="20"/>
                <w:color w:val="auto"/>
              </w:rPr>
            </w:pPr>
            <w:r>
              <w:rPr>
                <w:rFonts w:ascii="Arial" w:cs="Arial" w:eastAsia="Arial" w:hAnsi="Arial"/>
                <w:sz w:val="18"/>
                <w:szCs w:val="18"/>
                <w:color w:val="auto"/>
              </w:rPr>
              <w:t>2.2</w:t>
            </w:r>
          </w:p>
        </w:tc>
      </w:tr>
      <w:tr>
        <w:trPr>
          <w:trHeight w:val="216"/>
        </w:trPr>
        <w:tc>
          <w:tcPr>
            <w:tcW w:w="3600" w:type="dxa"/>
            <w:vAlign w:val="bottom"/>
            <w:shd w:val="clear" w:color="auto" w:fill="CCEEFF"/>
          </w:tcPr>
          <w:p>
            <w:pPr>
              <w:spacing w:after="0"/>
              <w:rPr>
                <w:sz w:val="20"/>
                <w:szCs w:val="20"/>
                <w:color w:val="auto"/>
              </w:rPr>
            </w:pPr>
            <w:r>
              <w:rPr>
                <w:rFonts w:ascii="Arial" w:cs="Arial" w:eastAsia="Arial" w:hAnsi="Arial"/>
                <w:sz w:val="18"/>
                <w:szCs w:val="18"/>
                <w:color w:val="auto"/>
              </w:rPr>
              <w:t>Foreign rate differential</w:t>
            </w:r>
          </w:p>
        </w:tc>
        <w:tc>
          <w:tcPr>
            <w:tcW w:w="26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661"/>
              <w:spacing w:after="0"/>
              <w:rPr>
                <w:sz w:val="20"/>
                <w:szCs w:val="20"/>
                <w:color w:val="auto"/>
              </w:rPr>
            </w:pPr>
            <w:r>
              <w:rPr>
                <w:rFonts w:ascii="Arial" w:cs="Arial" w:eastAsia="Arial" w:hAnsi="Arial"/>
                <w:sz w:val="18"/>
                <w:szCs w:val="18"/>
                <w:color w:val="auto"/>
              </w:rPr>
              <w:t>(50.7)</w:t>
            </w: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(38.8)</w:t>
            </w:r>
          </w:p>
        </w:tc>
      </w:tr>
      <w:tr>
        <w:trPr>
          <w:trHeight w:val="216"/>
        </w:trPr>
        <w:tc>
          <w:tcPr>
            <w:tcW w:w="3600" w:type="dxa"/>
            <w:vAlign w:val="bottom"/>
          </w:tcPr>
          <w:p>
            <w:pPr>
              <w:spacing w:after="0"/>
              <w:rPr>
                <w:sz w:val="20"/>
                <w:szCs w:val="20"/>
                <w:color w:val="auto"/>
              </w:rPr>
            </w:pPr>
            <w:r>
              <w:rPr>
                <w:rFonts w:ascii="Arial" w:cs="Arial" w:eastAsia="Arial" w:hAnsi="Arial"/>
                <w:sz w:val="18"/>
                <w:szCs w:val="18"/>
                <w:color w:val="auto"/>
              </w:rPr>
              <w:t>Research and other credits</w:t>
            </w:r>
          </w:p>
        </w:tc>
        <w:tc>
          <w:tcPr>
            <w:tcW w:w="26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gridSpan w:val="2"/>
          </w:tcPr>
          <w:p>
            <w:pPr>
              <w:jc w:val="right"/>
              <w:ind w:right="721"/>
              <w:spacing w:after="0"/>
              <w:rPr>
                <w:sz w:val="20"/>
                <w:szCs w:val="20"/>
                <w:color w:val="auto"/>
              </w:rPr>
            </w:pPr>
            <w:r>
              <w:rPr>
                <w:rFonts w:ascii="Arial" w:cs="Arial" w:eastAsia="Arial" w:hAnsi="Arial"/>
                <w:sz w:val="18"/>
                <w:szCs w:val="18"/>
                <w:color w:val="auto"/>
              </w:rPr>
              <w:t>12.7</w:t>
            </w:r>
          </w:p>
        </w:tc>
        <w:tc>
          <w:tcPr>
            <w:tcW w:w="140" w:type="dxa"/>
            <w:vAlign w:val="bottom"/>
          </w:tcPr>
          <w:p>
            <w:pPr>
              <w:spacing w:after="0"/>
              <w:rPr>
                <w:sz w:val="18"/>
                <w:szCs w:val="18"/>
                <w:color w:val="auto"/>
              </w:rPr>
            </w:pPr>
          </w:p>
        </w:tc>
        <w:tc>
          <w:tcPr>
            <w:tcW w:w="640" w:type="dxa"/>
            <w:vAlign w:val="bottom"/>
            <w:gridSpan w:val="2"/>
          </w:tcPr>
          <w:p>
            <w:pPr>
              <w:jc w:val="right"/>
              <w:ind w:right="21"/>
              <w:spacing w:after="0"/>
              <w:rPr>
                <w:sz w:val="20"/>
                <w:szCs w:val="20"/>
                <w:color w:val="auto"/>
              </w:rPr>
            </w:pPr>
            <w:r>
              <w:rPr>
                <w:rFonts w:ascii="Arial" w:cs="Arial" w:eastAsia="Arial" w:hAnsi="Arial"/>
                <w:sz w:val="18"/>
                <w:szCs w:val="18"/>
                <w:color w:val="auto"/>
              </w:rPr>
              <w:t>12.6</w:t>
            </w:r>
          </w:p>
        </w:tc>
      </w:tr>
      <w:tr>
        <w:trPr>
          <w:trHeight w:val="216"/>
        </w:trPr>
        <w:tc>
          <w:tcPr>
            <w:tcW w:w="3600" w:type="dxa"/>
            <w:vAlign w:val="bottom"/>
            <w:shd w:val="clear" w:color="auto" w:fill="CCEEFF"/>
          </w:tcPr>
          <w:p>
            <w:pPr>
              <w:spacing w:after="0"/>
              <w:rPr>
                <w:sz w:val="20"/>
                <w:szCs w:val="20"/>
                <w:color w:val="auto"/>
              </w:rPr>
            </w:pPr>
            <w:r>
              <w:rPr>
                <w:rFonts w:ascii="Arial" w:cs="Arial" w:eastAsia="Arial" w:hAnsi="Arial"/>
                <w:sz w:val="18"/>
                <w:szCs w:val="18"/>
                <w:color w:val="auto"/>
              </w:rPr>
              <w:t>Change in valuation allowance</w:t>
            </w:r>
          </w:p>
        </w:tc>
        <w:tc>
          <w:tcPr>
            <w:tcW w:w="26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661"/>
              <w:spacing w:after="0"/>
              <w:rPr>
                <w:sz w:val="20"/>
                <w:szCs w:val="20"/>
                <w:color w:val="auto"/>
              </w:rPr>
            </w:pPr>
            <w:r>
              <w:rPr>
                <w:rFonts w:ascii="Arial" w:cs="Arial" w:eastAsia="Arial" w:hAnsi="Arial"/>
                <w:sz w:val="18"/>
                <w:szCs w:val="18"/>
                <w:color w:val="auto"/>
              </w:rPr>
              <w:t>(71.2)</w:t>
            </w: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(40.7)</w:t>
            </w:r>
          </w:p>
        </w:tc>
      </w:tr>
      <w:tr>
        <w:trPr>
          <w:trHeight w:val="216"/>
        </w:trPr>
        <w:tc>
          <w:tcPr>
            <w:tcW w:w="3600" w:type="dxa"/>
            <w:vAlign w:val="bottom"/>
          </w:tcPr>
          <w:p>
            <w:pPr>
              <w:spacing w:after="0"/>
              <w:rPr>
                <w:sz w:val="20"/>
                <w:szCs w:val="20"/>
                <w:color w:val="auto"/>
              </w:rPr>
            </w:pPr>
            <w:r>
              <w:rPr>
                <w:rFonts w:ascii="Arial" w:cs="Arial" w:eastAsia="Arial" w:hAnsi="Arial"/>
                <w:sz w:val="18"/>
                <w:szCs w:val="18"/>
                <w:color w:val="auto"/>
              </w:rPr>
              <w:t>Stock-based compensation</w:t>
            </w:r>
          </w:p>
        </w:tc>
        <w:tc>
          <w:tcPr>
            <w:tcW w:w="26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gridSpan w:val="2"/>
          </w:tcPr>
          <w:p>
            <w:pPr>
              <w:jc w:val="right"/>
              <w:ind w:right="661"/>
              <w:spacing w:after="0"/>
              <w:rPr>
                <w:sz w:val="20"/>
                <w:szCs w:val="20"/>
                <w:color w:val="auto"/>
              </w:rPr>
            </w:pPr>
            <w:r>
              <w:rPr>
                <w:rFonts w:ascii="Arial" w:cs="Arial" w:eastAsia="Arial" w:hAnsi="Arial"/>
                <w:sz w:val="18"/>
                <w:szCs w:val="18"/>
                <w:color w:val="auto"/>
              </w:rPr>
              <w:t>(6.1)</w:t>
            </w:r>
          </w:p>
        </w:tc>
        <w:tc>
          <w:tcPr>
            <w:tcW w:w="140" w:type="dxa"/>
            <w:vAlign w:val="bottom"/>
          </w:tcPr>
          <w:p>
            <w:pPr>
              <w:spacing w:after="0"/>
              <w:rPr>
                <w:sz w:val="18"/>
                <w:szCs w:val="18"/>
                <w:color w:val="auto"/>
              </w:rPr>
            </w:pPr>
          </w:p>
        </w:tc>
        <w:tc>
          <w:tcPr>
            <w:tcW w:w="640" w:type="dxa"/>
            <w:vAlign w:val="bottom"/>
            <w:gridSpan w:val="2"/>
          </w:tcPr>
          <w:p>
            <w:pPr>
              <w:jc w:val="right"/>
              <w:spacing w:after="0"/>
              <w:rPr>
                <w:sz w:val="20"/>
                <w:szCs w:val="20"/>
                <w:color w:val="auto"/>
              </w:rPr>
            </w:pPr>
            <w:r>
              <w:rPr>
                <w:rFonts w:ascii="Arial" w:cs="Arial" w:eastAsia="Arial" w:hAnsi="Arial"/>
                <w:sz w:val="18"/>
                <w:szCs w:val="18"/>
                <w:color w:val="auto"/>
              </w:rPr>
              <w:t>(4.8)</w:t>
            </w:r>
          </w:p>
        </w:tc>
      </w:tr>
      <w:tr>
        <w:trPr>
          <w:trHeight w:val="216"/>
        </w:trPr>
        <w:tc>
          <w:tcPr>
            <w:tcW w:w="3600" w:type="dxa"/>
            <w:vAlign w:val="bottom"/>
            <w:shd w:val="clear" w:color="auto" w:fill="CCEEFF"/>
          </w:tcPr>
          <w:p>
            <w:pPr>
              <w:spacing w:after="0"/>
              <w:rPr>
                <w:sz w:val="20"/>
                <w:szCs w:val="20"/>
                <w:color w:val="auto"/>
              </w:rPr>
            </w:pPr>
            <w:r>
              <w:rPr>
                <w:rFonts w:ascii="Arial" w:cs="Arial" w:eastAsia="Arial" w:hAnsi="Arial"/>
                <w:sz w:val="18"/>
                <w:szCs w:val="18"/>
                <w:color w:val="auto"/>
              </w:rPr>
              <w:t>Other nondeductible items</w:t>
            </w:r>
          </w:p>
        </w:tc>
        <w:tc>
          <w:tcPr>
            <w:tcW w:w="26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661"/>
              <w:spacing w:after="0"/>
              <w:rPr>
                <w:sz w:val="20"/>
                <w:szCs w:val="20"/>
                <w:color w:val="auto"/>
              </w:rPr>
            </w:pPr>
            <w:r>
              <w:rPr>
                <w:rFonts w:ascii="Arial" w:cs="Arial" w:eastAsia="Arial" w:hAnsi="Arial"/>
                <w:sz w:val="18"/>
                <w:szCs w:val="18"/>
                <w:color w:val="auto"/>
              </w:rPr>
              <w:t>(0.2)</w:t>
            </w: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(5.4)</w:t>
            </w:r>
          </w:p>
        </w:tc>
      </w:tr>
      <w:tr>
        <w:trPr>
          <w:trHeight w:val="223"/>
        </w:trPr>
        <w:tc>
          <w:tcPr>
            <w:tcW w:w="3600" w:type="dxa"/>
            <w:vAlign w:val="bottom"/>
          </w:tcPr>
          <w:p>
            <w:pPr>
              <w:spacing w:after="0"/>
              <w:rPr>
                <w:sz w:val="20"/>
                <w:szCs w:val="20"/>
                <w:color w:val="auto"/>
              </w:rPr>
            </w:pPr>
            <w:r>
              <w:rPr>
                <w:rFonts w:ascii="Arial" w:cs="Arial" w:eastAsia="Arial" w:hAnsi="Arial"/>
                <w:sz w:val="18"/>
                <w:szCs w:val="18"/>
                <w:color w:val="auto"/>
              </w:rPr>
              <w:t>Provision for income taxes</w:t>
            </w:r>
          </w:p>
        </w:tc>
        <w:tc>
          <w:tcPr>
            <w:tcW w:w="268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(0.3</w:t>
            </w:r>
          </w:p>
        </w:tc>
        <w:tc>
          <w:tcPr>
            <w:tcW w:w="800" w:type="dxa"/>
            <w:vAlign w:val="bottom"/>
          </w:tcPr>
          <w:p>
            <w:pPr>
              <w:jc w:val="right"/>
              <w:ind w:right="661"/>
              <w:spacing w:after="0"/>
              <w:rPr>
                <w:sz w:val="20"/>
                <w:szCs w:val="20"/>
                <w:color w:val="auto"/>
              </w:rPr>
            </w:pPr>
            <w:r>
              <w:rPr>
                <w:rFonts w:ascii="Arial" w:cs="Arial" w:eastAsia="Arial" w:hAnsi="Arial"/>
                <w:sz w:val="16"/>
                <w:szCs w:val="16"/>
                <w:color w:val="auto"/>
                <w:w w:val="74"/>
              </w:rPr>
              <w:t>)</w:t>
            </w: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(5.2</w:t>
            </w:r>
          </w:p>
        </w:tc>
        <w:tc>
          <w:tcPr>
            <w:tcW w:w="100" w:type="dxa"/>
            <w:vAlign w:val="bottom"/>
          </w:tcPr>
          <w:p>
            <w:pPr>
              <w:jc w:val="right"/>
              <w:spacing w:after="0"/>
              <w:rPr>
                <w:sz w:val="20"/>
                <w:szCs w:val="20"/>
                <w:color w:val="auto"/>
              </w:rPr>
            </w:pPr>
            <w:r>
              <w:rPr>
                <w:rFonts w:ascii="Arial" w:cs="Arial" w:eastAsia="Arial" w:hAnsi="Arial"/>
                <w:sz w:val="16"/>
                <w:szCs w:val="16"/>
                <w:color w:val="auto"/>
                <w:w w:val="74"/>
              </w:rPr>
              <w:t>)</w:t>
            </w:r>
          </w:p>
        </w:tc>
      </w:tr>
      <w:tr>
        <w:trPr>
          <w:trHeight w:val="372"/>
        </w:trPr>
        <w:tc>
          <w:tcPr>
            <w:tcW w:w="3600" w:type="dxa"/>
            <w:vAlign w:val="bottom"/>
          </w:tcPr>
          <w:p>
            <w:pPr>
              <w:spacing w:after="0"/>
              <w:rPr>
                <w:sz w:val="24"/>
                <w:szCs w:val="24"/>
                <w:color w:val="auto"/>
              </w:rPr>
            </w:pPr>
          </w:p>
        </w:tc>
        <w:tc>
          <w:tcPr>
            <w:tcW w:w="2820" w:type="dxa"/>
            <w:vAlign w:val="bottom"/>
            <w:gridSpan w:val="2"/>
          </w:tcPr>
          <w:p>
            <w:pPr>
              <w:jc w:val="right"/>
              <w:ind w:right="1907"/>
              <w:spacing w:after="0"/>
              <w:rPr>
                <w:sz w:val="20"/>
                <w:szCs w:val="20"/>
                <w:color w:val="auto"/>
              </w:rPr>
            </w:pPr>
            <w:r>
              <w:rPr>
                <w:rFonts w:ascii="Arial" w:cs="Arial" w:eastAsia="Arial" w:hAnsi="Arial"/>
                <w:sz w:val="18"/>
                <w:szCs w:val="18"/>
                <w:color w:val="auto"/>
              </w:rPr>
              <w:t>F-31</w:t>
            </w:r>
          </w:p>
        </w:tc>
        <w:tc>
          <w:tcPr>
            <w:tcW w:w="5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r>
    </w:tbl>
    <w:p>
      <w:pPr>
        <w:sectPr>
          <w:pgSz w:w="11900" w:h="16838" w:orient="portrait"/>
          <w:cols w:equalWidth="0" w:num="1">
            <w:col w:w="11180"/>
          </w:cols>
          <w:pgMar w:left="320" w:top="459" w:right="399" w:bottom="1440" w:gutter="0" w:footer="0" w:header="0"/>
        </w:sectPr>
      </w:pPr>
    </w:p>
    <w:bookmarkStart w:id="190" w:name="page191"/>
    <w:bookmarkEnd w:id="19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significant components of the Company’s deferred tax assets and liabilities as of December 31, 2015 and 2016, are as follows:</w:t>
      </w:r>
    </w:p>
    <w:p>
      <w:pPr>
        <w:spacing w:after="0" w:line="244" w:lineRule="exact"/>
        <w:rPr>
          <w:sz w:val="20"/>
          <w:szCs w:val="20"/>
          <w:color w:val="auto"/>
        </w:rPr>
      </w:pPr>
    </w:p>
    <w:tbl>
      <w:tblPr>
        <w:tblLayout w:type="fixed"/>
        <w:tblInd w:w="1360" w:type="dxa"/>
        <w:tblCellMar>
          <w:top w:w="0" w:type="dxa"/>
          <w:left w:w="0" w:type="dxa"/>
          <w:bottom w:w="0" w:type="dxa"/>
          <w:right w:w="0" w:type="dxa"/>
        </w:tblCellMar>
      </w:tblPr>
      <w:tr>
        <w:trPr>
          <w:trHeight w:val="171"/>
        </w:trPr>
        <w:tc>
          <w:tcPr>
            <w:tcW w:w="6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20" w:type="dxa"/>
            <w:vAlign w:val="bottom"/>
            <w:gridSpan w:val="6"/>
          </w:tcPr>
          <w:p>
            <w:pPr>
              <w:jc w:val="right"/>
              <w:ind w:right="281"/>
              <w:spacing w:after="0"/>
              <w:rPr>
                <w:sz w:val="20"/>
                <w:szCs w:val="20"/>
                <w:color w:val="auto"/>
              </w:rPr>
            </w:pPr>
            <w:r>
              <w:rPr>
                <w:rFonts w:ascii="Arial" w:cs="Arial" w:eastAsia="Arial" w:hAnsi="Arial"/>
                <w:sz w:val="14"/>
                <w:szCs w:val="14"/>
                <w:b w:val="1"/>
                <w:bCs w:val="1"/>
                <w:color w:val="auto"/>
              </w:rPr>
              <w:t>As of December 31,</w:t>
            </w:r>
          </w:p>
        </w:tc>
      </w:tr>
      <w:tr>
        <w:trPr>
          <w:trHeight w:val="142"/>
        </w:trPr>
        <w:tc>
          <w:tcPr>
            <w:tcW w:w="6700" w:type="dxa"/>
            <w:vAlign w:val="bottom"/>
            <w:tcBorders>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460" w:type="dxa"/>
            <w:vAlign w:val="bottom"/>
            <w:tcBorders>
              <w:top w:val="single" w:sz="8" w:color="auto"/>
              <w:bottom w:val="single" w:sz="8" w:color="auto"/>
            </w:tcBorders>
          </w:tcPr>
          <w:p>
            <w:pPr>
              <w:jc w:val="right"/>
              <w:ind w:right="53"/>
              <w:spacing w:after="0" w:line="142" w:lineRule="exact"/>
              <w:rPr>
                <w:sz w:val="20"/>
                <w:szCs w:val="20"/>
                <w:color w:val="auto"/>
              </w:rPr>
            </w:pPr>
            <w:r>
              <w:rPr>
                <w:rFonts w:ascii="Arial" w:cs="Arial" w:eastAsia="Arial" w:hAnsi="Arial"/>
                <w:sz w:val="14"/>
                <w:szCs w:val="14"/>
                <w:b w:val="1"/>
                <w:bCs w:val="1"/>
                <w:color w:val="auto"/>
                <w:w w:val="96"/>
              </w:rPr>
              <w:t>2015</w:t>
            </w:r>
          </w:p>
        </w:tc>
        <w:tc>
          <w:tcPr>
            <w:tcW w:w="20" w:type="dxa"/>
            <w:vAlign w:val="bottom"/>
            <w:tcBorders>
              <w:top w:val="single" w:sz="8" w:color="auto"/>
              <w:bottom w:val="single" w:sz="8" w:color="CCEEFF"/>
            </w:tcBorders>
          </w:tcPr>
          <w:p>
            <w:pPr>
              <w:spacing w:after="0"/>
              <w:rPr>
                <w:sz w:val="12"/>
                <w:szCs w:val="12"/>
                <w:color w:val="auto"/>
              </w:rPr>
            </w:pPr>
          </w:p>
        </w:tc>
        <w:tc>
          <w:tcPr>
            <w:tcW w:w="580" w:type="dxa"/>
            <w:vAlign w:val="bottom"/>
            <w:tcBorders>
              <w:top w:val="single" w:sz="8" w:color="auto"/>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460" w:type="dxa"/>
            <w:vAlign w:val="bottom"/>
            <w:tcBorders>
              <w:top w:val="single" w:sz="8" w:color="auto"/>
              <w:bottom w:val="single" w:sz="8" w:color="auto"/>
            </w:tcBorders>
          </w:tcPr>
          <w:p>
            <w:pPr>
              <w:jc w:val="right"/>
              <w:ind w:right="51"/>
              <w:spacing w:after="0" w:line="142" w:lineRule="exact"/>
              <w:rPr>
                <w:sz w:val="20"/>
                <w:szCs w:val="20"/>
                <w:color w:val="auto"/>
              </w:rPr>
            </w:pPr>
            <w:r>
              <w:rPr>
                <w:rFonts w:ascii="Arial" w:cs="Arial" w:eastAsia="Arial" w:hAnsi="Arial"/>
                <w:sz w:val="14"/>
                <w:szCs w:val="14"/>
                <w:b w:val="1"/>
                <w:bCs w:val="1"/>
                <w:color w:val="auto"/>
                <w:w w:val="96"/>
              </w:rPr>
              <w:t>2016</w:t>
            </w:r>
          </w:p>
        </w:tc>
        <w:tc>
          <w:tcPr>
            <w:tcW w:w="100" w:type="dxa"/>
            <w:vAlign w:val="bottom"/>
            <w:tcBorders>
              <w:bottom w:val="single" w:sz="8" w:color="CCEEFF"/>
            </w:tcBorders>
          </w:tcPr>
          <w:p>
            <w:pPr>
              <w:spacing w:after="0"/>
              <w:rPr>
                <w:sz w:val="12"/>
                <w:szCs w:val="12"/>
                <w:color w:val="auto"/>
              </w:rPr>
            </w:pPr>
          </w:p>
        </w:tc>
      </w:tr>
      <w:tr>
        <w:trPr>
          <w:trHeight w:val="196"/>
        </w:trPr>
        <w:tc>
          <w:tcPr>
            <w:tcW w:w="670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Deferred tax assets:</w:t>
            </w:r>
          </w:p>
        </w:tc>
        <w:tc>
          <w:tcPr>
            <w:tcW w:w="10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6"/>
        </w:trPr>
        <w:tc>
          <w:tcPr>
            <w:tcW w:w="6700" w:type="dxa"/>
            <w:vAlign w:val="bottom"/>
          </w:tcPr>
          <w:p>
            <w:pPr>
              <w:ind w:left="360"/>
              <w:spacing w:after="0"/>
              <w:rPr>
                <w:sz w:val="20"/>
                <w:szCs w:val="20"/>
                <w:color w:val="auto"/>
              </w:rPr>
            </w:pPr>
            <w:r>
              <w:rPr>
                <w:rFonts w:ascii="Arial" w:cs="Arial" w:eastAsia="Arial" w:hAnsi="Arial"/>
                <w:sz w:val="18"/>
                <w:szCs w:val="18"/>
                <w:color w:val="auto"/>
              </w:rPr>
              <w:t>Net operating loss carryforwards</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480" w:type="dxa"/>
            <w:vAlign w:val="bottom"/>
            <w:gridSpan w:val="2"/>
          </w:tcPr>
          <w:p>
            <w:pPr>
              <w:jc w:val="right"/>
              <w:ind w:right="20"/>
              <w:spacing w:after="0"/>
              <w:rPr>
                <w:sz w:val="20"/>
                <w:szCs w:val="20"/>
                <w:color w:val="auto"/>
              </w:rPr>
            </w:pPr>
            <w:r>
              <w:rPr>
                <w:rFonts w:ascii="Arial" w:cs="Arial" w:eastAsia="Arial" w:hAnsi="Arial"/>
                <w:sz w:val="18"/>
                <w:szCs w:val="18"/>
                <w:color w:val="auto"/>
                <w:w w:val="97"/>
              </w:rPr>
              <w:t>132.7</w:t>
            </w:r>
          </w:p>
        </w:tc>
        <w:tc>
          <w:tcPr>
            <w:tcW w:w="58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gridSpan w:val="2"/>
          </w:tcPr>
          <w:p>
            <w:pPr>
              <w:jc w:val="right"/>
              <w:ind w:right="21"/>
              <w:spacing w:after="0"/>
              <w:rPr>
                <w:sz w:val="20"/>
                <w:szCs w:val="20"/>
                <w:color w:val="auto"/>
              </w:rPr>
            </w:pPr>
            <w:r>
              <w:rPr>
                <w:rFonts w:ascii="Arial" w:cs="Arial" w:eastAsia="Arial" w:hAnsi="Arial"/>
                <w:sz w:val="18"/>
                <w:szCs w:val="18"/>
                <w:color w:val="auto"/>
                <w:w w:val="97"/>
              </w:rPr>
              <w:t>127.9</w:t>
            </w:r>
          </w:p>
        </w:tc>
      </w:tr>
      <w:tr>
        <w:trPr>
          <w:trHeight w:val="216"/>
        </w:trPr>
        <w:tc>
          <w:tcPr>
            <w:tcW w:w="67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Research credit carryforwards</w:t>
            </w:r>
          </w:p>
        </w:tc>
        <w:tc>
          <w:tcPr>
            <w:tcW w:w="100" w:type="dxa"/>
            <w:vAlign w:val="bottom"/>
            <w:shd w:val="clear" w:color="auto" w:fill="CCEEFF"/>
          </w:tcPr>
          <w:p>
            <w:pPr>
              <w:spacing w:after="0"/>
              <w:rPr>
                <w:sz w:val="18"/>
                <w:szCs w:val="18"/>
                <w:color w:val="auto"/>
              </w:rPr>
            </w:pPr>
          </w:p>
        </w:tc>
        <w:tc>
          <w:tcPr>
            <w:tcW w:w="1060" w:type="dxa"/>
            <w:vAlign w:val="bottom"/>
            <w:gridSpan w:val="3"/>
            <w:shd w:val="clear" w:color="auto" w:fill="CCEEFF"/>
          </w:tcPr>
          <w:p>
            <w:pPr>
              <w:jc w:val="right"/>
              <w:ind w:right="600"/>
              <w:spacing w:after="0"/>
              <w:rPr>
                <w:sz w:val="20"/>
                <w:szCs w:val="20"/>
                <w:color w:val="auto"/>
              </w:rPr>
            </w:pPr>
            <w:r>
              <w:rPr>
                <w:rFonts w:ascii="Arial" w:cs="Arial" w:eastAsia="Arial" w:hAnsi="Arial"/>
                <w:sz w:val="18"/>
                <w:szCs w:val="18"/>
                <w:color w:val="auto"/>
              </w:rPr>
              <w:t>30.1</w:t>
            </w:r>
          </w:p>
        </w:tc>
        <w:tc>
          <w:tcPr>
            <w:tcW w:w="1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41.3</w:t>
            </w:r>
          </w:p>
        </w:tc>
      </w:tr>
      <w:tr>
        <w:trPr>
          <w:trHeight w:val="216"/>
        </w:trPr>
        <w:tc>
          <w:tcPr>
            <w:tcW w:w="6700" w:type="dxa"/>
            <w:vAlign w:val="bottom"/>
          </w:tcPr>
          <w:p>
            <w:pPr>
              <w:ind w:left="360"/>
              <w:spacing w:after="0"/>
              <w:rPr>
                <w:sz w:val="20"/>
                <w:szCs w:val="20"/>
                <w:color w:val="auto"/>
              </w:rPr>
            </w:pPr>
            <w:r>
              <w:rPr>
                <w:rFonts w:ascii="Arial" w:cs="Arial" w:eastAsia="Arial" w:hAnsi="Arial"/>
                <w:sz w:val="18"/>
                <w:szCs w:val="18"/>
                <w:color w:val="auto"/>
              </w:rPr>
              <w:t>Stock-based compensation</w:t>
            </w:r>
          </w:p>
        </w:tc>
        <w:tc>
          <w:tcPr>
            <w:tcW w:w="100" w:type="dxa"/>
            <w:vAlign w:val="bottom"/>
          </w:tcPr>
          <w:p>
            <w:pPr>
              <w:spacing w:after="0"/>
              <w:rPr>
                <w:sz w:val="18"/>
                <w:szCs w:val="18"/>
                <w:color w:val="auto"/>
              </w:rPr>
            </w:pPr>
          </w:p>
        </w:tc>
        <w:tc>
          <w:tcPr>
            <w:tcW w:w="1060" w:type="dxa"/>
            <w:vAlign w:val="bottom"/>
            <w:gridSpan w:val="3"/>
          </w:tcPr>
          <w:p>
            <w:pPr>
              <w:jc w:val="right"/>
              <w:ind w:right="600"/>
              <w:spacing w:after="0"/>
              <w:rPr>
                <w:sz w:val="20"/>
                <w:szCs w:val="20"/>
                <w:color w:val="auto"/>
              </w:rPr>
            </w:pPr>
            <w:r>
              <w:rPr>
                <w:rFonts w:ascii="Arial" w:cs="Arial" w:eastAsia="Arial" w:hAnsi="Arial"/>
                <w:sz w:val="18"/>
                <w:szCs w:val="18"/>
                <w:color w:val="auto"/>
              </w:rPr>
              <w:t>24.3</w:t>
            </w:r>
          </w:p>
        </w:tc>
        <w:tc>
          <w:tcPr>
            <w:tcW w:w="100" w:type="dxa"/>
            <w:vAlign w:val="bottom"/>
          </w:tcPr>
          <w:p>
            <w:pPr>
              <w:spacing w:after="0"/>
              <w:rPr>
                <w:sz w:val="18"/>
                <w:szCs w:val="18"/>
                <w:color w:val="auto"/>
              </w:rPr>
            </w:pPr>
          </w:p>
        </w:tc>
        <w:tc>
          <w:tcPr>
            <w:tcW w:w="560" w:type="dxa"/>
            <w:vAlign w:val="bottom"/>
            <w:gridSpan w:val="2"/>
          </w:tcPr>
          <w:p>
            <w:pPr>
              <w:jc w:val="right"/>
              <w:ind w:right="21"/>
              <w:spacing w:after="0"/>
              <w:rPr>
                <w:sz w:val="20"/>
                <w:szCs w:val="20"/>
                <w:color w:val="auto"/>
              </w:rPr>
            </w:pPr>
            <w:r>
              <w:rPr>
                <w:rFonts w:ascii="Arial" w:cs="Arial" w:eastAsia="Arial" w:hAnsi="Arial"/>
                <w:sz w:val="18"/>
                <w:szCs w:val="18"/>
                <w:color w:val="auto"/>
              </w:rPr>
              <w:t>70.3</w:t>
            </w:r>
          </w:p>
        </w:tc>
      </w:tr>
      <w:tr>
        <w:trPr>
          <w:trHeight w:val="216"/>
        </w:trPr>
        <w:tc>
          <w:tcPr>
            <w:tcW w:w="67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Accruals and reserves</w:t>
            </w:r>
          </w:p>
        </w:tc>
        <w:tc>
          <w:tcPr>
            <w:tcW w:w="100" w:type="dxa"/>
            <w:vAlign w:val="bottom"/>
            <w:shd w:val="clear" w:color="auto" w:fill="CCEEFF"/>
          </w:tcPr>
          <w:p>
            <w:pPr>
              <w:spacing w:after="0"/>
              <w:rPr>
                <w:sz w:val="18"/>
                <w:szCs w:val="18"/>
                <w:color w:val="auto"/>
              </w:rPr>
            </w:pPr>
          </w:p>
        </w:tc>
        <w:tc>
          <w:tcPr>
            <w:tcW w:w="1060" w:type="dxa"/>
            <w:vAlign w:val="bottom"/>
            <w:gridSpan w:val="3"/>
            <w:shd w:val="clear" w:color="auto" w:fill="CCEEFF"/>
          </w:tcPr>
          <w:p>
            <w:pPr>
              <w:jc w:val="right"/>
              <w:ind w:right="600"/>
              <w:spacing w:after="0"/>
              <w:rPr>
                <w:sz w:val="20"/>
                <w:szCs w:val="20"/>
                <w:color w:val="auto"/>
              </w:rPr>
            </w:pPr>
            <w:r>
              <w:rPr>
                <w:rFonts w:ascii="Arial" w:cs="Arial" w:eastAsia="Arial" w:hAnsi="Arial"/>
                <w:sz w:val="18"/>
                <w:szCs w:val="18"/>
                <w:color w:val="auto"/>
              </w:rPr>
              <w:t>28.4</w:t>
            </w:r>
          </w:p>
        </w:tc>
        <w:tc>
          <w:tcPr>
            <w:tcW w:w="1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43.9</w:t>
            </w:r>
          </w:p>
        </w:tc>
      </w:tr>
      <w:tr>
        <w:trPr>
          <w:trHeight w:val="223"/>
        </w:trPr>
        <w:tc>
          <w:tcPr>
            <w:tcW w:w="6700" w:type="dxa"/>
            <w:vAlign w:val="bottom"/>
          </w:tcPr>
          <w:p>
            <w:pPr>
              <w:ind w:left="360"/>
              <w:spacing w:after="0"/>
              <w:rPr>
                <w:sz w:val="20"/>
                <w:szCs w:val="20"/>
                <w:color w:val="auto"/>
              </w:rPr>
            </w:pPr>
            <w:r>
              <w:rPr>
                <w:rFonts w:ascii="Arial" w:cs="Arial" w:eastAsia="Arial" w:hAnsi="Arial"/>
                <w:sz w:val="18"/>
                <w:szCs w:val="18"/>
                <w:color w:val="auto"/>
              </w:rPr>
              <w:t>Other</w:t>
            </w:r>
          </w:p>
        </w:tc>
        <w:tc>
          <w:tcPr>
            <w:tcW w:w="10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0.5</w:t>
            </w:r>
          </w:p>
        </w:tc>
        <w:tc>
          <w:tcPr>
            <w:tcW w:w="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r>
      <w:tr>
        <w:trPr>
          <w:trHeight w:val="216"/>
        </w:trPr>
        <w:tc>
          <w:tcPr>
            <w:tcW w:w="67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Gross deferred tax assets</w:t>
            </w:r>
          </w:p>
        </w:tc>
        <w:tc>
          <w:tcPr>
            <w:tcW w:w="10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7"/>
              </w:rPr>
              <w:t>216.0</w:t>
            </w: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color w:val="auto"/>
                <w:w w:val="97"/>
              </w:rPr>
              <w:t>283.4</w:t>
            </w:r>
          </w:p>
        </w:tc>
      </w:tr>
      <w:tr>
        <w:trPr>
          <w:trHeight w:val="216"/>
        </w:trPr>
        <w:tc>
          <w:tcPr>
            <w:tcW w:w="6700" w:type="dxa"/>
            <w:vAlign w:val="bottom"/>
          </w:tcPr>
          <w:p>
            <w:pPr>
              <w:spacing w:after="0"/>
              <w:rPr>
                <w:sz w:val="20"/>
                <w:szCs w:val="20"/>
                <w:color w:val="auto"/>
              </w:rPr>
            </w:pPr>
            <w:r>
              <w:rPr>
                <w:rFonts w:ascii="Arial" w:cs="Arial" w:eastAsia="Arial" w:hAnsi="Arial"/>
                <w:sz w:val="18"/>
                <w:szCs w:val="18"/>
                <w:color w:val="auto"/>
              </w:rPr>
              <w:t>Valuation allowance</w:t>
            </w:r>
          </w:p>
        </w:tc>
        <w:tc>
          <w:tcPr>
            <w:tcW w:w="100" w:type="dxa"/>
            <w:vAlign w:val="bottom"/>
          </w:tcPr>
          <w:p>
            <w:pPr>
              <w:spacing w:after="0"/>
              <w:rPr>
                <w:sz w:val="18"/>
                <w:szCs w:val="18"/>
                <w:color w:val="auto"/>
              </w:rPr>
            </w:pPr>
          </w:p>
        </w:tc>
        <w:tc>
          <w:tcPr>
            <w:tcW w:w="1060" w:type="dxa"/>
            <w:vAlign w:val="bottom"/>
            <w:gridSpan w:val="3"/>
          </w:tcPr>
          <w:p>
            <w:pPr>
              <w:jc w:val="right"/>
              <w:ind w:right="540"/>
              <w:spacing w:after="0"/>
              <w:rPr>
                <w:sz w:val="20"/>
                <w:szCs w:val="20"/>
                <w:color w:val="auto"/>
              </w:rPr>
            </w:pPr>
            <w:r>
              <w:rPr>
                <w:rFonts w:ascii="Arial" w:cs="Arial" w:eastAsia="Arial" w:hAnsi="Arial"/>
                <w:sz w:val="18"/>
                <w:szCs w:val="18"/>
                <w:color w:val="auto"/>
                <w:w w:val="87"/>
              </w:rPr>
              <w:t>(209.3)</w:t>
            </w:r>
          </w:p>
        </w:tc>
        <w:tc>
          <w:tcPr>
            <w:tcW w:w="100" w:type="dxa"/>
            <w:vAlign w:val="bottom"/>
          </w:tcPr>
          <w:p>
            <w:pPr>
              <w:spacing w:after="0"/>
              <w:rPr>
                <w:sz w:val="18"/>
                <w:szCs w:val="18"/>
                <w:color w:val="auto"/>
              </w:rPr>
            </w:pPr>
          </w:p>
        </w:tc>
        <w:tc>
          <w:tcPr>
            <w:tcW w:w="560" w:type="dxa"/>
            <w:vAlign w:val="bottom"/>
            <w:gridSpan w:val="2"/>
          </w:tcPr>
          <w:p>
            <w:pPr>
              <w:jc w:val="right"/>
              <w:spacing w:after="0"/>
              <w:rPr>
                <w:sz w:val="20"/>
                <w:szCs w:val="20"/>
                <w:color w:val="auto"/>
              </w:rPr>
            </w:pPr>
            <w:r>
              <w:rPr>
                <w:rFonts w:ascii="Arial" w:cs="Arial" w:eastAsia="Arial" w:hAnsi="Arial"/>
                <w:sz w:val="18"/>
                <w:szCs w:val="18"/>
                <w:color w:val="auto"/>
                <w:w w:val="87"/>
              </w:rPr>
              <w:t>(259.7)</w:t>
            </w:r>
          </w:p>
        </w:tc>
      </w:tr>
      <w:tr>
        <w:trPr>
          <w:trHeight w:val="27"/>
        </w:trPr>
        <w:tc>
          <w:tcPr>
            <w:tcW w:w="67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6700" w:type="dxa"/>
            <w:vAlign w:val="bottom"/>
            <w:shd w:val="clear" w:color="auto" w:fill="CCEEFF"/>
          </w:tcPr>
          <w:p>
            <w:pPr>
              <w:spacing w:after="0"/>
              <w:rPr>
                <w:sz w:val="20"/>
                <w:szCs w:val="20"/>
                <w:color w:val="auto"/>
              </w:rPr>
            </w:pPr>
            <w:r>
              <w:rPr>
                <w:rFonts w:ascii="Arial" w:cs="Arial" w:eastAsia="Arial" w:hAnsi="Arial"/>
                <w:sz w:val="18"/>
                <w:szCs w:val="18"/>
                <w:color w:val="auto"/>
              </w:rPr>
              <w:t>Total deferred tax assets, net of valuation allowance</w:t>
            </w: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w:t>
            </w:r>
          </w:p>
        </w:tc>
        <w:tc>
          <w:tcPr>
            <w:tcW w:w="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23.7</w:t>
            </w:r>
          </w:p>
        </w:tc>
      </w:tr>
      <w:tr>
        <w:trPr>
          <w:trHeight w:val="324"/>
        </w:trPr>
        <w:tc>
          <w:tcPr>
            <w:tcW w:w="6700" w:type="dxa"/>
            <w:vAlign w:val="bottom"/>
          </w:tcPr>
          <w:p>
            <w:pPr>
              <w:spacing w:after="0"/>
              <w:rPr>
                <w:sz w:val="20"/>
                <w:szCs w:val="20"/>
                <w:color w:val="auto"/>
              </w:rPr>
            </w:pPr>
            <w:r>
              <w:rPr>
                <w:rFonts w:ascii="Arial" w:cs="Arial" w:eastAsia="Arial" w:hAnsi="Arial"/>
                <w:sz w:val="18"/>
                <w:szCs w:val="18"/>
                <w:color w:val="auto"/>
              </w:rPr>
              <w:t>Deferred tax liabilities:</w:t>
            </w: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16"/>
        </w:trPr>
        <w:tc>
          <w:tcPr>
            <w:tcW w:w="67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Fixed assets and intangible assets</w:t>
            </w:r>
          </w:p>
        </w:tc>
        <w:tc>
          <w:tcPr>
            <w:tcW w:w="10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6.6</w:t>
            </w: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20.3</w:t>
            </w:r>
          </w:p>
        </w:tc>
      </w:tr>
      <w:tr>
        <w:trPr>
          <w:trHeight w:val="230"/>
        </w:trPr>
        <w:tc>
          <w:tcPr>
            <w:tcW w:w="6700" w:type="dxa"/>
            <w:vAlign w:val="bottom"/>
          </w:tcPr>
          <w:p>
            <w:pPr>
              <w:ind w:left="360"/>
              <w:spacing w:after="0"/>
              <w:rPr>
                <w:sz w:val="20"/>
                <w:szCs w:val="20"/>
                <w:color w:val="auto"/>
              </w:rPr>
            </w:pPr>
            <w:r>
              <w:rPr>
                <w:rFonts w:ascii="Arial" w:cs="Arial" w:eastAsia="Arial" w:hAnsi="Arial"/>
                <w:sz w:val="18"/>
                <w:szCs w:val="18"/>
                <w:color w:val="auto"/>
              </w:rPr>
              <w:t>Other</w:t>
            </w:r>
          </w:p>
        </w:tc>
        <w:tc>
          <w:tcPr>
            <w:tcW w:w="10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w:t>
            </w:r>
          </w:p>
        </w:tc>
        <w:tc>
          <w:tcPr>
            <w:tcW w:w="600" w:type="dxa"/>
            <w:vAlign w:val="bottom"/>
            <w:gridSpan w:val="2"/>
          </w:tcPr>
          <w:p>
            <w:pPr>
              <w:spacing w:after="0"/>
              <w:rPr>
                <w:sz w:val="19"/>
                <w:szCs w:val="19"/>
                <w:color w:val="auto"/>
              </w:rPr>
            </w:pPr>
          </w:p>
        </w:tc>
        <w:tc>
          <w:tcPr>
            <w:tcW w:w="100" w:type="dxa"/>
            <w:vAlign w:val="bottom"/>
          </w:tcPr>
          <w:p>
            <w:pPr>
              <w:spacing w:after="0"/>
              <w:rPr>
                <w:sz w:val="19"/>
                <w:szCs w:val="19"/>
                <w:color w:val="auto"/>
              </w:rPr>
            </w:pPr>
          </w:p>
        </w:tc>
        <w:tc>
          <w:tcPr>
            <w:tcW w:w="560" w:type="dxa"/>
            <w:vAlign w:val="bottom"/>
            <w:gridSpan w:val="2"/>
          </w:tcPr>
          <w:p>
            <w:pPr>
              <w:jc w:val="right"/>
              <w:ind w:right="21"/>
              <w:spacing w:after="0"/>
              <w:rPr>
                <w:sz w:val="20"/>
                <w:szCs w:val="20"/>
                <w:color w:val="auto"/>
              </w:rPr>
            </w:pPr>
            <w:r>
              <w:rPr>
                <w:rFonts w:ascii="Arial" w:cs="Arial" w:eastAsia="Arial" w:hAnsi="Arial"/>
                <w:sz w:val="18"/>
                <w:szCs w:val="18"/>
                <w:color w:val="auto"/>
              </w:rPr>
              <w:t>3.5</w:t>
            </w:r>
          </w:p>
        </w:tc>
      </w:tr>
      <w:tr>
        <w:trPr>
          <w:trHeight w:val="27"/>
        </w:trPr>
        <w:tc>
          <w:tcPr>
            <w:tcW w:w="67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67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Total deferred tax liability</w:t>
            </w: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w:t>
            </w:r>
          </w:p>
        </w:tc>
        <w:tc>
          <w:tcPr>
            <w:tcW w:w="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23.8</w:t>
            </w:r>
          </w:p>
        </w:tc>
      </w:tr>
      <w:tr>
        <w:trPr>
          <w:trHeight w:val="223"/>
        </w:trPr>
        <w:tc>
          <w:tcPr>
            <w:tcW w:w="6700" w:type="dxa"/>
            <w:vAlign w:val="bottom"/>
          </w:tcPr>
          <w:p>
            <w:pPr>
              <w:spacing w:after="0"/>
              <w:rPr>
                <w:sz w:val="20"/>
                <w:szCs w:val="20"/>
                <w:color w:val="auto"/>
              </w:rPr>
            </w:pPr>
            <w:r>
              <w:rPr>
                <w:rFonts w:ascii="Arial" w:cs="Arial" w:eastAsia="Arial" w:hAnsi="Arial"/>
                <w:sz w:val="18"/>
                <w:szCs w:val="18"/>
                <w:color w:val="auto"/>
              </w:rPr>
              <w:t>Net deferred tax assets (liabilities)</w:t>
            </w: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0.1</w:t>
            </w:r>
          </w:p>
        </w:tc>
        <w:tc>
          <w:tcPr>
            <w:tcW w:w="20" w:type="dxa"/>
            <w:vAlign w:val="bottom"/>
            <w:tcBorders>
              <w:bottom w:val="single" w:sz="8" w:color="auto"/>
            </w:tcBorders>
          </w:tcPr>
          <w:p>
            <w:pPr>
              <w:spacing w:after="0"/>
              <w:rPr>
                <w:sz w:val="19"/>
                <w:szCs w:val="19"/>
                <w:color w:val="auto"/>
              </w:rPr>
            </w:pPr>
          </w:p>
        </w:tc>
        <w:tc>
          <w:tcPr>
            <w:tcW w:w="58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(0.1</w:t>
            </w:r>
          </w:p>
        </w:tc>
        <w:tc>
          <w:tcPr>
            <w:tcW w:w="100" w:type="dxa"/>
            <w:vAlign w:val="bottom"/>
          </w:tcPr>
          <w:p>
            <w:pPr>
              <w:jc w:val="right"/>
              <w:spacing w:after="0"/>
              <w:rPr>
                <w:sz w:val="20"/>
                <w:szCs w:val="20"/>
                <w:color w:val="auto"/>
              </w:rPr>
            </w:pPr>
            <w:r>
              <w:rPr>
                <w:rFonts w:ascii="Arial" w:cs="Arial" w:eastAsia="Arial" w:hAnsi="Arial"/>
                <w:sz w:val="16"/>
                <w:szCs w:val="16"/>
                <w:color w:val="auto"/>
                <w:w w:val="74"/>
              </w:rPr>
              <w:t>)</w:t>
            </w:r>
          </w:p>
        </w:tc>
      </w:tr>
      <w:tr>
        <w:trPr>
          <w:trHeight w:val="20"/>
        </w:trPr>
        <w:tc>
          <w:tcPr>
            <w:tcW w:w="67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15" w:lineRule="exact"/>
        <w:rPr>
          <w:sz w:val="20"/>
          <w:szCs w:val="20"/>
          <w:color w:val="auto"/>
        </w:rPr>
      </w:pPr>
    </w:p>
    <w:p>
      <w:pPr>
        <w:ind w:right="260" w:firstLine="449"/>
        <w:spacing w:after="0" w:line="259" w:lineRule="auto"/>
        <w:rPr>
          <w:sz w:val="20"/>
          <w:szCs w:val="20"/>
          <w:color w:val="auto"/>
        </w:rPr>
      </w:pPr>
      <w:r>
        <w:rPr>
          <w:rFonts w:ascii="Arial" w:cs="Arial" w:eastAsia="Arial" w:hAnsi="Arial"/>
          <w:sz w:val="18"/>
          <w:szCs w:val="18"/>
          <w:color w:val="auto"/>
        </w:rPr>
        <w:t>For the years ended December 31, 2015, and December 31, 2016, based on all available objective evidence, including the existence of cumulative losses, the Company determined that it was not more likely than not that the U.S., Ireland, and Israel net deferred tax assets were fully realizable as of December 31, 2015 and December 31, 2016. Accordingly, the Company maintained a full valuation allowance against its net U.S., Ireland, and Israel deferred tax assets.</w:t>
      </w:r>
    </w:p>
    <w:p>
      <w:pPr>
        <w:spacing w:after="0" w:line="187" w:lineRule="exact"/>
        <w:rPr>
          <w:sz w:val="20"/>
          <w:szCs w:val="20"/>
          <w:color w:val="auto"/>
        </w:rPr>
      </w:pPr>
    </w:p>
    <w:p>
      <w:pPr>
        <w:ind w:right="40" w:firstLine="449"/>
        <w:spacing w:after="0" w:line="277" w:lineRule="auto"/>
        <w:rPr>
          <w:sz w:val="20"/>
          <w:szCs w:val="20"/>
          <w:color w:val="auto"/>
        </w:rPr>
      </w:pPr>
      <w:r>
        <w:rPr>
          <w:rFonts w:ascii="Arial" w:cs="Arial" w:eastAsia="Arial" w:hAnsi="Arial"/>
          <w:sz w:val="18"/>
          <w:szCs w:val="18"/>
          <w:color w:val="auto"/>
        </w:rPr>
        <w:t>As of December 31, 2016, the Company had $254.8 million of federal and $94.9 million of state net operating loss carryforwards available to reduce future taxable income, which will begin to expire in 2031 for federal and 2030 for state tax purposes.</w:t>
      </w:r>
    </w:p>
    <w:p>
      <w:pPr>
        <w:spacing w:after="0" w:line="170" w:lineRule="exact"/>
        <w:rPr>
          <w:sz w:val="20"/>
          <w:szCs w:val="20"/>
          <w:color w:val="auto"/>
        </w:rPr>
      </w:pPr>
    </w:p>
    <w:p>
      <w:pPr>
        <w:ind w:right="260" w:firstLine="449"/>
        <w:spacing w:after="0" w:line="287" w:lineRule="auto"/>
        <w:rPr>
          <w:sz w:val="20"/>
          <w:szCs w:val="20"/>
          <w:color w:val="auto"/>
        </w:rPr>
      </w:pPr>
      <w:r>
        <w:rPr>
          <w:rFonts w:ascii="Arial" w:cs="Arial" w:eastAsia="Arial" w:hAnsi="Arial"/>
          <w:sz w:val="16"/>
          <w:szCs w:val="16"/>
          <w:color w:val="auto"/>
        </w:rPr>
        <w:t>Included in the net operating loss carryforward amount above, approximately $8.1 million of federal and $2.1 million of state net operating loss carryforwards relate to benefits associated with stock option deductions. Under the Company’s accounting policy in effect as of December 31, 2016, the benefits of these stock option deductions were credited directly to stockholder’s equity when recognized. However, the Company adopted ASU</w:t>
      </w:r>
    </w:p>
    <w:p>
      <w:pPr>
        <w:spacing w:after="0" w:line="2" w:lineRule="exact"/>
        <w:rPr>
          <w:sz w:val="20"/>
          <w:szCs w:val="20"/>
          <w:color w:val="auto"/>
        </w:rPr>
      </w:pPr>
    </w:p>
    <w:p>
      <w:pPr>
        <w:ind w:right="260"/>
        <w:spacing w:after="0" w:line="260" w:lineRule="auto"/>
        <w:rPr>
          <w:sz w:val="20"/>
          <w:szCs w:val="20"/>
          <w:color w:val="auto"/>
        </w:rPr>
      </w:pPr>
      <w:r>
        <w:rPr>
          <w:rFonts w:ascii="Arial" w:cs="Arial" w:eastAsia="Arial" w:hAnsi="Arial"/>
          <w:sz w:val="18"/>
          <w:szCs w:val="18"/>
          <w:color w:val="auto"/>
        </w:rPr>
        <w:t xml:space="preserve">No. 2016-09, </w:t>
      </w:r>
      <w:r>
        <w:rPr>
          <w:rFonts w:ascii="Arial" w:cs="Arial" w:eastAsia="Arial" w:hAnsi="Arial"/>
          <w:sz w:val="18"/>
          <w:szCs w:val="18"/>
          <w:i w:val="1"/>
          <w:iCs w:val="1"/>
          <w:color w:val="auto"/>
        </w:rPr>
        <w:t>Improvements to Employee Share-Based Payment Accounting (Topic 718)</w:t>
      </w:r>
      <w:r>
        <w:rPr>
          <w:rFonts w:ascii="Arial" w:cs="Arial" w:eastAsia="Arial" w:hAnsi="Arial"/>
          <w:sz w:val="18"/>
          <w:szCs w:val="18"/>
          <w:color w:val="auto"/>
        </w:rPr>
        <w:t xml:space="preserve"> effective as of January 1, 2017. As a result, the benefits of these stock option deductions recognized in 2017 or later years are credited to the income statement.</w:t>
      </w:r>
    </w:p>
    <w:p>
      <w:pPr>
        <w:spacing w:after="0" w:line="185" w:lineRule="exact"/>
        <w:rPr>
          <w:sz w:val="20"/>
          <w:szCs w:val="20"/>
          <w:color w:val="auto"/>
        </w:rPr>
      </w:pPr>
    </w:p>
    <w:p>
      <w:pPr>
        <w:ind w:firstLine="449"/>
        <w:spacing w:after="0" w:line="257" w:lineRule="auto"/>
        <w:rPr>
          <w:sz w:val="20"/>
          <w:szCs w:val="20"/>
          <w:color w:val="auto"/>
        </w:rPr>
      </w:pPr>
      <w:r>
        <w:rPr>
          <w:rFonts w:ascii="Arial" w:cs="Arial" w:eastAsia="Arial" w:hAnsi="Arial"/>
          <w:sz w:val="18"/>
          <w:szCs w:val="18"/>
          <w:color w:val="auto"/>
        </w:rPr>
        <w:t>As of December 31, 2016, the Company had research credit carryforwards of $35.4 million and $21.6 million for federal and state income tax purposes, respectively, of which $8.7 million and $5.3 million is the unrecognized tax benefit portion related to the research credit carryforwards for federal and state, respectively. The federal credit carryforward will begin to expire in 2027. The state research credits have no expiration date. The Company also had $1.5 million of federal alternative minimum tax credit carryforwards, which will carryforward indefinitely, and $3.6 million of state enterprise zone credit carryforwards, which will begin to expire in 2023.</w:t>
      </w:r>
    </w:p>
    <w:p>
      <w:pPr>
        <w:spacing w:after="0" w:line="188" w:lineRule="exact"/>
        <w:rPr>
          <w:sz w:val="20"/>
          <w:szCs w:val="20"/>
          <w:color w:val="auto"/>
        </w:rPr>
      </w:pPr>
    </w:p>
    <w:p>
      <w:pPr>
        <w:ind w:firstLine="449"/>
        <w:spacing w:after="0" w:line="263" w:lineRule="auto"/>
        <w:rPr>
          <w:sz w:val="20"/>
          <w:szCs w:val="20"/>
          <w:color w:val="auto"/>
        </w:rPr>
      </w:pPr>
      <w:r>
        <w:rPr>
          <w:rFonts w:ascii="Arial" w:cs="Arial" w:eastAsia="Arial" w:hAnsi="Arial"/>
          <w:sz w:val="18"/>
          <w:szCs w:val="18"/>
          <w:color w:val="auto"/>
        </w:rPr>
        <w:t>As of December 31, 2016, the Company also had $247.9 million of foreign net operating loss carryforwards available to reduce future taxable income, which will carryforward indefinitely. In addition, the Company had $22.9 million of foreign acquired net operating losses, which will carryforward indefinitely.</w:t>
      </w:r>
    </w:p>
    <w:p>
      <w:pPr>
        <w:spacing w:after="0" w:line="11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F-32</w:t>
      </w:r>
    </w:p>
    <w:p>
      <w:pPr>
        <w:sectPr>
          <w:pgSz w:w="11900" w:h="16838" w:orient="portrait"/>
          <w:cols w:equalWidth="0" w:num="1">
            <w:col w:w="11220"/>
          </w:cols>
          <w:pgMar w:left="320" w:top="459" w:right="359" w:bottom="1440" w:gutter="0" w:footer="0" w:header="0"/>
        </w:sectPr>
      </w:pPr>
    </w:p>
    <w:bookmarkStart w:id="191" w:name="page192"/>
    <w:bookmarkEnd w:id="19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right="100" w:firstLine="449"/>
        <w:spacing w:after="0" w:line="272" w:lineRule="auto"/>
        <w:rPr>
          <w:sz w:val="20"/>
          <w:szCs w:val="20"/>
          <w:color w:val="auto"/>
        </w:rPr>
      </w:pPr>
      <w:r>
        <w:rPr>
          <w:rFonts w:ascii="Arial" w:cs="Arial" w:eastAsia="Arial" w:hAnsi="Arial"/>
          <w:sz w:val="17"/>
          <w:szCs w:val="17"/>
          <w:color w:val="auto"/>
        </w:rPr>
        <w:t>Under Section 382 and 383 of the Internal Revenue Code of 1986, as amended, or the Code, if a corporation undergoes an “ownership change,” the corporation’s ability to use its pre-change net operating loss carryforwards and other pre-change attributes, such as research tax credits, to offset its post-change income may be limited. In general, an “ownership change” will occur if there is a cumulative change in our ownership by “5-percent shareholders” that exceeds 50 percentage points over a rolling three-year period. Similar rules may apply under state tax laws. The Company performed a study for the period through June 30, 2017, and determined that no ownership changes exceeding 50 percentage points have occurred. The Company’s ability to use net operating loss and tax credit carryforwards to reduce future taxable income and liabilities may be subject to annual limitations as a result of ownership changes from July 1, 2017, and subsequent years or as a result of this offering.</w:t>
      </w:r>
    </w:p>
    <w:p>
      <w:pPr>
        <w:spacing w:after="0" w:line="177" w:lineRule="exact"/>
        <w:rPr>
          <w:sz w:val="20"/>
          <w:szCs w:val="20"/>
          <w:color w:val="auto"/>
        </w:rPr>
      </w:pPr>
    </w:p>
    <w:p>
      <w:pPr>
        <w:ind w:right="40" w:firstLine="449"/>
        <w:spacing w:after="0" w:line="308" w:lineRule="auto"/>
        <w:rPr>
          <w:sz w:val="20"/>
          <w:szCs w:val="20"/>
          <w:color w:val="auto"/>
        </w:rPr>
      </w:pPr>
      <w:r>
        <w:rPr>
          <w:rFonts w:ascii="Arial" w:cs="Arial" w:eastAsia="Arial" w:hAnsi="Arial"/>
          <w:sz w:val="17"/>
          <w:szCs w:val="17"/>
          <w:color w:val="auto"/>
        </w:rPr>
        <w:t>As of December 31, 2016, the balance of unrecognized tax benefits was $15.7 million of which $1.6 million, if recognized, would affect the effective tax rate and $14.1 million would result in adjustment to deferred tax assets with corresponding adjustments to the valuation allowance.</w:t>
      </w:r>
    </w:p>
    <w:p>
      <w:pPr>
        <w:spacing w:after="0" w:line="14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 reconciliation of the beginning and ending amount of unrecognized tax benefit is as follows:</w:t>
      </w:r>
    </w:p>
    <w:p>
      <w:pPr>
        <w:spacing w:after="0" w:line="244" w:lineRule="exact"/>
        <w:rPr>
          <w:sz w:val="20"/>
          <w:szCs w:val="20"/>
          <w:color w:val="auto"/>
        </w:rPr>
      </w:pPr>
    </w:p>
    <w:tbl>
      <w:tblPr>
        <w:tblLayout w:type="fixed"/>
        <w:tblInd w:w="460" w:type="dxa"/>
        <w:tblCellMar>
          <w:top w:w="0" w:type="dxa"/>
          <w:left w:w="0" w:type="dxa"/>
          <w:bottom w:w="0" w:type="dxa"/>
          <w:right w:w="0" w:type="dxa"/>
        </w:tblCellMar>
      </w:tblPr>
      <w:tr>
        <w:trPr>
          <w:trHeight w:val="171"/>
        </w:trPr>
        <w:tc>
          <w:tcPr>
            <w:tcW w:w="8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100" w:type="dxa"/>
            <w:vAlign w:val="bottom"/>
            <w:gridSpan w:val="5"/>
          </w:tcPr>
          <w:p>
            <w:pPr>
              <w:ind w:left="160"/>
              <w:spacing w:after="0"/>
              <w:rPr>
                <w:sz w:val="20"/>
                <w:szCs w:val="20"/>
                <w:color w:val="auto"/>
              </w:rPr>
            </w:pPr>
            <w:r>
              <w:rPr>
                <w:rFonts w:ascii="Arial" w:cs="Arial" w:eastAsia="Arial" w:hAnsi="Arial"/>
                <w:sz w:val="14"/>
                <w:szCs w:val="14"/>
                <w:b w:val="1"/>
                <w:bCs w:val="1"/>
                <w:color w:val="auto"/>
              </w:rPr>
              <w:t>Year ended December 31,</w:t>
            </w:r>
          </w:p>
        </w:tc>
      </w:tr>
      <w:tr>
        <w:trPr>
          <w:trHeight w:val="142"/>
        </w:trPr>
        <w:tc>
          <w:tcPr>
            <w:tcW w:w="8100" w:type="dxa"/>
            <w:vAlign w:val="bottom"/>
            <w:tcBorders>
              <w:bottom w:val="single" w:sz="8" w:color="CCEEFF"/>
            </w:tcBorders>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520" w:type="dxa"/>
            <w:vAlign w:val="bottom"/>
            <w:tcBorders>
              <w:top w:val="single" w:sz="8" w:color="auto"/>
              <w:bottom w:val="single" w:sz="8" w:color="auto"/>
            </w:tcBorders>
          </w:tcPr>
          <w:p>
            <w:pPr>
              <w:jc w:val="right"/>
              <w:ind w:right="116"/>
              <w:spacing w:after="0" w:line="142" w:lineRule="exact"/>
              <w:rPr>
                <w:sz w:val="20"/>
                <w:szCs w:val="20"/>
                <w:color w:val="auto"/>
              </w:rPr>
            </w:pPr>
            <w:r>
              <w:rPr>
                <w:rFonts w:ascii="Arial" w:cs="Arial" w:eastAsia="Arial" w:hAnsi="Arial"/>
                <w:sz w:val="14"/>
                <w:szCs w:val="14"/>
                <w:b w:val="1"/>
                <w:bCs w:val="1"/>
                <w:color w:val="auto"/>
                <w:w w:val="96"/>
              </w:rPr>
              <w:t>2015</w:t>
            </w:r>
          </w:p>
        </w:tc>
        <w:tc>
          <w:tcPr>
            <w:tcW w:w="840" w:type="dxa"/>
            <w:vAlign w:val="bottom"/>
            <w:tcBorders>
              <w:top w:val="single" w:sz="8" w:color="auto"/>
              <w:bottom w:val="single" w:sz="8" w:color="CCEEFF"/>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540" w:type="dxa"/>
            <w:vAlign w:val="bottom"/>
            <w:tcBorders>
              <w:top w:val="single" w:sz="8" w:color="auto"/>
              <w:bottom w:val="single" w:sz="8" w:color="auto"/>
            </w:tcBorders>
          </w:tcPr>
          <w:p>
            <w:pPr>
              <w:jc w:val="right"/>
              <w:ind w:right="114"/>
              <w:spacing w:after="0" w:line="142" w:lineRule="exact"/>
              <w:rPr>
                <w:sz w:val="20"/>
                <w:szCs w:val="20"/>
                <w:color w:val="auto"/>
              </w:rPr>
            </w:pPr>
            <w:r>
              <w:rPr>
                <w:rFonts w:ascii="Arial" w:cs="Arial" w:eastAsia="Arial" w:hAnsi="Arial"/>
                <w:sz w:val="14"/>
                <w:szCs w:val="14"/>
                <w:b w:val="1"/>
                <w:bCs w:val="1"/>
                <w:color w:val="auto"/>
              </w:rPr>
              <w:t>2016</w:t>
            </w:r>
          </w:p>
        </w:tc>
        <w:tc>
          <w:tcPr>
            <w:tcW w:w="60" w:type="dxa"/>
            <w:vAlign w:val="bottom"/>
            <w:tcBorders>
              <w:bottom w:val="single" w:sz="8" w:color="CCEEFF"/>
            </w:tcBorders>
          </w:tcPr>
          <w:p>
            <w:pPr>
              <w:spacing w:after="0"/>
              <w:rPr>
                <w:sz w:val="12"/>
                <w:szCs w:val="12"/>
                <w:color w:val="auto"/>
              </w:rPr>
            </w:pPr>
          </w:p>
        </w:tc>
      </w:tr>
      <w:tr>
        <w:trPr>
          <w:trHeight w:val="209"/>
        </w:trPr>
        <w:tc>
          <w:tcPr>
            <w:tcW w:w="8100" w:type="dxa"/>
            <w:vAlign w:val="bottom"/>
            <w:shd w:val="clear" w:color="auto" w:fill="CCEEFF"/>
          </w:tcPr>
          <w:p>
            <w:pPr>
              <w:spacing w:after="0"/>
              <w:rPr>
                <w:sz w:val="20"/>
                <w:szCs w:val="20"/>
                <w:color w:val="auto"/>
              </w:rPr>
            </w:pPr>
            <w:r>
              <w:rPr>
                <w:rFonts w:ascii="Arial" w:cs="Arial" w:eastAsia="Arial" w:hAnsi="Arial"/>
                <w:sz w:val="18"/>
                <w:szCs w:val="18"/>
                <w:color w:val="auto"/>
              </w:rPr>
              <w:t>Balance of gross unrecognized tax benefits at the beginning of the fiscal year</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w:t>
            </w:r>
          </w:p>
        </w:tc>
        <w:tc>
          <w:tcPr>
            <w:tcW w:w="84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w:t>
            </w:r>
          </w:p>
        </w:tc>
        <w:tc>
          <w:tcPr>
            <w:tcW w:w="60" w:type="dxa"/>
            <w:vAlign w:val="bottom"/>
            <w:shd w:val="clear" w:color="auto" w:fill="CCEEFF"/>
          </w:tcPr>
          <w:p>
            <w:pPr>
              <w:spacing w:after="0"/>
              <w:rPr>
                <w:sz w:val="18"/>
                <w:szCs w:val="18"/>
                <w:color w:val="auto"/>
              </w:rPr>
            </w:pPr>
          </w:p>
        </w:tc>
      </w:tr>
      <w:tr>
        <w:trPr>
          <w:trHeight w:val="216"/>
        </w:trPr>
        <w:tc>
          <w:tcPr>
            <w:tcW w:w="8100" w:type="dxa"/>
            <w:vAlign w:val="bottom"/>
          </w:tcPr>
          <w:p>
            <w:pPr>
              <w:spacing w:after="0"/>
              <w:rPr>
                <w:sz w:val="20"/>
                <w:szCs w:val="20"/>
                <w:color w:val="auto"/>
              </w:rPr>
            </w:pPr>
            <w:r>
              <w:rPr>
                <w:rFonts w:ascii="Arial" w:cs="Arial" w:eastAsia="Arial" w:hAnsi="Arial"/>
                <w:sz w:val="18"/>
                <w:szCs w:val="18"/>
                <w:color w:val="auto"/>
              </w:rPr>
              <w:t>Gross increases related to prior period tax positions</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1.1</w:t>
            </w:r>
          </w:p>
        </w:tc>
        <w:tc>
          <w:tcPr>
            <w:tcW w:w="8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2.2</w:t>
            </w:r>
          </w:p>
        </w:tc>
        <w:tc>
          <w:tcPr>
            <w:tcW w:w="60" w:type="dxa"/>
            <w:vAlign w:val="bottom"/>
          </w:tcPr>
          <w:p>
            <w:pPr>
              <w:spacing w:after="0"/>
              <w:rPr>
                <w:sz w:val="18"/>
                <w:szCs w:val="18"/>
                <w:color w:val="auto"/>
              </w:rPr>
            </w:pPr>
          </w:p>
        </w:tc>
      </w:tr>
      <w:tr>
        <w:trPr>
          <w:trHeight w:val="216"/>
        </w:trPr>
        <w:tc>
          <w:tcPr>
            <w:tcW w:w="8100" w:type="dxa"/>
            <w:vAlign w:val="bottom"/>
            <w:shd w:val="clear" w:color="auto" w:fill="CCEEFF"/>
          </w:tcPr>
          <w:p>
            <w:pPr>
              <w:spacing w:after="0"/>
              <w:rPr>
                <w:sz w:val="20"/>
                <w:szCs w:val="20"/>
                <w:color w:val="auto"/>
              </w:rPr>
            </w:pPr>
            <w:r>
              <w:rPr>
                <w:rFonts w:ascii="Arial" w:cs="Arial" w:eastAsia="Arial" w:hAnsi="Arial"/>
                <w:sz w:val="18"/>
                <w:szCs w:val="18"/>
                <w:color w:val="auto"/>
              </w:rPr>
              <w:t>Gross increases related to current period tax positions</w:t>
            </w:r>
          </w:p>
        </w:tc>
        <w:tc>
          <w:tcPr>
            <w:tcW w:w="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w:t>
            </w:r>
          </w:p>
        </w:tc>
        <w:tc>
          <w:tcPr>
            <w:tcW w:w="84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w:t>
            </w:r>
          </w:p>
        </w:tc>
        <w:tc>
          <w:tcPr>
            <w:tcW w:w="60" w:type="dxa"/>
            <w:vAlign w:val="bottom"/>
            <w:shd w:val="clear" w:color="auto" w:fill="CCEEFF"/>
          </w:tcPr>
          <w:p>
            <w:pPr>
              <w:spacing w:after="0"/>
              <w:rPr>
                <w:sz w:val="18"/>
                <w:szCs w:val="18"/>
                <w:color w:val="auto"/>
              </w:rPr>
            </w:pPr>
          </w:p>
        </w:tc>
      </w:tr>
      <w:tr>
        <w:trPr>
          <w:trHeight w:val="223"/>
        </w:trPr>
        <w:tc>
          <w:tcPr>
            <w:tcW w:w="8100" w:type="dxa"/>
            <w:vAlign w:val="bottom"/>
          </w:tcPr>
          <w:p>
            <w:pPr>
              <w:spacing w:after="0"/>
              <w:rPr>
                <w:sz w:val="20"/>
                <w:szCs w:val="20"/>
                <w:color w:val="auto"/>
              </w:rPr>
            </w:pPr>
            <w:r>
              <w:rPr>
                <w:rFonts w:ascii="Arial" w:cs="Arial" w:eastAsia="Arial" w:hAnsi="Arial"/>
                <w:sz w:val="18"/>
                <w:szCs w:val="18"/>
                <w:color w:val="auto"/>
              </w:rPr>
              <w:t>Balance of gross unrecognized tax benefits at the end of the fiscal year</w:t>
            </w:r>
          </w:p>
        </w:tc>
        <w:tc>
          <w:tcPr>
            <w:tcW w:w="2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7.9</w:t>
            </w:r>
          </w:p>
        </w:tc>
        <w:tc>
          <w:tcPr>
            <w:tcW w:w="84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w:t>
            </w:r>
            <w:r>
              <w:rPr>
                <w:rFonts w:ascii="Arial" w:cs="Arial" w:eastAsia="Arial" w:hAnsi="Arial"/>
                <w:sz w:val="18"/>
                <w:szCs w:val="18"/>
                <w:u w:val="single" w:color="auto"/>
                <w:color w:val="auto"/>
              </w:rPr>
              <w:t>7</w:t>
            </w:r>
          </w:p>
        </w:tc>
        <w:tc>
          <w:tcPr>
            <w:tcW w:w="60" w:type="dxa"/>
            <w:vAlign w:val="bottom"/>
          </w:tcPr>
          <w:p>
            <w:pPr>
              <w:spacing w:after="0"/>
              <w:rPr>
                <w:sz w:val="19"/>
                <w:szCs w:val="19"/>
                <w:color w:val="auto"/>
              </w:rPr>
            </w:pPr>
          </w:p>
        </w:tc>
      </w:tr>
      <w:tr>
        <w:trPr>
          <w:trHeight w:val="20"/>
        </w:trPr>
        <w:tc>
          <w:tcPr>
            <w:tcW w:w="8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15" w:lineRule="exact"/>
        <w:rPr>
          <w:sz w:val="20"/>
          <w:szCs w:val="20"/>
          <w:color w:val="auto"/>
        </w:rPr>
      </w:pPr>
    </w:p>
    <w:p>
      <w:pPr>
        <w:ind w:right="240" w:firstLine="449"/>
        <w:spacing w:after="0" w:line="279" w:lineRule="auto"/>
        <w:rPr>
          <w:sz w:val="20"/>
          <w:szCs w:val="20"/>
          <w:color w:val="auto"/>
        </w:rPr>
      </w:pPr>
      <w:r>
        <w:rPr>
          <w:rFonts w:ascii="Arial" w:cs="Arial" w:eastAsia="Arial" w:hAnsi="Arial"/>
          <w:sz w:val="17"/>
          <w:szCs w:val="17"/>
          <w:color w:val="auto"/>
        </w:rPr>
        <w:t>The Company recognizes interest and/or penalties related to income tax matters as a component of income tax expense. As of December 31, 2016, the amount of accrued interest and penalties related to uncertain tax positions was $0.4 million, and the Company did not have accrued interest and penalties related to uncertain tax positions as of December 31, 2015. Interest and penalties recognized for the year ended December 31, 2016, was $0.4 million and the Company did not recognize any interest and penalties for the year ended December 31, 2015.</w:t>
      </w:r>
    </w:p>
    <w:p>
      <w:pPr>
        <w:spacing w:after="0" w:line="171" w:lineRule="exact"/>
        <w:rPr>
          <w:sz w:val="20"/>
          <w:szCs w:val="20"/>
          <w:color w:val="auto"/>
        </w:rPr>
      </w:pPr>
    </w:p>
    <w:p>
      <w:pPr>
        <w:ind w:firstLine="449"/>
        <w:spacing w:after="0" w:line="277" w:lineRule="auto"/>
        <w:rPr>
          <w:sz w:val="20"/>
          <w:szCs w:val="20"/>
          <w:color w:val="auto"/>
        </w:rPr>
      </w:pPr>
      <w:r>
        <w:rPr>
          <w:rFonts w:ascii="Arial" w:cs="Arial" w:eastAsia="Arial" w:hAnsi="Arial"/>
          <w:sz w:val="18"/>
          <w:szCs w:val="18"/>
          <w:color w:val="auto"/>
        </w:rPr>
        <w:t>The Company files income tax returns in the U.S. federal, multiple states, and foreign jurisdictions. All of the Company’s tax years from 2007 remain open for examination by the federal and state authorities, and from 2013 by foreign authorities.</w:t>
      </w:r>
    </w:p>
    <w:p>
      <w:pPr>
        <w:spacing w:after="0" w:line="170" w:lineRule="exact"/>
        <w:rPr>
          <w:sz w:val="20"/>
          <w:szCs w:val="20"/>
          <w:color w:val="auto"/>
        </w:rPr>
      </w:pPr>
    </w:p>
    <w:p>
      <w:pPr>
        <w:ind w:right="160" w:firstLine="449"/>
        <w:spacing w:after="0" w:line="257" w:lineRule="auto"/>
        <w:rPr>
          <w:sz w:val="20"/>
          <w:szCs w:val="20"/>
          <w:color w:val="auto"/>
        </w:rPr>
      </w:pPr>
      <w:r>
        <w:rPr>
          <w:rFonts w:ascii="Arial" w:cs="Arial" w:eastAsia="Arial" w:hAnsi="Arial"/>
          <w:sz w:val="18"/>
          <w:szCs w:val="18"/>
          <w:color w:val="auto"/>
        </w:rPr>
        <w:t>The Company generally does not provide deferred income taxes for the undistributed earnings of its foreign subsidiaries as the Company intends to reinvest such earnings indefinitely. Should circumstances change and it becomes apparent that some or all of the undistributed earnings will no longer be indefinitely reinvested, the Company will accrue for income taxes not previously recognized. As of December 31, 2016, there were no cumulative undistributed earnings in its Irish subsidiary and, as a result, there were no unrecorded deferred tax liabilities. The amount of undistributed earnings in the Company’s other foreign subsidiaries, if any, are immaterial.</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15. Related Party Transactions</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Dropbox Charitable Foundation</w:t>
      </w:r>
    </w:p>
    <w:p>
      <w:pPr>
        <w:spacing w:after="0" w:line="117" w:lineRule="exact"/>
        <w:rPr>
          <w:sz w:val="20"/>
          <w:szCs w:val="20"/>
          <w:color w:val="auto"/>
        </w:rPr>
      </w:pPr>
    </w:p>
    <w:p>
      <w:pPr>
        <w:ind w:right="120" w:firstLine="449"/>
        <w:spacing w:after="0" w:line="296" w:lineRule="auto"/>
        <w:rPr>
          <w:sz w:val="20"/>
          <w:szCs w:val="20"/>
          <w:color w:val="auto"/>
        </w:rPr>
      </w:pPr>
      <w:r>
        <w:rPr>
          <w:rFonts w:ascii="Arial" w:cs="Arial" w:eastAsia="Arial" w:hAnsi="Arial"/>
          <w:sz w:val="16"/>
          <w:szCs w:val="16"/>
          <w:color w:val="auto"/>
        </w:rPr>
        <w:t>During the year ended December 31, 2016, two of the Company’s controlling shareholders formed the Dropbox Charitable Foundation, a Delaware non-stock corporation (the “Foundation”). The primary purpose of the Foundation is to engage in charitable and educational activities within the meaning of Section 501(c)(3) of the Code. The Foundation is governed by a Board of Directors, a majority of which are independent. Both shareholders made contributions to the Foundation during the year ended December 31, 2016, comprised entirely of shares of Dropbox common stock. The Company has not consolidated the Foundation in the accompanying consolidated financial statements, as the Company does not have control of the entity.</w:t>
      </w:r>
    </w:p>
    <w:p>
      <w:pPr>
        <w:spacing w:after="0" w:line="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F-33</w:t>
      </w:r>
    </w:p>
    <w:p>
      <w:pPr>
        <w:sectPr>
          <w:pgSz w:w="11900" w:h="16838" w:orient="portrait"/>
          <w:cols w:equalWidth="0" w:num="1">
            <w:col w:w="11240"/>
          </w:cols>
          <w:pgMar w:left="320" w:top="459" w:right="339" w:bottom="1440" w:gutter="0" w:footer="0" w:header="0"/>
        </w:sectPr>
      </w:pPr>
    </w:p>
    <w:bookmarkStart w:id="192" w:name="page193"/>
    <w:bookmarkEnd w:id="19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right="100" w:firstLine="449"/>
        <w:spacing w:after="0" w:line="259" w:lineRule="auto"/>
        <w:rPr>
          <w:sz w:val="20"/>
          <w:szCs w:val="20"/>
          <w:color w:val="auto"/>
        </w:rPr>
      </w:pPr>
      <w:r>
        <w:rPr>
          <w:rFonts w:ascii="Arial" w:cs="Arial" w:eastAsia="Arial" w:hAnsi="Arial"/>
          <w:sz w:val="18"/>
          <w:szCs w:val="18"/>
          <w:color w:val="auto"/>
        </w:rPr>
        <w:t>During the second quarter of 2017, the Company recorded $9.4 million of expense for a non-cash charitable contribution, whereby the Company donated Class B common shares to initially fund the Foundation. The expense was recorded to general and administrative expenses based on the Company’s estimate of the then current fair value of the contributed shares. Additionally, during the nine months ended September 30, 2017, the Company made cash contributions of $0.8 million to the Foundation.</w:t>
      </w:r>
    </w:p>
    <w:p>
      <w:pPr>
        <w:spacing w:after="0" w:line="295"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Hewlett Packard Enterprise</w:t>
      </w:r>
    </w:p>
    <w:p>
      <w:pPr>
        <w:spacing w:after="0" w:line="117" w:lineRule="exact"/>
        <w:rPr>
          <w:sz w:val="20"/>
          <w:szCs w:val="20"/>
          <w:color w:val="auto"/>
        </w:rPr>
      </w:pPr>
    </w:p>
    <w:p>
      <w:pPr>
        <w:ind w:firstLine="449"/>
        <w:spacing w:after="0" w:line="290" w:lineRule="auto"/>
        <w:rPr>
          <w:sz w:val="20"/>
          <w:szCs w:val="20"/>
          <w:color w:val="auto"/>
        </w:rPr>
      </w:pPr>
      <w:r>
        <w:rPr>
          <w:rFonts w:ascii="Arial" w:cs="Arial" w:eastAsia="Arial" w:hAnsi="Arial"/>
          <w:sz w:val="16"/>
          <w:szCs w:val="16"/>
          <w:color w:val="auto"/>
        </w:rPr>
        <w:t>The Company has engaged in various commercial relationships with Hewlett Packard Enterprise (“HPE”), whose chief executive officer was appointed to the Dropbox Board of Directors in September 2017. These commercial relationships include infrastructure equipment under capital leases, the purchase of commercial products and other services, and a multi-year subscription agreement for access to the Dropbox platform. From the date of appointment of HPE’s chief executive officer to the Dropbox Board of Directors through September 30, 2017, the Company made payments of $6.6 million for infrastructure equipment under capital leases and commercial products and services provided by HPE. As of September 30, 2017, the Company had a remaining obligation of $87.6 million for equipment under capital lease from HPE. Related to the multi-year subscription agreement, the Company recognized an immaterial amount of revenue from the date of appointment of HPE’s chief executive officer to the Dropbox Board of Directors through September 30, 2017, and had an immaterial balance of deferred revenue and outstanding trade receivables as of September 30, 2017.</w:t>
      </w: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16. Geographic Areas</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Long-lived assets</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sets forth long-lived assets by geographic area:</w:t>
      </w:r>
    </w:p>
    <w:p>
      <w:pPr>
        <w:spacing w:after="0" w:line="244" w:lineRule="exact"/>
        <w:rPr>
          <w:sz w:val="20"/>
          <w:szCs w:val="20"/>
          <w:color w:val="auto"/>
        </w:rPr>
      </w:pPr>
    </w:p>
    <w:tbl>
      <w:tblPr>
        <w:tblLayout w:type="fixed"/>
        <w:tblInd w:w="92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396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2620" w:type="dxa"/>
            <w:vAlign w:val="bottom"/>
            <w:gridSpan w:val="5"/>
          </w:tcPr>
          <w:p>
            <w:pPr>
              <w:jc w:val="right"/>
              <w:ind w:right="1100"/>
              <w:spacing w:after="0"/>
              <w:rPr>
                <w:sz w:val="20"/>
                <w:szCs w:val="20"/>
                <w:color w:val="auto"/>
              </w:rPr>
            </w:pPr>
            <w:r>
              <w:rPr>
                <w:rFonts w:ascii="Arial" w:cs="Arial" w:eastAsia="Arial" w:hAnsi="Arial"/>
                <w:sz w:val="14"/>
                <w:szCs w:val="14"/>
                <w:b w:val="1"/>
                <w:bCs w:val="1"/>
                <w:color w:val="auto"/>
              </w:rPr>
              <w:t>As of December 31,</w:t>
            </w:r>
          </w:p>
        </w:tc>
        <w:tc>
          <w:tcPr>
            <w:tcW w:w="1280" w:type="dxa"/>
            <w:vAlign w:val="bottom"/>
            <w:gridSpan w:val="3"/>
          </w:tcPr>
          <w:p>
            <w:pPr>
              <w:spacing w:after="0"/>
              <w:rPr>
                <w:sz w:val="20"/>
                <w:szCs w:val="20"/>
                <w:color w:val="auto"/>
              </w:rPr>
            </w:pPr>
            <w:r>
              <w:rPr>
                <w:rFonts w:ascii="Arial" w:cs="Arial" w:eastAsia="Arial" w:hAnsi="Arial"/>
                <w:sz w:val="14"/>
                <w:szCs w:val="14"/>
                <w:b w:val="1"/>
                <w:bCs w:val="1"/>
                <w:color w:val="auto"/>
                <w:w w:val="93"/>
              </w:rPr>
              <w:t>As of September 30,</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960" w:type="dxa"/>
            <w:vAlign w:val="bottom"/>
          </w:tcPr>
          <w:p>
            <w:pPr>
              <w:spacing w:after="0"/>
              <w:rPr>
                <w:sz w:val="12"/>
                <w:szCs w:val="12"/>
                <w:color w:val="auto"/>
              </w:rPr>
            </w:pPr>
          </w:p>
        </w:tc>
        <w:tc>
          <w:tcPr>
            <w:tcW w:w="1540" w:type="dxa"/>
            <w:vAlign w:val="bottom"/>
          </w:tcPr>
          <w:p>
            <w:pPr>
              <w:spacing w:after="0"/>
              <w:rPr>
                <w:sz w:val="12"/>
                <w:szCs w:val="12"/>
                <w:color w:val="auto"/>
              </w:rPr>
            </w:pPr>
          </w:p>
        </w:tc>
        <w:tc>
          <w:tcPr>
            <w:tcW w:w="520" w:type="dxa"/>
            <w:vAlign w:val="bottom"/>
            <w:tcBorders>
              <w:top w:val="single" w:sz="8" w:color="auto"/>
            </w:tcBorders>
          </w:tcPr>
          <w:p>
            <w:pPr>
              <w:jc w:val="right"/>
              <w:ind w:right="39"/>
              <w:spacing w:after="0" w:line="142" w:lineRule="exact"/>
              <w:rPr>
                <w:sz w:val="20"/>
                <w:szCs w:val="20"/>
                <w:color w:val="auto"/>
              </w:rPr>
            </w:pPr>
            <w:r>
              <w:rPr>
                <w:rFonts w:ascii="Arial" w:cs="Arial" w:eastAsia="Arial" w:hAnsi="Arial"/>
                <w:sz w:val="14"/>
                <w:szCs w:val="14"/>
                <w:b w:val="1"/>
                <w:bCs w:val="1"/>
                <w:color w:val="auto"/>
              </w:rPr>
              <w:t>2015</w:t>
            </w:r>
          </w:p>
        </w:tc>
        <w:tc>
          <w:tcPr>
            <w:tcW w:w="400" w:type="dxa"/>
            <w:vAlign w:val="bottom"/>
            <w:tcBorders>
              <w:top w:val="single" w:sz="8" w:color="auto"/>
            </w:tcBorders>
          </w:tcPr>
          <w:p>
            <w:pPr>
              <w:spacing w:after="0"/>
              <w:rPr>
                <w:sz w:val="12"/>
                <w:szCs w:val="12"/>
                <w:color w:val="auto"/>
              </w:rPr>
            </w:pPr>
          </w:p>
        </w:tc>
        <w:tc>
          <w:tcPr>
            <w:tcW w:w="900" w:type="dxa"/>
            <w:vAlign w:val="bottom"/>
            <w:tcBorders>
              <w:top w:val="single" w:sz="8" w:color="auto"/>
            </w:tcBorders>
            <w:gridSpan w:val="2"/>
          </w:tcPr>
          <w:p>
            <w:pPr>
              <w:jc w:val="right"/>
              <w:ind w:right="100"/>
              <w:spacing w:after="0" w:line="142" w:lineRule="exact"/>
              <w:rPr>
                <w:sz w:val="20"/>
                <w:szCs w:val="20"/>
                <w:color w:val="auto"/>
              </w:rPr>
            </w:pPr>
            <w:r>
              <w:rPr>
                <w:rFonts w:ascii="Arial" w:cs="Arial" w:eastAsia="Arial" w:hAnsi="Arial"/>
                <w:sz w:val="14"/>
                <w:szCs w:val="14"/>
                <w:b w:val="1"/>
                <w:bCs w:val="1"/>
                <w:color w:val="auto"/>
              </w:rPr>
              <w:t>2016</w:t>
            </w:r>
          </w:p>
        </w:tc>
        <w:tc>
          <w:tcPr>
            <w:tcW w:w="80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1060" w:type="dxa"/>
            <w:vAlign w:val="bottom"/>
            <w:tcBorders>
              <w:top w:val="single" w:sz="8" w:color="auto"/>
            </w:tcBorders>
          </w:tcPr>
          <w:p>
            <w:pPr>
              <w:jc w:val="right"/>
              <w:ind w:right="377"/>
              <w:spacing w:after="0" w:line="142" w:lineRule="exact"/>
              <w:rPr>
                <w:sz w:val="20"/>
                <w:szCs w:val="20"/>
                <w:color w:val="auto"/>
              </w:rPr>
            </w:pPr>
            <w:r>
              <w:rPr>
                <w:rFonts w:ascii="Arial" w:cs="Arial" w:eastAsia="Arial" w:hAnsi="Arial"/>
                <w:sz w:val="14"/>
                <w:szCs w:val="14"/>
                <w:b w:val="1"/>
                <w:bCs w:val="1"/>
                <w:color w:val="auto"/>
              </w:rPr>
              <w:t>2017</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960" w:type="dxa"/>
            <w:vAlign w:val="bottom"/>
          </w:tcPr>
          <w:p>
            <w:pPr>
              <w:spacing w:after="0"/>
              <w:rPr>
                <w:sz w:val="12"/>
                <w:szCs w:val="12"/>
                <w:color w:val="auto"/>
              </w:rPr>
            </w:pPr>
          </w:p>
        </w:tc>
        <w:tc>
          <w:tcPr>
            <w:tcW w:w="1540" w:type="dxa"/>
            <w:vAlign w:val="bottom"/>
          </w:tcPr>
          <w:p>
            <w:pPr>
              <w:spacing w:after="0"/>
              <w:rPr>
                <w:sz w:val="12"/>
                <w:szCs w:val="12"/>
                <w:color w:val="auto"/>
              </w:rPr>
            </w:pPr>
          </w:p>
        </w:tc>
        <w:tc>
          <w:tcPr>
            <w:tcW w:w="520" w:type="dxa"/>
            <w:vAlign w:val="bottom"/>
            <w:tcBorders>
              <w:top w:val="single" w:sz="8" w:color="auto"/>
            </w:tcBorders>
          </w:tcPr>
          <w:p>
            <w:pPr>
              <w:spacing w:after="0"/>
              <w:rPr>
                <w:sz w:val="12"/>
                <w:szCs w:val="12"/>
                <w:color w:val="auto"/>
              </w:rPr>
            </w:pPr>
          </w:p>
        </w:tc>
        <w:tc>
          <w:tcPr>
            <w:tcW w:w="4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520" w:type="dxa"/>
            <w:vAlign w:val="bottom"/>
            <w:tcBorders>
              <w:top w:val="single" w:sz="8" w:color="auto"/>
            </w:tcBorders>
          </w:tcPr>
          <w:p>
            <w:pPr>
              <w:spacing w:after="0"/>
              <w:rPr>
                <w:sz w:val="12"/>
                <w:szCs w:val="12"/>
                <w:color w:val="auto"/>
              </w:rPr>
            </w:pPr>
          </w:p>
        </w:tc>
        <w:tc>
          <w:tcPr>
            <w:tcW w:w="80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1060" w:type="dxa"/>
            <w:vAlign w:val="bottom"/>
            <w:tcBorders>
              <w:top w:val="single" w:sz="8" w:color="auto"/>
            </w:tcBorders>
          </w:tcPr>
          <w:p>
            <w:pPr>
              <w:jc w:val="center"/>
              <w:ind w:right="77"/>
              <w:spacing w:after="0" w:line="142" w:lineRule="exact"/>
              <w:rPr>
                <w:sz w:val="20"/>
                <w:szCs w:val="20"/>
                <w:color w:val="auto"/>
              </w:rPr>
            </w:pPr>
            <w:r>
              <w:rPr>
                <w:rFonts w:ascii="Arial" w:cs="Arial" w:eastAsia="Arial" w:hAnsi="Arial"/>
                <w:sz w:val="14"/>
                <w:szCs w:val="14"/>
                <w:i w:val="1"/>
                <w:iCs w:val="1"/>
                <w:color w:val="auto"/>
                <w:w w:val="95"/>
              </w:rPr>
              <w:t>(Unaudited)</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60" w:type="dxa"/>
            <w:vAlign w:val="bottom"/>
            <w:shd w:val="clear" w:color="auto" w:fill="CCEEFF"/>
          </w:tcPr>
          <w:p>
            <w:pPr>
              <w:spacing w:after="0"/>
              <w:rPr>
                <w:sz w:val="20"/>
                <w:szCs w:val="20"/>
                <w:color w:val="auto"/>
              </w:rPr>
            </w:pPr>
            <w:r>
              <w:rPr>
                <w:rFonts w:ascii="Arial" w:cs="Arial" w:eastAsia="Arial" w:hAnsi="Arial"/>
                <w:sz w:val="18"/>
                <w:szCs w:val="18"/>
                <w:color w:val="auto"/>
              </w:rPr>
              <w:t>United States</w:t>
            </w:r>
          </w:p>
        </w:tc>
        <w:tc>
          <w:tcPr>
            <w:tcW w:w="2460" w:type="dxa"/>
            <w:vAlign w:val="bottom"/>
            <w:gridSpan w:val="3"/>
            <w:shd w:val="clear" w:color="auto" w:fill="CCEEFF"/>
          </w:tcPr>
          <w:p>
            <w:pPr>
              <w:jc w:val="right"/>
              <w:ind w:right="400"/>
              <w:spacing w:after="0"/>
              <w:rPr>
                <w:sz w:val="20"/>
                <w:szCs w:val="20"/>
                <w:color w:val="auto"/>
              </w:rPr>
            </w:pPr>
            <w:r>
              <w:rPr>
                <w:rFonts w:ascii="Arial" w:cs="Arial" w:eastAsia="Arial" w:hAnsi="Arial"/>
                <w:sz w:val="18"/>
                <w:szCs w:val="18"/>
                <w:color w:val="auto"/>
              </w:rPr>
              <w:t>$427.2</w:t>
            </w:r>
          </w:p>
        </w:tc>
        <w:tc>
          <w:tcPr>
            <w:tcW w:w="1700" w:type="dxa"/>
            <w:vAlign w:val="bottom"/>
            <w:gridSpan w:val="3"/>
            <w:shd w:val="clear" w:color="auto" w:fill="CCEEFF"/>
          </w:tcPr>
          <w:p>
            <w:pPr>
              <w:jc w:val="right"/>
              <w:ind w:right="780"/>
              <w:spacing w:after="0"/>
              <w:rPr>
                <w:sz w:val="20"/>
                <w:szCs w:val="20"/>
                <w:color w:val="auto"/>
              </w:rPr>
            </w:pPr>
            <w:r>
              <w:rPr>
                <w:rFonts w:ascii="Arial" w:cs="Arial" w:eastAsia="Arial" w:hAnsi="Arial"/>
                <w:sz w:val="18"/>
                <w:szCs w:val="18"/>
                <w:color w:val="auto"/>
              </w:rPr>
              <w:t>$ 425.1</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326.4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60" w:type="dxa"/>
            <w:vAlign w:val="bottom"/>
          </w:tcPr>
          <w:p>
            <w:pPr>
              <w:spacing w:after="0"/>
              <w:rPr>
                <w:sz w:val="20"/>
                <w:szCs w:val="20"/>
                <w:color w:val="auto"/>
              </w:rPr>
            </w:pPr>
            <w:r>
              <w:rPr>
                <w:rFonts w:ascii="Arial" w:cs="Arial" w:eastAsia="Arial" w:hAnsi="Arial"/>
                <w:sz w:val="18"/>
                <w:szCs w:val="18"/>
                <w:color w:val="auto"/>
              </w:rPr>
              <w:t>International</w:t>
            </w:r>
            <w:r>
              <w:rPr>
                <w:rFonts w:ascii="Arial" w:cs="Arial" w:eastAsia="Arial" w:hAnsi="Arial"/>
                <w:sz w:val="15"/>
                <w:szCs w:val="15"/>
                <w:color w:val="auto"/>
              </w:rPr>
              <w:t>(1)</w:t>
            </w:r>
          </w:p>
        </w:tc>
        <w:tc>
          <w:tcPr>
            <w:tcW w:w="1540" w:type="dxa"/>
            <w:vAlign w:val="bottom"/>
          </w:tcPr>
          <w:p>
            <w:pPr>
              <w:spacing w:after="0"/>
              <w:rPr>
                <w:sz w:val="18"/>
                <w:szCs w:val="18"/>
                <w:color w:val="auto"/>
              </w:rPr>
            </w:pPr>
          </w:p>
        </w:tc>
        <w:tc>
          <w:tcPr>
            <w:tcW w:w="920" w:type="dxa"/>
            <w:vAlign w:val="bottom"/>
            <w:gridSpan w:val="2"/>
          </w:tcPr>
          <w:p>
            <w:pPr>
              <w:jc w:val="right"/>
              <w:ind w:right="400"/>
              <w:spacing w:after="0"/>
              <w:rPr>
                <w:sz w:val="20"/>
                <w:szCs w:val="20"/>
                <w:color w:val="auto"/>
              </w:rPr>
            </w:pPr>
            <w:r>
              <w:rPr>
                <w:rFonts w:ascii="Arial" w:cs="Arial" w:eastAsia="Arial" w:hAnsi="Arial"/>
                <w:sz w:val="18"/>
                <w:szCs w:val="18"/>
                <w:color w:val="auto"/>
              </w:rPr>
              <w:t>10.4</w:t>
            </w:r>
          </w:p>
        </w:tc>
        <w:tc>
          <w:tcPr>
            <w:tcW w:w="1700" w:type="dxa"/>
            <w:vAlign w:val="bottom"/>
            <w:gridSpan w:val="3"/>
          </w:tcPr>
          <w:p>
            <w:pPr>
              <w:jc w:val="right"/>
              <w:ind w:right="780"/>
              <w:spacing w:after="0"/>
              <w:rPr>
                <w:sz w:val="20"/>
                <w:szCs w:val="20"/>
                <w:color w:val="auto"/>
              </w:rPr>
            </w:pPr>
            <w:r>
              <w:rPr>
                <w:rFonts w:ascii="Arial" w:cs="Arial" w:eastAsia="Arial" w:hAnsi="Arial"/>
                <w:sz w:val="18"/>
                <w:szCs w:val="18"/>
                <w:color w:val="auto"/>
              </w:rPr>
              <w:t>18.9</w:t>
            </w:r>
          </w:p>
        </w:tc>
        <w:tc>
          <w:tcPr>
            <w:tcW w:w="160" w:type="dxa"/>
            <w:vAlign w:val="bottom"/>
          </w:tcPr>
          <w:p>
            <w:pPr>
              <w:spacing w:after="0"/>
              <w:rPr>
                <w:sz w:val="18"/>
                <w:szCs w:val="18"/>
                <w:color w:val="auto"/>
              </w:rPr>
            </w:pPr>
          </w:p>
        </w:tc>
        <w:tc>
          <w:tcPr>
            <w:tcW w:w="1120" w:type="dxa"/>
            <w:vAlign w:val="bottom"/>
            <w:gridSpan w:val="2"/>
          </w:tcPr>
          <w:p>
            <w:pPr>
              <w:jc w:val="right"/>
              <w:ind w:right="60"/>
              <w:spacing w:after="0"/>
              <w:rPr>
                <w:sz w:val="20"/>
                <w:szCs w:val="20"/>
                <w:color w:val="auto"/>
              </w:rPr>
            </w:pPr>
            <w:r>
              <w:rPr>
                <w:rFonts w:ascii="Arial" w:cs="Arial" w:eastAsia="Arial" w:hAnsi="Arial"/>
                <w:sz w:val="18"/>
                <w:szCs w:val="18"/>
                <w:color w:val="auto"/>
              </w:rPr>
              <w:t>18.6</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3960" w:type="dxa"/>
            <w:vAlign w:val="bottom"/>
          </w:tcPr>
          <w:p>
            <w:pPr>
              <w:spacing w:after="0"/>
              <w:rPr>
                <w:sz w:val="2"/>
                <w:szCs w:val="2"/>
                <w:color w:val="auto"/>
              </w:rPr>
            </w:pPr>
          </w:p>
        </w:tc>
        <w:tc>
          <w:tcPr>
            <w:tcW w:w="1540" w:type="dxa"/>
            <w:vAlign w:val="bottom"/>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380" w:type="dxa"/>
            <w:vAlign w:val="bottom"/>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80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106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3960" w:type="dxa"/>
            <w:vAlign w:val="bottom"/>
            <w:shd w:val="clear" w:color="auto" w:fill="CCEEFF"/>
          </w:tcPr>
          <w:p>
            <w:pPr>
              <w:spacing w:after="0"/>
              <w:rPr>
                <w:sz w:val="20"/>
                <w:szCs w:val="20"/>
                <w:color w:val="auto"/>
              </w:rPr>
            </w:pPr>
            <w:r>
              <w:rPr>
                <w:rFonts w:ascii="Arial" w:cs="Arial" w:eastAsia="Arial" w:hAnsi="Arial"/>
                <w:sz w:val="18"/>
                <w:szCs w:val="18"/>
                <w:color w:val="auto"/>
              </w:rPr>
              <w:t>Total property and equipment, net</w:t>
            </w:r>
          </w:p>
        </w:tc>
        <w:tc>
          <w:tcPr>
            <w:tcW w:w="15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u w:val="single" w:color="auto"/>
                <w:color w:val="auto"/>
                <w:w w:val="90"/>
              </w:rPr>
              <w:t>$</w:t>
            </w:r>
            <w:r>
              <w:rPr>
                <w:rFonts w:ascii="Arial" w:cs="Arial" w:eastAsia="Arial" w:hAnsi="Arial"/>
                <w:sz w:val="18"/>
                <w:szCs w:val="18"/>
                <w:color w:val="auto"/>
                <w:w w:val="90"/>
              </w:rPr>
              <w:t>437.6</w:t>
            </w:r>
          </w:p>
        </w:tc>
        <w:tc>
          <w:tcPr>
            <w:tcW w:w="1700" w:type="dxa"/>
            <w:vAlign w:val="bottom"/>
            <w:gridSpan w:val="3"/>
            <w:shd w:val="clear" w:color="auto" w:fill="CCEEFF"/>
          </w:tcPr>
          <w:p>
            <w:pPr>
              <w:jc w:val="right"/>
              <w:ind w:right="780"/>
              <w:spacing w:after="0"/>
              <w:rPr>
                <w:sz w:val="20"/>
                <w:szCs w:val="20"/>
                <w:color w:val="auto"/>
              </w:rPr>
            </w:pPr>
            <w:r>
              <w:rPr>
                <w:rFonts w:ascii="Arial" w:cs="Arial" w:eastAsia="Arial" w:hAnsi="Arial"/>
                <w:sz w:val="18"/>
                <w:szCs w:val="18"/>
                <w:color w:val="auto"/>
              </w:rPr>
              <w:t>$ 444.0</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345.0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96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ind w:left="460" w:right="320" w:hanging="452"/>
        <w:spacing w:after="0" w:line="277" w:lineRule="auto"/>
        <w:tabs>
          <w:tab w:leader="none" w:pos="460" w:val="left"/>
        </w:tabs>
        <w:numPr>
          <w:ilvl w:val="0"/>
          <w:numId w:val="108"/>
        </w:numPr>
        <w:rPr>
          <w:rFonts w:ascii="Arial" w:cs="Arial" w:eastAsia="Arial" w:hAnsi="Arial"/>
          <w:sz w:val="15"/>
          <w:szCs w:val="15"/>
          <w:color w:val="auto"/>
        </w:rPr>
      </w:pPr>
      <w:r>
        <w:rPr>
          <w:rFonts w:ascii="Arial" w:cs="Arial" w:eastAsia="Arial" w:hAnsi="Arial"/>
          <w:sz w:val="18"/>
          <w:szCs w:val="18"/>
          <w:color w:val="auto"/>
        </w:rPr>
        <w:t>No single country other than the United States had a property and equipment balance greater than 10% of total property and equipment, net, as of December 31, 2015 and 2016, and September 30, 2017.</w:t>
      </w:r>
    </w:p>
    <w:p>
      <w:pPr>
        <w:spacing w:after="0" w:line="278" w:lineRule="exact"/>
        <w:rPr>
          <w:rFonts w:ascii="Arial" w:cs="Arial" w:eastAsia="Arial" w:hAnsi="Arial"/>
          <w:sz w:val="15"/>
          <w:szCs w:val="15"/>
          <w:color w:val="auto"/>
        </w:rPr>
      </w:pPr>
    </w:p>
    <w:p>
      <w:pPr>
        <w:ind w:left="460"/>
        <w:spacing w:after="0"/>
        <w:rPr>
          <w:rFonts w:ascii="Arial" w:cs="Arial" w:eastAsia="Arial" w:hAnsi="Arial"/>
          <w:sz w:val="15"/>
          <w:szCs w:val="15"/>
          <w:color w:val="auto"/>
        </w:rPr>
      </w:pPr>
      <w:r>
        <w:rPr>
          <w:rFonts w:ascii="Arial" w:cs="Arial" w:eastAsia="Arial" w:hAnsi="Arial"/>
          <w:sz w:val="18"/>
          <w:szCs w:val="18"/>
          <w:b w:val="1"/>
          <w:bCs w:val="1"/>
          <w:i w:val="1"/>
          <w:iCs w:val="1"/>
          <w:color w:val="auto"/>
        </w:rPr>
        <w:t>Revenue</w:t>
      </w:r>
    </w:p>
    <w:p>
      <w:pPr>
        <w:spacing w:after="0" w:line="117" w:lineRule="exact"/>
        <w:rPr>
          <w:sz w:val="20"/>
          <w:szCs w:val="20"/>
          <w:color w:val="auto"/>
        </w:rPr>
      </w:pPr>
    </w:p>
    <w:p>
      <w:pPr>
        <w:ind w:right="220" w:firstLine="449"/>
        <w:spacing w:after="0" w:line="342" w:lineRule="auto"/>
        <w:rPr>
          <w:sz w:val="20"/>
          <w:szCs w:val="20"/>
          <w:color w:val="auto"/>
        </w:rPr>
      </w:pPr>
      <w:r>
        <w:rPr>
          <w:rFonts w:ascii="Arial" w:cs="Arial" w:eastAsia="Arial" w:hAnsi="Arial"/>
          <w:sz w:val="16"/>
          <w:szCs w:val="16"/>
          <w:color w:val="auto"/>
        </w:rPr>
        <w:t>Revenue by geography is generally based on the address of the customer as defined in the Company’s subscription agreement. The following table sets forth revenue by geographic area for the years ended December 31, 2015 and 2016, and the nine months ended September 30, 2016 and 2017:</w:t>
      </w:r>
    </w:p>
    <w:p>
      <w:pPr>
        <w:spacing w:after="0" w:line="142" w:lineRule="exact"/>
        <w:rPr>
          <w:sz w:val="20"/>
          <w:szCs w:val="20"/>
          <w:color w:val="auto"/>
        </w:rPr>
      </w:pPr>
    </w:p>
    <w:tbl>
      <w:tblPr>
        <w:tblLayout w:type="fixed"/>
        <w:tblInd w:w="46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2920" w:type="dxa"/>
            <w:vAlign w:val="bottom"/>
          </w:tcPr>
          <w:p>
            <w:pPr>
              <w:spacing w:after="0"/>
              <w:rPr>
                <w:sz w:val="14"/>
                <w:szCs w:val="14"/>
                <w:color w:val="auto"/>
              </w:rPr>
            </w:pPr>
          </w:p>
        </w:tc>
        <w:tc>
          <w:tcPr>
            <w:tcW w:w="18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980" w:type="dxa"/>
            <w:vAlign w:val="bottom"/>
            <w:gridSpan w:val="4"/>
          </w:tcPr>
          <w:p>
            <w:pPr>
              <w:ind w:left="140"/>
              <w:spacing w:after="0"/>
              <w:rPr>
                <w:sz w:val="20"/>
                <w:szCs w:val="20"/>
                <w:color w:val="auto"/>
              </w:rPr>
            </w:pPr>
            <w:r>
              <w:rPr>
                <w:rFonts w:ascii="Arial" w:cs="Arial" w:eastAsia="Arial" w:hAnsi="Arial"/>
                <w:sz w:val="14"/>
                <w:szCs w:val="14"/>
                <w:b w:val="1"/>
                <w:bCs w:val="1"/>
                <w:color w:val="auto"/>
              </w:rPr>
              <w:t>Year ended December 31,</w:t>
            </w:r>
          </w:p>
        </w:tc>
        <w:tc>
          <w:tcPr>
            <w:tcW w:w="7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520" w:type="dxa"/>
            <w:vAlign w:val="bottom"/>
            <w:gridSpan w:val="5"/>
          </w:tcPr>
          <w:p>
            <w:pPr>
              <w:ind w:left="80"/>
              <w:spacing w:after="0"/>
              <w:rPr>
                <w:sz w:val="20"/>
                <w:szCs w:val="20"/>
                <w:color w:val="auto"/>
              </w:rPr>
            </w:pPr>
            <w:r>
              <w:rPr>
                <w:rFonts w:ascii="Arial" w:cs="Arial" w:eastAsia="Arial" w:hAnsi="Arial"/>
                <w:sz w:val="14"/>
                <w:szCs w:val="14"/>
                <w:b w:val="1"/>
                <w:bCs w:val="1"/>
                <w:color w:val="auto"/>
              </w:rPr>
              <w:t>Nine months ended September 30,</w:t>
            </w:r>
          </w:p>
        </w:tc>
      </w:tr>
      <w:tr>
        <w:trPr>
          <w:trHeight w:val="142"/>
        </w:trPr>
        <w:tc>
          <w:tcPr>
            <w:tcW w:w="20" w:type="dxa"/>
            <w:vAlign w:val="bottom"/>
          </w:tcPr>
          <w:p>
            <w:pPr>
              <w:spacing w:after="0"/>
              <w:rPr>
                <w:sz w:val="12"/>
                <w:szCs w:val="12"/>
                <w:color w:val="auto"/>
              </w:rPr>
            </w:pPr>
          </w:p>
        </w:tc>
        <w:tc>
          <w:tcPr>
            <w:tcW w:w="2920" w:type="dxa"/>
            <w:vAlign w:val="bottom"/>
          </w:tcPr>
          <w:p>
            <w:pPr>
              <w:spacing w:after="0"/>
              <w:rPr>
                <w:sz w:val="12"/>
                <w:szCs w:val="12"/>
                <w:color w:val="auto"/>
              </w:rPr>
            </w:pPr>
          </w:p>
        </w:tc>
        <w:tc>
          <w:tcPr>
            <w:tcW w:w="1840" w:type="dxa"/>
            <w:vAlign w:val="bottom"/>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540" w:type="dxa"/>
            <w:vAlign w:val="bottom"/>
            <w:tcBorders>
              <w:top w:val="single" w:sz="8" w:color="auto"/>
              <w:bottom w:val="single" w:sz="8" w:color="auto"/>
            </w:tcBorders>
          </w:tcPr>
          <w:p>
            <w:pPr>
              <w:ind w:left="40"/>
              <w:spacing w:after="0" w:line="142" w:lineRule="exact"/>
              <w:rPr>
                <w:sz w:val="20"/>
                <w:szCs w:val="20"/>
                <w:color w:val="auto"/>
              </w:rPr>
            </w:pPr>
            <w:r>
              <w:rPr>
                <w:rFonts w:ascii="Arial" w:cs="Arial" w:eastAsia="Arial" w:hAnsi="Arial"/>
                <w:sz w:val="14"/>
                <w:szCs w:val="14"/>
                <w:b w:val="1"/>
                <w:bCs w:val="1"/>
                <w:color w:val="auto"/>
              </w:rPr>
              <w:t>2015</w:t>
            </w:r>
          </w:p>
        </w:tc>
        <w:tc>
          <w:tcPr>
            <w:tcW w:w="720" w:type="dxa"/>
            <w:vAlign w:val="bottom"/>
            <w:tcBorders>
              <w:top w:val="single" w:sz="8" w:color="auto"/>
            </w:tcBorders>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560" w:type="dxa"/>
            <w:vAlign w:val="bottom"/>
            <w:tcBorders>
              <w:top w:val="single" w:sz="8" w:color="auto"/>
              <w:bottom w:val="single" w:sz="8" w:color="auto"/>
            </w:tcBorders>
          </w:tcPr>
          <w:p>
            <w:pPr>
              <w:jc w:val="right"/>
              <w:ind w:right="135"/>
              <w:spacing w:after="0" w:line="142" w:lineRule="exact"/>
              <w:rPr>
                <w:sz w:val="20"/>
                <w:szCs w:val="20"/>
                <w:color w:val="auto"/>
              </w:rPr>
            </w:pPr>
            <w:r>
              <w:rPr>
                <w:rFonts w:ascii="Arial" w:cs="Arial" w:eastAsia="Arial" w:hAnsi="Arial"/>
                <w:sz w:val="14"/>
                <w:szCs w:val="14"/>
                <w:b w:val="1"/>
                <w:bCs w:val="1"/>
                <w:color w:val="auto"/>
              </w:rPr>
              <w:t>2016</w:t>
            </w:r>
          </w:p>
        </w:tc>
        <w:tc>
          <w:tcPr>
            <w:tcW w:w="740" w:type="dxa"/>
            <w:vAlign w:val="bottom"/>
          </w:tcPr>
          <w:p>
            <w:pPr>
              <w:spacing w:after="0"/>
              <w:rPr>
                <w:sz w:val="12"/>
                <w:szCs w:val="12"/>
                <w:color w:val="auto"/>
              </w:rPr>
            </w:pPr>
          </w:p>
        </w:tc>
        <w:tc>
          <w:tcPr>
            <w:tcW w:w="180" w:type="dxa"/>
            <w:vAlign w:val="bottom"/>
            <w:tcBorders>
              <w:top w:val="single" w:sz="8" w:color="auto"/>
              <w:bottom w:val="single" w:sz="8" w:color="auto"/>
            </w:tcBorders>
          </w:tcPr>
          <w:p>
            <w:pPr>
              <w:spacing w:after="0"/>
              <w:rPr>
                <w:sz w:val="12"/>
                <w:szCs w:val="12"/>
                <w:color w:val="auto"/>
              </w:rPr>
            </w:pPr>
          </w:p>
        </w:tc>
        <w:tc>
          <w:tcPr>
            <w:tcW w:w="740" w:type="dxa"/>
            <w:vAlign w:val="bottom"/>
            <w:tcBorders>
              <w:top w:val="single" w:sz="8" w:color="auto"/>
              <w:bottom w:val="single" w:sz="8" w:color="auto"/>
            </w:tcBorders>
          </w:tcPr>
          <w:p>
            <w:pPr>
              <w:jc w:val="right"/>
              <w:ind w:right="237"/>
              <w:spacing w:after="0" w:line="142" w:lineRule="exact"/>
              <w:rPr>
                <w:sz w:val="20"/>
                <w:szCs w:val="20"/>
                <w:color w:val="auto"/>
              </w:rPr>
            </w:pPr>
            <w:r>
              <w:rPr>
                <w:rFonts w:ascii="Arial" w:cs="Arial" w:eastAsia="Arial" w:hAnsi="Arial"/>
                <w:sz w:val="14"/>
                <w:szCs w:val="14"/>
                <w:b w:val="1"/>
                <w:bCs w:val="1"/>
                <w:color w:val="auto"/>
              </w:rPr>
              <w:t>2016</w:t>
            </w:r>
          </w:p>
        </w:tc>
        <w:tc>
          <w:tcPr>
            <w:tcW w:w="760" w:type="dxa"/>
            <w:vAlign w:val="bottom"/>
            <w:tcBorders>
              <w:top w:val="single" w:sz="8" w:color="auto"/>
              <w:bottom w:val="single" w:sz="8" w:color="auto"/>
            </w:tcBorders>
          </w:tcPr>
          <w:p>
            <w:pPr>
              <w:spacing w:after="0"/>
              <w:rPr>
                <w:sz w:val="12"/>
                <w:szCs w:val="12"/>
                <w:color w:val="auto"/>
              </w:rPr>
            </w:pPr>
          </w:p>
        </w:tc>
        <w:tc>
          <w:tcPr>
            <w:tcW w:w="200" w:type="dxa"/>
            <w:vAlign w:val="bottom"/>
            <w:tcBorders>
              <w:top w:val="single" w:sz="8" w:color="auto"/>
              <w:bottom w:val="single" w:sz="8" w:color="auto"/>
            </w:tcBorders>
          </w:tcPr>
          <w:p>
            <w:pPr>
              <w:spacing w:after="0"/>
              <w:rPr>
                <w:sz w:val="12"/>
                <w:szCs w:val="12"/>
                <w:color w:val="auto"/>
              </w:rPr>
            </w:pPr>
          </w:p>
        </w:tc>
        <w:tc>
          <w:tcPr>
            <w:tcW w:w="760" w:type="dxa"/>
            <w:vAlign w:val="bottom"/>
            <w:tcBorders>
              <w:top w:val="single" w:sz="8" w:color="auto"/>
              <w:bottom w:val="single" w:sz="8" w:color="auto"/>
            </w:tcBorders>
          </w:tcPr>
          <w:p>
            <w:pPr>
              <w:jc w:val="right"/>
              <w:ind w:right="255"/>
              <w:spacing w:after="0" w:line="142" w:lineRule="exact"/>
              <w:rPr>
                <w:sz w:val="20"/>
                <w:szCs w:val="20"/>
                <w:color w:val="auto"/>
              </w:rPr>
            </w:pPr>
            <w:r>
              <w:rPr>
                <w:rFonts w:ascii="Arial" w:cs="Arial" w:eastAsia="Arial" w:hAnsi="Arial"/>
                <w:sz w:val="14"/>
                <w:szCs w:val="14"/>
                <w:b w:val="1"/>
                <w:bCs w:val="1"/>
                <w:color w:val="auto"/>
              </w:rPr>
              <w:t>2017</w:t>
            </w:r>
          </w:p>
        </w:tc>
        <w:tc>
          <w:tcPr>
            <w:tcW w:w="60" w:type="dxa"/>
            <w:vAlign w:val="bottom"/>
          </w:tcPr>
          <w:p>
            <w:pPr>
              <w:spacing w:after="0"/>
              <w:rPr>
                <w:sz w:val="12"/>
                <w:szCs w:val="12"/>
                <w:color w:val="auto"/>
              </w:rPr>
            </w:pPr>
          </w:p>
        </w:tc>
      </w:tr>
      <w:tr>
        <w:trPr>
          <w:trHeight w:val="142"/>
        </w:trPr>
        <w:tc>
          <w:tcPr>
            <w:tcW w:w="20" w:type="dxa"/>
            <w:vAlign w:val="bottom"/>
          </w:tcPr>
          <w:p>
            <w:pPr>
              <w:spacing w:after="0"/>
              <w:rPr>
                <w:sz w:val="12"/>
                <w:szCs w:val="12"/>
                <w:color w:val="auto"/>
              </w:rPr>
            </w:pPr>
          </w:p>
        </w:tc>
        <w:tc>
          <w:tcPr>
            <w:tcW w:w="2920" w:type="dxa"/>
            <w:vAlign w:val="bottom"/>
          </w:tcPr>
          <w:p>
            <w:pPr>
              <w:spacing w:after="0"/>
              <w:rPr>
                <w:sz w:val="12"/>
                <w:szCs w:val="12"/>
                <w:color w:val="auto"/>
              </w:rPr>
            </w:pPr>
          </w:p>
        </w:tc>
        <w:tc>
          <w:tcPr>
            <w:tcW w:w="18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960" w:type="dxa"/>
            <w:vAlign w:val="bottom"/>
            <w:gridSpan w:val="2"/>
          </w:tcPr>
          <w:p>
            <w:pPr>
              <w:jc w:val="right"/>
              <w:ind w:right="220"/>
              <w:spacing w:after="0" w:line="142" w:lineRule="exact"/>
              <w:rPr>
                <w:sz w:val="20"/>
                <w:szCs w:val="20"/>
                <w:color w:val="auto"/>
              </w:rPr>
            </w:pPr>
            <w:r>
              <w:rPr>
                <w:rFonts w:ascii="Arial" w:cs="Arial" w:eastAsia="Arial" w:hAnsi="Arial"/>
                <w:sz w:val="14"/>
                <w:szCs w:val="14"/>
                <w:i w:val="1"/>
                <w:iCs w:val="1"/>
                <w:color w:val="auto"/>
                <w:w w:val="98"/>
              </w:rPr>
              <w:t>(Unaudited)</w:t>
            </w:r>
          </w:p>
        </w:tc>
        <w:tc>
          <w:tcPr>
            <w:tcW w:w="760" w:type="dxa"/>
            <w:vAlign w:val="bottom"/>
          </w:tcPr>
          <w:p>
            <w:pPr>
              <w:spacing w:after="0"/>
              <w:rPr>
                <w:sz w:val="12"/>
                <w:szCs w:val="12"/>
                <w:color w:val="auto"/>
              </w:rPr>
            </w:pPr>
          </w:p>
        </w:tc>
        <w:tc>
          <w:tcPr>
            <w:tcW w:w="60" w:type="dxa"/>
            <w:vAlign w:val="bottom"/>
          </w:tcPr>
          <w:p>
            <w:pPr>
              <w:spacing w:after="0"/>
              <w:rPr>
                <w:sz w:val="12"/>
                <w:szCs w:val="12"/>
                <w:color w:val="auto"/>
              </w:rPr>
            </w:pPr>
          </w:p>
        </w:tc>
      </w:tr>
      <w:tr>
        <w:trPr>
          <w:trHeight w:val="216"/>
        </w:trPr>
        <w:tc>
          <w:tcPr>
            <w:tcW w:w="20" w:type="dxa"/>
            <w:vAlign w:val="bottom"/>
          </w:tcPr>
          <w:p>
            <w:pPr>
              <w:spacing w:after="0"/>
              <w:rPr>
                <w:sz w:val="18"/>
                <w:szCs w:val="18"/>
                <w:color w:val="auto"/>
              </w:rPr>
            </w:pPr>
          </w:p>
        </w:tc>
        <w:tc>
          <w:tcPr>
            <w:tcW w:w="2920" w:type="dxa"/>
            <w:vAlign w:val="bottom"/>
            <w:shd w:val="clear" w:color="auto" w:fill="CCEEFF"/>
          </w:tcPr>
          <w:p>
            <w:pPr>
              <w:spacing w:after="0"/>
              <w:rPr>
                <w:sz w:val="20"/>
                <w:szCs w:val="20"/>
                <w:color w:val="auto"/>
              </w:rPr>
            </w:pPr>
            <w:r>
              <w:rPr>
                <w:rFonts w:ascii="Arial" w:cs="Arial" w:eastAsia="Arial" w:hAnsi="Arial"/>
                <w:sz w:val="18"/>
                <w:szCs w:val="18"/>
                <w:color w:val="auto"/>
              </w:rPr>
              <w:t>United States</w:t>
            </w:r>
          </w:p>
        </w:tc>
        <w:tc>
          <w:tcPr>
            <w:tcW w:w="19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ind w:left="120"/>
              <w:spacing w:after="0"/>
              <w:rPr>
                <w:sz w:val="20"/>
                <w:szCs w:val="20"/>
                <w:color w:val="auto"/>
              </w:rPr>
            </w:pPr>
            <w:r>
              <w:rPr>
                <w:rFonts w:ascii="Arial" w:cs="Arial" w:eastAsia="Arial" w:hAnsi="Arial"/>
                <w:sz w:val="18"/>
                <w:szCs w:val="18"/>
                <w:color w:val="auto"/>
                <w:w w:val="88"/>
              </w:rPr>
              <w:t>326.1</w:t>
            </w:r>
          </w:p>
        </w:tc>
        <w:tc>
          <w:tcPr>
            <w:tcW w:w="8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455.9</w:t>
            </w: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324.9</w:t>
            </w:r>
          </w:p>
        </w:tc>
        <w:tc>
          <w:tcPr>
            <w:tcW w:w="9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417.8</w:t>
            </w:r>
          </w:p>
        </w:tc>
        <w:tc>
          <w:tcPr>
            <w:tcW w:w="6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2920" w:type="dxa"/>
            <w:vAlign w:val="bottom"/>
          </w:tcPr>
          <w:p>
            <w:pPr>
              <w:spacing w:after="0"/>
              <w:rPr>
                <w:sz w:val="20"/>
                <w:szCs w:val="20"/>
                <w:color w:val="auto"/>
              </w:rPr>
            </w:pPr>
            <w:r>
              <w:rPr>
                <w:rFonts w:ascii="Arial" w:cs="Arial" w:eastAsia="Arial" w:hAnsi="Arial"/>
                <w:sz w:val="18"/>
                <w:szCs w:val="18"/>
                <w:color w:val="auto"/>
              </w:rPr>
              <w:t>International</w:t>
            </w:r>
            <w:r>
              <w:rPr>
                <w:rFonts w:ascii="Arial" w:cs="Arial" w:eastAsia="Arial" w:hAnsi="Arial"/>
                <w:sz w:val="15"/>
                <w:szCs w:val="15"/>
                <w:color w:val="auto"/>
              </w:rPr>
              <w:t>(1)</w:t>
            </w:r>
          </w:p>
        </w:tc>
        <w:tc>
          <w:tcPr>
            <w:tcW w:w="184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ind w:left="120"/>
              <w:spacing w:after="0"/>
              <w:rPr>
                <w:sz w:val="20"/>
                <w:szCs w:val="20"/>
                <w:color w:val="auto"/>
              </w:rPr>
            </w:pPr>
            <w:r>
              <w:rPr>
                <w:rFonts w:ascii="Arial" w:cs="Arial" w:eastAsia="Arial" w:hAnsi="Arial"/>
                <w:sz w:val="18"/>
                <w:szCs w:val="18"/>
                <w:color w:val="auto"/>
                <w:w w:val="88"/>
              </w:rPr>
              <w:t>277.7</w:t>
            </w:r>
          </w:p>
        </w:tc>
        <w:tc>
          <w:tcPr>
            <w:tcW w:w="72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388.9</w:t>
            </w:r>
          </w:p>
        </w:tc>
        <w:tc>
          <w:tcPr>
            <w:tcW w:w="74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281.9</w:t>
            </w:r>
          </w:p>
        </w:tc>
        <w:tc>
          <w:tcPr>
            <w:tcW w:w="76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383.5</w:t>
            </w:r>
          </w:p>
        </w:tc>
        <w:tc>
          <w:tcPr>
            <w:tcW w:w="6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2920" w:type="dxa"/>
            <w:vAlign w:val="bottom"/>
            <w:shd w:val="clear" w:color="auto" w:fill="CCEEFF"/>
          </w:tcPr>
          <w:p>
            <w:pPr>
              <w:spacing w:after="0"/>
              <w:rPr>
                <w:sz w:val="20"/>
                <w:szCs w:val="20"/>
                <w:color w:val="auto"/>
              </w:rPr>
            </w:pPr>
            <w:r>
              <w:rPr>
                <w:rFonts w:ascii="Arial" w:cs="Arial" w:eastAsia="Arial" w:hAnsi="Arial"/>
                <w:sz w:val="18"/>
                <w:szCs w:val="18"/>
                <w:color w:val="auto"/>
              </w:rPr>
              <w:t>Total revenue</w:t>
            </w:r>
          </w:p>
        </w:tc>
        <w:tc>
          <w:tcPr>
            <w:tcW w:w="19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ind w:left="120"/>
              <w:spacing w:after="0"/>
              <w:rPr>
                <w:sz w:val="20"/>
                <w:szCs w:val="20"/>
                <w:color w:val="auto"/>
              </w:rPr>
            </w:pPr>
            <w:r>
              <w:rPr>
                <w:rFonts w:ascii="Arial" w:cs="Arial" w:eastAsia="Arial" w:hAnsi="Arial"/>
                <w:sz w:val="18"/>
                <w:szCs w:val="18"/>
                <w:color w:val="auto"/>
                <w:w w:val="88"/>
              </w:rPr>
              <w:t>603.8</w:t>
            </w:r>
          </w:p>
        </w:tc>
        <w:tc>
          <w:tcPr>
            <w:tcW w:w="8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844.8</w:t>
            </w: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606.8</w:t>
            </w:r>
          </w:p>
        </w:tc>
        <w:tc>
          <w:tcPr>
            <w:tcW w:w="9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801.3</w:t>
            </w:r>
          </w:p>
        </w:tc>
        <w:tc>
          <w:tcPr>
            <w:tcW w:w="60" w:type="dxa"/>
            <w:vAlign w:val="bottom"/>
            <w:shd w:val="clear" w:color="auto" w:fill="CCEEFF"/>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292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42" w:lineRule="exact"/>
        <w:rPr>
          <w:sz w:val="20"/>
          <w:szCs w:val="20"/>
          <w:color w:val="auto"/>
        </w:rPr>
      </w:pPr>
    </w:p>
    <w:p>
      <w:pPr>
        <w:ind w:left="460" w:right="240" w:hanging="452"/>
        <w:spacing w:after="0" w:line="277" w:lineRule="auto"/>
        <w:tabs>
          <w:tab w:leader="none" w:pos="460" w:val="left"/>
        </w:tabs>
        <w:numPr>
          <w:ilvl w:val="0"/>
          <w:numId w:val="109"/>
        </w:numPr>
        <w:rPr>
          <w:rFonts w:ascii="Arial" w:cs="Arial" w:eastAsia="Arial" w:hAnsi="Arial"/>
          <w:sz w:val="15"/>
          <w:szCs w:val="15"/>
          <w:color w:val="auto"/>
        </w:rPr>
      </w:pPr>
      <w:r>
        <w:rPr>
          <w:rFonts w:ascii="Arial" w:cs="Arial" w:eastAsia="Arial" w:hAnsi="Arial"/>
          <w:sz w:val="18"/>
          <w:szCs w:val="18"/>
          <w:color w:val="auto"/>
        </w:rPr>
        <w:t>No single country outside of the United States accounted for more than 10 percent of total revenue during the years ended December 31, 2015 and 2016, and the nine months ended September 30, 2016 and 2017.</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F-34</w:t>
      </w:r>
    </w:p>
    <w:p>
      <w:pPr>
        <w:sectPr>
          <w:pgSz w:w="11900" w:h="16838" w:orient="portrait"/>
          <w:cols w:equalWidth="0" w:num="1">
            <w:col w:w="11240"/>
          </w:cols>
          <w:pgMar w:left="320" w:top="459" w:right="339" w:bottom="1440" w:gutter="0" w:footer="0" w:header="0"/>
        </w:sectPr>
      </w:pPr>
    </w:p>
    <w:bookmarkStart w:id="193" w:name="page194"/>
    <w:bookmarkEnd w:id="19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17. Subsequent Events</w:t>
      </w:r>
    </w:p>
    <w:p>
      <w:pPr>
        <w:spacing w:after="0" w:line="121" w:lineRule="exact"/>
        <w:rPr>
          <w:sz w:val="20"/>
          <w:szCs w:val="20"/>
          <w:color w:val="auto"/>
        </w:rPr>
      </w:pPr>
    </w:p>
    <w:p>
      <w:pPr>
        <w:ind w:right="40" w:firstLine="449"/>
        <w:spacing w:after="0" w:line="277" w:lineRule="auto"/>
        <w:rPr>
          <w:sz w:val="20"/>
          <w:szCs w:val="20"/>
          <w:color w:val="auto"/>
        </w:rPr>
      </w:pPr>
      <w:r>
        <w:rPr>
          <w:rFonts w:ascii="Arial" w:cs="Arial" w:eastAsia="Arial" w:hAnsi="Arial"/>
          <w:sz w:val="18"/>
          <w:szCs w:val="18"/>
          <w:color w:val="auto"/>
        </w:rPr>
        <w:t>The Company has evaluated subsequent events through October 10, 2017, the date that the independent auditor’s report as of and for the years ended December 31, 2015 and 2016 was available for issuance.</w:t>
      </w:r>
    </w:p>
    <w:p>
      <w:pPr>
        <w:spacing w:after="0" w:line="170" w:lineRule="exact"/>
        <w:rPr>
          <w:sz w:val="20"/>
          <w:szCs w:val="20"/>
          <w:color w:val="auto"/>
        </w:rPr>
      </w:pPr>
    </w:p>
    <w:p>
      <w:pPr>
        <w:ind w:right="20" w:firstLine="449"/>
        <w:spacing w:after="0" w:line="308" w:lineRule="auto"/>
        <w:rPr>
          <w:sz w:val="20"/>
          <w:szCs w:val="20"/>
          <w:color w:val="auto"/>
        </w:rPr>
      </w:pPr>
      <w:r>
        <w:rPr>
          <w:rFonts w:ascii="Arial" w:cs="Arial" w:eastAsia="Arial" w:hAnsi="Arial"/>
          <w:sz w:val="17"/>
          <w:szCs w:val="17"/>
          <w:color w:val="auto"/>
        </w:rPr>
        <w:t>In October 2017, the Board of Directors approved grants of RSUs of 727,120. These RSUs will result in estimated stock-based compensation of $8.3 million, which is expected to be recognized over a weighted-average period of 3.9 years from the respective grant dates.</w:t>
      </w:r>
    </w:p>
    <w:p>
      <w:pPr>
        <w:spacing w:after="0" w:line="146" w:lineRule="exact"/>
        <w:rPr>
          <w:sz w:val="20"/>
          <w:szCs w:val="20"/>
          <w:color w:val="auto"/>
        </w:rPr>
      </w:pPr>
    </w:p>
    <w:p>
      <w:pPr>
        <w:ind w:firstLine="449"/>
        <w:spacing w:after="0" w:line="253" w:lineRule="auto"/>
        <w:rPr>
          <w:sz w:val="20"/>
          <w:szCs w:val="20"/>
          <w:color w:val="auto"/>
        </w:rPr>
      </w:pPr>
      <w:r>
        <w:rPr>
          <w:rFonts w:ascii="Arial" w:cs="Arial" w:eastAsia="Arial" w:hAnsi="Arial"/>
          <w:sz w:val="18"/>
          <w:szCs w:val="18"/>
          <w:color w:val="auto"/>
        </w:rPr>
        <w:t>In October 2017, the Company entered into a lease agreement to rent office space in San Francisco, California, to serve as its new corporate headquarters. The 15-year lease is for approximately 736,000 square feet. The Company expects to start making payments under the lease in the third quarter of 2019. The total minimum obligations under the lease agreement are expected to be approximately $827.0 million, which does not include expected tenant improvement reimbursements from the landlord of approximately $73.6 million and variable operating expenses. The Company’s obligations under the lease will be supported by a $34.2 million letter of credit, which will reduce its borrowing capacity under its revolving credit facility. The Company plans to take possession of the new corporate headquarters over several phases. The Company expects to take initial possession in mid-2018, after which time it plans to incur capital expenditures on leasehold improvements and to begin recording rent expense for the portion of the new corporate headquarters that it possesses. Capital expenditures will fluctuate and rent expense will escalate over future years as the Company takes possession of the remaining phases.</w:t>
      </w:r>
    </w:p>
    <w:p>
      <w:pPr>
        <w:spacing w:after="0" w:line="30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18. Subsequent Events (unaudited)</w:t>
      </w:r>
    </w:p>
    <w:p>
      <w:pPr>
        <w:spacing w:after="0" w:line="121" w:lineRule="exact"/>
        <w:rPr>
          <w:sz w:val="20"/>
          <w:szCs w:val="20"/>
          <w:color w:val="auto"/>
        </w:rPr>
      </w:pPr>
    </w:p>
    <w:p>
      <w:pPr>
        <w:ind w:right="160" w:firstLine="449"/>
        <w:spacing w:after="0" w:line="277" w:lineRule="auto"/>
        <w:rPr>
          <w:sz w:val="20"/>
          <w:szCs w:val="20"/>
          <w:color w:val="auto"/>
        </w:rPr>
      </w:pPr>
      <w:r>
        <w:rPr>
          <w:rFonts w:ascii="Arial" w:cs="Arial" w:eastAsia="Arial" w:hAnsi="Arial"/>
          <w:sz w:val="18"/>
          <w:szCs w:val="18"/>
          <w:color w:val="auto"/>
        </w:rPr>
        <w:t>The Company has evaluated subsequent events through December 4, 2017, the date the consolidated financial statements as of September 30, 2017 and for the nine month periods ended September 30, 2016 and 2017, were available for issuance.</w:t>
      </w:r>
    </w:p>
    <w:p>
      <w:pPr>
        <w:spacing w:after="0" w:line="170" w:lineRule="exact"/>
        <w:rPr>
          <w:sz w:val="20"/>
          <w:szCs w:val="20"/>
          <w:color w:val="auto"/>
        </w:rPr>
      </w:pPr>
    </w:p>
    <w:p>
      <w:pPr>
        <w:ind w:right="200" w:firstLine="449"/>
        <w:spacing w:after="0" w:line="308" w:lineRule="auto"/>
        <w:rPr>
          <w:sz w:val="20"/>
          <w:szCs w:val="20"/>
          <w:color w:val="auto"/>
        </w:rPr>
      </w:pPr>
      <w:r>
        <w:rPr>
          <w:rFonts w:ascii="Arial" w:cs="Arial" w:eastAsia="Arial" w:hAnsi="Arial"/>
          <w:sz w:val="17"/>
          <w:szCs w:val="17"/>
          <w:color w:val="auto"/>
        </w:rPr>
        <w:t>In November 2017, the Board of Directors approved grants of RSUs of 861,565. These RSUs will result in estimated stock-based compensation of $9.8 million, which is expected to be recognized over a weighted-average period of 4.0 years from the respective grant dates.</w:t>
      </w:r>
    </w:p>
    <w:p>
      <w:pPr>
        <w:spacing w:after="0" w:line="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F-35</w:t>
      </w:r>
    </w:p>
    <w:p>
      <w:pPr>
        <w:sectPr>
          <w:pgSz w:w="11900" w:h="16838" w:orient="portrait"/>
          <w:cols w:equalWidth="0" w:num="1">
            <w:col w:w="11220"/>
          </w:cols>
          <w:pgMar w:left="320" w:top="459" w:right="359" w:bottom="1440" w:gutter="0" w:footer="0" w:header="0"/>
        </w:sectPr>
      </w:pPr>
    </w:p>
    <w:bookmarkStart w:id="194" w:name="page195"/>
    <w:bookmarkEnd w:id="194"/>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6"/>
            <w:szCs w:val="16"/>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2225040</wp:posOffset>
            </wp:positionH>
            <wp:positionV relativeFrom="paragraph">
              <wp:posOffset>4343400</wp:posOffset>
            </wp:positionV>
            <wp:extent cx="2691765" cy="231457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2691765" cy="2314575"/>
                    </a:xfrm>
                    <a:prstGeom prst="rect">
                      <a:avLst/>
                    </a:prstGeom>
                    <a:noFill/>
                  </pic:spPr>
                </pic:pic>
              </a:graphicData>
            </a:graphic>
          </wp:anchor>
        </w:drawing>
      </w:r>
    </w:p>
    <w:p>
      <w:pPr>
        <w:sectPr>
          <w:pgSz w:w="11900" w:h="16838" w:orient="portrait"/>
          <w:cols w:equalWidth="0" w:num="1">
            <w:col w:w="10139"/>
          </w:cols>
          <w:pgMar w:left="320" w:top="459" w:right="1440" w:bottom="1440" w:gutter="0" w:footer="0" w:header="0"/>
        </w:sectPr>
      </w:pPr>
    </w:p>
    <w:bookmarkStart w:id="195" w:name="page196"/>
    <w:bookmarkEnd w:id="195"/>
    <w:p>
      <w:pPr>
        <w:spacing w:after="0" w:line="20" w:lineRule="exact"/>
        <w:rPr>
          <w:sz w:val="20"/>
          <w:szCs w:val="20"/>
          <w:color w:val="auto"/>
        </w:rPr>
      </w:pPr>
    </w:p>
    <w:p>
      <w:pPr>
        <w:sectPr>
          <w:pgSz w:w="11900" w:h="16838" w:orient="portrait"/>
          <w:cols w:equalWidth="1" w:num="1" w:space="0"/>
          <w:pgMar w:left="1440" w:top="1440" w:right="1440" w:bottom="875" w:gutter="0" w:footer="0" w:header="0"/>
        </w:sectPr>
      </w:pPr>
    </w:p>
    <w:bookmarkStart w:id="196" w:name="page197"/>
    <w:bookmarkEnd w:id="19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PART II</w:t>
      </w:r>
    </w:p>
    <w:p>
      <w:pPr>
        <w:spacing w:after="0" w:line="225" w:lineRule="exact"/>
        <w:rPr>
          <w:sz w:val="20"/>
          <w:szCs w:val="20"/>
          <w:color w:val="auto"/>
        </w:rPr>
      </w:pPr>
    </w:p>
    <w:p>
      <w:pPr>
        <w:ind w:left="3500"/>
        <w:spacing w:after="0"/>
        <w:rPr>
          <w:sz w:val="20"/>
          <w:szCs w:val="20"/>
          <w:color w:val="auto"/>
        </w:rPr>
      </w:pPr>
      <w:r>
        <w:rPr>
          <w:rFonts w:ascii="Arial" w:cs="Arial" w:eastAsia="Arial" w:hAnsi="Arial"/>
          <w:sz w:val="18"/>
          <w:szCs w:val="18"/>
          <w:b w:val="1"/>
          <w:bCs w:val="1"/>
          <w:color w:val="auto"/>
        </w:rPr>
        <w:t>INFORMATION NOT REQUIRED IN PROSPECTUS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13. OTHER EXPENSES OF ISSUANCE AND DISTRIBUTION.</w:t>
      </w:r>
    </w:p>
    <w:p>
      <w:pPr>
        <w:spacing w:after="0" w:line="121" w:lineRule="exact"/>
        <w:rPr>
          <w:sz w:val="20"/>
          <w:szCs w:val="20"/>
          <w:color w:val="auto"/>
        </w:rPr>
      </w:pPr>
    </w:p>
    <w:p>
      <w:pPr>
        <w:ind w:firstLine="449"/>
        <w:spacing w:after="0" w:line="277" w:lineRule="auto"/>
        <w:rPr>
          <w:sz w:val="20"/>
          <w:szCs w:val="20"/>
          <w:color w:val="auto"/>
        </w:rPr>
      </w:pPr>
      <w:r>
        <w:rPr>
          <w:rFonts w:ascii="Arial" w:cs="Arial" w:eastAsia="Arial" w:hAnsi="Arial"/>
          <w:sz w:val="18"/>
          <w:szCs w:val="18"/>
          <w:color w:val="auto"/>
        </w:rPr>
        <w:t>The following table sets forth all expenses to be paid by us, other than underwriting discounts and commissions, upon completion of this offering. All amounts shown are estimates except for the SEC registration fee, the FINRA filing fee and the exchange listing fee.</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600" w:type="dxa"/>
            <w:vAlign w:val="bottom"/>
          </w:tcPr>
          <w:p>
            <w:pPr>
              <w:spacing w:after="0"/>
              <w:rPr>
                <w:sz w:val="14"/>
                <w:szCs w:val="14"/>
                <w:color w:val="auto"/>
              </w:rPr>
            </w:pPr>
          </w:p>
        </w:tc>
        <w:tc>
          <w:tcPr>
            <w:tcW w:w="226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Arial" w:cs="Arial" w:eastAsia="Arial" w:hAnsi="Arial"/>
                <w:sz w:val="14"/>
                <w:szCs w:val="14"/>
                <w:b w:val="1"/>
                <w:bCs w:val="1"/>
                <w:color w:val="auto"/>
              </w:rPr>
              <w:t>Amount</w:t>
            </w:r>
          </w:p>
        </w:tc>
        <w:tc>
          <w:tcPr>
            <w:tcW w:w="140" w:type="dxa"/>
            <w:vAlign w:val="bottom"/>
          </w:tcPr>
          <w:p>
            <w:pPr>
              <w:spacing w:after="0"/>
              <w:rPr>
                <w:sz w:val="14"/>
                <w:szCs w:val="14"/>
                <w:color w:val="auto"/>
              </w:rPr>
            </w:pPr>
          </w:p>
        </w:tc>
      </w:tr>
      <w:tr>
        <w:trPr>
          <w:trHeight w:val="171"/>
        </w:trPr>
        <w:tc>
          <w:tcPr>
            <w:tcW w:w="11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600" w:type="dxa"/>
            <w:vAlign w:val="bottom"/>
            <w:tcBorders>
              <w:bottom w:val="single" w:sz="8" w:color="CCEEFF"/>
            </w:tcBorders>
          </w:tcPr>
          <w:p>
            <w:pPr>
              <w:spacing w:after="0"/>
              <w:rPr>
                <w:sz w:val="14"/>
                <w:szCs w:val="14"/>
                <w:color w:val="auto"/>
              </w:rPr>
            </w:pPr>
          </w:p>
        </w:tc>
        <w:tc>
          <w:tcPr>
            <w:tcW w:w="2260" w:type="dxa"/>
            <w:vAlign w:val="bottom"/>
            <w:tcBorders>
              <w:bottom w:val="single" w:sz="8" w:color="CCEEFF"/>
            </w:tcBorders>
          </w:tcPr>
          <w:p>
            <w:pPr>
              <w:spacing w:after="0"/>
              <w:rPr>
                <w:sz w:val="14"/>
                <w:szCs w:val="14"/>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87"/>
              </w:rPr>
              <w:t>to be paid</w:t>
            </w:r>
          </w:p>
        </w:tc>
        <w:tc>
          <w:tcPr>
            <w:tcW w:w="140" w:type="dxa"/>
            <w:vAlign w:val="bottom"/>
            <w:tcBorders>
              <w:bottom w:val="single" w:sz="8" w:color="CCEEFF"/>
            </w:tcBorders>
          </w:tcPr>
          <w:p>
            <w:pPr>
              <w:spacing w:after="0"/>
              <w:rPr>
                <w:sz w:val="14"/>
                <w:szCs w:val="14"/>
                <w:color w:val="auto"/>
              </w:rPr>
            </w:pPr>
          </w:p>
        </w:tc>
      </w:tr>
      <w:tr>
        <w:trPr>
          <w:trHeight w:val="209"/>
        </w:trPr>
        <w:tc>
          <w:tcPr>
            <w:tcW w:w="1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600" w:type="dxa"/>
            <w:vAlign w:val="bottom"/>
            <w:shd w:val="clear" w:color="auto" w:fill="CCEEFF"/>
          </w:tcPr>
          <w:p>
            <w:pPr>
              <w:spacing w:after="0"/>
              <w:rPr>
                <w:sz w:val="20"/>
                <w:szCs w:val="20"/>
                <w:color w:val="auto"/>
              </w:rPr>
            </w:pPr>
            <w:r>
              <w:rPr>
                <w:rFonts w:ascii="Arial" w:cs="Arial" w:eastAsia="Arial" w:hAnsi="Arial"/>
                <w:sz w:val="18"/>
                <w:szCs w:val="18"/>
                <w:color w:val="auto"/>
              </w:rPr>
              <w:t>SEC registration fee</w:t>
            </w:r>
          </w:p>
        </w:tc>
        <w:tc>
          <w:tcPr>
            <w:tcW w:w="2260" w:type="dxa"/>
            <w:vAlign w:val="bottom"/>
            <w:shd w:val="clear" w:color="auto" w:fill="CCEEFF"/>
          </w:tcPr>
          <w:p>
            <w:pPr>
              <w:spacing w:after="0"/>
              <w:rPr>
                <w:sz w:val="18"/>
                <w:szCs w:val="18"/>
                <w:color w:val="auto"/>
              </w:rPr>
            </w:pPr>
          </w:p>
        </w:tc>
        <w:tc>
          <w:tcPr>
            <w:tcW w:w="620" w:type="dxa"/>
            <w:vAlign w:val="bottom"/>
            <w:shd w:val="clear" w:color="auto" w:fill="CCEEFF"/>
          </w:tcPr>
          <w:p>
            <w:pPr>
              <w:jc w:val="right"/>
              <w:ind w:right="468"/>
              <w:spacing w:after="0"/>
              <w:rPr>
                <w:sz w:val="20"/>
                <w:szCs w:val="20"/>
                <w:color w:val="auto"/>
              </w:rPr>
            </w:pPr>
            <w:r>
              <w:rPr>
                <w:rFonts w:ascii="Arial" w:cs="Arial" w:eastAsia="Arial" w:hAnsi="Arial"/>
                <w:sz w:val="15"/>
                <w:szCs w:val="15"/>
                <w:color w:val="auto"/>
                <w:w w:val="71"/>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1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600" w:type="dxa"/>
            <w:vAlign w:val="bottom"/>
          </w:tcPr>
          <w:p>
            <w:pPr>
              <w:spacing w:after="0"/>
              <w:rPr>
                <w:sz w:val="20"/>
                <w:szCs w:val="20"/>
                <w:color w:val="auto"/>
              </w:rPr>
            </w:pPr>
            <w:r>
              <w:rPr>
                <w:rFonts w:ascii="Arial" w:cs="Arial" w:eastAsia="Arial" w:hAnsi="Arial"/>
                <w:sz w:val="18"/>
                <w:szCs w:val="18"/>
                <w:color w:val="auto"/>
              </w:rPr>
              <w:t>FINRA filing fee</w:t>
            </w:r>
          </w:p>
        </w:tc>
        <w:tc>
          <w:tcPr>
            <w:tcW w:w="22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1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600" w:type="dxa"/>
            <w:vAlign w:val="bottom"/>
            <w:shd w:val="clear" w:color="auto" w:fill="CCEEFF"/>
          </w:tcPr>
          <w:p>
            <w:pPr>
              <w:spacing w:after="0"/>
              <w:rPr>
                <w:sz w:val="20"/>
                <w:szCs w:val="20"/>
                <w:color w:val="auto"/>
              </w:rPr>
            </w:pPr>
            <w:r>
              <w:rPr>
                <w:rFonts w:ascii="Arial" w:cs="Arial" w:eastAsia="Arial" w:hAnsi="Arial"/>
                <w:sz w:val="18"/>
                <w:szCs w:val="18"/>
                <w:color w:val="auto"/>
              </w:rPr>
              <w:t>Exchange listing fee</w:t>
            </w:r>
          </w:p>
        </w:tc>
        <w:tc>
          <w:tcPr>
            <w:tcW w:w="22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1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600" w:type="dxa"/>
            <w:vAlign w:val="bottom"/>
          </w:tcPr>
          <w:p>
            <w:pPr>
              <w:spacing w:after="0"/>
              <w:rPr>
                <w:sz w:val="20"/>
                <w:szCs w:val="20"/>
                <w:color w:val="auto"/>
              </w:rPr>
            </w:pPr>
            <w:r>
              <w:rPr>
                <w:rFonts w:ascii="Arial" w:cs="Arial" w:eastAsia="Arial" w:hAnsi="Arial"/>
                <w:sz w:val="18"/>
                <w:szCs w:val="18"/>
                <w:color w:val="auto"/>
              </w:rPr>
              <w:t>Printing and engraving expenses</w:t>
            </w:r>
          </w:p>
        </w:tc>
        <w:tc>
          <w:tcPr>
            <w:tcW w:w="22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1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600" w:type="dxa"/>
            <w:vAlign w:val="bottom"/>
            <w:shd w:val="clear" w:color="auto" w:fill="CCEEFF"/>
          </w:tcPr>
          <w:p>
            <w:pPr>
              <w:spacing w:after="0"/>
              <w:rPr>
                <w:sz w:val="20"/>
                <w:szCs w:val="20"/>
                <w:color w:val="auto"/>
              </w:rPr>
            </w:pPr>
            <w:r>
              <w:rPr>
                <w:rFonts w:ascii="Arial" w:cs="Arial" w:eastAsia="Arial" w:hAnsi="Arial"/>
                <w:sz w:val="18"/>
                <w:szCs w:val="18"/>
                <w:color w:val="auto"/>
              </w:rPr>
              <w:t>Legal fees and expenses</w:t>
            </w:r>
          </w:p>
        </w:tc>
        <w:tc>
          <w:tcPr>
            <w:tcW w:w="22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1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600" w:type="dxa"/>
            <w:vAlign w:val="bottom"/>
          </w:tcPr>
          <w:p>
            <w:pPr>
              <w:spacing w:after="0"/>
              <w:rPr>
                <w:sz w:val="20"/>
                <w:szCs w:val="20"/>
                <w:color w:val="auto"/>
              </w:rPr>
            </w:pPr>
            <w:r>
              <w:rPr>
                <w:rFonts w:ascii="Arial" w:cs="Arial" w:eastAsia="Arial" w:hAnsi="Arial"/>
                <w:sz w:val="18"/>
                <w:szCs w:val="18"/>
                <w:color w:val="auto"/>
              </w:rPr>
              <w:t>Accounting fees and expenses</w:t>
            </w:r>
          </w:p>
        </w:tc>
        <w:tc>
          <w:tcPr>
            <w:tcW w:w="22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1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600" w:type="dxa"/>
            <w:vAlign w:val="bottom"/>
            <w:shd w:val="clear" w:color="auto" w:fill="CCEEFF"/>
          </w:tcPr>
          <w:p>
            <w:pPr>
              <w:spacing w:after="0"/>
              <w:rPr>
                <w:sz w:val="20"/>
                <w:szCs w:val="20"/>
                <w:color w:val="auto"/>
              </w:rPr>
            </w:pPr>
            <w:r>
              <w:rPr>
                <w:rFonts w:ascii="Arial" w:cs="Arial" w:eastAsia="Arial" w:hAnsi="Arial"/>
                <w:sz w:val="18"/>
                <w:szCs w:val="18"/>
                <w:color w:val="auto"/>
              </w:rPr>
              <w:t>Transfer agent and registrar fees</w:t>
            </w:r>
          </w:p>
        </w:tc>
        <w:tc>
          <w:tcPr>
            <w:tcW w:w="22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3"/>
        </w:trPr>
        <w:tc>
          <w:tcPr>
            <w:tcW w:w="11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4600" w:type="dxa"/>
            <w:vAlign w:val="bottom"/>
          </w:tcPr>
          <w:p>
            <w:pPr>
              <w:spacing w:after="0"/>
              <w:rPr>
                <w:sz w:val="20"/>
                <w:szCs w:val="20"/>
                <w:color w:val="auto"/>
              </w:rPr>
            </w:pPr>
            <w:r>
              <w:rPr>
                <w:rFonts w:ascii="Arial" w:cs="Arial" w:eastAsia="Arial" w:hAnsi="Arial"/>
                <w:sz w:val="18"/>
                <w:szCs w:val="18"/>
                <w:color w:val="auto"/>
              </w:rPr>
              <w:t>Miscellaneous</w:t>
            </w:r>
          </w:p>
        </w:tc>
        <w:tc>
          <w:tcPr>
            <w:tcW w:w="2260" w:type="dxa"/>
            <w:vAlign w:val="bottom"/>
          </w:tcPr>
          <w:p>
            <w:pPr>
              <w:spacing w:after="0"/>
              <w:rPr>
                <w:sz w:val="19"/>
                <w:szCs w:val="19"/>
                <w:color w:val="auto"/>
              </w:rPr>
            </w:pPr>
          </w:p>
        </w:tc>
        <w:tc>
          <w:tcPr>
            <w:tcW w:w="620" w:type="dxa"/>
            <w:vAlign w:val="bottom"/>
            <w:tcBorders>
              <w:bottom w:val="single" w:sz="8" w:color="auto"/>
            </w:tcBorders>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1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6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Total</w:t>
            </w:r>
          </w:p>
        </w:tc>
        <w:tc>
          <w:tcPr>
            <w:tcW w:w="2880" w:type="dxa"/>
            <w:vAlign w:val="bottom"/>
            <w:gridSpan w:val="2"/>
            <w:shd w:val="clear" w:color="auto" w:fill="CCEEFF"/>
          </w:tcPr>
          <w:p>
            <w:pPr>
              <w:jc w:val="right"/>
              <w:ind w:right="468"/>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0"/>
        </w:trPr>
        <w:tc>
          <w:tcPr>
            <w:tcW w:w="1120" w:type="dxa"/>
            <w:vAlign w:val="bottom"/>
          </w:tcPr>
          <w:p>
            <w:pPr>
              <w:spacing w:after="0" w:line="20" w:lineRule="exact"/>
              <w:rPr>
                <w:sz w:val="1"/>
                <w:szCs w:val="1"/>
                <w:color w:val="auto"/>
              </w:rPr>
            </w:pPr>
          </w:p>
        </w:tc>
        <w:tc>
          <w:tcPr>
            <w:tcW w:w="5300" w:type="dxa"/>
            <w:vAlign w:val="bottom"/>
            <w:gridSpan w:val="2"/>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129"/>
        </w:trPr>
        <w:tc>
          <w:tcPr>
            <w:tcW w:w="1120" w:type="dxa"/>
            <w:vAlign w:val="bottom"/>
            <w:tcBorders>
              <w:bottom w:val="single" w:sz="8" w:color="auto"/>
            </w:tcBorders>
          </w:tcPr>
          <w:p>
            <w:pPr>
              <w:spacing w:after="0"/>
              <w:rPr>
                <w:sz w:val="11"/>
                <w:szCs w:val="11"/>
                <w:color w:val="auto"/>
              </w:rPr>
            </w:pPr>
          </w:p>
        </w:tc>
        <w:tc>
          <w:tcPr>
            <w:tcW w:w="5300" w:type="dxa"/>
            <w:vAlign w:val="bottom"/>
            <w:gridSpan w:val="2"/>
          </w:tcPr>
          <w:p>
            <w:pPr>
              <w:spacing w:after="0"/>
              <w:rPr>
                <w:sz w:val="11"/>
                <w:szCs w:val="11"/>
                <w:color w:val="auto"/>
              </w:rPr>
            </w:pPr>
          </w:p>
        </w:tc>
        <w:tc>
          <w:tcPr>
            <w:tcW w:w="22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r>
      <w:tr>
        <w:trPr>
          <w:trHeight w:val="250"/>
        </w:trPr>
        <w:tc>
          <w:tcPr>
            <w:tcW w:w="6420" w:type="dxa"/>
            <w:vAlign w:val="bottom"/>
            <w:gridSpan w:val="3"/>
          </w:tcPr>
          <w:p>
            <w:pPr>
              <w:spacing w:after="0"/>
              <w:rPr>
                <w:sz w:val="20"/>
                <w:szCs w:val="20"/>
                <w:color w:val="auto"/>
              </w:rPr>
            </w:pPr>
            <w:r>
              <w:rPr>
                <w:rFonts w:ascii="Arial" w:cs="Arial" w:eastAsia="Arial" w:hAnsi="Arial"/>
                <w:sz w:val="18"/>
                <w:szCs w:val="18"/>
                <w:color w:val="auto"/>
              </w:rPr>
              <w:t>*  To be filed by amendment.</w:t>
            </w:r>
          </w:p>
        </w:tc>
        <w:tc>
          <w:tcPr>
            <w:tcW w:w="226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40" w:type="dxa"/>
            <w:vAlign w:val="bottom"/>
          </w:tcPr>
          <w:p>
            <w:pPr>
              <w:spacing w:after="0"/>
              <w:rPr>
                <w:sz w:val="21"/>
                <w:szCs w:val="21"/>
                <w:color w:val="auto"/>
              </w:rPr>
            </w:pPr>
          </w:p>
        </w:tc>
      </w:tr>
    </w:tbl>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14. INDEMNIFICATION OF DIRECTORS AND OFFICERS.</w:t>
      </w:r>
    </w:p>
    <w:p>
      <w:pPr>
        <w:spacing w:after="0" w:line="121" w:lineRule="exact"/>
        <w:rPr>
          <w:sz w:val="20"/>
          <w:szCs w:val="20"/>
          <w:color w:val="auto"/>
        </w:rPr>
      </w:pPr>
    </w:p>
    <w:p>
      <w:pPr>
        <w:ind w:right="620" w:firstLine="449"/>
        <w:spacing w:after="0" w:line="277" w:lineRule="auto"/>
        <w:rPr>
          <w:sz w:val="20"/>
          <w:szCs w:val="20"/>
          <w:color w:val="auto"/>
        </w:rPr>
      </w:pPr>
      <w:r>
        <w:rPr>
          <w:rFonts w:ascii="Arial" w:cs="Arial" w:eastAsia="Arial" w:hAnsi="Arial"/>
          <w:sz w:val="18"/>
          <w:szCs w:val="18"/>
          <w:color w:val="auto"/>
        </w:rPr>
        <w:t>Section 145 of the Delaware General Corporation Law authorizes a corporation’s board of directors to grant, and authorizes a court to award, indemnity to officers, directors, and other corporate agents.</w:t>
      </w:r>
    </w:p>
    <w:p>
      <w:pPr>
        <w:spacing w:after="0" w:line="170" w:lineRule="exact"/>
        <w:rPr>
          <w:sz w:val="20"/>
          <w:szCs w:val="20"/>
          <w:color w:val="auto"/>
        </w:rPr>
      </w:pPr>
    </w:p>
    <w:p>
      <w:pPr>
        <w:jc w:val="both"/>
        <w:ind w:right="280" w:firstLine="449"/>
        <w:spacing w:after="0" w:line="259" w:lineRule="auto"/>
        <w:rPr>
          <w:sz w:val="20"/>
          <w:szCs w:val="20"/>
          <w:color w:val="auto"/>
        </w:rPr>
      </w:pPr>
      <w:r>
        <w:rPr>
          <w:rFonts w:ascii="Arial" w:cs="Arial" w:eastAsia="Arial" w:hAnsi="Arial"/>
          <w:sz w:val="18"/>
          <w:szCs w:val="18"/>
          <w:color w:val="auto"/>
        </w:rPr>
        <w:t>We expect to adopt an amended and restated certificate of incorporation, which will become effective immediately prior to the completion of this offering, and which will contain provisions that limit the liability of our directors for monetary damages to the fullest extent permitted by Delaware law. Consequently, our directors will not be personally liable to us or our stockholders for monetary damages for any breach of fiduciary duties as directors, except liability for the following:</w:t>
      </w:r>
    </w:p>
    <w:p>
      <w:pPr>
        <w:spacing w:after="0" w:line="92" w:lineRule="exact"/>
        <w:rPr>
          <w:sz w:val="20"/>
          <w:szCs w:val="20"/>
          <w:color w:val="auto"/>
        </w:rPr>
      </w:pPr>
    </w:p>
    <w:p>
      <w:pPr>
        <w:ind w:left="880" w:hanging="319"/>
        <w:spacing w:after="0"/>
        <w:tabs>
          <w:tab w:leader="none" w:pos="880" w:val="left"/>
        </w:tabs>
        <w:numPr>
          <w:ilvl w:val="0"/>
          <w:numId w:val="110"/>
        </w:numPr>
        <w:rPr>
          <w:rFonts w:ascii="Arial" w:cs="Arial" w:eastAsia="Arial" w:hAnsi="Arial"/>
          <w:sz w:val="18"/>
          <w:szCs w:val="18"/>
          <w:color w:val="auto"/>
        </w:rPr>
      </w:pPr>
      <w:r>
        <w:rPr>
          <w:rFonts w:ascii="Arial" w:cs="Arial" w:eastAsia="Arial" w:hAnsi="Arial"/>
          <w:sz w:val="18"/>
          <w:szCs w:val="18"/>
          <w:color w:val="auto"/>
        </w:rPr>
        <w:t>any breach of their duty of loyalty to our company or our stockholders;</w:t>
      </w:r>
    </w:p>
    <w:p>
      <w:pPr>
        <w:spacing w:after="0" w:line="130" w:lineRule="exact"/>
        <w:rPr>
          <w:rFonts w:ascii="Arial" w:cs="Arial" w:eastAsia="Arial" w:hAnsi="Arial"/>
          <w:sz w:val="18"/>
          <w:szCs w:val="18"/>
          <w:color w:val="auto"/>
        </w:rPr>
      </w:pPr>
    </w:p>
    <w:p>
      <w:pPr>
        <w:ind w:left="880" w:hanging="319"/>
        <w:spacing w:after="0"/>
        <w:tabs>
          <w:tab w:leader="none" w:pos="880" w:val="left"/>
        </w:tabs>
        <w:numPr>
          <w:ilvl w:val="0"/>
          <w:numId w:val="110"/>
        </w:numPr>
        <w:rPr>
          <w:rFonts w:ascii="Arial" w:cs="Arial" w:eastAsia="Arial" w:hAnsi="Arial"/>
          <w:sz w:val="18"/>
          <w:szCs w:val="18"/>
          <w:color w:val="auto"/>
        </w:rPr>
      </w:pPr>
      <w:r>
        <w:rPr>
          <w:rFonts w:ascii="Arial" w:cs="Arial" w:eastAsia="Arial" w:hAnsi="Arial"/>
          <w:sz w:val="18"/>
          <w:szCs w:val="18"/>
          <w:color w:val="auto"/>
        </w:rPr>
        <w:t>any act or omission not in good faith or that involves intentional misconduct or a knowing violation of law;</w:t>
      </w:r>
    </w:p>
    <w:p>
      <w:pPr>
        <w:spacing w:after="0" w:line="130" w:lineRule="exact"/>
        <w:rPr>
          <w:rFonts w:ascii="Arial" w:cs="Arial" w:eastAsia="Arial" w:hAnsi="Arial"/>
          <w:sz w:val="18"/>
          <w:szCs w:val="18"/>
          <w:color w:val="auto"/>
        </w:rPr>
      </w:pPr>
    </w:p>
    <w:p>
      <w:pPr>
        <w:ind w:left="880" w:right="20" w:hanging="319"/>
        <w:spacing w:after="0" w:line="277" w:lineRule="auto"/>
        <w:tabs>
          <w:tab w:leader="none" w:pos="880" w:val="left"/>
        </w:tabs>
        <w:numPr>
          <w:ilvl w:val="0"/>
          <w:numId w:val="110"/>
        </w:numPr>
        <w:rPr>
          <w:rFonts w:ascii="Arial" w:cs="Arial" w:eastAsia="Arial" w:hAnsi="Arial"/>
          <w:sz w:val="18"/>
          <w:szCs w:val="18"/>
          <w:color w:val="auto"/>
        </w:rPr>
      </w:pPr>
      <w:r>
        <w:rPr>
          <w:rFonts w:ascii="Arial" w:cs="Arial" w:eastAsia="Arial" w:hAnsi="Arial"/>
          <w:sz w:val="18"/>
          <w:szCs w:val="18"/>
          <w:color w:val="auto"/>
        </w:rPr>
        <w:t>unlawful payments of dividends or unlawful stock repurchases or redemptions as provided in Section 174 of the Delaware General Corporation Law; or</w:t>
      </w:r>
    </w:p>
    <w:p>
      <w:pPr>
        <w:spacing w:after="0" w:line="75" w:lineRule="exact"/>
        <w:rPr>
          <w:rFonts w:ascii="Arial" w:cs="Arial" w:eastAsia="Arial" w:hAnsi="Arial"/>
          <w:sz w:val="18"/>
          <w:szCs w:val="18"/>
          <w:color w:val="auto"/>
        </w:rPr>
      </w:pPr>
    </w:p>
    <w:p>
      <w:pPr>
        <w:ind w:left="880" w:hanging="319"/>
        <w:spacing w:after="0"/>
        <w:tabs>
          <w:tab w:leader="none" w:pos="880" w:val="left"/>
        </w:tabs>
        <w:numPr>
          <w:ilvl w:val="0"/>
          <w:numId w:val="110"/>
        </w:numPr>
        <w:rPr>
          <w:rFonts w:ascii="Arial" w:cs="Arial" w:eastAsia="Arial" w:hAnsi="Arial"/>
          <w:sz w:val="18"/>
          <w:szCs w:val="18"/>
          <w:color w:val="auto"/>
        </w:rPr>
      </w:pPr>
      <w:r>
        <w:rPr>
          <w:rFonts w:ascii="Arial" w:cs="Arial" w:eastAsia="Arial" w:hAnsi="Arial"/>
          <w:sz w:val="18"/>
          <w:szCs w:val="18"/>
          <w:color w:val="auto"/>
        </w:rPr>
        <w:t>any transaction from which they derived an improper personal benefit.</w:t>
      </w:r>
    </w:p>
    <w:p>
      <w:pPr>
        <w:spacing w:after="0" w:line="225" w:lineRule="exact"/>
        <w:rPr>
          <w:sz w:val="20"/>
          <w:szCs w:val="20"/>
          <w:color w:val="auto"/>
        </w:rPr>
      </w:pPr>
    </w:p>
    <w:p>
      <w:pPr>
        <w:ind w:right="160" w:firstLine="449"/>
        <w:spacing w:after="0" w:line="259" w:lineRule="auto"/>
        <w:rPr>
          <w:sz w:val="20"/>
          <w:szCs w:val="20"/>
          <w:color w:val="auto"/>
        </w:rPr>
      </w:pPr>
      <w:r>
        <w:rPr>
          <w:rFonts w:ascii="Arial" w:cs="Arial" w:eastAsia="Arial" w:hAnsi="Arial"/>
          <w:sz w:val="18"/>
          <w:szCs w:val="18"/>
          <w:color w:val="auto"/>
        </w:rPr>
        <w:t>Any amendment to, or repeal of, these provisions will not eliminate or reduce the effect of these provisions in respect of any act, omission, or claim that occurred or arose prior to that amendment or repeal. If the Delaware General Corporation Law is amended to provide for further limitations on the personal liability of directors of corporations, then the personal liability of our directors will be further limited to the greatest extent permitted by the Delaware General Corporation Law.</w:t>
      </w:r>
    </w:p>
    <w:p>
      <w:pPr>
        <w:spacing w:after="0" w:line="187" w:lineRule="exact"/>
        <w:rPr>
          <w:sz w:val="20"/>
          <w:szCs w:val="20"/>
          <w:color w:val="auto"/>
        </w:rPr>
      </w:pPr>
    </w:p>
    <w:p>
      <w:pPr>
        <w:ind w:firstLine="449"/>
        <w:spacing w:after="0" w:line="263" w:lineRule="auto"/>
        <w:rPr>
          <w:sz w:val="20"/>
          <w:szCs w:val="20"/>
          <w:color w:val="auto"/>
        </w:rPr>
      </w:pPr>
      <w:r>
        <w:rPr>
          <w:rFonts w:ascii="Arial" w:cs="Arial" w:eastAsia="Arial" w:hAnsi="Arial"/>
          <w:sz w:val="18"/>
          <w:szCs w:val="18"/>
          <w:color w:val="auto"/>
        </w:rPr>
        <w:t>In addition, we expect to adopt amended and restated bylaws, which will become effective immediately prior to the completion of this offering, and which will provide that we will indemnify, to the fullest extent permitted by law, any person who is or was a party or is threatened to be made a party to any action, suit, or</w:t>
      </w:r>
    </w:p>
    <w:p>
      <w:pPr>
        <w:spacing w:after="0" w:line="11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II-1</w:t>
      </w:r>
    </w:p>
    <w:p>
      <w:pPr>
        <w:sectPr>
          <w:pgSz w:w="11900" w:h="16838" w:orient="portrait"/>
          <w:cols w:equalWidth="0" w:num="1">
            <w:col w:w="11240"/>
          </w:cols>
          <w:pgMar w:left="320" w:top="459" w:right="339" w:bottom="1440" w:gutter="0" w:footer="0" w:header="0"/>
        </w:sectPr>
      </w:pPr>
    </w:p>
    <w:bookmarkStart w:id="197" w:name="page198"/>
    <w:bookmarkEnd w:id="19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right="20"/>
        <w:spacing w:after="0" w:line="273" w:lineRule="auto"/>
        <w:rPr>
          <w:sz w:val="20"/>
          <w:szCs w:val="20"/>
          <w:color w:val="auto"/>
        </w:rPr>
      </w:pPr>
      <w:r>
        <w:rPr>
          <w:rFonts w:ascii="Arial" w:cs="Arial" w:eastAsia="Arial" w:hAnsi="Arial"/>
          <w:sz w:val="17"/>
          <w:szCs w:val="17"/>
          <w:color w:val="auto"/>
        </w:rPr>
        <w:t>proceeding by reason of the fact that he or she is or was one of our directors or officers or is or was serving at our request as a director or officer of another corporation, partnership, joint venture, trust, or other enterprise. Our amended and restated bylaws are expected to provide that we may indemnify to the fullest extent permitted by law any person who is or was a party or is threatened to be made a party to any action, suit, or proceeding by reason of the fact that he or she is or was one of our employees or agents or is or was serving at our request as an employee or agent of another corporation, partnership, joint venture, trust, or other enterprise. Our amended and restated bylaws will also provide that we must advance expenses incurred by or on behalf of a director or officer in advance of the final disposition of any action or proceeding, subject to limited exceptions.</w:t>
      </w:r>
    </w:p>
    <w:p>
      <w:pPr>
        <w:spacing w:after="0" w:line="178" w:lineRule="exact"/>
        <w:rPr>
          <w:sz w:val="20"/>
          <w:szCs w:val="20"/>
          <w:color w:val="auto"/>
        </w:rPr>
      </w:pPr>
    </w:p>
    <w:p>
      <w:pPr>
        <w:ind w:firstLine="449"/>
        <w:spacing w:after="0" w:line="296" w:lineRule="auto"/>
        <w:rPr>
          <w:sz w:val="20"/>
          <w:szCs w:val="20"/>
          <w:color w:val="auto"/>
        </w:rPr>
      </w:pPr>
      <w:r>
        <w:rPr>
          <w:rFonts w:ascii="Arial" w:cs="Arial" w:eastAsia="Arial" w:hAnsi="Arial"/>
          <w:sz w:val="16"/>
          <w:szCs w:val="16"/>
          <w:color w:val="auto"/>
        </w:rPr>
        <w:t>Further, we have entered into or will enter into indemnification agreements with each of our directors and executive officers that may be broader than the specific indemnification provisions contained in the Delaware General Corporation Law. These indemnification agreements require us, among other things, to indemnify our directors and executive officers against liabilities that may arise by reason of their status or service. These indemnification agreements also require us to advance all expenses incurred by the directors and executive officers in investigating or defending any such action, suit, or proceeding. We believe that these agreements are necessary to attract and retain qualified individuals to serve as directors and executive officers.</w:t>
      </w:r>
    </w:p>
    <w:p>
      <w:pPr>
        <w:spacing w:after="0" w:line="161" w:lineRule="exact"/>
        <w:rPr>
          <w:sz w:val="20"/>
          <w:szCs w:val="20"/>
          <w:color w:val="auto"/>
        </w:rPr>
      </w:pPr>
    </w:p>
    <w:p>
      <w:pPr>
        <w:ind w:right="20" w:firstLine="449"/>
        <w:spacing w:after="0" w:line="270" w:lineRule="auto"/>
        <w:rPr>
          <w:sz w:val="20"/>
          <w:szCs w:val="20"/>
          <w:color w:val="auto"/>
        </w:rPr>
      </w:pPr>
      <w:r>
        <w:rPr>
          <w:rFonts w:ascii="Arial" w:cs="Arial" w:eastAsia="Arial" w:hAnsi="Arial"/>
          <w:sz w:val="17"/>
          <w:szCs w:val="17"/>
          <w:color w:val="auto"/>
        </w:rPr>
        <w:t>The limitation of liability and indemnification provisions that are expected to be included in our amended and restated certificate of incorporation, amended and restated bylaws, and the indemnification agreements that we have entered into or will enter into with our directors and executive officers may discourage stockholders from bringing a lawsuit against our directors and executive officers for breach of their fiduciary duties. They may also reduce the likelihood of derivative litigation against our directors and executive officers, even though an action, if successful, might benefit us and other stockholders. Further, a stockholder’s investment may be adversely affected to the extent that we pay the costs of settlement and damage awards against directors and executive officers as required by these indemnification provisions. At present, we are not aware of any pending litigation or proceeding involving any person who is or was one of our directors, officers, employees, or other agents or is or was serving at our request as a director, officer, employee, or agent of another corporation, partnership, joint venture, trust, or other enterprise, for which indemnification is sought, and we are not aware of any threatened litigation that may result in claims for indemnification.</w:t>
      </w:r>
    </w:p>
    <w:p>
      <w:pPr>
        <w:spacing w:after="0" w:line="181" w:lineRule="exact"/>
        <w:rPr>
          <w:sz w:val="20"/>
          <w:szCs w:val="20"/>
          <w:color w:val="auto"/>
        </w:rPr>
      </w:pPr>
    </w:p>
    <w:p>
      <w:pPr>
        <w:ind w:right="80" w:firstLine="449"/>
        <w:spacing w:after="0" w:line="259" w:lineRule="auto"/>
        <w:rPr>
          <w:sz w:val="20"/>
          <w:szCs w:val="20"/>
          <w:color w:val="auto"/>
        </w:rPr>
      </w:pPr>
      <w:r>
        <w:rPr>
          <w:rFonts w:ascii="Arial" w:cs="Arial" w:eastAsia="Arial" w:hAnsi="Arial"/>
          <w:sz w:val="18"/>
          <w:szCs w:val="18"/>
          <w:color w:val="auto"/>
        </w:rPr>
        <w:t>We have obtained insurance policies under which, subject to the limitations of the policies, coverage is provided to our directors and executive officers against loss arising from claims made by reason of breach of fiduciary duty or other wrongful acts as a director or executive officer, including claims relating to public securities matters, and to us with respect to payments that may be made by us to these directors and executive officers pursuant to our indemnification obligations or otherwise as a matter of law.</w:t>
      </w:r>
    </w:p>
    <w:p>
      <w:pPr>
        <w:spacing w:after="0" w:line="187" w:lineRule="exact"/>
        <w:rPr>
          <w:sz w:val="20"/>
          <w:szCs w:val="20"/>
          <w:color w:val="auto"/>
        </w:rPr>
      </w:pPr>
    </w:p>
    <w:p>
      <w:pPr>
        <w:ind w:right="80" w:firstLine="449"/>
        <w:spacing w:after="0" w:line="277" w:lineRule="auto"/>
        <w:rPr>
          <w:sz w:val="20"/>
          <w:szCs w:val="20"/>
          <w:color w:val="auto"/>
        </w:rPr>
      </w:pPr>
      <w:r>
        <w:rPr>
          <w:rFonts w:ascii="Arial" w:cs="Arial" w:eastAsia="Arial" w:hAnsi="Arial"/>
          <w:sz w:val="18"/>
          <w:szCs w:val="18"/>
          <w:color w:val="auto"/>
        </w:rPr>
        <w:t>Certain of our non-employee directors may, through their relationships with their employers, be insured and/or indemnified against certain liabilities incurred in their capacity as members of our Board of Directors.</w:t>
      </w:r>
    </w:p>
    <w:p>
      <w:pPr>
        <w:spacing w:after="0" w:line="170" w:lineRule="exact"/>
        <w:rPr>
          <w:sz w:val="20"/>
          <w:szCs w:val="20"/>
          <w:color w:val="auto"/>
        </w:rPr>
      </w:pPr>
    </w:p>
    <w:p>
      <w:pPr>
        <w:ind w:right="420" w:firstLine="449"/>
        <w:spacing w:after="0" w:line="277" w:lineRule="auto"/>
        <w:rPr>
          <w:sz w:val="20"/>
          <w:szCs w:val="20"/>
          <w:color w:val="auto"/>
        </w:rPr>
      </w:pPr>
      <w:r>
        <w:rPr>
          <w:rFonts w:ascii="Arial" w:cs="Arial" w:eastAsia="Arial" w:hAnsi="Arial"/>
          <w:sz w:val="18"/>
          <w:szCs w:val="18"/>
          <w:color w:val="auto"/>
        </w:rPr>
        <w:t>The underwriting agreement filed as Exhibit 1.1 to this registration statement will provide for indemnification by the underwriters of us and our officers and directors for certain liabilities arising under the Securities Act or otherwise.</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15. RECENT SALES OF UNREGISTERED SECURITIES.</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Since January 1, 2014, we have issued the following unregistered securities:</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Preferred Stock Issuances</w:t>
      </w:r>
    </w:p>
    <w:p>
      <w:pPr>
        <w:spacing w:after="0" w:line="121" w:lineRule="exact"/>
        <w:rPr>
          <w:sz w:val="20"/>
          <w:szCs w:val="20"/>
          <w:color w:val="auto"/>
        </w:rPr>
      </w:pPr>
    </w:p>
    <w:p>
      <w:pPr>
        <w:ind w:right="480" w:firstLine="449"/>
        <w:spacing w:after="0" w:line="277" w:lineRule="auto"/>
        <w:rPr>
          <w:sz w:val="20"/>
          <w:szCs w:val="20"/>
          <w:color w:val="auto"/>
        </w:rPr>
      </w:pPr>
      <w:r>
        <w:rPr>
          <w:rFonts w:ascii="Arial" w:cs="Arial" w:eastAsia="Arial" w:hAnsi="Arial"/>
          <w:sz w:val="18"/>
          <w:szCs w:val="18"/>
          <w:color w:val="auto"/>
        </w:rPr>
        <w:t>From January 2014 through April 2014, we sold an aggregate of 18,460,901 shares of our Series C convertible preferred stock to 55 accredited investors at a purchase price of approximately $19.1012 per share, for an aggregate purchase price of $352,625,362.</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II-2</w:t>
      </w:r>
    </w:p>
    <w:p>
      <w:pPr>
        <w:sectPr>
          <w:pgSz w:w="11900" w:h="16838" w:orient="portrait"/>
          <w:cols w:equalWidth="0" w:num="1">
            <w:col w:w="11220"/>
          </w:cols>
          <w:pgMar w:left="320" w:top="459" w:right="359" w:bottom="1440" w:gutter="0" w:footer="0" w:header="0"/>
        </w:sectPr>
      </w:pPr>
    </w:p>
    <w:bookmarkStart w:id="198" w:name="page199"/>
    <w:bookmarkEnd w:id="19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Option and RSU Issuances</w:t>
      </w:r>
    </w:p>
    <w:p>
      <w:pPr>
        <w:spacing w:after="0" w:line="121" w:lineRule="exact"/>
        <w:rPr>
          <w:sz w:val="20"/>
          <w:szCs w:val="20"/>
          <w:color w:val="auto"/>
        </w:rPr>
      </w:pPr>
    </w:p>
    <w:p>
      <w:pPr>
        <w:jc w:val="both"/>
        <w:ind w:right="300" w:firstLine="449"/>
        <w:spacing w:after="0" w:line="263" w:lineRule="auto"/>
        <w:rPr>
          <w:sz w:val="20"/>
          <w:szCs w:val="20"/>
          <w:color w:val="auto"/>
        </w:rPr>
      </w:pPr>
      <w:r>
        <w:rPr>
          <w:rFonts w:ascii="Arial" w:cs="Arial" w:eastAsia="Arial" w:hAnsi="Arial"/>
          <w:sz w:val="18"/>
          <w:szCs w:val="18"/>
          <w:color w:val="auto"/>
        </w:rPr>
        <w:t>From January 1, 2014 to September 30, 2017, we granted to our directors, officers, employees, consultants, and other service providers options to purchase an aggregate of 15,443,120 shares of our Class B common stock under our 2008 Plan at exercise prices ranging from approximately $13.84 to $16.82 per share.</w:t>
      </w:r>
    </w:p>
    <w:p>
      <w:pPr>
        <w:spacing w:after="0" w:line="184" w:lineRule="exact"/>
        <w:rPr>
          <w:sz w:val="20"/>
          <w:szCs w:val="20"/>
          <w:color w:val="auto"/>
        </w:rPr>
      </w:pPr>
    </w:p>
    <w:p>
      <w:pPr>
        <w:jc w:val="both"/>
        <w:ind w:right="100" w:firstLine="449"/>
        <w:spacing w:after="0" w:line="263" w:lineRule="auto"/>
        <w:rPr>
          <w:sz w:val="20"/>
          <w:szCs w:val="20"/>
          <w:color w:val="auto"/>
        </w:rPr>
      </w:pPr>
      <w:r>
        <w:rPr>
          <w:rFonts w:ascii="Arial" w:cs="Arial" w:eastAsia="Arial" w:hAnsi="Arial"/>
          <w:sz w:val="18"/>
          <w:szCs w:val="18"/>
          <w:color w:val="auto"/>
        </w:rPr>
        <w:t>From January 1, 2014 to September 30, 2017, we granted to our directors, officers, employees, consultants, and other service providers an aggregate of 25,164,351 RSUs to be settled in shares of our Class A common stock under our 2017 Plan and an aggregate of 76,983,474 RSUs to be settled in shares of our Class B common stock under our 2008 Plan.</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Shares Issued in Connection with Third-Party Tender Offer</w:t>
      </w:r>
    </w:p>
    <w:p>
      <w:pPr>
        <w:spacing w:after="0" w:line="121" w:lineRule="exact"/>
        <w:rPr>
          <w:sz w:val="20"/>
          <w:szCs w:val="20"/>
          <w:color w:val="auto"/>
        </w:rPr>
      </w:pPr>
    </w:p>
    <w:p>
      <w:pPr>
        <w:jc w:val="both"/>
        <w:ind w:right="140" w:firstLine="449"/>
        <w:spacing w:after="0" w:line="259" w:lineRule="auto"/>
        <w:rPr>
          <w:sz w:val="20"/>
          <w:szCs w:val="20"/>
          <w:color w:val="auto"/>
        </w:rPr>
      </w:pPr>
      <w:r>
        <w:rPr>
          <w:rFonts w:ascii="Arial" w:cs="Arial" w:eastAsia="Arial" w:hAnsi="Arial"/>
          <w:sz w:val="18"/>
          <w:szCs w:val="18"/>
          <w:color w:val="auto"/>
        </w:rPr>
        <w:t>From January 1, 2014 to September 30, 2017, we issued an aggregate of 8,193,202 shares of our Class A common stock in connection with a third-party tender offer to purchase shares of our capital stock from certain holders of our Class B common stock and convertible preferred stock. Each share of our Class B common stock and convertible preferred stock transferred in connection with the tender offer was automatically converted to one share of our Class A common stock.</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Shares Issued in Connection with Acquisitions</w:t>
      </w:r>
    </w:p>
    <w:p>
      <w:pPr>
        <w:spacing w:after="0" w:line="121" w:lineRule="exact"/>
        <w:rPr>
          <w:sz w:val="20"/>
          <w:szCs w:val="20"/>
          <w:color w:val="auto"/>
        </w:rPr>
      </w:pPr>
    </w:p>
    <w:p>
      <w:pPr>
        <w:ind w:right="160" w:firstLine="449"/>
        <w:spacing w:after="0" w:line="263" w:lineRule="auto"/>
        <w:rPr>
          <w:sz w:val="20"/>
          <w:szCs w:val="20"/>
          <w:color w:val="auto"/>
        </w:rPr>
      </w:pPr>
      <w:r>
        <w:rPr>
          <w:rFonts w:ascii="Arial" w:cs="Arial" w:eastAsia="Arial" w:hAnsi="Arial"/>
          <w:sz w:val="18"/>
          <w:szCs w:val="18"/>
          <w:color w:val="auto"/>
        </w:rPr>
        <w:t>From January 1, 2014 to September 30, 2017, we issued an aggregate of 6,265,795 shares of our Class B common stock in connection with our acquisitions of certain companies or their assets and as consideration to individuals and entities who were former service providers and/or stockholders of such companies.</w:t>
      </w:r>
    </w:p>
    <w:p>
      <w:pPr>
        <w:spacing w:after="0" w:line="184" w:lineRule="exact"/>
        <w:rPr>
          <w:sz w:val="20"/>
          <w:szCs w:val="20"/>
          <w:color w:val="auto"/>
        </w:rPr>
      </w:pPr>
    </w:p>
    <w:p>
      <w:pPr>
        <w:ind w:firstLine="449"/>
        <w:spacing w:after="0" w:line="254" w:lineRule="auto"/>
        <w:rPr>
          <w:sz w:val="20"/>
          <w:szCs w:val="20"/>
          <w:color w:val="auto"/>
        </w:rPr>
      </w:pPr>
      <w:r>
        <w:rPr>
          <w:rFonts w:ascii="Arial" w:cs="Arial" w:eastAsia="Arial" w:hAnsi="Arial"/>
          <w:sz w:val="18"/>
          <w:szCs w:val="18"/>
          <w:color w:val="auto"/>
        </w:rPr>
        <w:t>None of the foregoing transactions involved any underwriters, underwriting discounts or commissions, or any public offering. We believe the offers, sales, and issuances of the above securities were exempt from registration under the Securities Act (or Regulation D or Regulation S promulgated thereunder) by virtue of Section 4(2) of the Securities Act because the issuance of securities to the recipients did not involve a public offering, or in reliance on Rule 701 because the transactions were pursuant to compensatory benefit plans or contracts relating to compensation as provided under such rule. The recipients of the securities in each of these transactions represented their intentions to acquire the securities for investment only and not with a view to or for sale in connection with any distribution thereof, and appropriate legends were placed upon the stock certificates issued in these transactions. All recipients had adequate access, through their relationships with us, to information about us. The sales of these securities were made without any general solicitation or advertising.</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16. EXHIBITS AND FINANCIAL STATEMENT SCHEDULES.</w:t>
      </w:r>
    </w:p>
    <w:p>
      <w:pPr>
        <w:spacing w:after="0" w:line="131" w:lineRule="exact"/>
        <w:rPr>
          <w:sz w:val="20"/>
          <w:szCs w:val="20"/>
          <w:color w:val="auto"/>
        </w:rPr>
      </w:pPr>
    </w:p>
    <w:p>
      <w:pPr>
        <w:ind w:left="460" w:hanging="452"/>
        <w:spacing w:after="0"/>
        <w:tabs>
          <w:tab w:leader="none" w:pos="460" w:val="left"/>
        </w:tabs>
        <w:numPr>
          <w:ilvl w:val="0"/>
          <w:numId w:val="111"/>
        </w:numPr>
        <w:rPr>
          <w:rFonts w:ascii="Arial" w:cs="Arial" w:eastAsia="Arial" w:hAnsi="Arial"/>
          <w:sz w:val="18"/>
          <w:szCs w:val="18"/>
          <w:b w:val="1"/>
          <w:bCs w:val="1"/>
          <w:color w:val="auto"/>
        </w:rPr>
      </w:pPr>
      <w:r>
        <w:rPr>
          <w:rFonts w:ascii="Arial" w:cs="Arial" w:eastAsia="Arial" w:hAnsi="Arial"/>
          <w:sz w:val="18"/>
          <w:szCs w:val="18"/>
          <w:b w:val="1"/>
          <w:bCs w:val="1"/>
          <w:color w:val="auto"/>
        </w:rPr>
        <w:t>Exhibits.</w:t>
      </w:r>
    </w:p>
    <w:p>
      <w:pPr>
        <w:spacing w:after="0" w:line="121" w:lineRule="exact"/>
        <w:rPr>
          <w:sz w:val="20"/>
          <w:szCs w:val="20"/>
          <w:color w:val="auto"/>
        </w:rPr>
      </w:pPr>
    </w:p>
    <w:p>
      <w:pPr>
        <w:ind w:right="580" w:firstLine="449"/>
        <w:spacing w:after="0" w:line="277" w:lineRule="auto"/>
        <w:rPr>
          <w:sz w:val="20"/>
          <w:szCs w:val="20"/>
          <w:color w:val="auto"/>
        </w:rPr>
      </w:pPr>
      <w:r>
        <w:rPr>
          <w:rFonts w:ascii="Arial" w:cs="Arial" w:eastAsia="Arial" w:hAnsi="Arial"/>
          <w:sz w:val="18"/>
          <w:szCs w:val="18"/>
          <w:color w:val="auto"/>
        </w:rPr>
        <w:t>See the Exhibit Index immediately preceding the signature page hereto for a list of exhibits filed as part of this registration statement on Form S-1, which Exhibit Index is incorporated herein by reference.</w:t>
      </w:r>
    </w:p>
    <w:p>
      <w:pPr>
        <w:spacing w:after="0" w:line="315" w:lineRule="exact"/>
        <w:rPr>
          <w:sz w:val="20"/>
          <w:szCs w:val="20"/>
          <w:color w:val="auto"/>
        </w:rPr>
      </w:pPr>
    </w:p>
    <w:p>
      <w:pPr>
        <w:ind w:left="460" w:hanging="452"/>
        <w:spacing w:after="0"/>
        <w:tabs>
          <w:tab w:leader="none" w:pos="460" w:val="left"/>
        </w:tabs>
        <w:numPr>
          <w:ilvl w:val="0"/>
          <w:numId w:val="112"/>
        </w:numPr>
        <w:rPr>
          <w:rFonts w:ascii="Arial" w:cs="Arial" w:eastAsia="Arial" w:hAnsi="Arial"/>
          <w:sz w:val="18"/>
          <w:szCs w:val="18"/>
          <w:b w:val="1"/>
          <w:bCs w:val="1"/>
          <w:color w:val="auto"/>
        </w:rPr>
      </w:pPr>
      <w:r>
        <w:rPr>
          <w:rFonts w:ascii="Arial" w:cs="Arial" w:eastAsia="Arial" w:hAnsi="Arial"/>
          <w:sz w:val="18"/>
          <w:szCs w:val="18"/>
          <w:b w:val="1"/>
          <w:bCs w:val="1"/>
          <w:color w:val="auto"/>
        </w:rPr>
        <w:t>Financial statement schedules.</w:t>
      </w:r>
    </w:p>
    <w:p>
      <w:pPr>
        <w:spacing w:after="0" w:line="121" w:lineRule="exact"/>
        <w:rPr>
          <w:sz w:val="20"/>
          <w:szCs w:val="20"/>
          <w:color w:val="auto"/>
        </w:rPr>
      </w:pPr>
    </w:p>
    <w:p>
      <w:pPr>
        <w:ind w:right="540" w:firstLine="449"/>
        <w:spacing w:after="0" w:line="277" w:lineRule="auto"/>
        <w:rPr>
          <w:sz w:val="20"/>
          <w:szCs w:val="20"/>
          <w:color w:val="auto"/>
        </w:rPr>
      </w:pPr>
      <w:r>
        <w:rPr>
          <w:rFonts w:ascii="Arial" w:cs="Arial" w:eastAsia="Arial" w:hAnsi="Arial"/>
          <w:sz w:val="18"/>
          <w:szCs w:val="18"/>
          <w:color w:val="auto"/>
        </w:rPr>
        <w:t>All financial statement schedules are omitted because the information called for is not required or is shown either in the consolidated financial statements or in the notes thereto.</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17. UNDERTAKINGS.</w:t>
      </w:r>
    </w:p>
    <w:p>
      <w:pPr>
        <w:spacing w:after="0" w:line="121" w:lineRule="exact"/>
        <w:rPr>
          <w:sz w:val="20"/>
          <w:szCs w:val="20"/>
          <w:color w:val="auto"/>
        </w:rPr>
      </w:pPr>
    </w:p>
    <w:p>
      <w:pPr>
        <w:ind w:right="320" w:firstLine="449"/>
        <w:spacing w:after="0" w:line="308" w:lineRule="auto"/>
        <w:rPr>
          <w:sz w:val="20"/>
          <w:szCs w:val="20"/>
          <w:color w:val="auto"/>
        </w:rPr>
      </w:pPr>
      <w:r>
        <w:rPr>
          <w:rFonts w:ascii="Arial" w:cs="Arial" w:eastAsia="Arial" w:hAnsi="Arial"/>
          <w:sz w:val="17"/>
          <w:szCs w:val="17"/>
          <w:color w:val="auto"/>
        </w:rPr>
        <w:t>The undersigned Registrant hereby undertakes to provide to the underwriters at the closing specified in the underwriting agreement certificates in such denominations and registered in such names as required by the underwriters to permit prompt delivery to each purchaser.</w:t>
      </w:r>
    </w:p>
    <w:p>
      <w:pPr>
        <w:spacing w:after="0" w:line="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II-3</w:t>
      </w:r>
    </w:p>
    <w:p>
      <w:pPr>
        <w:sectPr>
          <w:pgSz w:w="11900" w:h="16838" w:orient="portrait"/>
          <w:cols w:equalWidth="0" w:num="1">
            <w:col w:w="11240"/>
          </w:cols>
          <w:pgMar w:left="320" w:top="459" w:right="339" w:bottom="1440" w:gutter="0" w:footer="0" w:header="0"/>
        </w:sectPr>
      </w:pPr>
    </w:p>
    <w:bookmarkStart w:id="199" w:name="page200"/>
    <w:bookmarkEnd w:id="19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right="100" w:firstLine="449"/>
        <w:spacing w:after="0" w:line="254" w:lineRule="auto"/>
        <w:rPr>
          <w:sz w:val="20"/>
          <w:szCs w:val="20"/>
          <w:color w:val="auto"/>
        </w:rPr>
      </w:pPr>
      <w:r>
        <w:rPr>
          <w:rFonts w:ascii="Arial" w:cs="Arial" w:eastAsia="Arial" w:hAnsi="Arial"/>
          <w:sz w:val="18"/>
          <w:szCs w:val="18"/>
          <w:color w:val="auto"/>
        </w:rPr>
        <w:t>Insofar as indemnification for liabilities arising under the Securities Act of 1933 may be permitted to directors, officers, and controlling persons of the registrant pursuant to the foregoing provisions, or otherwise, the registrant has been advised that in the opinion of the Securities and Exchange Commission such indemnification is against public policy as expressed in the Act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it is against public policy as expressed in the Act and will be governed by the final adjudication of such issue.</w:t>
      </w:r>
    </w:p>
    <w:p>
      <w:pPr>
        <w:spacing w:after="0" w:line="19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undersigned Registrant hereby undertakes that:</w:t>
      </w:r>
    </w:p>
    <w:p>
      <w:pPr>
        <w:spacing w:after="0" w:line="131" w:lineRule="exact"/>
        <w:rPr>
          <w:sz w:val="20"/>
          <w:szCs w:val="20"/>
          <w:color w:val="auto"/>
        </w:rPr>
      </w:pPr>
    </w:p>
    <w:p>
      <w:pPr>
        <w:jc w:val="both"/>
        <w:ind w:left="900" w:right="60" w:hanging="447"/>
        <w:spacing w:after="0" w:line="311" w:lineRule="auto"/>
        <w:tabs>
          <w:tab w:leader="none" w:pos="900" w:val="left"/>
        </w:tabs>
        <w:numPr>
          <w:ilvl w:val="0"/>
          <w:numId w:val="113"/>
        </w:numPr>
        <w:rPr>
          <w:rFonts w:ascii="Arial" w:cs="Arial" w:eastAsia="Arial" w:hAnsi="Arial"/>
          <w:sz w:val="16"/>
          <w:szCs w:val="16"/>
          <w:color w:val="auto"/>
        </w:rPr>
      </w:pPr>
      <w:r>
        <w:rPr>
          <w:rFonts w:ascii="Arial" w:cs="Arial" w:eastAsia="Arial" w:hAnsi="Arial"/>
          <w:sz w:val="16"/>
          <w:szCs w:val="16"/>
          <w:color w:val="auto"/>
        </w:rPr>
        <w:t>For purposes of determining any liability under the Securities Act of 1933, the information omitted from the form of prospectus filed as part of this registration statement in reliance upon Rule 430A and contained in a form of prospectus filed by the Registrant pursuant to Rule 424(b)(1) or (4) or 497(h) under the Securities Act shall be deemed to be part of this registration statement as of the time it was declared effective.</w:t>
      </w:r>
    </w:p>
    <w:p>
      <w:pPr>
        <w:spacing w:after="0" w:line="54" w:lineRule="exact"/>
        <w:rPr>
          <w:rFonts w:ascii="Arial" w:cs="Arial" w:eastAsia="Arial" w:hAnsi="Arial"/>
          <w:sz w:val="16"/>
          <w:szCs w:val="16"/>
          <w:color w:val="auto"/>
        </w:rPr>
      </w:pPr>
    </w:p>
    <w:p>
      <w:pPr>
        <w:ind w:left="900" w:hanging="447"/>
        <w:spacing w:after="0" w:line="263" w:lineRule="auto"/>
        <w:tabs>
          <w:tab w:leader="none" w:pos="900" w:val="left"/>
        </w:tabs>
        <w:numPr>
          <w:ilvl w:val="0"/>
          <w:numId w:val="113"/>
        </w:numPr>
        <w:rPr>
          <w:rFonts w:ascii="Arial" w:cs="Arial" w:eastAsia="Arial" w:hAnsi="Arial"/>
          <w:sz w:val="18"/>
          <w:szCs w:val="18"/>
          <w:color w:val="auto"/>
        </w:rPr>
      </w:pPr>
      <w:r>
        <w:rPr>
          <w:rFonts w:ascii="Arial" w:cs="Arial" w:eastAsia="Arial" w:hAnsi="Arial"/>
          <w:sz w:val="18"/>
          <w:szCs w:val="18"/>
          <w:color w:val="auto"/>
        </w:rPr>
        <w:t>For the purpose of determining any liability under the Securities Act of 1933, each post-effective amendment that contains a form of prospectus shall be deemed to be a new registration statement relating to the securities offered therein, and the offering of such securities at that time shall be deemed to be the initial bona fide offering thereof.</w:t>
      </w:r>
    </w:p>
    <w:p>
      <w:pPr>
        <w:spacing w:after="0" w:line="11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II-4</w:t>
      </w:r>
    </w:p>
    <w:p>
      <w:pPr>
        <w:sectPr>
          <w:pgSz w:w="11900" w:h="16838" w:orient="portrait"/>
          <w:cols w:equalWidth="0" w:num="1">
            <w:col w:w="11240"/>
          </w:cols>
          <w:pgMar w:left="320" w:top="459" w:right="339" w:bottom="1440" w:gutter="0" w:footer="0" w:header="0"/>
        </w:sectPr>
      </w:pPr>
    </w:p>
    <w:bookmarkStart w:id="200" w:name="page201"/>
    <w:bookmarkEnd w:id="20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240" w:type="dxa"/>
            <w:vAlign w:val="bottom"/>
            <w:gridSpan w:val="3"/>
          </w:tcPr>
          <w:p>
            <w:pPr>
              <w:ind w:left="4020"/>
              <w:spacing w:after="0"/>
              <w:rPr>
                <w:sz w:val="20"/>
                <w:szCs w:val="20"/>
                <w:color w:val="auto"/>
              </w:rPr>
            </w:pPr>
            <w:r>
              <w:rPr>
                <w:rFonts w:ascii="Arial" w:cs="Arial" w:eastAsia="Arial" w:hAnsi="Arial"/>
                <w:sz w:val="18"/>
                <w:szCs w:val="18"/>
                <w:b w:val="1"/>
                <w:bCs w:val="1"/>
                <w:color w:val="auto"/>
              </w:rPr>
              <w:t>EXHIBIT INDEX</w:t>
            </w:r>
          </w:p>
        </w:tc>
        <w:tc>
          <w:tcPr>
            <w:tcW w:w="0" w:type="dxa"/>
            <w:vAlign w:val="bottom"/>
          </w:tcPr>
          <w:p>
            <w:pPr>
              <w:spacing w:after="0"/>
              <w:rPr>
                <w:sz w:val="1"/>
                <w:szCs w:val="1"/>
                <w:color w:val="auto"/>
              </w:rPr>
            </w:pPr>
          </w:p>
        </w:tc>
      </w:tr>
      <w:tr>
        <w:trPr>
          <w:trHeight w:val="369"/>
        </w:trPr>
        <w:tc>
          <w:tcPr>
            <w:tcW w:w="40" w:type="dxa"/>
            <w:vAlign w:val="bottom"/>
          </w:tcPr>
          <w:p>
            <w:pPr>
              <w:spacing w:after="0"/>
              <w:rPr>
                <w:sz w:val="24"/>
                <w:szCs w:val="24"/>
                <w:color w:val="auto"/>
              </w:rPr>
            </w:pPr>
          </w:p>
        </w:tc>
        <w:tc>
          <w:tcPr>
            <w:tcW w:w="86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4"/>
              </w:rPr>
              <w:t>Exhibit</w:t>
            </w:r>
          </w:p>
        </w:tc>
        <w:tc>
          <w:tcPr>
            <w:tcW w:w="10240" w:type="dxa"/>
            <w:vAlign w:val="bottom"/>
            <w:gridSpan w:val="3"/>
            <w:vMerge w:val="restart"/>
          </w:tcPr>
          <w:p>
            <w:pPr>
              <w:ind w:left="4980"/>
              <w:spacing w:after="0"/>
              <w:rPr>
                <w:sz w:val="20"/>
                <w:szCs w:val="20"/>
                <w:color w:val="auto"/>
              </w:rPr>
            </w:pPr>
            <w:r>
              <w:rPr>
                <w:rFonts w:ascii="Arial" w:cs="Arial" w:eastAsia="Arial" w:hAnsi="Arial"/>
                <w:sz w:val="14"/>
                <w:szCs w:val="14"/>
                <w:b w:val="1"/>
                <w:bCs w:val="1"/>
                <w:color w:val="auto"/>
              </w:rPr>
              <w:t>Description</w:t>
            </w:r>
          </w:p>
        </w:tc>
        <w:tc>
          <w:tcPr>
            <w:tcW w:w="0" w:type="dxa"/>
            <w:vAlign w:val="bottom"/>
          </w:tcPr>
          <w:p>
            <w:pPr>
              <w:spacing w:after="0"/>
              <w:rPr>
                <w:sz w:val="1"/>
                <w:szCs w:val="1"/>
                <w:color w:val="auto"/>
              </w:rPr>
            </w:pPr>
          </w:p>
        </w:tc>
      </w:tr>
      <w:tr>
        <w:trPr>
          <w:trHeight w:val="185"/>
        </w:trPr>
        <w:tc>
          <w:tcPr>
            <w:tcW w:w="40" w:type="dxa"/>
            <w:vAlign w:val="bottom"/>
          </w:tcPr>
          <w:p>
            <w:pPr>
              <w:spacing w:after="0"/>
              <w:rPr>
                <w:sz w:val="16"/>
                <w:szCs w:val="16"/>
                <w:color w:val="auto"/>
              </w:rPr>
            </w:pPr>
          </w:p>
        </w:tc>
        <w:tc>
          <w:tcPr>
            <w:tcW w:w="86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8"/>
              </w:rPr>
              <w:t>Number</w:t>
            </w:r>
          </w:p>
        </w:tc>
        <w:tc>
          <w:tcPr>
            <w:tcW w:w="10240" w:type="dxa"/>
            <w:vAlign w:val="bottom"/>
            <w:gridSpan w:val="3"/>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304"/>
        </w:trPr>
        <w:tc>
          <w:tcPr>
            <w:tcW w:w="40" w:type="dxa"/>
            <w:vAlign w:val="bottom"/>
          </w:tcPr>
          <w:p>
            <w:pPr>
              <w:spacing w:after="0"/>
              <w:rPr>
                <w:sz w:val="24"/>
                <w:szCs w:val="24"/>
                <w:color w:val="auto"/>
              </w:rPr>
            </w:pPr>
          </w:p>
        </w:tc>
        <w:tc>
          <w:tcPr>
            <w:tcW w:w="500" w:type="dxa"/>
            <w:vAlign w:val="bottom"/>
            <w:tcBorders>
              <w:top w:val="single" w:sz="8" w:color="auto"/>
            </w:tcBorders>
          </w:tcPr>
          <w:p>
            <w:pPr>
              <w:ind w:left="60"/>
              <w:spacing w:after="0"/>
              <w:rPr>
                <w:sz w:val="20"/>
                <w:szCs w:val="20"/>
                <w:color w:val="auto"/>
              </w:rPr>
            </w:pPr>
            <w:r>
              <w:rPr>
                <w:rFonts w:ascii="Arial" w:cs="Arial" w:eastAsia="Arial" w:hAnsi="Arial"/>
                <w:sz w:val="18"/>
                <w:szCs w:val="18"/>
                <w:color w:val="auto"/>
              </w:rPr>
              <w:t>1.1*</w:t>
            </w:r>
          </w:p>
        </w:tc>
        <w:tc>
          <w:tcPr>
            <w:tcW w:w="360" w:type="dxa"/>
            <w:vAlign w:val="bottom"/>
          </w:tcPr>
          <w:p>
            <w:pPr>
              <w:spacing w:after="0"/>
              <w:rPr>
                <w:sz w:val="24"/>
                <w:szCs w:val="24"/>
                <w:color w:val="auto"/>
              </w:rPr>
            </w:pPr>
          </w:p>
        </w:tc>
        <w:tc>
          <w:tcPr>
            <w:tcW w:w="5000" w:type="dxa"/>
            <w:vAlign w:val="bottom"/>
          </w:tcPr>
          <w:p>
            <w:pPr>
              <w:ind w:left="360"/>
              <w:spacing w:after="0"/>
              <w:rPr>
                <w:sz w:val="20"/>
                <w:szCs w:val="20"/>
                <w:color w:val="auto"/>
              </w:rPr>
            </w:pPr>
            <w:r>
              <w:rPr>
                <w:rFonts w:ascii="Arial" w:cs="Arial" w:eastAsia="Arial" w:hAnsi="Arial"/>
                <w:sz w:val="18"/>
                <w:szCs w:val="18"/>
                <w:color w:val="auto"/>
              </w:rPr>
              <w:t>Form of Underwriting Agreement.</w:t>
            </w:r>
          </w:p>
        </w:tc>
        <w:tc>
          <w:tcPr>
            <w:tcW w:w="700" w:type="dxa"/>
            <w:vAlign w:val="bottom"/>
            <w:tcBorders>
              <w:top w:val="single" w:sz="8" w:color="auto"/>
            </w:tcBorders>
          </w:tcPr>
          <w:p>
            <w:pPr>
              <w:spacing w:after="0"/>
              <w:rPr>
                <w:sz w:val="24"/>
                <w:szCs w:val="24"/>
                <w:color w:val="auto"/>
              </w:rPr>
            </w:pPr>
          </w:p>
        </w:tc>
        <w:tc>
          <w:tcPr>
            <w:tcW w:w="45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540" w:type="dxa"/>
            <w:vAlign w:val="bottom"/>
            <w:gridSpan w:val="2"/>
          </w:tcPr>
          <w:p>
            <w:pPr>
              <w:ind w:left="100"/>
              <w:spacing w:after="0"/>
              <w:rPr>
                <w:sz w:val="20"/>
                <w:szCs w:val="20"/>
                <w:color w:val="auto"/>
              </w:rPr>
            </w:pPr>
            <w:r>
              <w:rPr>
                <w:rFonts w:ascii="Arial" w:cs="Arial" w:eastAsia="Arial" w:hAnsi="Arial"/>
                <w:sz w:val="18"/>
                <w:szCs w:val="18"/>
                <w:color w:val="auto"/>
              </w:rPr>
              <w:t>3.1</w:t>
            </w:r>
            <w:r>
              <w:rPr>
                <w:rFonts w:ascii="Arial" w:cs="Arial" w:eastAsia="Arial" w:hAnsi="Arial"/>
                <w:sz w:val="15"/>
                <w:szCs w:val="15"/>
                <w:color w:val="auto"/>
              </w:rPr>
              <w:t>#</w:t>
            </w:r>
          </w:p>
        </w:tc>
        <w:tc>
          <w:tcPr>
            <w:tcW w:w="360" w:type="dxa"/>
            <w:vAlign w:val="bottom"/>
          </w:tcPr>
          <w:p>
            <w:pPr>
              <w:spacing w:after="0"/>
              <w:rPr>
                <w:sz w:val="24"/>
                <w:szCs w:val="24"/>
                <w:color w:val="auto"/>
              </w:rPr>
            </w:pPr>
          </w:p>
        </w:tc>
        <w:tc>
          <w:tcPr>
            <w:tcW w:w="10240" w:type="dxa"/>
            <w:vAlign w:val="bottom"/>
            <w:gridSpan w:val="3"/>
          </w:tcPr>
          <w:p>
            <w:pPr>
              <w:ind w:left="360"/>
              <w:spacing w:after="0"/>
              <w:rPr>
                <w:sz w:val="20"/>
                <w:szCs w:val="20"/>
                <w:color w:val="auto"/>
              </w:rPr>
            </w:pPr>
            <w:r>
              <w:rPr>
                <w:rFonts w:ascii="Arial" w:cs="Arial" w:eastAsia="Arial" w:hAnsi="Arial"/>
                <w:sz w:val="18"/>
                <w:szCs w:val="18"/>
                <w:color w:val="auto"/>
              </w:rPr>
              <w:t>Restated Certificate of Incorporation of the Registrant, as amended and currently in effect.</w:t>
            </w:r>
          </w:p>
        </w:tc>
        <w:tc>
          <w:tcPr>
            <w:tcW w:w="0" w:type="dxa"/>
            <w:vAlign w:val="bottom"/>
          </w:tcPr>
          <w:p>
            <w:pPr>
              <w:spacing w:after="0"/>
              <w:rPr>
                <w:sz w:val="1"/>
                <w:szCs w:val="1"/>
                <w:color w:val="auto"/>
              </w:rPr>
            </w:pPr>
          </w:p>
        </w:tc>
      </w:tr>
      <w:tr>
        <w:trPr>
          <w:trHeight w:val="324"/>
        </w:trPr>
        <w:tc>
          <w:tcPr>
            <w:tcW w:w="540" w:type="dxa"/>
            <w:vAlign w:val="bottom"/>
            <w:gridSpan w:val="2"/>
          </w:tcPr>
          <w:p>
            <w:pPr>
              <w:ind w:left="100"/>
              <w:spacing w:after="0"/>
              <w:rPr>
                <w:sz w:val="20"/>
                <w:szCs w:val="20"/>
                <w:color w:val="auto"/>
              </w:rPr>
            </w:pPr>
            <w:r>
              <w:rPr>
                <w:rFonts w:ascii="Arial" w:cs="Arial" w:eastAsia="Arial" w:hAnsi="Arial"/>
                <w:sz w:val="18"/>
                <w:szCs w:val="18"/>
                <w:color w:val="auto"/>
              </w:rPr>
              <w:t>3.2</w:t>
            </w:r>
            <w:r>
              <w:rPr>
                <w:rFonts w:ascii="Arial" w:cs="Arial" w:eastAsia="Arial" w:hAnsi="Arial"/>
                <w:sz w:val="15"/>
                <w:szCs w:val="15"/>
                <w:color w:val="auto"/>
              </w:rPr>
              <w:t>#</w:t>
            </w:r>
          </w:p>
        </w:tc>
        <w:tc>
          <w:tcPr>
            <w:tcW w:w="360" w:type="dxa"/>
            <w:vAlign w:val="bottom"/>
          </w:tcPr>
          <w:p>
            <w:pPr>
              <w:spacing w:after="0"/>
              <w:rPr>
                <w:sz w:val="24"/>
                <w:szCs w:val="24"/>
                <w:color w:val="auto"/>
              </w:rPr>
            </w:pPr>
          </w:p>
        </w:tc>
        <w:tc>
          <w:tcPr>
            <w:tcW w:w="10240" w:type="dxa"/>
            <w:vAlign w:val="bottom"/>
            <w:gridSpan w:val="3"/>
          </w:tcPr>
          <w:p>
            <w:pPr>
              <w:ind w:left="360"/>
              <w:spacing w:after="0"/>
              <w:rPr>
                <w:sz w:val="20"/>
                <w:szCs w:val="20"/>
                <w:color w:val="auto"/>
              </w:rPr>
            </w:pPr>
            <w:r>
              <w:rPr>
                <w:rFonts w:ascii="Arial" w:cs="Arial" w:eastAsia="Arial" w:hAnsi="Arial"/>
                <w:sz w:val="18"/>
                <w:szCs w:val="18"/>
                <w:color w:val="auto"/>
              </w:rPr>
              <w:t>Certificate of Amendment to the Restated Certificate of Incorporation, as filed on April 4, 2014.</w:t>
            </w:r>
          </w:p>
        </w:tc>
        <w:tc>
          <w:tcPr>
            <w:tcW w:w="0" w:type="dxa"/>
            <w:vAlign w:val="bottom"/>
          </w:tcPr>
          <w:p>
            <w:pPr>
              <w:spacing w:after="0"/>
              <w:rPr>
                <w:sz w:val="1"/>
                <w:szCs w:val="1"/>
                <w:color w:val="auto"/>
              </w:rPr>
            </w:pPr>
          </w:p>
        </w:tc>
      </w:tr>
      <w:tr>
        <w:trPr>
          <w:trHeight w:val="324"/>
        </w:trPr>
        <w:tc>
          <w:tcPr>
            <w:tcW w:w="540" w:type="dxa"/>
            <w:vAlign w:val="bottom"/>
            <w:gridSpan w:val="2"/>
          </w:tcPr>
          <w:p>
            <w:pPr>
              <w:ind w:left="100"/>
              <w:spacing w:after="0"/>
              <w:rPr>
                <w:sz w:val="20"/>
                <w:szCs w:val="20"/>
                <w:color w:val="auto"/>
              </w:rPr>
            </w:pPr>
            <w:r>
              <w:rPr>
                <w:rFonts w:ascii="Arial" w:cs="Arial" w:eastAsia="Arial" w:hAnsi="Arial"/>
                <w:sz w:val="18"/>
                <w:szCs w:val="18"/>
                <w:color w:val="auto"/>
              </w:rPr>
              <w:t>3.3</w:t>
            </w:r>
            <w:r>
              <w:rPr>
                <w:rFonts w:ascii="Arial" w:cs="Arial" w:eastAsia="Arial" w:hAnsi="Arial"/>
                <w:sz w:val="15"/>
                <w:szCs w:val="15"/>
                <w:color w:val="auto"/>
              </w:rPr>
              <w:t>#</w:t>
            </w:r>
          </w:p>
        </w:tc>
        <w:tc>
          <w:tcPr>
            <w:tcW w:w="360" w:type="dxa"/>
            <w:vAlign w:val="bottom"/>
          </w:tcPr>
          <w:p>
            <w:pPr>
              <w:spacing w:after="0"/>
              <w:rPr>
                <w:sz w:val="24"/>
                <w:szCs w:val="24"/>
                <w:color w:val="auto"/>
              </w:rPr>
            </w:pPr>
          </w:p>
        </w:tc>
        <w:tc>
          <w:tcPr>
            <w:tcW w:w="10240" w:type="dxa"/>
            <w:vAlign w:val="bottom"/>
            <w:gridSpan w:val="3"/>
          </w:tcPr>
          <w:p>
            <w:pPr>
              <w:ind w:left="360"/>
              <w:spacing w:after="0"/>
              <w:rPr>
                <w:sz w:val="20"/>
                <w:szCs w:val="20"/>
                <w:color w:val="auto"/>
              </w:rPr>
            </w:pPr>
            <w:r>
              <w:rPr>
                <w:rFonts w:ascii="Arial" w:cs="Arial" w:eastAsia="Arial" w:hAnsi="Arial"/>
                <w:sz w:val="18"/>
                <w:szCs w:val="18"/>
                <w:color w:val="auto"/>
              </w:rPr>
              <w:t>Certificate of Amendment to the Restated Certificate of Incorporation, as filed on April 21, 2016.</w:t>
            </w:r>
          </w:p>
        </w:tc>
        <w:tc>
          <w:tcPr>
            <w:tcW w:w="0" w:type="dxa"/>
            <w:vAlign w:val="bottom"/>
          </w:tcPr>
          <w:p>
            <w:pPr>
              <w:spacing w:after="0"/>
              <w:rPr>
                <w:sz w:val="1"/>
                <w:szCs w:val="1"/>
                <w:color w:val="auto"/>
              </w:rPr>
            </w:pPr>
          </w:p>
        </w:tc>
      </w:tr>
      <w:tr>
        <w:trPr>
          <w:trHeight w:val="324"/>
        </w:trPr>
        <w:tc>
          <w:tcPr>
            <w:tcW w:w="540" w:type="dxa"/>
            <w:vAlign w:val="bottom"/>
            <w:gridSpan w:val="2"/>
          </w:tcPr>
          <w:p>
            <w:pPr>
              <w:ind w:left="100"/>
              <w:spacing w:after="0"/>
              <w:rPr>
                <w:sz w:val="20"/>
                <w:szCs w:val="20"/>
                <w:color w:val="auto"/>
              </w:rPr>
            </w:pPr>
            <w:r>
              <w:rPr>
                <w:rFonts w:ascii="Arial" w:cs="Arial" w:eastAsia="Arial" w:hAnsi="Arial"/>
                <w:sz w:val="18"/>
                <w:szCs w:val="18"/>
                <w:color w:val="auto"/>
              </w:rPr>
              <w:t>3.4*</w:t>
            </w:r>
          </w:p>
        </w:tc>
        <w:tc>
          <w:tcPr>
            <w:tcW w:w="360" w:type="dxa"/>
            <w:vAlign w:val="bottom"/>
          </w:tcPr>
          <w:p>
            <w:pPr>
              <w:spacing w:after="0"/>
              <w:rPr>
                <w:sz w:val="24"/>
                <w:szCs w:val="24"/>
                <w:color w:val="auto"/>
              </w:rPr>
            </w:pPr>
          </w:p>
        </w:tc>
        <w:tc>
          <w:tcPr>
            <w:tcW w:w="10240" w:type="dxa"/>
            <w:vAlign w:val="bottom"/>
            <w:gridSpan w:val="3"/>
          </w:tcPr>
          <w:p>
            <w:pPr>
              <w:ind w:left="360"/>
              <w:spacing w:after="0"/>
              <w:rPr>
                <w:sz w:val="20"/>
                <w:szCs w:val="20"/>
                <w:color w:val="auto"/>
              </w:rPr>
            </w:pPr>
            <w:r>
              <w:rPr>
                <w:rFonts w:ascii="Arial" w:cs="Arial" w:eastAsia="Arial" w:hAnsi="Arial"/>
                <w:sz w:val="18"/>
                <w:szCs w:val="18"/>
                <w:color w:val="auto"/>
                <w:w w:val="99"/>
              </w:rPr>
              <w:t>Form of Amended and Restated Certificate of Incorporation of the Registrant, to be in effect upon completion of this offering.</w:t>
            </w:r>
          </w:p>
        </w:tc>
        <w:tc>
          <w:tcPr>
            <w:tcW w:w="0" w:type="dxa"/>
            <w:vAlign w:val="bottom"/>
          </w:tcPr>
          <w:p>
            <w:pPr>
              <w:spacing w:after="0"/>
              <w:rPr>
                <w:sz w:val="1"/>
                <w:szCs w:val="1"/>
                <w:color w:val="auto"/>
              </w:rPr>
            </w:pPr>
          </w:p>
        </w:tc>
      </w:tr>
      <w:tr>
        <w:trPr>
          <w:trHeight w:val="324"/>
        </w:trPr>
        <w:tc>
          <w:tcPr>
            <w:tcW w:w="540" w:type="dxa"/>
            <w:vAlign w:val="bottom"/>
            <w:gridSpan w:val="2"/>
          </w:tcPr>
          <w:p>
            <w:pPr>
              <w:ind w:left="100"/>
              <w:spacing w:after="0"/>
              <w:rPr>
                <w:sz w:val="20"/>
                <w:szCs w:val="20"/>
                <w:color w:val="auto"/>
              </w:rPr>
            </w:pPr>
            <w:r>
              <w:rPr>
                <w:rFonts w:ascii="Arial" w:cs="Arial" w:eastAsia="Arial" w:hAnsi="Arial"/>
                <w:sz w:val="18"/>
                <w:szCs w:val="18"/>
                <w:color w:val="auto"/>
              </w:rPr>
              <w:t>3.5</w:t>
            </w:r>
            <w:r>
              <w:rPr>
                <w:rFonts w:ascii="Arial" w:cs="Arial" w:eastAsia="Arial" w:hAnsi="Arial"/>
                <w:sz w:val="15"/>
                <w:szCs w:val="15"/>
                <w:color w:val="auto"/>
              </w:rPr>
              <w:t>#</w:t>
            </w:r>
          </w:p>
        </w:tc>
        <w:tc>
          <w:tcPr>
            <w:tcW w:w="360" w:type="dxa"/>
            <w:vAlign w:val="bottom"/>
          </w:tcPr>
          <w:p>
            <w:pPr>
              <w:spacing w:after="0"/>
              <w:rPr>
                <w:sz w:val="24"/>
                <w:szCs w:val="24"/>
                <w:color w:val="auto"/>
              </w:rPr>
            </w:pPr>
          </w:p>
        </w:tc>
        <w:tc>
          <w:tcPr>
            <w:tcW w:w="10240" w:type="dxa"/>
            <w:vAlign w:val="bottom"/>
            <w:gridSpan w:val="3"/>
          </w:tcPr>
          <w:p>
            <w:pPr>
              <w:ind w:left="360"/>
              <w:spacing w:after="0"/>
              <w:rPr>
                <w:sz w:val="20"/>
                <w:szCs w:val="20"/>
                <w:color w:val="auto"/>
              </w:rPr>
            </w:pPr>
            <w:r>
              <w:rPr>
                <w:rFonts w:ascii="Arial" w:cs="Arial" w:eastAsia="Arial" w:hAnsi="Arial"/>
                <w:sz w:val="18"/>
                <w:szCs w:val="18"/>
                <w:color w:val="auto"/>
              </w:rPr>
              <w:t>Bylaws of the Registrant, as amended and currently in effect.</w:t>
            </w:r>
          </w:p>
        </w:tc>
        <w:tc>
          <w:tcPr>
            <w:tcW w:w="0" w:type="dxa"/>
            <w:vAlign w:val="bottom"/>
          </w:tcPr>
          <w:p>
            <w:pPr>
              <w:spacing w:after="0"/>
              <w:rPr>
                <w:sz w:val="1"/>
                <w:szCs w:val="1"/>
                <w:color w:val="auto"/>
              </w:rPr>
            </w:pPr>
          </w:p>
        </w:tc>
      </w:tr>
      <w:tr>
        <w:trPr>
          <w:trHeight w:val="324"/>
        </w:trPr>
        <w:tc>
          <w:tcPr>
            <w:tcW w:w="540" w:type="dxa"/>
            <w:vAlign w:val="bottom"/>
            <w:gridSpan w:val="2"/>
          </w:tcPr>
          <w:p>
            <w:pPr>
              <w:ind w:left="100"/>
              <w:spacing w:after="0"/>
              <w:rPr>
                <w:sz w:val="20"/>
                <w:szCs w:val="20"/>
                <w:color w:val="auto"/>
              </w:rPr>
            </w:pPr>
            <w:r>
              <w:rPr>
                <w:rFonts w:ascii="Arial" w:cs="Arial" w:eastAsia="Arial" w:hAnsi="Arial"/>
                <w:sz w:val="18"/>
                <w:szCs w:val="18"/>
                <w:color w:val="auto"/>
              </w:rPr>
              <w:t>3.6*</w:t>
            </w:r>
          </w:p>
        </w:tc>
        <w:tc>
          <w:tcPr>
            <w:tcW w:w="360" w:type="dxa"/>
            <w:vAlign w:val="bottom"/>
          </w:tcPr>
          <w:p>
            <w:pPr>
              <w:spacing w:after="0"/>
              <w:rPr>
                <w:sz w:val="24"/>
                <w:szCs w:val="24"/>
                <w:color w:val="auto"/>
              </w:rPr>
            </w:pPr>
          </w:p>
        </w:tc>
        <w:tc>
          <w:tcPr>
            <w:tcW w:w="10240" w:type="dxa"/>
            <w:vAlign w:val="bottom"/>
            <w:gridSpan w:val="3"/>
          </w:tcPr>
          <w:p>
            <w:pPr>
              <w:ind w:left="360"/>
              <w:spacing w:after="0"/>
              <w:rPr>
                <w:sz w:val="20"/>
                <w:szCs w:val="20"/>
                <w:color w:val="auto"/>
              </w:rPr>
            </w:pPr>
            <w:r>
              <w:rPr>
                <w:rFonts w:ascii="Arial" w:cs="Arial" w:eastAsia="Arial" w:hAnsi="Arial"/>
                <w:sz w:val="18"/>
                <w:szCs w:val="18"/>
                <w:color w:val="auto"/>
              </w:rPr>
              <w:t>Form of Amended and Restated Bylaws of the Registrant, to be in effect upon completion of this offering.</w:t>
            </w:r>
          </w:p>
        </w:tc>
        <w:tc>
          <w:tcPr>
            <w:tcW w:w="0" w:type="dxa"/>
            <w:vAlign w:val="bottom"/>
          </w:tcPr>
          <w:p>
            <w:pPr>
              <w:spacing w:after="0"/>
              <w:rPr>
                <w:sz w:val="1"/>
                <w:szCs w:val="1"/>
                <w:color w:val="auto"/>
              </w:rPr>
            </w:pPr>
          </w:p>
        </w:tc>
      </w:tr>
      <w:tr>
        <w:trPr>
          <w:trHeight w:val="324"/>
        </w:trPr>
        <w:tc>
          <w:tcPr>
            <w:tcW w:w="540" w:type="dxa"/>
            <w:vAlign w:val="bottom"/>
            <w:gridSpan w:val="2"/>
          </w:tcPr>
          <w:p>
            <w:pPr>
              <w:ind w:left="100"/>
              <w:spacing w:after="0"/>
              <w:rPr>
                <w:sz w:val="20"/>
                <w:szCs w:val="20"/>
                <w:color w:val="auto"/>
              </w:rPr>
            </w:pPr>
            <w:r>
              <w:rPr>
                <w:rFonts w:ascii="Arial" w:cs="Arial" w:eastAsia="Arial" w:hAnsi="Arial"/>
                <w:sz w:val="18"/>
                <w:szCs w:val="18"/>
                <w:color w:val="auto"/>
              </w:rPr>
              <w:t>4.1*</w:t>
            </w:r>
          </w:p>
        </w:tc>
        <w:tc>
          <w:tcPr>
            <w:tcW w:w="360" w:type="dxa"/>
            <w:vAlign w:val="bottom"/>
          </w:tcPr>
          <w:p>
            <w:pPr>
              <w:spacing w:after="0"/>
              <w:rPr>
                <w:sz w:val="24"/>
                <w:szCs w:val="24"/>
                <w:color w:val="auto"/>
              </w:rPr>
            </w:pPr>
          </w:p>
        </w:tc>
        <w:tc>
          <w:tcPr>
            <w:tcW w:w="10240" w:type="dxa"/>
            <w:vAlign w:val="bottom"/>
            <w:gridSpan w:val="3"/>
          </w:tcPr>
          <w:p>
            <w:pPr>
              <w:ind w:left="360"/>
              <w:spacing w:after="0"/>
              <w:rPr>
                <w:sz w:val="20"/>
                <w:szCs w:val="20"/>
                <w:color w:val="auto"/>
              </w:rPr>
            </w:pPr>
            <w:r>
              <w:rPr>
                <w:rFonts w:ascii="Arial" w:cs="Arial" w:eastAsia="Arial" w:hAnsi="Arial"/>
                <w:sz w:val="18"/>
                <w:szCs w:val="18"/>
                <w:color w:val="auto"/>
              </w:rPr>
              <w:t>Form of common stock certificate of the Registrant.</w:t>
            </w:r>
          </w:p>
        </w:tc>
        <w:tc>
          <w:tcPr>
            <w:tcW w:w="0" w:type="dxa"/>
            <w:vAlign w:val="bottom"/>
          </w:tcPr>
          <w:p>
            <w:pPr>
              <w:spacing w:after="0"/>
              <w:rPr>
                <w:sz w:val="1"/>
                <w:szCs w:val="1"/>
                <w:color w:val="auto"/>
              </w:rPr>
            </w:pPr>
          </w:p>
        </w:tc>
      </w:tr>
      <w:tr>
        <w:trPr>
          <w:trHeight w:val="310"/>
        </w:trPr>
        <w:tc>
          <w:tcPr>
            <w:tcW w:w="540" w:type="dxa"/>
            <w:vAlign w:val="bottom"/>
            <w:gridSpan w:val="2"/>
          </w:tcPr>
          <w:p>
            <w:pPr>
              <w:ind w:left="100"/>
              <w:spacing w:after="0"/>
              <w:rPr>
                <w:sz w:val="20"/>
                <w:szCs w:val="20"/>
                <w:color w:val="auto"/>
              </w:rPr>
            </w:pPr>
            <w:r>
              <w:rPr>
                <w:rFonts w:ascii="Arial" w:cs="Arial" w:eastAsia="Arial" w:hAnsi="Arial"/>
                <w:sz w:val="18"/>
                <w:szCs w:val="18"/>
                <w:color w:val="auto"/>
              </w:rPr>
              <w:t>4.2*</w:t>
            </w:r>
          </w:p>
        </w:tc>
        <w:tc>
          <w:tcPr>
            <w:tcW w:w="360" w:type="dxa"/>
            <w:vAlign w:val="bottom"/>
          </w:tcPr>
          <w:p>
            <w:pPr>
              <w:spacing w:after="0"/>
              <w:rPr>
                <w:sz w:val="24"/>
                <w:szCs w:val="24"/>
                <w:color w:val="auto"/>
              </w:rPr>
            </w:pPr>
          </w:p>
        </w:tc>
        <w:tc>
          <w:tcPr>
            <w:tcW w:w="10240" w:type="dxa"/>
            <w:vAlign w:val="bottom"/>
            <w:gridSpan w:val="3"/>
          </w:tcPr>
          <w:p>
            <w:pPr>
              <w:ind w:left="360"/>
              <w:spacing w:after="0"/>
              <w:rPr>
                <w:sz w:val="20"/>
                <w:szCs w:val="20"/>
                <w:color w:val="auto"/>
              </w:rPr>
            </w:pPr>
            <w:r>
              <w:rPr>
                <w:rFonts w:ascii="Arial" w:cs="Arial" w:eastAsia="Arial" w:hAnsi="Arial"/>
                <w:sz w:val="18"/>
                <w:szCs w:val="18"/>
                <w:color w:val="auto"/>
                <w:w w:val="89"/>
              </w:rPr>
              <w:t>Amended and Restated Investors’ Rights Agreement among the Registrant and certain holders of its capital stock, dated as of January 30,</w:t>
            </w:r>
          </w:p>
        </w:tc>
        <w:tc>
          <w:tcPr>
            <w:tcW w:w="0" w:type="dxa"/>
            <w:vAlign w:val="bottom"/>
          </w:tcPr>
          <w:p>
            <w:pPr>
              <w:spacing w:after="0"/>
              <w:rPr>
                <w:sz w:val="1"/>
                <w:szCs w:val="1"/>
                <w:color w:val="auto"/>
              </w:rPr>
            </w:pPr>
          </w:p>
        </w:tc>
      </w:tr>
      <w:tr>
        <w:trPr>
          <w:trHeight w:val="230"/>
        </w:trPr>
        <w:tc>
          <w:tcPr>
            <w:tcW w:w="4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240" w:type="dxa"/>
            <w:vAlign w:val="bottom"/>
            <w:gridSpan w:val="3"/>
          </w:tcPr>
          <w:p>
            <w:pPr>
              <w:ind w:left="360"/>
              <w:spacing w:after="0"/>
              <w:rPr>
                <w:sz w:val="20"/>
                <w:szCs w:val="20"/>
                <w:color w:val="auto"/>
              </w:rPr>
            </w:pPr>
            <w:r>
              <w:rPr>
                <w:rFonts w:ascii="Arial" w:cs="Arial" w:eastAsia="Arial" w:hAnsi="Arial"/>
                <w:sz w:val="18"/>
                <w:szCs w:val="18"/>
                <w:color w:val="auto"/>
              </w:rPr>
              <w:t>2014, as amended.</w:t>
            </w:r>
          </w:p>
        </w:tc>
        <w:tc>
          <w:tcPr>
            <w:tcW w:w="0" w:type="dxa"/>
            <w:vAlign w:val="bottom"/>
          </w:tcPr>
          <w:p>
            <w:pPr>
              <w:spacing w:after="0"/>
              <w:rPr>
                <w:sz w:val="1"/>
                <w:szCs w:val="1"/>
                <w:color w:val="auto"/>
              </w:rPr>
            </w:pPr>
          </w:p>
        </w:tc>
      </w:tr>
      <w:tr>
        <w:trPr>
          <w:trHeight w:val="324"/>
        </w:trPr>
        <w:tc>
          <w:tcPr>
            <w:tcW w:w="540" w:type="dxa"/>
            <w:vAlign w:val="bottom"/>
            <w:gridSpan w:val="2"/>
          </w:tcPr>
          <w:p>
            <w:pPr>
              <w:ind w:left="100"/>
              <w:spacing w:after="0"/>
              <w:rPr>
                <w:sz w:val="20"/>
                <w:szCs w:val="20"/>
                <w:color w:val="auto"/>
              </w:rPr>
            </w:pPr>
            <w:r>
              <w:rPr>
                <w:rFonts w:ascii="Arial" w:cs="Arial" w:eastAsia="Arial" w:hAnsi="Arial"/>
                <w:sz w:val="18"/>
                <w:szCs w:val="18"/>
                <w:color w:val="auto"/>
              </w:rPr>
              <w:t>5.1*</w:t>
            </w:r>
          </w:p>
        </w:tc>
        <w:tc>
          <w:tcPr>
            <w:tcW w:w="360" w:type="dxa"/>
            <w:vAlign w:val="bottom"/>
          </w:tcPr>
          <w:p>
            <w:pPr>
              <w:spacing w:after="0"/>
              <w:rPr>
                <w:sz w:val="24"/>
                <w:szCs w:val="24"/>
                <w:color w:val="auto"/>
              </w:rPr>
            </w:pPr>
          </w:p>
        </w:tc>
        <w:tc>
          <w:tcPr>
            <w:tcW w:w="10240" w:type="dxa"/>
            <w:vAlign w:val="bottom"/>
            <w:gridSpan w:val="3"/>
          </w:tcPr>
          <w:p>
            <w:pPr>
              <w:ind w:left="360"/>
              <w:spacing w:after="0"/>
              <w:rPr>
                <w:sz w:val="20"/>
                <w:szCs w:val="20"/>
                <w:color w:val="auto"/>
              </w:rPr>
            </w:pPr>
            <w:r>
              <w:rPr>
                <w:rFonts w:ascii="Arial" w:cs="Arial" w:eastAsia="Arial" w:hAnsi="Arial"/>
                <w:sz w:val="18"/>
                <w:szCs w:val="18"/>
                <w:color w:val="auto"/>
              </w:rPr>
              <w:t>Opinion of Wilson Sonsini Goodrich &amp; Rosati, P.C.</w:t>
            </w:r>
          </w:p>
        </w:tc>
        <w:tc>
          <w:tcPr>
            <w:tcW w:w="0" w:type="dxa"/>
            <w:vAlign w:val="bottom"/>
          </w:tcPr>
          <w:p>
            <w:pPr>
              <w:spacing w:after="0"/>
              <w:rPr>
                <w:sz w:val="1"/>
                <w:szCs w:val="1"/>
                <w:color w:val="auto"/>
              </w:rPr>
            </w:pPr>
          </w:p>
        </w:tc>
      </w:tr>
      <w:tr>
        <w:trPr>
          <w:trHeight w:val="324"/>
        </w:trPr>
        <w:tc>
          <w:tcPr>
            <w:tcW w:w="540" w:type="dxa"/>
            <w:vAlign w:val="bottom"/>
            <w:gridSpan w:val="2"/>
          </w:tcPr>
          <w:p>
            <w:pPr>
              <w:spacing w:after="0"/>
              <w:rPr>
                <w:sz w:val="20"/>
                <w:szCs w:val="20"/>
                <w:color w:val="auto"/>
              </w:rPr>
            </w:pPr>
            <w:r>
              <w:rPr>
                <w:rFonts w:ascii="Arial" w:cs="Arial" w:eastAsia="Arial" w:hAnsi="Arial"/>
                <w:sz w:val="18"/>
                <w:szCs w:val="18"/>
                <w:color w:val="auto"/>
                <w:w w:val="98"/>
              </w:rPr>
              <w:t>10.1+*</w:t>
            </w:r>
          </w:p>
        </w:tc>
        <w:tc>
          <w:tcPr>
            <w:tcW w:w="360" w:type="dxa"/>
            <w:vAlign w:val="bottom"/>
          </w:tcPr>
          <w:p>
            <w:pPr>
              <w:spacing w:after="0"/>
              <w:rPr>
                <w:sz w:val="24"/>
                <w:szCs w:val="24"/>
                <w:color w:val="auto"/>
              </w:rPr>
            </w:pPr>
          </w:p>
        </w:tc>
        <w:tc>
          <w:tcPr>
            <w:tcW w:w="10240" w:type="dxa"/>
            <w:vAlign w:val="bottom"/>
            <w:gridSpan w:val="3"/>
          </w:tcPr>
          <w:p>
            <w:pPr>
              <w:ind w:left="360"/>
              <w:spacing w:after="0"/>
              <w:rPr>
                <w:sz w:val="20"/>
                <w:szCs w:val="20"/>
                <w:color w:val="auto"/>
              </w:rPr>
            </w:pPr>
            <w:r>
              <w:rPr>
                <w:rFonts w:ascii="Arial" w:cs="Arial" w:eastAsia="Arial" w:hAnsi="Arial"/>
                <w:sz w:val="18"/>
                <w:szCs w:val="18"/>
                <w:color w:val="auto"/>
              </w:rPr>
              <w:t>Form of Indemnification Agreement between the Registrant and each of its directors and executive officers.</w:t>
            </w:r>
          </w:p>
        </w:tc>
        <w:tc>
          <w:tcPr>
            <w:tcW w:w="0" w:type="dxa"/>
            <w:vAlign w:val="bottom"/>
          </w:tcPr>
          <w:p>
            <w:pPr>
              <w:spacing w:after="0"/>
              <w:rPr>
                <w:sz w:val="1"/>
                <w:szCs w:val="1"/>
                <w:color w:val="auto"/>
              </w:rPr>
            </w:pPr>
          </w:p>
        </w:tc>
      </w:tr>
      <w:tr>
        <w:trPr>
          <w:trHeight w:val="324"/>
        </w:trPr>
        <w:tc>
          <w:tcPr>
            <w:tcW w:w="540" w:type="dxa"/>
            <w:vAlign w:val="bottom"/>
            <w:gridSpan w:val="2"/>
          </w:tcPr>
          <w:p>
            <w:pPr>
              <w:spacing w:after="0"/>
              <w:rPr>
                <w:sz w:val="20"/>
                <w:szCs w:val="20"/>
                <w:color w:val="auto"/>
              </w:rPr>
            </w:pPr>
            <w:r>
              <w:rPr>
                <w:rFonts w:ascii="Arial" w:cs="Arial" w:eastAsia="Arial" w:hAnsi="Arial"/>
                <w:sz w:val="18"/>
                <w:szCs w:val="18"/>
                <w:color w:val="auto"/>
                <w:w w:val="98"/>
              </w:rPr>
              <w:t>10.2+*</w:t>
            </w:r>
          </w:p>
        </w:tc>
        <w:tc>
          <w:tcPr>
            <w:tcW w:w="360" w:type="dxa"/>
            <w:vAlign w:val="bottom"/>
          </w:tcPr>
          <w:p>
            <w:pPr>
              <w:spacing w:after="0"/>
              <w:rPr>
                <w:sz w:val="24"/>
                <w:szCs w:val="24"/>
                <w:color w:val="auto"/>
              </w:rPr>
            </w:pPr>
          </w:p>
        </w:tc>
        <w:tc>
          <w:tcPr>
            <w:tcW w:w="10240" w:type="dxa"/>
            <w:vAlign w:val="bottom"/>
            <w:gridSpan w:val="3"/>
          </w:tcPr>
          <w:p>
            <w:pPr>
              <w:ind w:left="360"/>
              <w:spacing w:after="0"/>
              <w:rPr>
                <w:sz w:val="20"/>
                <w:szCs w:val="20"/>
                <w:color w:val="auto"/>
              </w:rPr>
            </w:pPr>
            <w:r>
              <w:rPr>
                <w:rFonts w:ascii="Arial" w:cs="Arial" w:eastAsia="Arial" w:hAnsi="Arial"/>
                <w:sz w:val="18"/>
                <w:szCs w:val="18"/>
                <w:color w:val="auto"/>
              </w:rPr>
              <w:t>Dropbox, Inc. 2018 Equity Incentive Plan and related form agreements.</w:t>
            </w:r>
          </w:p>
        </w:tc>
        <w:tc>
          <w:tcPr>
            <w:tcW w:w="0" w:type="dxa"/>
            <w:vAlign w:val="bottom"/>
          </w:tcPr>
          <w:p>
            <w:pPr>
              <w:spacing w:after="0"/>
              <w:rPr>
                <w:sz w:val="1"/>
                <w:szCs w:val="1"/>
                <w:color w:val="auto"/>
              </w:rPr>
            </w:pPr>
          </w:p>
        </w:tc>
      </w:tr>
      <w:tr>
        <w:trPr>
          <w:trHeight w:val="324"/>
        </w:trPr>
        <w:tc>
          <w:tcPr>
            <w:tcW w:w="540" w:type="dxa"/>
            <w:vAlign w:val="bottom"/>
            <w:gridSpan w:val="2"/>
          </w:tcPr>
          <w:p>
            <w:pPr>
              <w:spacing w:after="0"/>
              <w:rPr>
                <w:sz w:val="20"/>
                <w:szCs w:val="20"/>
                <w:color w:val="auto"/>
              </w:rPr>
            </w:pPr>
            <w:r>
              <w:rPr>
                <w:rFonts w:ascii="Arial" w:cs="Arial" w:eastAsia="Arial" w:hAnsi="Arial"/>
                <w:sz w:val="18"/>
                <w:szCs w:val="18"/>
                <w:color w:val="auto"/>
                <w:w w:val="98"/>
              </w:rPr>
              <w:t>10.3+*</w:t>
            </w:r>
          </w:p>
        </w:tc>
        <w:tc>
          <w:tcPr>
            <w:tcW w:w="360" w:type="dxa"/>
            <w:vAlign w:val="bottom"/>
          </w:tcPr>
          <w:p>
            <w:pPr>
              <w:spacing w:after="0"/>
              <w:rPr>
                <w:sz w:val="24"/>
                <w:szCs w:val="24"/>
                <w:color w:val="auto"/>
              </w:rPr>
            </w:pPr>
          </w:p>
        </w:tc>
        <w:tc>
          <w:tcPr>
            <w:tcW w:w="10240" w:type="dxa"/>
            <w:vAlign w:val="bottom"/>
            <w:gridSpan w:val="3"/>
          </w:tcPr>
          <w:p>
            <w:pPr>
              <w:ind w:left="360"/>
              <w:spacing w:after="0"/>
              <w:rPr>
                <w:sz w:val="20"/>
                <w:szCs w:val="20"/>
                <w:color w:val="auto"/>
              </w:rPr>
            </w:pPr>
            <w:r>
              <w:rPr>
                <w:rFonts w:ascii="Arial" w:cs="Arial" w:eastAsia="Arial" w:hAnsi="Arial"/>
                <w:sz w:val="18"/>
                <w:szCs w:val="18"/>
                <w:color w:val="auto"/>
              </w:rPr>
              <w:t>Dropbox, Inc. 2018 Employee Stock Purchase Plan and related form agreements.</w:t>
            </w:r>
          </w:p>
        </w:tc>
        <w:tc>
          <w:tcPr>
            <w:tcW w:w="0" w:type="dxa"/>
            <w:vAlign w:val="bottom"/>
          </w:tcPr>
          <w:p>
            <w:pPr>
              <w:spacing w:after="0"/>
              <w:rPr>
                <w:sz w:val="1"/>
                <w:szCs w:val="1"/>
                <w:color w:val="auto"/>
              </w:rPr>
            </w:pPr>
          </w:p>
        </w:tc>
      </w:tr>
      <w:tr>
        <w:trPr>
          <w:trHeight w:val="324"/>
        </w:trPr>
        <w:tc>
          <w:tcPr>
            <w:tcW w:w="540" w:type="dxa"/>
            <w:vAlign w:val="bottom"/>
            <w:gridSpan w:val="2"/>
          </w:tcPr>
          <w:p>
            <w:pPr>
              <w:spacing w:after="0"/>
              <w:rPr>
                <w:sz w:val="20"/>
                <w:szCs w:val="20"/>
                <w:color w:val="auto"/>
              </w:rPr>
            </w:pPr>
            <w:r>
              <w:rPr>
                <w:rFonts w:ascii="Arial" w:cs="Arial" w:eastAsia="Arial" w:hAnsi="Arial"/>
                <w:sz w:val="18"/>
                <w:szCs w:val="18"/>
                <w:color w:val="auto"/>
                <w:w w:val="96"/>
              </w:rPr>
              <w:t>10.4+</w:t>
            </w:r>
            <w:r>
              <w:rPr>
                <w:rFonts w:ascii="Arial" w:cs="Arial" w:eastAsia="Arial" w:hAnsi="Arial"/>
                <w:sz w:val="15"/>
                <w:szCs w:val="15"/>
                <w:color w:val="auto"/>
                <w:w w:val="96"/>
              </w:rPr>
              <w:t>#</w:t>
            </w:r>
          </w:p>
        </w:tc>
        <w:tc>
          <w:tcPr>
            <w:tcW w:w="360" w:type="dxa"/>
            <w:vAlign w:val="bottom"/>
          </w:tcPr>
          <w:p>
            <w:pPr>
              <w:spacing w:after="0"/>
              <w:rPr>
                <w:sz w:val="24"/>
                <w:szCs w:val="24"/>
                <w:color w:val="auto"/>
              </w:rPr>
            </w:pPr>
          </w:p>
        </w:tc>
        <w:tc>
          <w:tcPr>
            <w:tcW w:w="10240" w:type="dxa"/>
            <w:vAlign w:val="bottom"/>
            <w:gridSpan w:val="3"/>
          </w:tcPr>
          <w:p>
            <w:pPr>
              <w:ind w:left="360"/>
              <w:spacing w:after="0"/>
              <w:rPr>
                <w:sz w:val="20"/>
                <w:szCs w:val="20"/>
                <w:color w:val="auto"/>
              </w:rPr>
            </w:pPr>
            <w:r>
              <w:rPr>
                <w:rFonts w:ascii="Arial" w:cs="Arial" w:eastAsia="Arial" w:hAnsi="Arial"/>
                <w:sz w:val="18"/>
                <w:szCs w:val="18"/>
                <w:color w:val="auto"/>
              </w:rPr>
              <w:t>Dropbox, Inc. 2017 Equity Incentive Plan and related form agreements.</w:t>
            </w:r>
          </w:p>
        </w:tc>
        <w:tc>
          <w:tcPr>
            <w:tcW w:w="0" w:type="dxa"/>
            <w:vAlign w:val="bottom"/>
          </w:tcPr>
          <w:p>
            <w:pPr>
              <w:spacing w:after="0"/>
              <w:rPr>
                <w:sz w:val="1"/>
                <w:szCs w:val="1"/>
                <w:color w:val="auto"/>
              </w:rPr>
            </w:pPr>
          </w:p>
        </w:tc>
      </w:tr>
      <w:tr>
        <w:trPr>
          <w:trHeight w:val="324"/>
        </w:trPr>
        <w:tc>
          <w:tcPr>
            <w:tcW w:w="540" w:type="dxa"/>
            <w:vAlign w:val="bottom"/>
            <w:gridSpan w:val="2"/>
          </w:tcPr>
          <w:p>
            <w:pPr>
              <w:spacing w:after="0"/>
              <w:rPr>
                <w:sz w:val="20"/>
                <w:szCs w:val="20"/>
                <w:color w:val="auto"/>
              </w:rPr>
            </w:pPr>
            <w:r>
              <w:rPr>
                <w:rFonts w:ascii="Arial" w:cs="Arial" w:eastAsia="Arial" w:hAnsi="Arial"/>
                <w:sz w:val="18"/>
                <w:szCs w:val="18"/>
                <w:color w:val="auto"/>
                <w:w w:val="96"/>
              </w:rPr>
              <w:t>10.5+</w:t>
            </w:r>
            <w:r>
              <w:rPr>
                <w:rFonts w:ascii="Arial" w:cs="Arial" w:eastAsia="Arial" w:hAnsi="Arial"/>
                <w:sz w:val="15"/>
                <w:szCs w:val="15"/>
                <w:color w:val="auto"/>
                <w:w w:val="96"/>
              </w:rPr>
              <w:t>#</w:t>
            </w:r>
          </w:p>
        </w:tc>
        <w:tc>
          <w:tcPr>
            <w:tcW w:w="360" w:type="dxa"/>
            <w:vAlign w:val="bottom"/>
          </w:tcPr>
          <w:p>
            <w:pPr>
              <w:spacing w:after="0"/>
              <w:rPr>
                <w:sz w:val="24"/>
                <w:szCs w:val="24"/>
                <w:color w:val="auto"/>
              </w:rPr>
            </w:pPr>
          </w:p>
        </w:tc>
        <w:tc>
          <w:tcPr>
            <w:tcW w:w="10240" w:type="dxa"/>
            <w:vAlign w:val="bottom"/>
            <w:gridSpan w:val="3"/>
          </w:tcPr>
          <w:p>
            <w:pPr>
              <w:ind w:left="360"/>
              <w:spacing w:after="0"/>
              <w:rPr>
                <w:sz w:val="20"/>
                <w:szCs w:val="20"/>
                <w:color w:val="auto"/>
              </w:rPr>
            </w:pPr>
            <w:r>
              <w:rPr>
                <w:rFonts w:ascii="Arial" w:cs="Arial" w:eastAsia="Arial" w:hAnsi="Arial"/>
                <w:sz w:val="18"/>
                <w:szCs w:val="18"/>
                <w:color w:val="auto"/>
              </w:rPr>
              <w:t>Dropbox, Inc. 2008 Equity Incentive Plan, as amended, and related form agreements.</w:t>
            </w:r>
          </w:p>
        </w:tc>
        <w:tc>
          <w:tcPr>
            <w:tcW w:w="0" w:type="dxa"/>
            <w:vAlign w:val="bottom"/>
          </w:tcPr>
          <w:p>
            <w:pPr>
              <w:spacing w:after="0"/>
              <w:rPr>
                <w:sz w:val="1"/>
                <w:szCs w:val="1"/>
                <w:color w:val="auto"/>
              </w:rPr>
            </w:pPr>
          </w:p>
        </w:tc>
      </w:tr>
      <w:tr>
        <w:trPr>
          <w:trHeight w:val="324"/>
        </w:trPr>
        <w:tc>
          <w:tcPr>
            <w:tcW w:w="540" w:type="dxa"/>
            <w:vAlign w:val="bottom"/>
            <w:gridSpan w:val="2"/>
          </w:tcPr>
          <w:p>
            <w:pPr>
              <w:spacing w:after="0"/>
              <w:rPr>
                <w:sz w:val="20"/>
                <w:szCs w:val="20"/>
                <w:color w:val="auto"/>
              </w:rPr>
            </w:pPr>
            <w:r>
              <w:rPr>
                <w:rFonts w:ascii="Arial" w:cs="Arial" w:eastAsia="Arial" w:hAnsi="Arial"/>
                <w:sz w:val="18"/>
                <w:szCs w:val="18"/>
                <w:color w:val="auto"/>
                <w:w w:val="98"/>
              </w:rPr>
              <w:t>10.6+*</w:t>
            </w:r>
          </w:p>
        </w:tc>
        <w:tc>
          <w:tcPr>
            <w:tcW w:w="360" w:type="dxa"/>
            <w:vAlign w:val="bottom"/>
          </w:tcPr>
          <w:p>
            <w:pPr>
              <w:spacing w:after="0"/>
              <w:rPr>
                <w:sz w:val="24"/>
                <w:szCs w:val="24"/>
                <w:color w:val="auto"/>
              </w:rPr>
            </w:pPr>
          </w:p>
        </w:tc>
        <w:tc>
          <w:tcPr>
            <w:tcW w:w="10240" w:type="dxa"/>
            <w:vAlign w:val="bottom"/>
            <w:gridSpan w:val="3"/>
          </w:tcPr>
          <w:p>
            <w:pPr>
              <w:ind w:left="360"/>
              <w:spacing w:after="0"/>
              <w:rPr>
                <w:sz w:val="20"/>
                <w:szCs w:val="20"/>
                <w:color w:val="auto"/>
              </w:rPr>
            </w:pPr>
            <w:r>
              <w:rPr>
                <w:rFonts w:ascii="Arial" w:cs="Arial" w:eastAsia="Arial" w:hAnsi="Arial"/>
                <w:sz w:val="18"/>
                <w:szCs w:val="18"/>
                <w:color w:val="auto"/>
              </w:rPr>
              <w:t>Dropbox, Inc. Executive Incentive Compensation Plan.</w:t>
            </w:r>
          </w:p>
        </w:tc>
        <w:tc>
          <w:tcPr>
            <w:tcW w:w="0" w:type="dxa"/>
            <w:vAlign w:val="bottom"/>
          </w:tcPr>
          <w:p>
            <w:pPr>
              <w:spacing w:after="0"/>
              <w:rPr>
                <w:sz w:val="1"/>
                <w:szCs w:val="1"/>
                <w:color w:val="auto"/>
              </w:rPr>
            </w:pPr>
          </w:p>
        </w:tc>
      </w:tr>
      <w:tr>
        <w:trPr>
          <w:trHeight w:val="324"/>
        </w:trPr>
        <w:tc>
          <w:tcPr>
            <w:tcW w:w="540" w:type="dxa"/>
            <w:vAlign w:val="bottom"/>
            <w:gridSpan w:val="2"/>
          </w:tcPr>
          <w:p>
            <w:pPr>
              <w:spacing w:after="0"/>
              <w:rPr>
                <w:sz w:val="20"/>
                <w:szCs w:val="20"/>
                <w:color w:val="auto"/>
              </w:rPr>
            </w:pPr>
            <w:r>
              <w:rPr>
                <w:rFonts w:ascii="Arial" w:cs="Arial" w:eastAsia="Arial" w:hAnsi="Arial"/>
                <w:sz w:val="18"/>
                <w:szCs w:val="18"/>
                <w:color w:val="auto"/>
                <w:w w:val="98"/>
              </w:rPr>
              <w:t>10.7+*</w:t>
            </w:r>
          </w:p>
        </w:tc>
        <w:tc>
          <w:tcPr>
            <w:tcW w:w="360" w:type="dxa"/>
            <w:vAlign w:val="bottom"/>
          </w:tcPr>
          <w:p>
            <w:pPr>
              <w:spacing w:after="0"/>
              <w:rPr>
                <w:sz w:val="24"/>
                <w:szCs w:val="24"/>
                <w:color w:val="auto"/>
              </w:rPr>
            </w:pPr>
          </w:p>
        </w:tc>
        <w:tc>
          <w:tcPr>
            <w:tcW w:w="10240" w:type="dxa"/>
            <w:vAlign w:val="bottom"/>
            <w:gridSpan w:val="3"/>
          </w:tcPr>
          <w:p>
            <w:pPr>
              <w:ind w:left="360"/>
              <w:spacing w:after="0"/>
              <w:rPr>
                <w:sz w:val="20"/>
                <w:szCs w:val="20"/>
                <w:color w:val="auto"/>
              </w:rPr>
            </w:pPr>
            <w:r>
              <w:rPr>
                <w:rFonts w:ascii="Arial" w:cs="Arial" w:eastAsia="Arial" w:hAnsi="Arial"/>
                <w:sz w:val="18"/>
                <w:szCs w:val="18"/>
                <w:color w:val="auto"/>
              </w:rPr>
              <w:t>Employment Arrangement between the Registrant and Andrew W. Houston.</w:t>
            </w:r>
          </w:p>
        </w:tc>
        <w:tc>
          <w:tcPr>
            <w:tcW w:w="0" w:type="dxa"/>
            <w:vAlign w:val="bottom"/>
          </w:tcPr>
          <w:p>
            <w:pPr>
              <w:spacing w:after="0"/>
              <w:rPr>
                <w:sz w:val="1"/>
                <w:szCs w:val="1"/>
                <w:color w:val="auto"/>
              </w:rPr>
            </w:pPr>
          </w:p>
        </w:tc>
      </w:tr>
      <w:tr>
        <w:trPr>
          <w:trHeight w:val="324"/>
        </w:trPr>
        <w:tc>
          <w:tcPr>
            <w:tcW w:w="540" w:type="dxa"/>
            <w:vAlign w:val="bottom"/>
            <w:gridSpan w:val="2"/>
          </w:tcPr>
          <w:p>
            <w:pPr>
              <w:spacing w:after="0"/>
              <w:rPr>
                <w:sz w:val="20"/>
                <w:szCs w:val="20"/>
                <w:color w:val="auto"/>
              </w:rPr>
            </w:pPr>
            <w:r>
              <w:rPr>
                <w:rFonts w:ascii="Arial" w:cs="Arial" w:eastAsia="Arial" w:hAnsi="Arial"/>
                <w:sz w:val="18"/>
                <w:szCs w:val="18"/>
                <w:color w:val="auto"/>
                <w:w w:val="98"/>
              </w:rPr>
              <w:t>10.8+*</w:t>
            </w:r>
          </w:p>
        </w:tc>
        <w:tc>
          <w:tcPr>
            <w:tcW w:w="360" w:type="dxa"/>
            <w:vAlign w:val="bottom"/>
          </w:tcPr>
          <w:p>
            <w:pPr>
              <w:spacing w:after="0"/>
              <w:rPr>
                <w:sz w:val="24"/>
                <w:szCs w:val="24"/>
                <w:color w:val="auto"/>
              </w:rPr>
            </w:pPr>
          </w:p>
        </w:tc>
        <w:tc>
          <w:tcPr>
            <w:tcW w:w="10240" w:type="dxa"/>
            <w:vAlign w:val="bottom"/>
            <w:gridSpan w:val="3"/>
          </w:tcPr>
          <w:p>
            <w:pPr>
              <w:ind w:left="360"/>
              <w:spacing w:after="0"/>
              <w:rPr>
                <w:sz w:val="20"/>
                <w:szCs w:val="20"/>
                <w:color w:val="auto"/>
              </w:rPr>
            </w:pPr>
            <w:r>
              <w:rPr>
                <w:rFonts w:ascii="Arial" w:cs="Arial" w:eastAsia="Arial" w:hAnsi="Arial"/>
                <w:sz w:val="18"/>
                <w:szCs w:val="18"/>
                <w:color w:val="auto"/>
              </w:rPr>
              <w:t>Employment Arrangement between the Registrant and Quentin J. Clark.</w:t>
            </w:r>
          </w:p>
        </w:tc>
        <w:tc>
          <w:tcPr>
            <w:tcW w:w="0" w:type="dxa"/>
            <w:vAlign w:val="bottom"/>
          </w:tcPr>
          <w:p>
            <w:pPr>
              <w:spacing w:after="0"/>
              <w:rPr>
                <w:sz w:val="1"/>
                <w:szCs w:val="1"/>
                <w:color w:val="auto"/>
              </w:rPr>
            </w:pPr>
          </w:p>
        </w:tc>
      </w:tr>
      <w:tr>
        <w:trPr>
          <w:trHeight w:val="324"/>
        </w:trPr>
        <w:tc>
          <w:tcPr>
            <w:tcW w:w="540" w:type="dxa"/>
            <w:vAlign w:val="bottom"/>
            <w:gridSpan w:val="2"/>
          </w:tcPr>
          <w:p>
            <w:pPr>
              <w:spacing w:after="0"/>
              <w:rPr>
                <w:sz w:val="20"/>
                <w:szCs w:val="20"/>
                <w:color w:val="auto"/>
              </w:rPr>
            </w:pPr>
            <w:r>
              <w:rPr>
                <w:rFonts w:ascii="Arial" w:cs="Arial" w:eastAsia="Arial" w:hAnsi="Arial"/>
                <w:sz w:val="18"/>
                <w:szCs w:val="18"/>
                <w:color w:val="auto"/>
                <w:w w:val="98"/>
              </w:rPr>
              <w:t>10.9+*</w:t>
            </w:r>
          </w:p>
        </w:tc>
        <w:tc>
          <w:tcPr>
            <w:tcW w:w="360" w:type="dxa"/>
            <w:vAlign w:val="bottom"/>
          </w:tcPr>
          <w:p>
            <w:pPr>
              <w:spacing w:after="0"/>
              <w:rPr>
                <w:sz w:val="24"/>
                <w:szCs w:val="24"/>
                <w:color w:val="auto"/>
              </w:rPr>
            </w:pPr>
          </w:p>
        </w:tc>
        <w:tc>
          <w:tcPr>
            <w:tcW w:w="10240" w:type="dxa"/>
            <w:vAlign w:val="bottom"/>
            <w:gridSpan w:val="3"/>
          </w:tcPr>
          <w:p>
            <w:pPr>
              <w:ind w:left="360"/>
              <w:spacing w:after="0"/>
              <w:rPr>
                <w:sz w:val="20"/>
                <w:szCs w:val="20"/>
                <w:color w:val="auto"/>
              </w:rPr>
            </w:pPr>
            <w:r>
              <w:rPr>
                <w:rFonts w:ascii="Arial" w:cs="Arial" w:eastAsia="Arial" w:hAnsi="Arial"/>
                <w:sz w:val="18"/>
                <w:szCs w:val="18"/>
                <w:color w:val="auto"/>
              </w:rPr>
              <w:t>Employment Arrangement between the Registrant and Dennis M. Woodside.</w:t>
            </w:r>
          </w:p>
        </w:tc>
        <w:tc>
          <w:tcPr>
            <w:tcW w:w="0" w:type="dxa"/>
            <w:vAlign w:val="bottom"/>
          </w:tcPr>
          <w:p>
            <w:pPr>
              <w:spacing w:after="0"/>
              <w:rPr>
                <w:sz w:val="1"/>
                <w:szCs w:val="1"/>
                <w:color w:val="auto"/>
              </w:rPr>
            </w:pPr>
          </w:p>
        </w:tc>
      </w:tr>
      <w:tr>
        <w:trPr>
          <w:trHeight w:val="324"/>
        </w:trPr>
        <w:tc>
          <w:tcPr>
            <w:tcW w:w="540" w:type="dxa"/>
            <w:vAlign w:val="bottom"/>
            <w:gridSpan w:val="2"/>
          </w:tcPr>
          <w:p>
            <w:pPr>
              <w:spacing w:after="0"/>
              <w:rPr>
                <w:sz w:val="20"/>
                <w:szCs w:val="20"/>
                <w:color w:val="auto"/>
              </w:rPr>
            </w:pPr>
            <w:r>
              <w:rPr>
                <w:rFonts w:ascii="Arial" w:cs="Arial" w:eastAsia="Arial" w:hAnsi="Arial"/>
                <w:sz w:val="18"/>
                <w:szCs w:val="18"/>
                <w:color w:val="auto"/>
                <w:w w:val="97"/>
              </w:rPr>
              <w:t>10.10</w:t>
            </w:r>
            <w:r>
              <w:rPr>
                <w:rFonts w:ascii="Arial" w:cs="Arial" w:eastAsia="Arial" w:hAnsi="Arial"/>
                <w:sz w:val="15"/>
                <w:szCs w:val="15"/>
                <w:color w:val="auto"/>
                <w:w w:val="97"/>
              </w:rPr>
              <w:t>#</w:t>
            </w:r>
          </w:p>
        </w:tc>
        <w:tc>
          <w:tcPr>
            <w:tcW w:w="360" w:type="dxa"/>
            <w:vAlign w:val="bottom"/>
          </w:tcPr>
          <w:p>
            <w:pPr>
              <w:spacing w:after="0"/>
              <w:rPr>
                <w:sz w:val="24"/>
                <w:szCs w:val="24"/>
                <w:color w:val="auto"/>
              </w:rPr>
            </w:pPr>
          </w:p>
        </w:tc>
        <w:tc>
          <w:tcPr>
            <w:tcW w:w="10240" w:type="dxa"/>
            <w:vAlign w:val="bottom"/>
            <w:gridSpan w:val="3"/>
          </w:tcPr>
          <w:p>
            <w:pPr>
              <w:ind w:left="360"/>
              <w:spacing w:after="0"/>
              <w:rPr>
                <w:sz w:val="20"/>
                <w:szCs w:val="20"/>
                <w:color w:val="auto"/>
              </w:rPr>
            </w:pPr>
            <w:r>
              <w:rPr>
                <w:rFonts w:ascii="Arial" w:cs="Arial" w:eastAsia="Arial" w:hAnsi="Arial"/>
                <w:sz w:val="18"/>
                <w:szCs w:val="18"/>
                <w:color w:val="auto"/>
              </w:rPr>
              <w:t>Office Lease between the Registrant and Kilroy Realty Finance Partnership, L.P., dated as of January 31, 2014.</w:t>
            </w:r>
          </w:p>
        </w:tc>
        <w:tc>
          <w:tcPr>
            <w:tcW w:w="0" w:type="dxa"/>
            <w:vAlign w:val="bottom"/>
          </w:tcPr>
          <w:p>
            <w:pPr>
              <w:spacing w:after="0"/>
              <w:rPr>
                <w:sz w:val="1"/>
                <w:szCs w:val="1"/>
                <w:color w:val="auto"/>
              </w:rPr>
            </w:pPr>
          </w:p>
        </w:tc>
      </w:tr>
      <w:tr>
        <w:trPr>
          <w:trHeight w:val="324"/>
        </w:trPr>
        <w:tc>
          <w:tcPr>
            <w:tcW w:w="540" w:type="dxa"/>
            <w:vAlign w:val="bottom"/>
            <w:gridSpan w:val="2"/>
          </w:tcPr>
          <w:p>
            <w:pPr>
              <w:spacing w:after="0"/>
              <w:rPr>
                <w:sz w:val="20"/>
                <w:szCs w:val="20"/>
                <w:color w:val="auto"/>
              </w:rPr>
            </w:pPr>
            <w:r>
              <w:rPr>
                <w:rFonts w:ascii="Arial" w:cs="Arial" w:eastAsia="Arial" w:hAnsi="Arial"/>
                <w:sz w:val="18"/>
                <w:szCs w:val="18"/>
                <w:color w:val="auto"/>
                <w:w w:val="97"/>
              </w:rPr>
              <w:t>10.11</w:t>
            </w:r>
            <w:r>
              <w:rPr>
                <w:rFonts w:ascii="Arial" w:cs="Arial" w:eastAsia="Arial" w:hAnsi="Arial"/>
                <w:sz w:val="15"/>
                <w:szCs w:val="15"/>
                <w:color w:val="auto"/>
                <w:w w:val="97"/>
              </w:rPr>
              <w:t>#</w:t>
            </w:r>
          </w:p>
        </w:tc>
        <w:tc>
          <w:tcPr>
            <w:tcW w:w="360" w:type="dxa"/>
            <w:vAlign w:val="bottom"/>
          </w:tcPr>
          <w:p>
            <w:pPr>
              <w:spacing w:after="0"/>
              <w:rPr>
                <w:sz w:val="24"/>
                <w:szCs w:val="24"/>
                <w:color w:val="auto"/>
              </w:rPr>
            </w:pPr>
          </w:p>
        </w:tc>
        <w:tc>
          <w:tcPr>
            <w:tcW w:w="10240" w:type="dxa"/>
            <w:vAlign w:val="bottom"/>
            <w:gridSpan w:val="3"/>
          </w:tcPr>
          <w:p>
            <w:pPr>
              <w:ind w:left="360"/>
              <w:spacing w:after="0"/>
              <w:rPr>
                <w:sz w:val="20"/>
                <w:szCs w:val="20"/>
                <w:color w:val="auto"/>
              </w:rPr>
            </w:pPr>
            <w:r>
              <w:rPr>
                <w:rFonts w:ascii="Arial" w:cs="Arial" w:eastAsia="Arial" w:hAnsi="Arial"/>
                <w:sz w:val="18"/>
                <w:szCs w:val="18"/>
                <w:color w:val="auto"/>
                <w:w w:val="97"/>
              </w:rPr>
              <w:t>First Amendment to Office Lease between the Registrant and Kilroy Realty Finance Partnership, L.P., dated as of June 5, 2015.</w:t>
            </w:r>
          </w:p>
        </w:tc>
        <w:tc>
          <w:tcPr>
            <w:tcW w:w="0" w:type="dxa"/>
            <w:vAlign w:val="bottom"/>
          </w:tcPr>
          <w:p>
            <w:pPr>
              <w:spacing w:after="0"/>
              <w:rPr>
                <w:sz w:val="1"/>
                <w:szCs w:val="1"/>
                <w:color w:val="auto"/>
              </w:rPr>
            </w:pPr>
          </w:p>
        </w:tc>
      </w:tr>
      <w:tr>
        <w:trPr>
          <w:trHeight w:val="324"/>
        </w:trPr>
        <w:tc>
          <w:tcPr>
            <w:tcW w:w="540" w:type="dxa"/>
            <w:vAlign w:val="bottom"/>
            <w:gridSpan w:val="2"/>
          </w:tcPr>
          <w:p>
            <w:pPr>
              <w:spacing w:after="0"/>
              <w:rPr>
                <w:sz w:val="20"/>
                <w:szCs w:val="20"/>
                <w:color w:val="auto"/>
              </w:rPr>
            </w:pPr>
            <w:r>
              <w:rPr>
                <w:rFonts w:ascii="Arial" w:cs="Arial" w:eastAsia="Arial" w:hAnsi="Arial"/>
                <w:sz w:val="18"/>
                <w:szCs w:val="18"/>
                <w:color w:val="auto"/>
                <w:w w:val="97"/>
              </w:rPr>
              <w:t>10.12</w:t>
            </w:r>
            <w:r>
              <w:rPr>
                <w:rFonts w:ascii="Arial" w:cs="Arial" w:eastAsia="Arial" w:hAnsi="Arial"/>
                <w:sz w:val="15"/>
                <w:szCs w:val="15"/>
                <w:color w:val="auto"/>
                <w:w w:val="97"/>
              </w:rPr>
              <w:t>#</w:t>
            </w:r>
          </w:p>
        </w:tc>
        <w:tc>
          <w:tcPr>
            <w:tcW w:w="360" w:type="dxa"/>
            <w:vAlign w:val="bottom"/>
          </w:tcPr>
          <w:p>
            <w:pPr>
              <w:spacing w:after="0"/>
              <w:rPr>
                <w:sz w:val="24"/>
                <w:szCs w:val="24"/>
                <w:color w:val="auto"/>
              </w:rPr>
            </w:pPr>
          </w:p>
        </w:tc>
        <w:tc>
          <w:tcPr>
            <w:tcW w:w="10240" w:type="dxa"/>
            <w:vAlign w:val="bottom"/>
            <w:gridSpan w:val="3"/>
          </w:tcPr>
          <w:p>
            <w:pPr>
              <w:ind w:left="360"/>
              <w:spacing w:after="0"/>
              <w:rPr>
                <w:sz w:val="20"/>
                <w:szCs w:val="20"/>
                <w:color w:val="auto"/>
              </w:rPr>
            </w:pPr>
            <w:r>
              <w:rPr>
                <w:rFonts w:ascii="Arial" w:cs="Arial" w:eastAsia="Arial" w:hAnsi="Arial"/>
                <w:sz w:val="18"/>
                <w:szCs w:val="18"/>
                <w:color w:val="auto"/>
                <w:w w:val="95"/>
              </w:rPr>
              <w:t>Second Amendment to Office Lease between the Registrant and Kilroy Realty Finance Partnership, L.P., dated as of May 3, 2016.</w:t>
            </w:r>
          </w:p>
        </w:tc>
        <w:tc>
          <w:tcPr>
            <w:tcW w:w="0" w:type="dxa"/>
            <w:vAlign w:val="bottom"/>
          </w:tcPr>
          <w:p>
            <w:pPr>
              <w:spacing w:after="0"/>
              <w:rPr>
                <w:sz w:val="1"/>
                <w:szCs w:val="1"/>
                <w:color w:val="auto"/>
              </w:rPr>
            </w:pPr>
          </w:p>
        </w:tc>
      </w:tr>
      <w:tr>
        <w:trPr>
          <w:trHeight w:val="324"/>
        </w:trPr>
        <w:tc>
          <w:tcPr>
            <w:tcW w:w="540" w:type="dxa"/>
            <w:vAlign w:val="bottom"/>
            <w:gridSpan w:val="2"/>
          </w:tcPr>
          <w:p>
            <w:pPr>
              <w:spacing w:after="0"/>
              <w:rPr>
                <w:sz w:val="20"/>
                <w:szCs w:val="20"/>
                <w:color w:val="auto"/>
              </w:rPr>
            </w:pPr>
            <w:r>
              <w:rPr>
                <w:rFonts w:ascii="Arial" w:cs="Arial" w:eastAsia="Arial" w:hAnsi="Arial"/>
                <w:sz w:val="18"/>
                <w:szCs w:val="18"/>
                <w:color w:val="auto"/>
                <w:w w:val="97"/>
              </w:rPr>
              <w:t>10.13</w:t>
            </w:r>
            <w:r>
              <w:rPr>
                <w:rFonts w:ascii="Arial" w:cs="Arial" w:eastAsia="Arial" w:hAnsi="Arial"/>
                <w:sz w:val="15"/>
                <w:szCs w:val="15"/>
                <w:color w:val="auto"/>
                <w:w w:val="97"/>
              </w:rPr>
              <w:t>#</w:t>
            </w:r>
          </w:p>
        </w:tc>
        <w:tc>
          <w:tcPr>
            <w:tcW w:w="360" w:type="dxa"/>
            <w:vAlign w:val="bottom"/>
          </w:tcPr>
          <w:p>
            <w:pPr>
              <w:spacing w:after="0"/>
              <w:rPr>
                <w:sz w:val="24"/>
                <w:szCs w:val="24"/>
                <w:color w:val="auto"/>
              </w:rPr>
            </w:pPr>
          </w:p>
        </w:tc>
        <w:tc>
          <w:tcPr>
            <w:tcW w:w="10240" w:type="dxa"/>
            <w:vAlign w:val="bottom"/>
            <w:gridSpan w:val="3"/>
          </w:tcPr>
          <w:p>
            <w:pPr>
              <w:ind w:left="360"/>
              <w:spacing w:after="0"/>
              <w:rPr>
                <w:sz w:val="20"/>
                <w:szCs w:val="20"/>
                <w:color w:val="auto"/>
              </w:rPr>
            </w:pPr>
            <w:r>
              <w:rPr>
                <w:rFonts w:ascii="Arial" w:cs="Arial" w:eastAsia="Arial" w:hAnsi="Arial"/>
                <w:sz w:val="18"/>
                <w:szCs w:val="18"/>
                <w:color w:val="auto"/>
                <w:w w:val="94"/>
              </w:rPr>
              <w:t>Third Amendment to Office Lease between the Registrant and Kilroy Realty Finance Partnership, L.P., dated as of October 6, 2017.</w:t>
            </w:r>
          </w:p>
        </w:tc>
        <w:tc>
          <w:tcPr>
            <w:tcW w:w="0" w:type="dxa"/>
            <w:vAlign w:val="bottom"/>
          </w:tcPr>
          <w:p>
            <w:pPr>
              <w:spacing w:after="0"/>
              <w:rPr>
                <w:sz w:val="1"/>
                <w:szCs w:val="1"/>
                <w:color w:val="auto"/>
              </w:rPr>
            </w:pPr>
          </w:p>
        </w:tc>
      </w:tr>
      <w:tr>
        <w:trPr>
          <w:trHeight w:val="324"/>
        </w:trPr>
        <w:tc>
          <w:tcPr>
            <w:tcW w:w="540" w:type="dxa"/>
            <w:vAlign w:val="bottom"/>
            <w:gridSpan w:val="2"/>
          </w:tcPr>
          <w:p>
            <w:pPr>
              <w:spacing w:after="0"/>
              <w:rPr>
                <w:sz w:val="20"/>
                <w:szCs w:val="20"/>
                <w:color w:val="auto"/>
              </w:rPr>
            </w:pPr>
            <w:r>
              <w:rPr>
                <w:rFonts w:ascii="Arial" w:cs="Arial" w:eastAsia="Arial" w:hAnsi="Arial"/>
                <w:sz w:val="18"/>
                <w:szCs w:val="18"/>
                <w:color w:val="auto"/>
                <w:w w:val="99"/>
              </w:rPr>
              <w:t>10.14*</w:t>
            </w:r>
          </w:p>
        </w:tc>
        <w:tc>
          <w:tcPr>
            <w:tcW w:w="360" w:type="dxa"/>
            <w:vAlign w:val="bottom"/>
          </w:tcPr>
          <w:p>
            <w:pPr>
              <w:spacing w:after="0"/>
              <w:rPr>
                <w:sz w:val="24"/>
                <w:szCs w:val="24"/>
                <w:color w:val="auto"/>
              </w:rPr>
            </w:pPr>
          </w:p>
        </w:tc>
        <w:tc>
          <w:tcPr>
            <w:tcW w:w="10240" w:type="dxa"/>
            <w:vAlign w:val="bottom"/>
            <w:gridSpan w:val="3"/>
          </w:tcPr>
          <w:p>
            <w:pPr>
              <w:ind w:left="360"/>
              <w:spacing w:after="0"/>
              <w:rPr>
                <w:sz w:val="20"/>
                <w:szCs w:val="20"/>
                <w:color w:val="auto"/>
              </w:rPr>
            </w:pPr>
            <w:r>
              <w:rPr>
                <w:rFonts w:ascii="Arial" w:cs="Arial" w:eastAsia="Arial" w:hAnsi="Arial"/>
                <w:sz w:val="18"/>
                <w:szCs w:val="18"/>
                <w:color w:val="auto"/>
              </w:rPr>
              <w:t>Office Lease between the Registrant and KR Mission Bay, LLC, dated as of October 6, 2017.</w:t>
            </w:r>
          </w:p>
        </w:tc>
        <w:tc>
          <w:tcPr>
            <w:tcW w:w="0" w:type="dxa"/>
            <w:vAlign w:val="bottom"/>
          </w:tcPr>
          <w:p>
            <w:pPr>
              <w:spacing w:after="0"/>
              <w:rPr>
                <w:sz w:val="1"/>
                <w:szCs w:val="1"/>
                <w:color w:val="auto"/>
              </w:rPr>
            </w:pPr>
          </w:p>
        </w:tc>
      </w:tr>
      <w:tr>
        <w:trPr>
          <w:trHeight w:val="310"/>
        </w:trPr>
        <w:tc>
          <w:tcPr>
            <w:tcW w:w="540" w:type="dxa"/>
            <w:vAlign w:val="bottom"/>
            <w:gridSpan w:val="2"/>
          </w:tcPr>
          <w:p>
            <w:pPr>
              <w:spacing w:after="0"/>
              <w:rPr>
                <w:sz w:val="20"/>
                <w:szCs w:val="20"/>
                <w:color w:val="auto"/>
              </w:rPr>
            </w:pPr>
            <w:r>
              <w:rPr>
                <w:rFonts w:ascii="Arial" w:cs="Arial" w:eastAsia="Arial" w:hAnsi="Arial"/>
                <w:sz w:val="18"/>
                <w:szCs w:val="18"/>
                <w:color w:val="auto"/>
                <w:w w:val="97"/>
              </w:rPr>
              <w:t>10.15</w:t>
            </w:r>
            <w:r>
              <w:rPr>
                <w:rFonts w:ascii="Arial" w:cs="Arial" w:eastAsia="Arial" w:hAnsi="Arial"/>
                <w:sz w:val="15"/>
                <w:szCs w:val="15"/>
                <w:color w:val="auto"/>
                <w:w w:val="97"/>
              </w:rPr>
              <w:t>#</w:t>
            </w:r>
          </w:p>
        </w:tc>
        <w:tc>
          <w:tcPr>
            <w:tcW w:w="360" w:type="dxa"/>
            <w:vAlign w:val="bottom"/>
          </w:tcPr>
          <w:p>
            <w:pPr>
              <w:spacing w:after="0"/>
              <w:rPr>
                <w:sz w:val="24"/>
                <w:szCs w:val="24"/>
                <w:color w:val="auto"/>
              </w:rPr>
            </w:pPr>
          </w:p>
        </w:tc>
        <w:tc>
          <w:tcPr>
            <w:tcW w:w="10240" w:type="dxa"/>
            <w:vAlign w:val="bottom"/>
            <w:gridSpan w:val="3"/>
          </w:tcPr>
          <w:p>
            <w:pPr>
              <w:ind w:left="360"/>
              <w:spacing w:after="0"/>
              <w:rPr>
                <w:sz w:val="20"/>
                <w:szCs w:val="20"/>
                <w:color w:val="auto"/>
              </w:rPr>
            </w:pPr>
            <w:r>
              <w:rPr>
                <w:rFonts w:ascii="Arial" w:cs="Arial" w:eastAsia="Arial" w:hAnsi="Arial"/>
                <w:sz w:val="18"/>
                <w:szCs w:val="18"/>
                <w:color w:val="auto"/>
                <w:w w:val="91"/>
              </w:rPr>
              <w:t>Second Amendment and Restatement to the Revolving Credit and Guaranty Agreement among the Registrant, the lenders party thereto</w:t>
            </w:r>
          </w:p>
        </w:tc>
        <w:tc>
          <w:tcPr>
            <w:tcW w:w="0" w:type="dxa"/>
            <w:vAlign w:val="bottom"/>
          </w:tcPr>
          <w:p>
            <w:pPr>
              <w:spacing w:after="0"/>
              <w:rPr>
                <w:sz w:val="1"/>
                <w:szCs w:val="1"/>
                <w:color w:val="auto"/>
              </w:rPr>
            </w:pPr>
          </w:p>
        </w:tc>
      </w:tr>
      <w:tr>
        <w:trPr>
          <w:trHeight w:val="230"/>
        </w:trPr>
        <w:tc>
          <w:tcPr>
            <w:tcW w:w="4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240" w:type="dxa"/>
            <w:vAlign w:val="bottom"/>
            <w:gridSpan w:val="3"/>
          </w:tcPr>
          <w:p>
            <w:pPr>
              <w:ind w:left="360"/>
              <w:spacing w:after="0"/>
              <w:rPr>
                <w:sz w:val="20"/>
                <w:szCs w:val="20"/>
                <w:color w:val="auto"/>
              </w:rPr>
            </w:pPr>
            <w:r>
              <w:rPr>
                <w:rFonts w:ascii="Arial" w:cs="Arial" w:eastAsia="Arial" w:hAnsi="Arial"/>
                <w:sz w:val="18"/>
                <w:szCs w:val="18"/>
                <w:color w:val="auto"/>
              </w:rPr>
              <w:t>and JPMorgan Chase Bank, N.A., as Administrative Agent, dated as of April 3, 2017.</w:t>
            </w:r>
          </w:p>
        </w:tc>
        <w:tc>
          <w:tcPr>
            <w:tcW w:w="0" w:type="dxa"/>
            <w:vAlign w:val="bottom"/>
          </w:tcPr>
          <w:p>
            <w:pPr>
              <w:spacing w:after="0"/>
              <w:rPr>
                <w:sz w:val="1"/>
                <w:szCs w:val="1"/>
                <w:color w:val="auto"/>
              </w:rPr>
            </w:pPr>
          </w:p>
        </w:tc>
      </w:tr>
      <w:tr>
        <w:trPr>
          <w:trHeight w:val="324"/>
        </w:trPr>
        <w:tc>
          <w:tcPr>
            <w:tcW w:w="540" w:type="dxa"/>
            <w:vAlign w:val="bottom"/>
            <w:gridSpan w:val="2"/>
          </w:tcPr>
          <w:p>
            <w:pPr>
              <w:spacing w:after="0"/>
              <w:rPr>
                <w:sz w:val="20"/>
                <w:szCs w:val="20"/>
                <w:color w:val="auto"/>
              </w:rPr>
            </w:pPr>
            <w:r>
              <w:rPr>
                <w:rFonts w:ascii="Arial" w:cs="Arial" w:eastAsia="Arial" w:hAnsi="Arial"/>
                <w:sz w:val="18"/>
                <w:szCs w:val="18"/>
                <w:color w:val="auto"/>
              </w:rPr>
              <w:t>21.1</w:t>
            </w:r>
            <w:r>
              <w:rPr>
                <w:rFonts w:ascii="Arial" w:cs="Arial" w:eastAsia="Arial" w:hAnsi="Arial"/>
                <w:sz w:val="15"/>
                <w:szCs w:val="15"/>
                <w:color w:val="auto"/>
              </w:rPr>
              <w:t>#</w:t>
            </w:r>
          </w:p>
        </w:tc>
        <w:tc>
          <w:tcPr>
            <w:tcW w:w="360" w:type="dxa"/>
            <w:vAlign w:val="bottom"/>
          </w:tcPr>
          <w:p>
            <w:pPr>
              <w:spacing w:after="0"/>
              <w:rPr>
                <w:sz w:val="24"/>
                <w:szCs w:val="24"/>
                <w:color w:val="auto"/>
              </w:rPr>
            </w:pPr>
          </w:p>
        </w:tc>
        <w:tc>
          <w:tcPr>
            <w:tcW w:w="10240" w:type="dxa"/>
            <w:vAlign w:val="bottom"/>
            <w:gridSpan w:val="3"/>
          </w:tcPr>
          <w:p>
            <w:pPr>
              <w:ind w:left="360"/>
              <w:spacing w:after="0"/>
              <w:rPr>
                <w:sz w:val="20"/>
                <w:szCs w:val="20"/>
                <w:color w:val="auto"/>
              </w:rPr>
            </w:pPr>
            <w:r>
              <w:rPr>
                <w:rFonts w:ascii="Arial" w:cs="Arial" w:eastAsia="Arial" w:hAnsi="Arial"/>
                <w:sz w:val="18"/>
                <w:szCs w:val="18"/>
                <w:color w:val="auto"/>
              </w:rPr>
              <w:t>List of subsidiaries of the Registrant.</w:t>
            </w:r>
          </w:p>
        </w:tc>
        <w:tc>
          <w:tcPr>
            <w:tcW w:w="0" w:type="dxa"/>
            <w:vAlign w:val="bottom"/>
          </w:tcPr>
          <w:p>
            <w:pPr>
              <w:spacing w:after="0"/>
              <w:rPr>
                <w:sz w:val="1"/>
                <w:szCs w:val="1"/>
                <w:color w:val="auto"/>
              </w:rPr>
            </w:pPr>
          </w:p>
        </w:tc>
      </w:tr>
      <w:tr>
        <w:trPr>
          <w:trHeight w:val="324"/>
        </w:trPr>
        <w:tc>
          <w:tcPr>
            <w:tcW w:w="540" w:type="dxa"/>
            <w:vAlign w:val="bottom"/>
            <w:gridSpan w:val="2"/>
          </w:tcPr>
          <w:p>
            <w:pPr>
              <w:spacing w:after="0"/>
              <w:rPr>
                <w:sz w:val="20"/>
                <w:szCs w:val="20"/>
                <w:color w:val="auto"/>
              </w:rPr>
            </w:pPr>
            <w:r>
              <w:rPr>
                <w:rFonts w:ascii="Arial" w:cs="Arial" w:eastAsia="Arial" w:hAnsi="Arial"/>
                <w:sz w:val="18"/>
                <w:szCs w:val="18"/>
                <w:color w:val="auto"/>
              </w:rPr>
              <w:t>23.1*</w:t>
            </w:r>
          </w:p>
        </w:tc>
        <w:tc>
          <w:tcPr>
            <w:tcW w:w="360" w:type="dxa"/>
            <w:vAlign w:val="bottom"/>
          </w:tcPr>
          <w:p>
            <w:pPr>
              <w:spacing w:after="0"/>
              <w:rPr>
                <w:sz w:val="24"/>
                <w:szCs w:val="24"/>
                <w:color w:val="auto"/>
              </w:rPr>
            </w:pPr>
          </w:p>
        </w:tc>
        <w:tc>
          <w:tcPr>
            <w:tcW w:w="10240" w:type="dxa"/>
            <w:vAlign w:val="bottom"/>
            <w:gridSpan w:val="3"/>
          </w:tcPr>
          <w:p>
            <w:pPr>
              <w:ind w:left="360"/>
              <w:spacing w:after="0"/>
              <w:rPr>
                <w:sz w:val="20"/>
                <w:szCs w:val="20"/>
                <w:color w:val="auto"/>
              </w:rPr>
            </w:pPr>
            <w:r>
              <w:rPr>
                <w:rFonts w:ascii="Arial" w:cs="Arial" w:eastAsia="Arial" w:hAnsi="Arial"/>
                <w:sz w:val="18"/>
                <w:szCs w:val="18"/>
                <w:color w:val="auto"/>
              </w:rPr>
              <w:t>Consent of Independent Registered Public Accounting Firm.</w:t>
            </w:r>
          </w:p>
        </w:tc>
        <w:tc>
          <w:tcPr>
            <w:tcW w:w="0" w:type="dxa"/>
            <w:vAlign w:val="bottom"/>
          </w:tcPr>
          <w:p>
            <w:pPr>
              <w:spacing w:after="0"/>
              <w:rPr>
                <w:sz w:val="1"/>
                <w:szCs w:val="1"/>
                <w:color w:val="auto"/>
              </w:rPr>
            </w:pPr>
          </w:p>
        </w:tc>
      </w:tr>
      <w:tr>
        <w:trPr>
          <w:trHeight w:val="324"/>
        </w:trPr>
        <w:tc>
          <w:tcPr>
            <w:tcW w:w="540" w:type="dxa"/>
            <w:vAlign w:val="bottom"/>
            <w:gridSpan w:val="2"/>
          </w:tcPr>
          <w:p>
            <w:pPr>
              <w:spacing w:after="0"/>
              <w:rPr>
                <w:sz w:val="20"/>
                <w:szCs w:val="20"/>
                <w:color w:val="auto"/>
              </w:rPr>
            </w:pPr>
            <w:r>
              <w:rPr>
                <w:rFonts w:ascii="Arial" w:cs="Arial" w:eastAsia="Arial" w:hAnsi="Arial"/>
                <w:sz w:val="18"/>
                <w:szCs w:val="18"/>
                <w:color w:val="auto"/>
              </w:rPr>
              <w:t>23.2*</w:t>
            </w:r>
          </w:p>
        </w:tc>
        <w:tc>
          <w:tcPr>
            <w:tcW w:w="360" w:type="dxa"/>
            <w:vAlign w:val="bottom"/>
          </w:tcPr>
          <w:p>
            <w:pPr>
              <w:spacing w:after="0"/>
              <w:rPr>
                <w:sz w:val="24"/>
                <w:szCs w:val="24"/>
                <w:color w:val="auto"/>
              </w:rPr>
            </w:pPr>
          </w:p>
        </w:tc>
        <w:tc>
          <w:tcPr>
            <w:tcW w:w="10240" w:type="dxa"/>
            <w:vAlign w:val="bottom"/>
            <w:gridSpan w:val="3"/>
          </w:tcPr>
          <w:p>
            <w:pPr>
              <w:ind w:left="360"/>
              <w:spacing w:after="0"/>
              <w:rPr>
                <w:sz w:val="20"/>
                <w:szCs w:val="20"/>
                <w:color w:val="auto"/>
              </w:rPr>
            </w:pPr>
            <w:r>
              <w:rPr>
                <w:rFonts w:ascii="Arial" w:cs="Arial" w:eastAsia="Arial" w:hAnsi="Arial"/>
                <w:sz w:val="18"/>
                <w:szCs w:val="18"/>
                <w:color w:val="auto"/>
              </w:rPr>
              <w:t>Consent of Wilson Sonsini Goodrich &amp; Rosati, P.C. (included in Exhibit 5.1).</w:t>
            </w:r>
          </w:p>
        </w:tc>
        <w:tc>
          <w:tcPr>
            <w:tcW w:w="0" w:type="dxa"/>
            <w:vAlign w:val="bottom"/>
          </w:tcPr>
          <w:p>
            <w:pPr>
              <w:spacing w:after="0"/>
              <w:rPr>
                <w:sz w:val="1"/>
                <w:szCs w:val="1"/>
                <w:color w:val="auto"/>
              </w:rPr>
            </w:pPr>
          </w:p>
        </w:tc>
      </w:tr>
      <w:tr>
        <w:trPr>
          <w:trHeight w:val="324"/>
        </w:trPr>
        <w:tc>
          <w:tcPr>
            <w:tcW w:w="540" w:type="dxa"/>
            <w:vAlign w:val="bottom"/>
            <w:gridSpan w:val="2"/>
          </w:tcPr>
          <w:p>
            <w:pPr>
              <w:spacing w:after="0"/>
              <w:rPr>
                <w:sz w:val="20"/>
                <w:szCs w:val="20"/>
                <w:color w:val="auto"/>
              </w:rPr>
            </w:pPr>
            <w:r>
              <w:rPr>
                <w:rFonts w:ascii="Arial" w:cs="Arial" w:eastAsia="Arial" w:hAnsi="Arial"/>
                <w:sz w:val="18"/>
                <w:szCs w:val="18"/>
                <w:color w:val="auto"/>
              </w:rPr>
              <w:t>24.1</w:t>
            </w:r>
          </w:p>
        </w:tc>
        <w:tc>
          <w:tcPr>
            <w:tcW w:w="360" w:type="dxa"/>
            <w:vAlign w:val="bottom"/>
          </w:tcPr>
          <w:p>
            <w:pPr>
              <w:spacing w:after="0"/>
              <w:rPr>
                <w:sz w:val="24"/>
                <w:szCs w:val="24"/>
                <w:color w:val="auto"/>
              </w:rPr>
            </w:pPr>
          </w:p>
        </w:tc>
        <w:tc>
          <w:tcPr>
            <w:tcW w:w="10240" w:type="dxa"/>
            <w:vAlign w:val="bottom"/>
            <w:gridSpan w:val="3"/>
          </w:tcPr>
          <w:p>
            <w:pPr>
              <w:ind w:left="360"/>
              <w:spacing w:after="0"/>
              <w:rPr>
                <w:sz w:val="20"/>
                <w:szCs w:val="20"/>
                <w:color w:val="auto"/>
              </w:rPr>
            </w:pPr>
            <w:r>
              <w:rPr>
                <w:rFonts w:ascii="Arial" w:cs="Arial" w:eastAsia="Arial" w:hAnsi="Arial"/>
                <w:sz w:val="18"/>
                <w:szCs w:val="18"/>
                <w:color w:val="auto"/>
              </w:rPr>
              <w:t>Power of Attorney (included on page II-6).</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1200" cy="8890"/>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711200" cy="8890"/>
                    </a:xfrm>
                    <a:prstGeom prst="rect">
                      <a:avLst/>
                    </a:prstGeom>
                    <a:noFill/>
                  </pic:spPr>
                </pic:pic>
              </a:graphicData>
            </a:graphic>
          </wp:anchor>
        </w:drawing>
      </w:r>
    </w:p>
    <w:p>
      <w:pPr>
        <w:spacing w:after="0" w:line="155" w:lineRule="exact"/>
        <w:rPr>
          <w:sz w:val="20"/>
          <w:szCs w:val="20"/>
          <w:color w:val="auto"/>
        </w:rPr>
      </w:pPr>
    </w:p>
    <w:p>
      <w:pPr>
        <w:ind w:left="220" w:hanging="212"/>
        <w:spacing w:after="0"/>
        <w:tabs>
          <w:tab w:leader="none" w:pos="220" w:val="left"/>
        </w:tabs>
        <w:numPr>
          <w:ilvl w:val="0"/>
          <w:numId w:val="114"/>
        </w:numPr>
        <w:rPr>
          <w:rFonts w:ascii="Arial" w:cs="Arial" w:eastAsia="Arial" w:hAnsi="Arial"/>
          <w:sz w:val="15"/>
          <w:szCs w:val="15"/>
          <w:color w:val="auto"/>
        </w:rPr>
      </w:pPr>
      <w:r>
        <w:rPr>
          <w:rFonts w:ascii="Arial" w:cs="Arial" w:eastAsia="Arial" w:hAnsi="Arial"/>
          <w:sz w:val="18"/>
          <w:szCs w:val="18"/>
          <w:color w:val="auto"/>
        </w:rPr>
        <w:t>Previously filed.</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  To be filed by amendment.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 Indicates management contract or compensatory plan.</w:t>
      </w:r>
    </w:p>
    <w:p>
      <w:pPr>
        <w:spacing w:after="0" w:line="143"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II-5</w:t>
      </w:r>
    </w:p>
    <w:p>
      <w:pPr>
        <w:sectPr>
          <w:pgSz w:w="11900" w:h="16838" w:orient="portrait"/>
          <w:cols w:equalWidth="0" w:num="1">
            <w:col w:w="11140"/>
          </w:cols>
          <w:pgMar w:left="320" w:top="459" w:right="439" w:bottom="1440" w:gutter="0" w:footer="0" w:header="0"/>
        </w:sectPr>
      </w:pPr>
    </w:p>
    <w:bookmarkStart w:id="201" w:name="page202"/>
    <w:bookmarkEnd w:id="20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left="460"/>
        <w:spacing w:after="0"/>
        <w:rPr>
          <w:sz w:val="20"/>
          <w:szCs w:val="20"/>
          <w:color w:val="auto"/>
        </w:rPr>
      </w:pPr>
      <w:r>
        <w:rPr>
          <w:rFonts w:ascii="Arial" w:cs="Arial" w:eastAsia="Arial" w:hAnsi="Arial"/>
          <w:sz w:val="16"/>
          <w:szCs w:val="16"/>
          <w:color w:val="auto"/>
        </w:rPr>
        <w:t>Pursuant to the requirements of the Securities Act of 1933, the Registrant has duly caused this registration statement on Form S-1 to be signed on its</w:t>
      </w:r>
    </w:p>
    <w:p>
      <w:pPr>
        <w:spacing w:after="0" w:line="46" w:lineRule="exact"/>
        <w:rPr>
          <w:sz w:val="20"/>
          <w:szCs w:val="20"/>
          <w:color w:val="auto"/>
        </w:rPr>
      </w:pPr>
    </w:p>
    <w:p>
      <w:pPr>
        <w:spacing w:after="0"/>
        <w:tabs>
          <w:tab w:leader="none" w:pos="6700" w:val="left"/>
          <w:tab w:leader="none" w:pos="7740" w:val="left"/>
          <w:tab w:leader="none" w:pos="8380" w:val="left"/>
        </w:tabs>
        <w:rPr>
          <w:sz w:val="20"/>
          <w:szCs w:val="20"/>
          <w:color w:val="auto"/>
        </w:rPr>
      </w:pPr>
      <w:r>
        <w:rPr>
          <w:rFonts w:ascii="Arial" w:cs="Arial" w:eastAsia="Arial" w:hAnsi="Arial"/>
          <w:sz w:val="18"/>
          <w:szCs w:val="18"/>
          <w:color w:val="auto"/>
        </w:rPr>
        <w:t>behalf by the undersigned, thereunto duly authorized, in San Francisco, California, on the</w:t>
        <w:tab/>
        <w:t>day of</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3"/>
          <w:szCs w:val="13"/>
          <w:color w:val="auto"/>
        </w:rPr>
        <w:t>.</w:t>
      </w:r>
    </w:p>
    <w:p>
      <w:pPr>
        <w:spacing w:after="0" w:line="234" w:lineRule="exact"/>
        <w:rPr>
          <w:sz w:val="20"/>
          <w:szCs w:val="20"/>
          <w:color w:val="auto"/>
        </w:rPr>
      </w:pPr>
    </w:p>
    <w:p>
      <w:pPr>
        <w:ind w:left="6760"/>
        <w:spacing w:after="0"/>
        <w:rPr>
          <w:sz w:val="20"/>
          <w:szCs w:val="20"/>
          <w:color w:val="auto"/>
        </w:rPr>
      </w:pPr>
      <w:r>
        <w:rPr>
          <w:rFonts w:ascii="Arial" w:cs="Arial" w:eastAsia="Arial" w:hAnsi="Arial"/>
          <w:sz w:val="18"/>
          <w:szCs w:val="18"/>
          <w:b w:val="1"/>
          <w:bCs w:val="1"/>
          <w:color w:val="auto"/>
        </w:rPr>
        <w:t>DROPBOX, INC.</w:t>
      </w:r>
    </w:p>
    <w:p>
      <w:pPr>
        <w:spacing w:after="0" w:line="229"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4522470</wp:posOffset>
            </wp:positionH>
            <wp:positionV relativeFrom="paragraph">
              <wp:posOffset>14605</wp:posOffset>
            </wp:positionV>
            <wp:extent cx="2614295" cy="8255"/>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2614295" cy="8255"/>
                    </a:xfrm>
                    <a:prstGeom prst="rect">
                      <a:avLst/>
                    </a:prstGeom>
                    <a:noFill/>
                  </pic:spPr>
                </pic:pic>
              </a:graphicData>
            </a:graphic>
          </wp:anchor>
        </w:drawing>
      </w:r>
    </w:p>
    <w:p>
      <w:pPr>
        <w:spacing w:after="0" w:line="16" w:lineRule="exact"/>
        <w:rPr>
          <w:sz w:val="20"/>
          <w:szCs w:val="20"/>
          <w:color w:val="auto"/>
        </w:rPr>
      </w:pPr>
    </w:p>
    <w:p>
      <w:pPr>
        <w:ind w:left="7120"/>
        <w:spacing w:after="0"/>
        <w:rPr>
          <w:sz w:val="20"/>
          <w:szCs w:val="20"/>
          <w:color w:val="auto"/>
        </w:rPr>
      </w:pPr>
      <w:r>
        <w:rPr>
          <w:rFonts w:ascii="Arial" w:cs="Arial" w:eastAsia="Arial" w:hAnsi="Arial"/>
          <w:sz w:val="18"/>
          <w:szCs w:val="18"/>
          <w:color w:val="auto"/>
        </w:rPr>
        <w:t>Andrew W. Houston</w:t>
      </w:r>
    </w:p>
    <w:p>
      <w:pPr>
        <w:spacing w:after="0" w:line="23" w:lineRule="exact"/>
        <w:rPr>
          <w:sz w:val="20"/>
          <w:szCs w:val="20"/>
          <w:color w:val="auto"/>
        </w:rPr>
      </w:pPr>
    </w:p>
    <w:p>
      <w:pPr>
        <w:ind w:left="7120"/>
        <w:spacing w:after="0"/>
        <w:rPr>
          <w:sz w:val="20"/>
          <w:szCs w:val="20"/>
          <w:color w:val="auto"/>
        </w:rPr>
      </w:pPr>
      <w:r>
        <w:rPr>
          <w:rFonts w:ascii="Arial" w:cs="Arial" w:eastAsia="Arial" w:hAnsi="Arial"/>
          <w:sz w:val="18"/>
          <w:szCs w:val="18"/>
          <w:color w:val="auto"/>
        </w:rPr>
        <w:t>Chief Executive Officer</w:t>
      </w:r>
    </w:p>
    <w:p>
      <w:pPr>
        <w:spacing w:after="0" w:line="200" w:lineRule="exact"/>
        <w:rPr>
          <w:sz w:val="20"/>
          <w:szCs w:val="20"/>
          <w:color w:val="auto"/>
        </w:rPr>
      </w:pPr>
    </w:p>
    <w:p>
      <w:pPr>
        <w:spacing w:after="0" w:line="223"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POWER OF ATTORNEY</w:t>
      </w:r>
    </w:p>
    <w:p>
      <w:pPr>
        <w:spacing w:after="0" w:line="229" w:lineRule="exact"/>
        <w:rPr>
          <w:sz w:val="20"/>
          <w:szCs w:val="20"/>
          <w:color w:val="auto"/>
        </w:rPr>
      </w:pPr>
    </w:p>
    <w:p>
      <w:pPr>
        <w:ind w:right="80" w:firstLine="449"/>
        <w:spacing w:after="0" w:line="289" w:lineRule="auto"/>
        <w:rPr>
          <w:sz w:val="20"/>
          <w:szCs w:val="20"/>
          <w:color w:val="auto"/>
        </w:rPr>
      </w:pPr>
      <w:r>
        <w:rPr>
          <w:rFonts w:ascii="Arial" w:cs="Arial" w:eastAsia="Arial" w:hAnsi="Arial"/>
          <w:sz w:val="16"/>
          <w:szCs w:val="16"/>
          <w:color w:val="auto"/>
        </w:rPr>
        <w:t>KNOW ALL PERSONS BY THESE PRESENTS, that each person whose signature appears below constitutes and appoints Andrew W. Houston, Ajay V. Vashee, and Bart E. Volkmer, and each one of them, as his or her true and lawful attorneys-in-fact and agents, with full power of substitution and resubstitution, for him or her and in their name, place and stead, in any and all capacities, to sign any and all amendments (including post-effective amendments) to this registration statement, and to sign any registration statement for the same offering covered by this registration statement that is to be effective on filing pursuant to Rule 462(b) under the Securities Act of 1933, as amended, and all post-effective amendments thereto, and to file the same, with all exhibits thereto and other documents in connection therewith, with the Securities and Exchange Commission, granting unto said attorneys-in-fact and agents, and each of them, full power and authority to do and perform each and every act and thing requisite and necessary to be done in connection therewith, as fully to all intents and purposes as he or she might or could do in person, hereby ratifying and confirming all that said attorneys-in-fact and agents or any of them, or his or her substitute or substitutes, may lawfully do or cause to be done by virtue hereof.</w:t>
      </w:r>
    </w:p>
    <w:p>
      <w:pPr>
        <w:spacing w:after="0" w:line="166" w:lineRule="exact"/>
        <w:rPr>
          <w:sz w:val="20"/>
          <w:szCs w:val="20"/>
          <w:color w:val="auto"/>
        </w:rPr>
      </w:pPr>
    </w:p>
    <w:p>
      <w:pPr>
        <w:ind w:right="140" w:firstLine="449"/>
        <w:spacing w:after="0" w:line="277" w:lineRule="auto"/>
        <w:rPr>
          <w:sz w:val="20"/>
          <w:szCs w:val="20"/>
          <w:color w:val="auto"/>
        </w:rPr>
      </w:pPr>
      <w:r>
        <w:rPr>
          <w:rFonts w:ascii="Arial" w:cs="Arial" w:eastAsia="Arial" w:hAnsi="Arial"/>
          <w:sz w:val="18"/>
          <w:szCs w:val="18"/>
          <w:color w:val="auto"/>
        </w:rPr>
        <w:t>Pursuant to the requirements of the Securities Act of 1933, this registration statement on Form S-1 has been signed by the following persons in the capacities and on the dates indicated.</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1520" w:type="dxa"/>
            <w:vAlign w:val="bottom"/>
          </w:tcPr>
          <w:p>
            <w:pPr>
              <w:spacing w:after="0"/>
              <w:rPr>
                <w:sz w:val="16"/>
                <w:szCs w:val="16"/>
                <w:color w:val="auto"/>
              </w:rPr>
            </w:pPr>
          </w:p>
        </w:tc>
        <w:tc>
          <w:tcPr>
            <w:tcW w:w="2120" w:type="dxa"/>
            <w:vAlign w:val="bottom"/>
            <w:gridSpan w:val="2"/>
          </w:tcPr>
          <w:p>
            <w:pPr>
              <w:jc w:val="center"/>
              <w:ind w:right="1520"/>
              <w:spacing w:after="0"/>
              <w:rPr>
                <w:sz w:val="20"/>
                <w:szCs w:val="20"/>
                <w:color w:val="auto"/>
              </w:rPr>
            </w:pPr>
            <w:r>
              <w:rPr>
                <w:rFonts w:ascii="Arial" w:cs="Arial" w:eastAsia="Arial" w:hAnsi="Arial"/>
                <w:sz w:val="14"/>
                <w:szCs w:val="14"/>
                <w:b w:val="1"/>
                <w:bCs w:val="1"/>
                <w:color w:val="auto"/>
                <w:w w:val="92"/>
              </w:rPr>
              <w:t>Signature</w:t>
            </w:r>
          </w:p>
        </w:tc>
        <w:tc>
          <w:tcPr>
            <w:tcW w:w="6420" w:type="dxa"/>
            <w:vAlign w:val="bottom"/>
            <w:gridSpan w:val="3"/>
          </w:tcPr>
          <w:p>
            <w:pPr>
              <w:ind w:left="2580"/>
              <w:spacing w:after="0"/>
              <w:rPr>
                <w:sz w:val="20"/>
                <w:szCs w:val="20"/>
                <w:color w:val="auto"/>
              </w:rPr>
            </w:pPr>
            <w:r>
              <w:rPr>
                <w:rFonts w:ascii="Arial" w:cs="Arial" w:eastAsia="Arial" w:hAnsi="Arial"/>
                <w:sz w:val="14"/>
                <w:szCs w:val="14"/>
                <w:b w:val="1"/>
                <w:bCs w:val="1"/>
                <w:color w:val="auto"/>
              </w:rPr>
              <w:t>Title</w:t>
            </w:r>
          </w:p>
        </w:tc>
        <w:tc>
          <w:tcPr>
            <w:tcW w:w="300" w:type="dxa"/>
            <w:vAlign w:val="bottom"/>
          </w:tcPr>
          <w:p>
            <w:pPr>
              <w:ind w:left="20"/>
              <w:spacing w:after="0"/>
              <w:rPr>
                <w:sz w:val="20"/>
                <w:szCs w:val="20"/>
                <w:color w:val="auto"/>
              </w:rPr>
            </w:pPr>
            <w:r>
              <w:rPr>
                <w:rFonts w:ascii="Arial" w:cs="Arial" w:eastAsia="Arial" w:hAnsi="Arial"/>
                <w:sz w:val="14"/>
                <w:szCs w:val="14"/>
                <w:b w:val="1"/>
                <w:bCs w:val="1"/>
                <w:color w:val="auto"/>
                <w:w w:val="85"/>
              </w:rPr>
              <w:t>Date</w:t>
            </w:r>
          </w:p>
        </w:tc>
        <w:tc>
          <w:tcPr>
            <w:tcW w:w="0" w:type="dxa"/>
            <w:vAlign w:val="bottom"/>
          </w:tcPr>
          <w:p>
            <w:pPr>
              <w:spacing w:after="0"/>
              <w:rPr>
                <w:sz w:val="1"/>
                <w:szCs w:val="1"/>
                <w:color w:val="auto"/>
              </w:rPr>
            </w:pPr>
          </w:p>
        </w:tc>
      </w:tr>
      <w:tr>
        <w:trPr>
          <w:trHeight w:val="20"/>
        </w:trPr>
        <w:tc>
          <w:tcPr>
            <w:tcW w:w="152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258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356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152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1520" w:type="dxa"/>
            <w:vAlign w:val="bottom"/>
            <w:tcBorders>
              <w:bottom w:val="single" w:sz="8" w:color="auto"/>
            </w:tcBorders>
          </w:tcPr>
          <w:p>
            <w:pPr>
              <w:spacing w:after="0"/>
              <w:rPr>
                <w:sz w:val="24"/>
                <w:szCs w:val="24"/>
                <w:color w:val="auto"/>
              </w:rPr>
            </w:pPr>
          </w:p>
        </w:tc>
        <w:tc>
          <w:tcPr>
            <w:tcW w:w="6420" w:type="dxa"/>
            <w:vAlign w:val="bottom"/>
            <w:gridSpan w:val="3"/>
          </w:tcPr>
          <w:p>
            <w:pPr>
              <w:ind w:left="100"/>
              <w:spacing w:after="0"/>
              <w:rPr>
                <w:sz w:val="20"/>
                <w:szCs w:val="20"/>
                <w:color w:val="auto"/>
              </w:rPr>
            </w:pPr>
            <w:r>
              <w:rPr>
                <w:rFonts w:ascii="Arial" w:cs="Arial" w:eastAsia="Arial" w:hAnsi="Arial"/>
                <w:sz w:val="18"/>
                <w:szCs w:val="18"/>
                <w:color w:val="auto"/>
              </w:rPr>
              <w:t>Chief Executive Officer and Chairman</w:t>
            </w:r>
          </w:p>
        </w:tc>
        <w:tc>
          <w:tcPr>
            <w:tcW w:w="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4"/>
        </w:trPr>
        <w:tc>
          <w:tcPr>
            <w:tcW w:w="3640" w:type="dxa"/>
            <w:vAlign w:val="bottom"/>
            <w:gridSpan w:val="3"/>
          </w:tcPr>
          <w:p>
            <w:pPr>
              <w:jc w:val="center"/>
              <w:spacing w:after="0"/>
              <w:rPr>
                <w:sz w:val="20"/>
                <w:szCs w:val="20"/>
                <w:color w:val="auto"/>
              </w:rPr>
            </w:pPr>
            <w:r>
              <w:rPr>
                <w:rFonts w:ascii="Arial" w:cs="Arial" w:eastAsia="Arial" w:hAnsi="Arial"/>
                <w:sz w:val="18"/>
                <w:szCs w:val="18"/>
                <w:color w:val="auto"/>
                <w:w w:val="92"/>
              </w:rPr>
              <w:t>Andrew W. Houston</w:t>
            </w:r>
          </w:p>
        </w:tc>
        <w:tc>
          <w:tcPr>
            <w:tcW w:w="6420" w:type="dxa"/>
            <w:vAlign w:val="bottom"/>
            <w:gridSpan w:val="3"/>
          </w:tcPr>
          <w:p>
            <w:pPr>
              <w:ind w:left="100"/>
              <w:spacing w:after="0"/>
              <w:rPr>
                <w:sz w:val="20"/>
                <w:szCs w:val="20"/>
                <w:color w:val="auto"/>
              </w:rPr>
            </w:pPr>
            <w:r>
              <w:rPr>
                <w:rFonts w:ascii="Arial" w:cs="Arial" w:eastAsia="Arial" w:hAnsi="Arial"/>
                <w:sz w:val="18"/>
                <w:szCs w:val="18"/>
                <w:i w:val="1"/>
                <w:iCs w:val="1"/>
                <w:color w:val="auto"/>
              </w:rPr>
              <w:t>(Principal Executive Officer)</w:t>
            </w:r>
          </w:p>
        </w:tc>
        <w:tc>
          <w:tcPr>
            <w:tcW w:w="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31"/>
        </w:trPr>
        <w:tc>
          <w:tcPr>
            <w:tcW w:w="152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1520" w:type="dxa"/>
            <w:vAlign w:val="bottom"/>
            <w:tcBorders>
              <w:bottom w:val="single" w:sz="8" w:color="auto"/>
            </w:tcBorders>
          </w:tcPr>
          <w:p>
            <w:pPr>
              <w:spacing w:after="0"/>
              <w:rPr>
                <w:sz w:val="24"/>
                <w:szCs w:val="24"/>
                <w:color w:val="auto"/>
              </w:rPr>
            </w:pPr>
          </w:p>
        </w:tc>
        <w:tc>
          <w:tcPr>
            <w:tcW w:w="6420" w:type="dxa"/>
            <w:vAlign w:val="bottom"/>
            <w:gridSpan w:val="3"/>
          </w:tcPr>
          <w:p>
            <w:pPr>
              <w:ind w:left="100"/>
              <w:spacing w:after="0"/>
              <w:rPr>
                <w:sz w:val="20"/>
                <w:szCs w:val="20"/>
                <w:color w:val="auto"/>
              </w:rPr>
            </w:pPr>
            <w:r>
              <w:rPr>
                <w:rFonts w:ascii="Arial" w:cs="Arial" w:eastAsia="Arial" w:hAnsi="Arial"/>
                <w:sz w:val="18"/>
                <w:szCs w:val="18"/>
                <w:color w:val="auto"/>
              </w:rPr>
              <w:t>Chief Financial Officer</w:t>
            </w:r>
          </w:p>
        </w:tc>
        <w:tc>
          <w:tcPr>
            <w:tcW w:w="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4"/>
        </w:trPr>
        <w:tc>
          <w:tcPr>
            <w:tcW w:w="3640" w:type="dxa"/>
            <w:vAlign w:val="bottom"/>
            <w:gridSpan w:val="3"/>
          </w:tcPr>
          <w:p>
            <w:pPr>
              <w:jc w:val="center"/>
              <w:spacing w:after="0"/>
              <w:rPr>
                <w:sz w:val="20"/>
                <w:szCs w:val="20"/>
                <w:color w:val="auto"/>
              </w:rPr>
            </w:pPr>
            <w:r>
              <w:rPr>
                <w:rFonts w:ascii="Arial" w:cs="Arial" w:eastAsia="Arial" w:hAnsi="Arial"/>
                <w:sz w:val="18"/>
                <w:szCs w:val="18"/>
                <w:color w:val="auto"/>
                <w:w w:val="89"/>
              </w:rPr>
              <w:t>Ajay V. Vashee</w:t>
            </w:r>
          </w:p>
        </w:tc>
        <w:tc>
          <w:tcPr>
            <w:tcW w:w="6420" w:type="dxa"/>
            <w:vAlign w:val="bottom"/>
            <w:gridSpan w:val="3"/>
          </w:tcPr>
          <w:p>
            <w:pPr>
              <w:ind w:left="100"/>
              <w:spacing w:after="0"/>
              <w:rPr>
                <w:sz w:val="20"/>
                <w:szCs w:val="20"/>
                <w:color w:val="auto"/>
              </w:rPr>
            </w:pPr>
            <w:r>
              <w:rPr>
                <w:rFonts w:ascii="Arial" w:cs="Arial" w:eastAsia="Arial" w:hAnsi="Arial"/>
                <w:sz w:val="18"/>
                <w:szCs w:val="18"/>
                <w:i w:val="1"/>
                <w:iCs w:val="1"/>
                <w:color w:val="auto"/>
              </w:rPr>
              <w:t>(Principal Financial Officer)</w:t>
            </w:r>
          </w:p>
        </w:tc>
        <w:tc>
          <w:tcPr>
            <w:tcW w:w="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31"/>
        </w:trPr>
        <w:tc>
          <w:tcPr>
            <w:tcW w:w="152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1520" w:type="dxa"/>
            <w:vAlign w:val="bottom"/>
            <w:tcBorders>
              <w:bottom w:val="single" w:sz="8" w:color="auto"/>
            </w:tcBorders>
          </w:tcPr>
          <w:p>
            <w:pPr>
              <w:spacing w:after="0"/>
              <w:rPr>
                <w:sz w:val="24"/>
                <w:szCs w:val="24"/>
                <w:color w:val="auto"/>
              </w:rPr>
            </w:pPr>
          </w:p>
        </w:tc>
        <w:tc>
          <w:tcPr>
            <w:tcW w:w="6420" w:type="dxa"/>
            <w:vAlign w:val="bottom"/>
            <w:gridSpan w:val="3"/>
          </w:tcPr>
          <w:p>
            <w:pPr>
              <w:ind w:left="100"/>
              <w:spacing w:after="0"/>
              <w:rPr>
                <w:sz w:val="20"/>
                <w:szCs w:val="20"/>
                <w:color w:val="auto"/>
              </w:rPr>
            </w:pPr>
            <w:r>
              <w:rPr>
                <w:rFonts w:ascii="Arial" w:cs="Arial" w:eastAsia="Arial" w:hAnsi="Arial"/>
                <w:sz w:val="18"/>
                <w:szCs w:val="18"/>
                <w:color w:val="auto"/>
              </w:rPr>
              <w:t>Chief Accounting Officer</w:t>
            </w:r>
          </w:p>
        </w:tc>
        <w:tc>
          <w:tcPr>
            <w:tcW w:w="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4"/>
        </w:trPr>
        <w:tc>
          <w:tcPr>
            <w:tcW w:w="3640" w:type="dxa"/>
            <w:vAlign w:val="bottom"/>
            <w:gridSpan w:val="3"/>
          </w:tcPr>
          <w:p>
            <w:pPr>
              <w:jc w:val="center"/>
              <w:spacing w:after="0"/>
              <w:rPr>
                <w:sz w:val="20"/>
                <w:szCs w:val="20"/>
                <w:color w:val="auto"/>
              </w:rPr>
            </w:pPr>
            <w:r>
              <w:rPr>
                <w:rFonts w:ascii="Arial" w:cs="Arial" w:eastAsia="Arial" w:hAnsi="Arial"/>
                <w:sz w:val="18"/>
                <w:szCs w:val="18"/>
                <w:color w:val="auto"/>
                <w:w w:val="90"/>
              </w:rPr>
              <w:t>Timothy J. Regan</w:t>
            </w:r>
          </w:p>
        </w:tc>
        <w:tc>
          <w:tcPr>
            <w:tcW w:w="6420" w:type="dxa"/>
            <w:vAlign w:val="bottom"/>
            <w:gridSpan w:val="3"/>
          </w:tcPr>
          <w:p>
            <w:pPr>
              <w:ind w:left="100"/>
              <w:spacing w:after="0"/>
              <w:rPr>
                <w:sz w:val="20"/>
                <w:szCs w:val="20"/>
                <w:color w:val="auto"/>
              </w:rPr>
            </w:pPr>
            <w:r>
              <w:rPr>
                <w:rFonts w:ascii="Arial" w:cs="Arial" w:eastAsia="Arial" w:hAnsi="Arial"/>
                <w:sz w:val="18"/>
                <w:szCs w:val="18"/>
                <w:i w:val="1"/>
                <w:iCs w:val="1"/>
                <w:color w:val="auto"/>
              </w:rPr>
              <w:t>(Principal Accounting Officer)</w:t>
            </w:r>
          </w:p>
        </w:tc>
        <w:tc>
          <w:tcPr>
            <w:tcW w:w="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31"/>
        </w:trPr>
        <w:tc>
          <w:tcPr>
            <w:tcW w:w="152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1520" w:type="dxa"/>
            <w:vAlign w:val="bottom"/>
            <w:tcBorders>
              <w:bottom w:val="single" w:sz="8" w:color="auto"/>
            </w:tcBorders>
          </w:tcPr>
          <w:p>
            <w:pPr>
              <w:spacing w:after="0"/>
              <w:rPr>
                <w:sz w:val="24"/>
                <w:szCs w:val="24"/>
                <w:color w:val="auto"/>
              </w:rPr>
            </w:pPr>
          </w:p>
        </w:tc>
        <w:tc>
          <w:tcPr>
            <w:tcW w:w="6420" w:type="dxa"/>
            <w:vAlign w:val="bottom"/>
            <w:gridSpan w:val="3"/>
            <w:vMerge w:val="restart"/>
          </w:tcPr>
          <w:p>
            <w:pPr>
              <w:ind w:left="100"/>
              <w:spacing w:after="0"/>
              <w:rPr>
                <w:sz w:val="20"/>
                <w:szCs w:val="20"/>
                <w:color w:val="auto"/>
              </w:rPr>
            </w:pPr>
            <w:r>
              <w:rPr>
                <w:rFonts w:ascii="Arial" w:cs="Arial" w:eastAsia="Arial" w:hAnsi="Arial"/>
                <w:sz w:val="18"/>
                <w:szCs w:val="18"/>
                <w:color w:val="auto"/>
              </w:rPr>
              <w:t>Director</w:t>
            </w:r>
          </w:p>
        </w:tc>
        <w:tc>
          <w:tcPr>
            <w:tcW w:w="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2"/>
        </w:trPr>
        <w:tc>
          <w:tcPr>
            <w:tcW w:w="3640" w:type="dxa"/>
            <w:vAlign w:val="bottom"/>
            <w:gridSpan w:val="3"/>
            <w:vMerge w:val="restart"/>
          </w:tcPr>
          <w:p>
            <w:pPr>
              <w:jc w:val="center"/>
              <w:spacing w:after="0"/>
              <w:rPr>
                <w:sz w:val="20"/>
                <w:szCs w:val="20"/>
                <w:color w:val="auto"/>
              </w:rPr>
            </w:pPr>
            <w:r>
              <w:rPr>
                <w:rFonts w:ascii="Arial" w:cs="Arial" w:eastAsia="Arial" w:hAnsi="Arial"/>
                <w:sz w:val="18"/>
                <w:szCs w:val="18"/>
                <w:color w:val="auto"/>
                <w:w w:val="91"/>
              </w:rPr>
              <w:t>Arash Ferdowsi</w:t>
            </w:r>
          </w:p>
        </w:tc>
        <w:tc>
          <w:tcPr>
            <w:tcW w:w="6420" w:type="dxa"/>
            <w:vAlign w:val="bottom"/>
            <w:gridSpan w:val="3"/>
            <w:vMerge w:val="continue"/>
          </w:tcPr>
          <w:p>
            <w:pPr>
              <w:spacing w:after="0"/>
              <w:rPr>
                <w:sz w:val="8"/>
                <w:szCs w:val="8"/>
                <w:color w:val="auto"/>
              </w:rPr>
            </w:pPr>
          </w:p>
        </w:tc>
        <w:tc>
          <w:tcPr>
            <w:tcW w:w="3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22"/>
        </w:trPr>
        <w:tc>
          <w:tcPr>
            <w:tcW w:w="3640" w:type="dxa"/>
            <w:vAlign w:val="bottom"/>
            <w:gridSpan w:val="3"/>
            <w:vMerge w:val="continue"/>
          </w:tcPr>
          <w:p>
            <w:pPr>
              <w:spacing w:after="0"/>
              <w:rPr>
                <w:sz w:val="10"/>
                <w:szCs w:val="10"/>
                <w:color w:val="auto"/>
              </w:rPr>
            </w:pPr>
          </w:p>
        </w:tc>
        <w:tc>
          <w:tcPr>
            <w:tcW w:w="25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35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431"/>
        </w:trPr>
        <w:tc>
          <w:tcPr>
            <w:tcW w:w="152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1520" w:type="dxa"/>
            <w:vAlign w:val="bottom"/>
            <w:tcBorders>
              <w:bottom w:val="single" w:sz="8" w:color="auto"/>
            </w:tcBorders>
          </w:tcPr>
          <w:p>
            <w:pPr>
              <w:spacing w:after="0"/>
              <w:rPr>
                <w:sz w:val="24"/>
                <w:szCs w:val="24"/>
                <w:color w:val="auto"/>
              </w:rPr>
            </w:pPr>
          </w:p>
        </w:tc>
        <w:tc>
          <w:tcPr>
            <w:tcW w:w="6420" w:type="dxa"/>
            <w:vAlign w:val="bottom"/>
            <w:gridSpan w:val="3"/>
            <w:vMerge w:val="restart"/>
          </w:tcPr>
          <w:p>
            <w:pPr>
              <w:ind w:left="100"/>
              <w:spacing w:after="0"/>
              <w:rPr>
                <w:sz w:val="20"/>
                <w:szCs w:val="20"/>
                <w:color w:val="auto"/>
              </w:rPr>
            </w:pPr>
            <w:r>
              <w:rPr>
                <w:rFonts w:ascii="Arial" w:cs="Arial" w:eastAsia="Arial" w:hAnsi="Arial"/>
                <w:sz w:val="18"/>
                <w:szCs w:val="18"/>
                <w:color w:val="auto"/>
              </w:rPr>
              <w:t>Director</w:t>
            </w:r>
          </w:p>
        </w:tc>
        <w:tc>
          <w:tcPr>
            <w:tcW w:w="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2"/>
        </w:trPr>
        <w:tc>
          <w:tcPr>
            <w:tcW w:w="3640" w:type="dxa"/>
            <w:vAlign w:val="bottom"/>
            <w:gridSpan w:val="3"/>
            <w:vMerge w:val="restart"/>
          </w:tcPr>
          <w:p>
            <w:pPr>
              <w:jc w:val="center"/>
              <w:spacing w:after="0"/>
              <w:rPr>
                <w:sz w:val="20"/>
                <w:szCs w:val="20"/>
                <w:color w:val="auto"/>
              </w:rPr>
            </w:pPr>
            <w:r>
              <w:rPr>
                <w:rFonts w:ascii="Arial" w:cs="Arial" w:eastAsia="Arial" w:hAnsi="Arial"/>
                <w:sz w:val="18"/>
                <w:szCs w:val="18"/>
                <w:color w:val="auto"/>
                <w:w w:val="86"/>
              </w:rPr>
              <w:t>Paul E. Jacobs</w:t>
            </w:r>
          </w:p>
        </w:tc>
        <w:tc>
          <w:tcPr>
            <w:tcW w:w="6420" w:type="dxa"/>
            <w:vAlign w:val="bottom"/>
            <w:gridSpan w:val="3"/>
            <w:vMerge w:val="continue"/>
          </w:tcPr>
          <w:p>
            <w:pPr>
              <w:spacing w:after="0"/>
              <w:rPr>
                <w:sz w:val="8"/>
                <w:szCs w:val="8"/>
                <w:color w:val="auto"/>
              </w:rPr>
            </w:pPr>
          </w:p>
        </w:tc>
        <w:tc>
          <w:tcPr>
            <w:tcW w:w="3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22"/>
        </w:trPr>
        <w:tc>
          <w:tcPr>
            <w:tcW w:w="3640" w:type="dxa"/>
            <w:vAlign w:val="bottom"/>
            <w:gridSpan w:val="3"/>
            <w:vMerge w:val="continue"/>
          </w:tcPr>
          <w:p>
            <w:pPr>
              <w:spacing w:after="0"/>
              <w:rPr>
                <w:sz w:val="10"/>
                <w:szCs w:val="10"/>
                <w:color w:val="auto"/>
              </w:rPr>
            </w:pPr>
          </w:p>
        </w:tc>
        <w:tc>
          <w:tcPr>
            <w:tcW w:w="25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35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431"/>
        </w:trPr>
        <w:tc>
          <w:tcPr>
            <w:tcW w:w="152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1520" w:type="dxa"/>
            <w:vAlign w:val="bottom"/>
            <w:tcBorders>
              <w:bottom w:val="single" w:sz="8" w:color="auto"/>
            </w:tcBorders>
          </w:tcPr>
          <w:p>
            <w:pPr>
              <w:spacing w:after="0"/>
              <w:rPr>
                <w:sz w:val="24"/>
                <w:szCs w:val="24"/>
                <w:color w:val="auto"/>
              </w:rPr>
            </w:pPr>
          </w:p>
        </w:tc>
        <w:tc>
          <w:tcPr>
            <w:tcW w:w="6420" w:type="dxa"/>
            <w:vAlign w:val="bottom"/>
            <w:gridSpan w:val="3"/>
            <w:vMerge w:val="restart"/>
          </w:tcPr>
          <w:p>
            <w:pPr>
              <w:ind w:left="100"/>
              <w:spacing w:after="0"/>
              <w:rPr>
                <w:sz w:val="20"/>
                <w:szCs w:val="20"/>
                <w:color w:val="auto"/>
              </w:rPr>
            </w:pPr>
            <w:r>
              <w:rPr>
                <w:rFonts w:ascii="Arial" w:cs="Arial" w:eastAsia="Arial" w:hAnsi="Arial"/>
                <w:sz w:val="18"/>
                <w:szCs w:val="18"/>
                <w:color w:val="auto"/>
              </w:rPr>
              <w:t>Director</w:t>
            </w:r>
          </w:p>
        </w:tc>
        <w:tc>
          <w:tcPr>
            <w:tcW w:w="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2"/>
        </w:trPr>
        <w:tc>
          <w:tcPr>
            <w:tcW w:w="3640" w:type="dxa"/>
            <w:vAlign w:val="bottom"/>
            <w:gridSpan w:val="3"/>
            <w:vMerge w:val="restart"/>
          </w:tcPr>
          <w:p>
            <w:pPr>
              <w:jc w:val="center"/>
              <w:spacing w:after="0"/>
              <w:rPr>
                <w:sz w:val="20"/>
                <w:szCs w:val="20"/>
                <w:color w:val="auto"/>
              </w:rPr>
            </w:pPr>
            <w:r>
              <w:rPr>
                <w:rFonts w:ascii="Arial" w:cs="Arial" w:eastAsia="Arial" w:hAnsi="Arial"/>
                <w:sz w:val="18"/>
                <w:szCs w:val="18"/>
                <w:color w:val="auto"/>
                <w:w w:val="92"/>
              </w:rPr>
              <w:t>Robert J. Mylod, Jr.</w:t>
            </w:r>
          </w:p>
        </w:tc>
        <w:tc>
          <w:tcPr>
            <w:tcW w:w="6420" w:type="dxa"/>
            <w:vAlign w:val="bottom"/>
            <w:gridSpan w:val="3"/>
            <w:vMerge w:val="continue"/>
          </w:tcPr>
          <w:p>
            <w:pPr>
              <w:spacing w:after="0"/>
              <w:rPr>
                <w:sz w:val="8"/>
                <w:szCs w:val="8"/>
                <w:color w:val="auto"/>
              </w:rPr>
            </w:pPr>
          </w:p>
        </w:tc>
        <w:tc>
          <w:tcPr>
            <w:tcW w:w="3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22"/>
        </w:trPr>
        <w:tc>
          <w:tcPr>
            <w:tcW w:w="3640" w:type="dxa"/>
            <w:vAlign w:val="bottom"/>
            <w:gridSpan w:val="3"/>
            <w:vMerge w:val="continue"/>
          </w:tcPr>
          <w:p>
            <w:pPr>
              <w:spacing w:after="0"/>
              <w:rPr>
                <w:sz w:val="10"/>
                <w:szCs w:val="10"/>
                <w:color w:val="auto"/>
              </w:rPr>
            </w:pPr>
          </w:p>
        </w:tc>
        <w:tc>
          <w:tcPr>
            <w:tcW w:w="25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35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431"/>
        </w:trPr>
        <w:tc>
          <w:tcPr>
            <w:tcW w:w="152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1520" w:type="dxa"/>
            <w:vAlign w:val="bottom"/>
            <w:tcBorders>
              <w:bottom w:val="single" w:sz="8" w:color="auto"/>
            </w:tcBorders>
          </w:tcPr>
          <w:p>
            <w:pPr>
              <w:spacing w:after="0"/>
              <w:rPr>
                <w:sz w:val="24"/>
                <w:szCs w:val="24"/>
                <w:color w:val="auto"/>
              </w:rPr>
            </w:pPr>
          </w:p>
        </w:tc>
        <w:tc>
          <w:tcPr>
            <w:tcW w:w="6420" w:type="dxa"/>
            <w:vAlign w:val="bottom"/>
            <w:gridSpan w:val="3"/>
            <w:vMerge w:val="restart"/>
          </w:tcPr>
          <w:p>
            <w:pPr>
              <w:ind w:left="100"/>
              <w:spacing w:after="0"/>
              <w:rPr>
                <w:sz w:val="20"/>
                <w:szCs w:val="20"/>
                <w:color w:val="auto"/>
              </w:rPr>
            </w:pPr>
            <w:r>
              <w:rPr>
                <w:rFonts w:ascii="Arial" w:cs="Arial" w:eastAsia="Arial" w:hAnsi="Arial"/>
                <w:sz w:val="18"/>
                <w:szCs w:val="18"/>
                <w:color w:val="auto"/>
              </w:rPr>
              <w:t>Director</w:t>
            </w:r>
          </w:p>
        </w:tc>
        <w:tc>
          <w:tcPr>
            <w:tcW w:w="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2"/>
        </w:trPr>
        <w:tc>
          <w:tcPr>
            <w:tcW w:w="3640" w:type="dxa"/>
            <w:vAlign w:val="bottom"/>
            <w:gridSpan w:val="3"/>
            <w:vMerge w:val="restart"/>
          </w:tcPr>
          <w:p>
            <w:pPr>
              <w:jc w:val="center"/>
              <w:spacing w:after="0"/>
              <w:rPr>
                <w:sz w:val="20"/>
                <w:szCs w:val="20"/>
                <w:color w:val="auto"/>
              </w:rPr>
            </w:pPr>
            <w:r>
              <w:rPr>
                <w:rFonts w:ascii="Arial" w:cs="Arial" w:eastAsia="Arial" w:hAnsi="Arial"/>
                <w:sz w:val="18"/>
                <w:szCs w:val="18"/>
                <w:color w:val="auto"/>
                <w:w w:val="88"/>
              </w:rPr>
              <w:t>Condoleezza Rice</w:t>
            </w:r>
          </w:p>
        </w:tc>
        <w:tc>
          <w:tcPr>
            <w:tcW w:w="6420" w:type="dxa"/>
            <w:vAlign w:val="bottom"/>
            <w:gridSpan w:val="3"/>
            <w:vMerge w:val="continue"/>
          </w:tcPr>
          <w:p>
            <w:pPr>
              <w:spacing w:after="0"/>
              <w:rPr>
                <w:sz w:val="8"/>
                <w:szCs w:val="8"/>
                <w:color w:val="auto"/>
              </w:rPr>
            </w:pPr>
          </w:p>
        </w:tc>
        <w:tc>
          <w:tcPr>
            <w:tcW w:w="3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22"/>
        </w:trPr>
        <w:tc>
          <w:tcPr>
            <w:tcW w:w="3640" w:type="dxa"/>
            <w:vAlign w:val="bottom"/>
            <w:gridSpan w:val="3"/>
            <w:vMerge w:val="continue"/>
          </w:tcPr>
          <w:p>
            <w:pPr>
              <w:spacing w:after="0"/>
              <w:rPr>
                <w:sz w:val="10"/>
                <w:szCs w:val="10"/>
                <w:color w:val="auto"/>
              </w:rPr>
            </w:pPr>
          </w:p>
        </w:tc>
        <w:tc>
          <w:tcPr>
            <w:tcW w:w="25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35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64"/>
        </w:trPr>
        <w:tc>
          <w:tcPr>
            <w:tcW w:w="15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6420" w:type="dxa"/>
            <w:vAlign w:val="bottom"/>
            <w:gridSpan w:val="3"/>
          </w:tcPr>
          <w:p>
            <w:pPr>
              <w:ind w:left="1840"/>
              <w:spacing w:after="0"/>
              <w:rPr>
                <w:sz w:val="20"/>
                <w:szCs w:val="20"/>
                <w:color w:val="auto"/>
              </w:rPr>
            </w:pPr>
            <w:r>
              <w:rPr>
                <w:rFonts w:ascii="Arial" w:cs="Arial" w:eastAsia="Arial" w:hAnsi="Arial"/>
                <w:sz w:val="18"/>
                <w:szCs w:val="18"/>
                <w:color w:val="auto"/>
              </w:rPr>
              <w:t>II-6</w:t>
            </w:r>
          </w:p>
        </w:tc>
        <w:tc>
          <w:tcPr>
            <w:tcW w:w="3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140"/>
          </w:cols>
          <w:pgMar w:left="320" w:top="459" w:right="439" w:bottom="1440" w:gutter="0" w:footer="0" w:header="0"/>
        </w:sectPr>
      </w:pPr>
    </w:p>
    <w:bookmarkStart w:id="202" w:name="page203"/>
    <w:bookmarkEnd w:id="20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1520" w:type="dxa"/>
            <w:vAlign w:val="bottom"/>
          </w:tcPr>
          <w:p>
            <w:pPr>
              <w:spacing w:after="0"/>
              <w:rPr>
                <w:sz w:val="16"/>
                <w:szCs w:val="16"/>
                <w:color w:val="auto"/>
              </w:rPr>
            </w:pPr>
          </w:p>
        </w:tc>
        <w:tc>
          <w:tcPr>
            <w:tcW w:w="2120" w:type="dxa"/>
            <w:vAlign w:val="bottom"/>
            <w:gridSpan w:val="2"/>
          </w:tcPr>
          <w:p>
            <w:pPr>
              <w:jc w:val="center"/>
              <w:ind w:right="1520"/>
              <w:spacing w:after="0"/>
              <w:rPr>
                <w:sz w:val="20"/>
                <w:szCs w:val="20"/>
                <w:color w:val="auto"/>
              </w:rPr>
            </w:pPr>
            <w:r>
              <w:rPr>
                <w:rFonts w:ascii="Arial" w:cs="Arial" w:eastAsia="Arial" w:hAnsi="Arial"/>
                <w:sz w:val="14"/>
                <w:szCs w:val="14"/>
                <w:b w:val="1"/>
                <w:bCs w:val="1"/>
                <w:color w:val="auto"/>
                <w:w w:val="92"/>
              </w:rPr>
              <w:t>Signature</w:t>
            </w:r>
          </w:p>
        </w:tc>
        <w:tc>
          <w:tcPr>
            <w:tcW w:w="6420" w:type="dxa"/>
            <w:vAlign w:val="bottom"/>
            <w:gridSpan w:val="3"/>
          </w:tcPr>
          <w:p>
            <w:pPr>
              <w:ind w:left="2580"/>
              <w:spacing w:after="0"/>
              <w:rPr>
                <w:sz w:val="20"/>
                <w:szCs w:val="20"/>
                <w:color w:val="auto"/>
              </w:rPr>
            </w:pPr>
            <w:r>
              <w:rPr>
                <w:rFonts w:ascii="Arial" w:cs="Arial" w:eastAsia="Arial" w:hAnsi="Arial"/>
                <w:sz w:val="14"/>
                <w:szCs w:val="14"/>
                <w:b w:val="1"/>
                <w:bCs w:val="1"/>
                <w:color w:val="auto"/>
              </w:rPr>
              <w:t>Title</w:t>
            </w:r>
          </w:p>
        </w:tc>
        <w:tc>
          <w:tcPr>
            <w:tcW w:w="300" w:type="dxa"/>
            <w:vAlign w:val="bottom"/>
          </w:tcPr>
          <w:p>
            <w:pPr>
              <w:ind w:left="20"/>
              <w:spacing w:after="0"/>
              <w:rPr>
                <w:sz w:val="20"/>
                <w:szCs w:val="20"/>
                <w:color w:val="auto"/>
              </w:rPr>
            </w:pPr>
            <w:r>
              <w:rPr>
                <w:rFonts w:ascii="Arial" w:cs="Arial" w:eastAsia="Arial" w:hAnsi="Arial"/>
                <w:sz w:val="14"/>
                <w:szCs w:val="14"/>
                <w:b w:val="1"/>
                <w:bCs w:val="1"/>
                <w:color w:val="auto"/>
                <w:w w:val="85"/>
              </w:rPr>
              <w:t>Date</w:t>
            </w:r>
          </w:p>
        </w:tc>
        <w:tc>
          <w:tcPr>
            <w:tcW w:w="0" w:type="dxa"/>
            <w:vAlign w:val="bottom"/>
          </w:tcPr>
          <w:p>
            <w:pPr>
              <w:spacing w:after="0"/>
              <w:rPr>
                <w:sz w:val="1"/>
                <w:szCs w:val="1"/>
                <w:color w:val="auto"/>
              </w:rPr>
            </w:pPr>
          </w:p>
        </w:tc>
      </w:tr>
      <w:tr>
        <w:trPr>
          <w:trHeight w:val="412"/>
        </w:trPr>
        <w:tc>
          <w:tcPr>
            <w:tcW w:w="1520" w:type="dxa"/>
            <w:vAlign w:val="bottom"/>
            <w:tcBorders>
              <w:bottom w:val="single" w:sz="8" w:color="auto"/>
            </w:tcBorders>
          </w:tcPr>
          <w:p>
            <w:pPr>
              <w:spacing w:after="0"/>
              <w:rPr>
                <w:sz w:val="24"/>
                <w:szCs w:val="24"/>
                <w:color w:val="auto"/>
              </w:rPr>
            </w:pPr>
          </w:p>
        </w:tc>
        <w:tc>
          <w:tcPr>
            <w:tcW w:w="600" w:type="dxa"/>
            <w:vAlign w:val="bottom"/>
            <w:tcBorders>
              <w:top w:val="single" w:sz="8" w:color="auto"/>
              <w:bottom w:val="single" w:sz="8" w:color="auto"/>
            </w:tcBorders>
          </w:tcPr>
          <w:p>
            <w:pPr>
              <w:spacing w:after="0"/>
              <w:rPr>
                <w:sz w:val="24"/>
                <w:szCs w:val="24"/>
                <w:color w:val="auto"/>
              </w:rPr>
            </w:pPr>
          </w:p>
        </w:tc>
        <w:tc>
          <w:tcPr>
            <w:tcW w:w="1520" w:type="dxa"/>
            <w:vAlign w:val="bottom"/>
            <w:tcBorders>
              <w:bottom w:val="single" w:sz="8" w:color="auto"/>
            </w:tcBorders>
          </w:tcPr>
          <w:p>
            <w:pPr>
              <w:spacing w:after="0"/>
              <w:rPr>
                <w:sz w:val="24"/>
                <w:szCs w:val="24"/>
                <w:color w:val="auto"/>
              </w:rPr>
            </w:pPr>
          </w:p>
        </w:tc>
        <w:tc>
          <w:tcPr>
            <w:tcW w:w="2580" w:type="dxa"/>
            <w:vAlign w:val="bottom"/>
            <w:vMerge w:val="restart"/>
          </w:tcPr>
          <w:p>
            <w:pPr>
              <w:ind w:left="100"/>
              <w:spacing w:after="0"/>
              <w:rPr>
                <w:sz w:val="20"/>
                <w:szCs w:val="20"/>
                <w:color w:val="auto"/>
              </w:rPr>
            </w:pPr>
            <w:r>
              <w:rPr>
                <w:rFonts w:ascii="Arial" w:cs="Arial" w:eastAsia="Arial" w:hAnsi="Arial"/>
                <w:sz w:val="18"/>
                <w:szCs w:val="18"/>
                <w:color w:val="auto"/>
              </w:rPr>
              <w:t>Director</w:t>
            </w:r>
          </w:p>
        </w:tc>
        <w:tc>
          <w:tcPr>
            <w:tcW w:w="280" w:type="dxa"/>
            <w:vAlign w:val="bottom"/>
            <w:tcBorders>
              <w:top w:val="single" w:sz="8" w:color="auto"/>
              <w:bottom w:val="single" w:sz="8" w:color="auto"/>
            </w:tcBorders>
            <w:vMerge w:val="restart"/>
          </w:tcPr>
          <w:p>
            <w:pPr>
              <w:spacing w:after="0"/>
              <w:rPr>
                <w:sz w:val="24"/>
                <w:szCs w:val="24"/>
                <w:color w:val="auto"/>
              </w:rPr>
            </w:pPr>
          </w:p>
        </w:tc>
        <w:tc>
          <w:tcPr>
            <w:tcW w:w="3560" w:type="dxa"/>
            <w:vAlign w:val="bottom"/>
            <w:vMerge w:val="restart"/>
          </w:tcPr>
          <w:p>
            <w:pPr>
              <w:spacing w:after="0"/>
              <w:rPr>
                <w:sz w:val="24"/>
                <w:szCs w:val="24"/>
                <w:color w:val="auto"/>
              </w:rPr>
            </w:pPr>
          </w:p>
        </w:tc>
        <w:tc>
          <w:tcPr>
            <w:tcW w:w="300" w:type="dxa"/>
            <w:vAlign w:val="bottom"/>
            <w:tcBorders>
              <w:top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02"/>
        </w:trPr>
        <w:tc>
          <w:tcPr>
            <w:tcW w:w="3640" w:type="dxa"/>
            <w:vAlign w:val="bottom"/>
            <w:gridSpan w:val="3"/>
            <w:vMerge w:val="restart"/>
          </w:tcPr>
          <w:p>
            <w:pPr>
              <w:jc w:val="center"/>
              <w:spacing w:after="0"/>
              <w:rPr>
                <w:sz w:val="20"/>
                <w:szCs w:val="20"/>
                <w:color w:val="auto"/>
              </w:rPr>
            </w:pPr>
            <w:r>
              <w:rPr>
                <w:rFonts w:ascii="Arial" w:cs="Arial" w:eastAsia="Arial" w:hAnsi="Arial"/>
                <w:sz w:val="18"/>
                <w:szCs w:val="18"/>
                <w:color w:val="auto"/>
                <w:w w:val="91"/>
              </w:rPr>
              <w:t>R. Bryan Schreier</w:t>
            </w:r>
          </w:p>
        </w:tc>
        <w:tc>
          <w:tcPr>
            <w:tcW w:w="2580" w:type="dxa"/>
            <w:vAlign w:val="bottom"/>
            <w:vMerge w:val="continue"/>
          </w:tcPr>
          <w:p>
            <w:pPr>
              <w:spacing w:after="0"/>
              <w:rPr>
                <w:sz w:val="8"/>
                <w:szCs w:val="8"/>
                <w:color w:val="auto"/>
              </w:rPr>
            </w:pPr>
          </w:p>
        </w:tc>
        <w:tc>
          <w:tcPr>
            <w:tcW w:w="280" w:type="dxa"/>
            <w:vAlign w:val="bottom"/>
            <w:vMerge w:val="continue"/>
          </w:tcPr>
          <w:p>
            <w:pPr>
              <w:spacing w:after="0"/>
              <w:rPr>
                <w:sz w:val="8"/>
                <w:szCs w:val="8"/>
                <w:color w:val="auto"/>
              </w:rPr>
            </w:pPr>
          </w:p>
        </w:tc>
        <w:tc>
          <w:tcPr>
            <w:tcW w:w="3560" w:type="dxa"/>
            <w:vAlign w:val="bottom"/>
            <w:vMerge w:val="continue"/>
          </w:tcPr>
          <w:p>
            <w:pPr>
              <w:spacing w:after="0"/>
              <w:rPr>
                <w:sz w:val="8"/>
                <w:szCs w:val="8"/>
                <w:color w:val="auto"/>
              </w:rPr>
            </w:pPr>
          </w:p>
        </w:tc>
        <w:tc>
          <w:tcPr>
            <w:tcW w:w="3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22"/>
        </w:trPr>
        <w:tc>
          <w:tcPr>
            <w:tcW w:w="3640" w:type="dxa"/>
            <w:vAlign w:val="bottom"/>
            <w:gridSpan w:val="3"/>
            <w:vMerge w:val="continue"/>
          </w:tcPr>
          <w:p>
            <w:pPr>
              <w:spacing w:after="0"/>
              <w:rPr>
                <w:sz w:val="10"/>
                <w:szCs w:val="10"/>
                <w:color w:val="auto"/>
              </w:rPr>
            </w:pPr>
          </w:p>
        </w:tc>
        <w:tc>
          <w:tcPr>
            <w:tcW w:w="25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35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431"/>
        </w:trPr>
        <w:tc>
          <w:tcPr>
            <w:tcW w:w="152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1520" w:type="dxa"/>
            <w:vAlign w:val="bottom"/>
            <w:tcBorders>
              <w:bottom w:val="single" w:sz="8" w:color="auto"/>
            </w:tcBorders>
          </w:tcPr>
          <w:p>
            <w:pPr>
              <w:spacing w:after="0"/>
              <w:rPr>
                <w:sz w:val="24"/>
                <w:szCs w:val="24"/>
                <w:color w:val="auto"/>
              </w:rPr>
            </w:pPr>
          </w:p>
        </w:tc>
        <w:tc>
          <w:tcPr>
            <w:tcW w:w="6420" w:type="dxa"/>
            <w:vAlign w:val="bottom"/>
            <w:gridSpan w:val="3"/>
            <w:vMerge w:val="restart"/>
          </w:tcPr>
          <w:p>
            <w:pPr>
              <w:ind w:left="100"/>
              <w:spacing w:after="0"/>
              <w:rPr>
                <w:sz w:val="20"/>
                <w:szCs w:val="20"/>
                <w:color w:val="auto"/>
              </w:rPr>
            </w:pPr>
            <w:r>
              <w:rPr>
                <w:rFonts w:ascii="Arial" w:cs="Arial" w:eastAsia="Arial" w:hAnsi="Arial"/>
                <w:sz w:val="18"/>
                <w:szCs w:val="18"/>
                <w:color w:val="auto"/>
              </w:rPr>
              <w:t>Director</w:t>
            </w:r>
          </w:p>
        </w:tc>
        <w:tc>
          <w:tcPr>
            <w:tcW w:w="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2"/>
        </w:trPr>
        <w:tc>
          <w:tcPr>
            <w:tcW w:w="3640" w:type="dxa"/>
            <w:vAlign w:val="bottom"/>
            <w:gridSpan w:val="3"/>
            <w:vMerge w:val="restart"/>
          </w:tcPr>
          <w:p>
            <w:pPr>
              <w:jc w:val="center"/>
              <w:spacing w:after="0"/>
              <w:rPr>
                <w:sz w:val="20"/>
                <w:szCs w:val="20"/>
                <w:color w:val="auto"/>
              </w:rPr>
            </w:pPr>
            <w:r>
              <w:rPr>
                <w:rFonts w:ascii="Arial" w:cs="Arial" w:eastAsia="Arial" w:hAnsi="Arial"/>
                <w:sz w:val="18"/>
                <w:szCs w:val="18"/>
                <w:color w:val="auto"/>
                <w:w w:val="92"/>
              </w:rPr>
              <w:t>Margaret C. Whitman</w:t>
            </w:r>
          </w:p>
        </w:tc>
        <w:tc>
          <w:tcPr>
            <w:tcW w:w="6420" w:type="dxa"/>
            <w:vAlign w:val="bottom"/>
            <w:gridSpan w:val="3"/>
            <w:vMerge w:val="continue"/>
          </w:tcPr>
          <w:p>
            <w:pPr>
              <w:spacing w:after="0"/>
              <w:rPr>
                <w:sz w:val="8"/>
                <w:szCs w:val="8"/>
                <w:color w:val="auto"/>
              </w:rPr>
            </w:pPr>
          </w:p>
        </w:tc>
        <w:tc>
          <w:tcPr>
            <w:tcW w:w="3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22"/>
        </w:trPr>
        <w:tc>
          <w:tcPr>
            <w:tcW w:w="3640" w:type="dxa"/>
            <w:vAlign w:val="bottom"/>
            <w:gridSpan w:val="3"/>
            <w:vMerge w:val="continue"/>
          </w:tcPr>
          <w:p>
            <w:pPr>
              <w:spacing w:after="0"/>
              <w:rPr>
                <w:sz w:val="10"/>
                <w:szCs w:val="10"/>
                <w:color w:val="auto"/>
              </w:rPr>
            </w:pPr>
          </w:p>
        </w:tc>
        <w:tc>
          <w:tcPr>
            <w:tcW w:w="25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35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64"/>
        </w:trPr>
        <w:tc>
          <w:tcPr>
            <w:tcW w:w="15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6420" w:type="dxa"/>
            <w:vAlign w:val="bottom"/>
            <w:gridSpan w:val="3"/>
          </w:tcPr>
          <w:p>
            <w:pPr>
              <w:ind w:left="1840"/>
              <w:spacing w:after="0"/>
              <w:rPr>
                <w:sz w:val="20"/>
                <w:szCs w:val="20"/>
                <w:color w:val="auto"/>
              </w:rPr>
            </w:pPr>
            <w:r>
              <w:rPr>
                <w:rFonts w:ascii="Arial" w:cs="Arial" w:eastAsia="Arial" w:hAnsi="Arial"/>
                <w:sz w:val="18"/>
                <w:szCs w:val="18"/>
                <w:color w:val="auto"/>
              </w:rPr>
              <w:t>II-7</w:t>
            </w:r>
          </w:p>
        </w:tc>
        <w:tc>
          <w:tcPr>
            <w:tcW w:w="3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1" w:lineRule="exact"/>
        <w:rPr>
          <w:sz w:val="20"/>
          <w:szCs w:val="20"/>
          <w:color w:val="auto"/>
        </w:rPr>
      </w:pPr>
    </w:p>
    <w:sectPr>
      <w:pgSz w:w="11900" w:h="16838" w:orient="portrait"/>
      <w:cols w:equalWidth="0" w:num="1">
        <w:col w:w="10360"/>
      </w:cols>
      <w:pgMar w:left="320" w:top="459" w:right="12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80115BE"/>
    <w:multiLevelType w:val="hybridMultilevel"/>
    <w:lvl w:ilvl="0">
      <w:lvlJc w:val="left"/>
      <w:lvlText w:val="(%1)"/>
      <w:numFmt w:val="decimal"/>
      <w:start w:val="1"/>
    </w:lvl>
  </w:abstractNum>
  <w:abstractNum w:abstractNumId="1">
    <w:nsid w:val="235BA861"/>
    <w:multiLevelType w:val="hybridMultilevel"/>
    <w:lvl w:ilvl="0">
      <w:lvlJc w:val="left"/>
      <w:lvlText w:val="(%1)"/>
      <w:numFmt w:val="decimal"/>
      <w:start w:val="1"/>
    </w:lvl>
  </w:abstractNum>
  <w:abstractNum w:abstractNumId="2">
    <w:nsid w:val="47398C89"/>
    <w:multiLevelType w:val="hybridMultilevel"/>
    <w:lvl w:ilvl="0">
      <w:lvlJc w:val="left"/>
      <w:lvlText w:val="•"/>
      <w:numFmt w:val="bullet"/>
      <w:start w:val="1"/>
    </w:lvl>
  </w:abstractNum>
  <w:abstractNum w:abstractNumId="3">
    <w:nsid w:val="354FE9F9"/>
    <w:multiLevelType w:val="hybridMultilevel"/>
    <w:lvl w:ilvl="0">
      <w:lvlJc w:val="left"/>
      <w:lvlText w:val="•"/>
      <w:numFmt w:val="bullet"/>
      <w:start w:val="1"/>
    </w:lvl>
  </w:abstractNum>
  <w:abstractNum w:abstractNumId="4">
    <w:nsid w:val="15B5AF5C"/>
    <w:multiLevelType w:val="hybridMultilevel"/>
    <w:lvl w:ilvl="0">
      <w:lvlJc w:val="left"/>
      <w:lvlText w:val="•"/>
      <w:numFmt w:val="bullet"/>
      <w:start w:val="1"/>
    </w:lvl>
  </w:abstractNum>
  <w:abstractNum w:abstractNumId="5">
    <w:nsid w:val="741226BB"/>
    <w:multiLevelType w:val="hybridMultilevel"/>
    <w:lvl w:ilvl="0">
      <w:lvlJc w:val="left"/>
      <w:lvlText w:val="•"/>
      <w:numFmt w:val="bullet"/>
      <w:start w:val="1"/>
    </w:lvl>
  </w:abstractNum>
  <w:abstractNum w:abstractNumId="6">
    <w:nsid w:val="D34B6A8"/>
    <w:multiLevelType w:val="hybridMultilevel"/>
    <w:lvl w:ilvl="0">
      <w:lvlJc w:val="left"/>
      <w:lvlText w:val="•"/>
      <w:numFmt w:val="bullet"/>
      <w:start w:val="1"/>
    </w:lvl>
  </w:abstractNum>
  <w:abstractNum w:abstractNumId="7">
    <w:nsid w:val="10233C99"/>
    <w:multiLevelType w:val="hybridMultilevel"/>
    <w:lvl w:ilvl="0">
      <w:lvlJc w:val="left"/>
      <w:lvlText w:val="$"/>
      <w:numFmt w:val="bullet"/>
      <w:start w:val="1"/>
    </w:lvl>
  </w:abstractNum>
  <w:abstractNum w:abstractNumId="8">
    <w:nsid w:val="3F6AB60F"/>
    <w:multiLevelType w:val="hybridMultilevel"/>
    <w:lvl w:ilvl="0">
      <w:lvlJc w:val="left"/>
      <w:lvlText w:val="•"/>
      <w:numFmt w:val="bullet"/>
      <w:start w:val="1"/>
    </w:lvl>
  </w:abstractNum>
  <w:abstractNum w:abstractNumId="9">
    <w:nsid w:val="61574095"/>
    <w:multiLevelType w:val="hybridMultilevel"/>
    <w:lvl w:ilvl="0">
      <w:lvlJc w:val="left"/>
      <w:lvlText w:val="•"/>
      <w:numFmt w:val="bullet"/>
      <w:start w:val="1"/>
    </w:lvl>
    <w:lvl w:ilvl="1">
      <w:lvlJc w:val="left"/>
      <w:lvlText w:val="•"/>
      <w:numFmt w:val="bullet"/>
      <w:start w:val="1"/>
    </w:lvl>
  </w:abstractNum>
  <w:abstractNum w:abstractNumId="10">
    <w:nsid w:val="7E0C57B1"/>
    <w:multiLevelType w:val="hybridMultilevel"/>
    <w:lvl w:ilvl="0">
      <w:lvlJc w:val="left"/>
      <w:lvlText w:val="•"/>
      <w:numFmt w:val="bullet"/>
      <w:start w:val="1"/>
    </w:lvl>
  </w:abstractNum>
  <w:abstractNum w:abstractNumId="11">
    <w:nsid w:val="77AE35EB"/>
    <w:multiLevelType w:val="hybridMultilevel"/>
    <w:lvl w:ilvl="0">
      <w:lvlJc w:val="left"/>
      <w:lvlText w:val="•"/>
      <w:numFmt w:val="bullet"/>
      <w:start w:val="1"/>
    </w:lvl>
  </w:abstractNum>
  <w:abstractNum w:abstractNumId="12">
    <w:nsid w:val="579BE4F1"/>
    <w:multiLevelType w:val="hybridMultilevel"/>
    <w:lvl w:ilvl="0">
      <w:lvlJc w:val="left"/>
      <w:lvlText w:val="(%1)"/>
      <w:numFmt w:val="decimal"/>
      <w:start w:val="1"/>
    </w:lvl>
  </w:abstractNum>
  <w:abstractNum w:abstractNumId="13">
    <w:nsid w:val="310C50B3"/>
    <w:multiLevelType w:val="hybridMultilevel"/>
    <w:lvl w:ilvl="0">
      <w:lvlJc w:val="left"/>
      <w:lvlText w:val="(%1)"/>
      <w:numFmt w:val="decimal"/>
      <w:start w:val="2"/>
    </w:lvl>
  </w:abstractNum>
  <w:abstractNum w:abstractNumId="14">
    <w:nsid w:val="5FF87E05"/>
    <w:multiLevelType w:val="hybridMultilevel"/>
    <w:lvl w:ilvl="0">
      <w:lvlJc w:val="left"/>
      <w:lvlText w:val="(%1)"/>
      <w:numFmt w:val="decimal"/>
      <w:start w:val="1"/>
    </w:lvl>
  </w:abstractNum>
  <w:abstractNum w:abstractNumId="15">
    <w:nsid w:val="2F305DEF"/>
    <w:multiLevelType w:val="hybridMultilevel"/>
    <w:lvl w:ilvl="0">
      <w:lvlJc w:val="left"/>
      <w:lvlText w:val="(%1)"/>
      <w:numFmt w:val="decimal"/>
      <w:start w:val="2"/>
    </w:lvl>
  </w:abstractNum>
  <w:abstractNum w:abstractNumId="16">
    <w:nsid w:val="25A70BF7"/>
    <w:multiLevelType w:val="hybridMultilevel"/>
    <w:lvl w:ilvl="0">
      <w:lvlJc w:val="left"/>
      <w:lvlText w:val="$"/>
      <w:numFmt w:val="bullet"/>
      <w:start w:val="1"/>
    </w:lvl>
  </w:abstractNum>
  <w:abstractNum w:abstractNumId="17">
    <w:nsid w:val="1DBABF00"/>
    <w:multiLevelType w:val="hybridMultilevel"/>
    <w:lvl w:ilvl="0">
      <w:lvlJc w:val="left"/>
      <w:lvlText w:val="•"/>
      <w:numFmt w:val="bullet"/>
      <w:start w:val="1"/>
    </w:lvl>
  </w:abstractNum>
  <w:abstractNum w:abstractNumId="18">
    <w:nsid w:val="4AD084E9"/>
    <w:multiLevelType w:val="hybridMultilevel"/>
    <w:lvl w:ilvl="0">
      <w:lvlJc w:val="left"/>
      <w:lvlText w:val="•"/>
      <w:numFmt w:val="bullet"/>
      <w:start w:val="1"/>
    </w:lvl>
  </w:abstractNum>
  <w:abstractNum w:abstractNumId="19">
    <w:nsid w:val="1F48EAA1"/>
    <w:multiLevelType w:val="hybridMultilevel"/>
    <w:lvl w:ilvl="0">
      <w:lvlJc w:val="left"/>
      <w:lvlText w:val="•"/>
      <w:numFmt w:val="bullet"/>
      <w:start w:val="1"/>
    </w:lvl>
  </w:abstractNum>
  <w:abstractNum w:abstractNumId="20">
    <w:nsid w:val="1381823A"/>
    <w:multiLevelType w:val="hybridMultilevel"/>
    <w:lvl w:ilvl="0">
      <w:lvlJc w:val="left"/>
      <w:lvlText w:val="•"/>
      <w:numFmt w:val="bullet"/>
      <w:start w:val="1"/>
    </w:lvl>
  </w:abstractNum>
  <w:abstractNum w:abstractNumId="21">
    <w:nsid w:val="5DB70AE5"/>
    <w:multiLevelType w:val="hybridMultilevel"/>
    <w:lvl w:ilvl="0">
      <w:lvlJc w:val="left"/>
      <w:lvlText w:val="•"/>
      <w:numFmt w:val="bullet"/>
      <w:start w:val="1"/>
    </w:lvl>
  </w:abstractNum>
  <w:abstractNum w:abstractNumId="22">
    <w:nsid w:val="100F8FCA"/>
    <w:multiLevelType w:val="hybridMultilevel"/>
    <w:lvl w:ilvl="0">
      <w:lvlJc w:val="left"/>
      <w:lvlText w:val="•"/>
      <w:numFmt w:val="bullet"/>
      <w:start w:val="1"/>
    </w:lvl>
  </w:abstractNum>
  <w:abstractNum w:abstractNumId="23">
    <w:nsid w:val="6590700B"/>
    <w:multiLevelType w:val="hybridMultilevel"/>
    <w:lvl w:ilvl="0">
      <w:lvlJc w:val="left"/>
      <w:lvlText w:val="•"/>
      <w:numFmt w:val="bullet"/>
      <w:start w:val="1"/>
    </w:lvl>
  </w:abstractNum>
  <w:abstractNum w:abstractNumId="24">
    <w:nsid w:val="15014ACB"/>
    <w:multiLevelType w:val="hybridMultilevel"/>
    <w:lvl w:ilvl="0">
      <w:lvlJc w:val="left"/>
      <w:lvlText w:val="•"/>
      <w:numFmt w:val="bullet"/>
      <w:start w:val="1"/>
    </w:lvl>
  </w:abstractNum>
  <w:abstractNum w:abstractNumId="25">
    <w:nsid w:val="5F5E7FD0"/>
    <w:multiLevelType w:val="hybridMultilevel"/>
    <w:lvl w:ilvl="0">
      <w:lvlJc w:val="left"/>
      <w:lvlText w:val="•"/>
      <w:numFmt w:val="bullet"/>
      <w:start w:val="1"/>
    </w:lvl>
  </w:abstractNum>
  <w:abstractNum w:abstractNumId="26">
    <w:nsid w:val="98A3148"/>
    <w:multiLevelType w:val="hybridMultilevel"/>
    <w:lvl w:ilvl="0">
      <w:lvlJc w:val="left"/>
      <w:lvlText w:val="•"/>
      <w:numFmt w:val="bullet"/>
      <w:start w:val="1"/>
    </w:lvl>
  </w:abstractNum>
  <w:abstractNum w:abstractNumId="27">
    <w:nsid w:val="799D0247"/>
    <w:multiLevelType w:val="hybridMultilevel"/>
    <w:lvl w:ilvl="0">
      <w:lvlJc w:val="left"/>
      <w:lvlText w:val="$"/>
      <w:numFmt w:val="bullet"/>
      <w:start w:val="1"/>
    </w:lvl>
  </w:abstractNum>
  <w:abstractNum w:abstractNumId="28">
    <w:nsid w:val="6B94764"/>
    <w:multiLevelType w:val="hybridMultilevel"/>
    <w:lvl w:ilvl="0">
      <w:lvlJc w:val="left"/>
      <w:lvlText w:val="•"/>
      <w:numFmt w:val="bullet"/>
      <w:start w:val="1"/>
    </w:lvl>
    <w:lvl w:ilvl="1">
      <w:lvlJc w:val="left"/>
      <w:lvlText w:val="•"/>
      <w:numFmt w:val="bullet"/>
      <w:start w:val="1"/>
    </w:lvl>
  </w:abstractNum>
  <w:abstractNum w:abstractNumId="29">
    <w:nsid w:val="42C296BD"/>
    <w:multiLevelType w:val="hybridMultilevel"/>
    <w:lvl w:ilvl="0">
      <w:lvlJc w:val="left"/>
      <w:lvlText w:val="•"/>
      <w:numFmt w:val="bullet"/>
      <w:start w:val="1"/>
    </w:lvl>
  </w:abstractNum>
  <w:abstractNum w:abstractNumId="30">
    <w:nsid w:val="168E121F"/>
    <w:multiLevelType w:val="hybridMultilevel"/>
    <w:lvl w:ilvl="0">
      <w:lvlJc w:val="left"/>
      <w:lvlText w:val="(%1)"/>
      <w:numFmt w:val="decimal"/>
      <w:start w:val="2"/>
    </w:lvl>
  </w:abstractNum>
  <w:abstractNum w:abstractNumId="31">
    <w:nsid w:val="1EBA5D23"/>
    <w:multiLevelType w:val="hybridMultilevel"/>
    <w:lvl w:ilvl="0">
      <w:lvlJc w:val="left"/>
      <w:lvlText w:val="•"/>
      <w:numFmt w:val="bullet"/>
      <w:start w:val="1"/>
    </w:lvl>
  </w:abstractNum>
  <w:abstractNum w:abstractNumId="32">
    <w:nsid w:val="661E3F1E"/>
    <w:multiLevelType w:val="hybridMultilevel"/>
    <w:lvl w:ilvl="0">
      <w:lvlJc w:val="left"/>
      <w:lvlText w:val="*"/>
      <w:numFmt w:val="bullet"/>
      <w:start w:val="1"/>
    </w:lvl>
    <w:lvl w:ilvl="1">
      <w:lvlJc w:val="left"/>
      <w:lvlText w:val="•"/>
      <w:numFmt w:val="bullet"/>
      <w:start w:val="1"/>
    </w:lvl>
  </w:abstractNum>
  <w:abstractNum w:abstractNumId="33">
    <w:nsid w:val="5DC79EA8"/>
    <w:multiLevelType w:val="hybridMultilevel"/>
    <w:lvl w:ilvl="0">
      <w:lvlJc w:val="left"/>
      <w:lvlText w:val="$"/>
      <w:numFmt w:val="bullet"/>
      <w:start w:val="1"/>
    </w:lvl>
  </w:abstractNum>
  <w:abstractNum w:abstractNumId="34">
    <w:nsid w:val="540A471C"/>
    <w:multiLevelType w:val="hybridMultilevel"/>
    <w:lvl w:ilvl="0">
      <w:lvlJc w:val="left"/>
      <w:lvlText w:val="•"/>
      <w:numFmt w:val="bullet"/>
      <w:start w:val="1"/>
    </w:lvl>
  </w:abstractNum>
  <w:abstractNum w:abstractNumId="35">
    <w:nsid w:val="7BD3EE7B"/>
    <w:multiLevelType w:val="hybridMultilevel"/>
    <w:lvl w:ilvl="0">
      <w:lvlJc w:val="left"/>
      <w:lvlText w:val="(%1)"/>
      <w:numFmt w:val="decimal"/>
      <w:start w:val="1"/>
    </w:lvl>
  </w:abstractNum>
  <w:abstractNum w:abstractNumId="36">
    <w:nsid w:val="51D9C564"/>
    <w:multiLevelType w:val="hybridMultilevel"/>
    <w:lvl w:ilvl="0">
      <w:lvlJc w:val="left"/>
      <w:lvlText w:val="•"/>
      <w:numFmt w:val="bullet"/>
      <w:start w:val="1"/>
    </w:lvl>
    <w:lvl w:ilvl="1">
      <w:lvlJc w:val="left"/>
      <w:lvlText w:val="•"/>
      <w:numFmt w:val="bullet"/>
      <w:start w:val="1"/>
    </w:lvl>
  </w:abstractNum>
  <w:abstractNum w:abstractNumId="37">
    <w:nsid w:val="613EFDC5"/>
    <w:multiLevelType w:val="hybridMultilevel"/>
    <w:lvl w:ilvl="0">
      <w:lvlJc w:val="left"/>
      <w:lvlText w:val="$"/>
      <w:numFmt w:val="bullet"/>
      <w:start w:val="1"/>
    </w:lvl>
  </w:abstractNum>
  <w:abstractNum w:abstractNumId="38">
    <w:nsid w:val="BF72B14"/>
    <w:multiLevelType w:val="hybridMultilevel"/>
    <w:lvl w:ilvl="0">
      <w:lvlJc w:val="left"/>
      <w:lvlText w:val="•"/>
      <w:numFmt w:val="bullet"/>
      <w:start w:val="1"/>
    </w:lvl>
  </w:abstractNum>
  <w:abstractNum w:abstractNumId="39">
    <w:nsid w:val="11447B73"/>
    <w:multiLevelType w:val="hybridMultilevel"/>
    <w:lvl w:ilvl="0">
      <w:lvlJc w:val="left"/>
      <w:lvlText w:val="•"/>
      <w:numFmt w:val="bullet"/>
      <w:start w:val="1"/>
    </w:lvl>
    <w:lvl w:ilvl="1">
      <w:lvlJc w:val="left"/>
      <w:lvlText w:val="•"/>
      <w:numFmt w:val="bullet"/>
      <w:start w:val="1"/>
    </w:lvl>
  </w:abstractNum>
  <w:abstractNum w:abstractNumId="40">
    <w:nsid w:val="42963E5A"/>
    <w:multiLevelType w:val="hybridMultilevel"/>
    <w:lvl w:ilvl="0">
      <w:lvlJc w:val="left"/>
      <w:lvlText w:val="(%1)"/>
      <w:numFmt w:val="decimal"/>
      <w:start w:val="1"/>
    </w:lvl>
  </w:abstractNum>
  <w:abstractNum w:abstractNumId="41">
    <w:nsid w:val="A0382C5"/>
    <w:multiLevelType w:val="hybridMultilevel"/>
    <w:lvl w:ilvl="0">
      <w:lvlJc w:val="left"/>
      <w:lvlText w:val="(%1)"/>
      <w:numFmt w:val="decimal"/>
      <w:start w:val="2"/>
    </w:lvl>
  </w:abstractNum>
  <w:abstractNum w:abstractNumId="42">
    <w:nsid w:val="8F2B15E"/>
    <w:multiLevelType w:val="hybridMultilevel"/>
    <w:lvl w:ilvl="0">
      <w:lvlJc w:val="left"/>
      <w:lvlText w:val="(%1)"/>
      <w:numFmt w:val="decimal"/>
      <w:start w:val="1"/>
    </w:lvl>
  </w:abstractNum>
  <w:abstractNum w:abstractNumId="43">
    <w:nsid w:val="1A32234B"/>
    <w:multiLevelType w:val="hybridMultilevel"/>
    <w:lvl w:ilvl="0">
      <w:lvlJc w:val="left"/>
      <w:lvlText w:val="(%1)"/>
      <w:numFmt w:val="decimal"/>
      <w:start w:val="1"/>
    </w:lvl>
  </w:abstractNum>
  <w:abstractNum w:abstractNumId="44">
    <w:nsid w:val="3B0FD379"/>
    <w:multiLevelType w:val="hybridMultilevel"/>
    <w:lvl w:ilvl="0">
      <w:lvlJc w:val="left"/>
      <w:lvlText w:val="(%1)"/>
      <w:numFmt w:val="lowerLetter"/>
      <w:start w:val="1"/>
    </w:lvl>
  </w:abstractNum>
  <w:abstractNum w:abstractNumId="45">
    <w:nsid w:val="68EB2F63"/>
    <w:multiLevelType w:val="hybridMultilevel"/>
    <w:lvl w:ilvl="0">
      <w:lvlJc w:val="left"/>
      <w:lvlText w:val="(%1)"/>
      <w:numFmt w:val="decimal"/>
      <w:start w:val="1"/>
    </w:lvl>
  </w:abstractNum>
  <w:abstractNum w:abstractNumId="46">
    <w:nsid w:val="4962813B"/>
    <w:multiLevelType w:val="hybridMultilevel"/>
    <w:lvl w:ilvl="0">
      <w:lvlJc w:val="left"/>
      <w:lvlText w:val="•"/>
      <w:numFmt w:val="bullet"/>
      <w:start w:val="1"/>
    </w:lvl>
  </w:abstractNum>
  <w:abstractNum w:abstractNumId="47">
    <w:nsid w:val="60B6DF70"/>
    <w:multiLevelType w:val="hybridMultilevel"/>
    <w:lvl w:ilvl="0">
      <w:lvlJc w:val="left"/>
      <w:lvlText w:val="•"/>
      <w:numFmt w:val="bullet"/>
      <w:start w:val="1"/>
    </w:lvl>
  </w:abstractNum>
  <w:abstractNum w:abstractNumId="48">
    <w:nsid w:val="6A5EE64"/>
    <w:multiLevelType w:val="hybridMultilevel"/>
    <w:lvl w:ilvl="0">
      <w:lvlJc w:val="left"/>
      <w:lvlText w:val="•"/>
      <w:numFmt w:val="bullet"/>
      <w:start w:val="1"/>
    </w:lvl>
  </w:abstractNum>
  <w:abstractNum w:abstractNumId="49">
    <w:nsid w:val="14330624"/>
    <w:multiLevelType w:val="hybridMultilevel"/>
    <w:lvl w:ilvl="0">
      <w:lvlJc w:val="left"/>
      <w:lvlText w:val="•"/>
      <w:numFmt w:val="bullet"/>
      <w:start w:val="1"/>
    </w:lvl>
  </w:abstractNum>
  <w:abstractNum w:abstractNumId="50">
    <w:nsid w:val="7FFFCA11"/>
    <w:multiLevelType w:val="hybridMultilevel"/>
    <w:lvl w:ilvl="0">
      <w:lvlJc w:val="left"/>
      <w:lvlText w:val="•"/>
      <w:numFmt w:val="bullet"/>
      <w:start w:val="1"/>
    </w:lvl>
  </w:abstractNum>
  <w:abstractNum w:abstractNumId="51">
    <w:nsid w:val="1A27709E"/>
    <w:multiLevelType w:val="hybridMultilevel"/>
    <w:lvl w:ilvl="0">
      <w:lvlJc w:val="left"/>
      <w:lvlText w:val="•"/>
      <w:numFmt w:val="bullet"/>
      <w:start w:val="1"/>
    </w:lvl>
  </w:abstractNum>
  <w:abstractNum w:abstractNumId="52">
    <w:nsid w:val="71EA1109"/>
    <w:multiLevelType w:val="hybridMultilevel"/>
    <w:lvl w:ilvl="0">
      <w:lvlJc w:val="left"/>
      <w:lvlText w:val="•"/>
      <w:numFmt w:val="bullet"/>
      <w:start w:val="1"/>
    </w:lvl>
  </w:abstractNum>
  <w:abstractNum w:abstractNumId="53">
    <w:nsid w:val="100F59DC"/>
    <w:multiLevelType w:val="hybridMultilevel"/>
    <w:lvl w:ilvl="0">
      <w:lvlJc w:val="left"/>
      <w:lvlText w:val="•"/>
      <w:numFmt w:val="bullet"/>
      <w:start w:val="1"/>
    </w:lvl>
  </w:abstractNum>
  <w:abstractNum w:abstractNumId="54">
    <w:nsid w:val="7FB7E0AA"/>
    <w:multiLevelType w:val="hybridMultilevel"/>
    <w:lvl w:ilvl="0">
      <w:lvlJc w:val="left"/>
      <w:lvlText w:val="•"/>
      <w:numFmt w:val="bullet"/>
      <w:start w:val="1"/>
    </w:lvl>
  </w:abstractNum>
  <w:abstractNum w:abstractNumId="55">
    <w:nsid w:val="6EB5BD4"/>
    <w:multiLevelType w:val="hybridMultilevel"/>
    <w:lvl w:ilvl="0">
      <w:lvlJc w:val="left"/>
      <w:lvlText w:val="•"/>
      <w:numFmt w:val="bullet"/>
      <w:start w:val="1"/>
    </w:lvl>
  </w:abstractNum>
  <w:abstractNum w:abstractNumId="56">
    <w:nsid w:val="6F6DD9AC"/>
    <w:multiLevelType w:val="hybridMultilevel"/>
    <w:lvl w:ilvl="0">
      <w:lvlJc w:val="left"/>
      <w:lvlText w:val="•"/>
      <w:numFmt w:val="bullet"/>
      <w:start w:val="1"/>
    </w:lvl>
  </w:abstractNum>
  <w:abstractNum w:abstractNumId="57">
    <w:nsid w:val="94211F2"/>
    <w:multiLevelType w:val="hybridMultilevel"/>
    <w:lvl w:ilvl="0">
      <w:lvlJc w:val="left"/>
      <w:lvlText w:val="•"/>
      <w:numFmt w:val="bullet"/>
      <w:start w:val="1"/>
    </w:lvl>
  </w:abstractNum>
  <w:abstractNum w:abstractNumId="58">
    <w:nsid w:val="885E1B"/>
    <w:multiLevelType w:val="hybridMultilevel"/>
    <w:lvl w:ilvl="0">
      <w:lvlJc w:val="left"/>
      <w:lvlText w:val="•"/>
      <w:numFmt w:val="bullet"/>
      <w:start w:val="1"/>
    </w:lvl>
  </w:abstractNum>
  <w:abstractNum w:abstractNumId="59">
    <w:nsid w:val="76272110"/>
    <w:multiLevelType w:val="hybridMultilevel"/>
    <w:lvl w:ilvl="0">
      <w:lvlJc w:val="left"/>
      <w:lvlText w:val="•"/>
      <w:numFmt w:val="bullet"/>
      <w:start w:val="1"/>
    </w:lvl>
  </w:abstractNum>
  <w:abstractNum w:abstractNumId="60">
    <w:nsid w:val="4C04A8AF"/>
    <w:multiLevelType w:val="hybridMultilevel"/>
    <w:lvl w:ilvl="0">
      <w:lvlJc w:val="left"/>
      <w:lvlText w:val="•"/>
      <w:numFmt w:val="bullet"/>
      <w:start w:val="1"/>
    </w:lvl>
  </w:abstractNum>
  <w:abstractNum w:abstractNumId="61">
    <w:nsid w:val="1716703B"/>
    <w:multiLevelType w:val="hybridMultilevel"/>
    <w:lvl w:ilvl="0">
      <w:lvlJc w:val="left"/>
      <w:lvlText w:val="•"/>
      <w:numFmt w:val="bullet"/>
      <w:start w:val="1"/>
    </w:lvl>
    <w:lvl w:ilvl="1">
      <w:lvlJc w:val="left"/>
      <w:lvlText w:val="•"/>
      <w:numFmt w:val="bullet"/>
      <w:start w:val="1"/>
    </w:lvl>
  </w:abstractNum>
  <w:abstractNum w:abstractNumId="62">
    <w:nsid w:val="14E17E33"/>
    <w:multiLevelType w:val="hybridMultilevel"/>
    <w:lvl w:ilvl="0">
      <w:lvlJc w:val="left"/>
      <w:lvlText w:val="•"/>
      <w:numFmt w:val="bullet"/>
      <w:start w:val="1"/>
    </w:lvl>
  </w:abstractNum>
  <w:abstractNum w:abstractNumId="63">
    <w:nsid w:val="3222E7CD"/>
    <w:multiLevelType w:val="hybridMultilevel"/>
    <w:lvl w:ilvl="0">
      <w:lvlJc w:val="left"/>
      <w:lvlText w:val="•"/>
      <w:numFmt w:val="bullet"/>
      <w:start w:val="1"/>
    </w:lvl>
  </w:abstractNum>
  <w:abstractNum w:abstractNumId="64">
    <w:nsid w:val="74DE0EE3"/>
    <w:multiLevelType w:val="hybridMultilevel"/>
    <w:lvl w:ilvl="0">
      <w:lvlJc w:val="left"/>
      <w:lvlText w:val="•"/>
      <w:numFmt w:val="bullet"/>
      <w:start w:val="1"/>
    </w:lvl>
  </w:abstractNum>
  <w:abstractNum w:abstractNumId="65">
    <w:nsid w:val="68EBC550"/>
    <w:multiLevelType w:val="hybridMultilevel"/>
    <w:lvl w:ilvl="0">
      <w:lvlJc w:val="left"/>
      <w:lvlText w:val="•"/>
      <w:numFmt w:val="bullet"/>
      <w:start w:val="1"/>
    </w:lvl>
  </w:abstractNum>
  <w:abstractNum w:abstractNumId="66">
    <w:nsid w:val="2DF6D648"/>
    <w:multiLevelType w:val="hybridMultilevel"/>
    <w:lvl w:ilvl="0">
      <w:lvlJc w:val="left"/>
      <w:lvlText w:val="•"/>
      <w:numFmt w:val="bullet"/>
      <w:start w:val="1"/>
    </w:lvl>
  </w:abstractNum>
  <w:abstractNum w:abstractNumId="67">
    <w:nsid w:val="46B7D447"/>
    <w:multiLevelType w:val="hybridMultilevel"/>
    <w:lvl w:ilvl="0">
      <w:lvlJc w:val="left"/>
      <w:lvlText w:val="•"/>
      <w:numFmt w:val="bullet"/>
      <w:start w:val="1"/>
    </w:lvl>
  </w:abstractNum>
  <w:abstractNum w:abstractNumId="68">
    <w:nsid w:val="4A2AC315"/>
    <w:multiLevelType w:val="hybridMultilevel"/>
    <w:lvl w:ilvl="0">
      <w:lvlJc w:val="left"/>
      <w:lvlText w:val="(%1)"/>
      <w:numFmt w:val="decimal"/>
      <w:start w:val="1"/>
    </w:lvl>
  </w:abstractNum>
  <w:abstractNum w:abstractNumId="69">
    <w:nsid w:val="39EE015C"/>
    <w:multiLevelType w:val="hybridMultilevel"/>
    <w:lvl w:ilvl="0">
      <w:lvlJc w:val="left"/>
      <w:lvlText w:val="(%1)"/>
      <w:numFmt w:val="decimal"/>
      <w:start w:val="1"/>
    </w:lvl>
  </w:abstractNum>
  <w:abstractNum w:abstractNumId="70">
    <w:nsid w:val="57FC4FBB"/>
    <w:multiLevelType w:val="hybridMultilevel"/>
    <w:lvl w:ilvl="0">
      <w:lvlJc w:val="left"/>
      <w:lvlText w:val="•"/>
      <w:numFmt w:val="bullet"/>
      <w:start w:val="1"/>
    </w:lvl>
  </w:abstractNum>
  <w:abstractNum w:abstractNumId="71">
    <w:nsid w:val="CC1016F"/>
    <w:multiLevelType w:val="hybridMultilevel"/>
    <w:lvl w:ilvl="0">
      <w:lvlJc w:val="left"/>
      <w:lvlText w:val="(%1)"/>
      <w:numFmt w:val="decimal"/>
      <w:start w:val="1"/>
    </w:lvl>
  </w:abstractNum>
  <w:abstractNum w:abstractNumId="72">
    <w:nsid w:val="43F18422"/>
    <w:multiLevelType w:val="hybridMultilevel"/>
    <w:lvl w:ilvl="0">
      <w:lvlJc w:val="left"/>
      <w:lvlText w:val="(%1)"/>
      <w:numFmt w:val="decimal"/>
      <w:start w:val="1"/>
    </w:lvl>
  </w:abstractNum>
  <w:abstractNum w:abstractNumId="73">
    <w:nsid w:val="60EF0119"/>
    <w:multiLevelType w:val="hybridMultilevel"/>
    <w:lvl w:ilvl="0">
      <w:lvlJc w:val="left"/>
      <w:lvlText w:val="(%1)"/>
      <w:numFmt w:val="decimal"/>
      <w:start w:val="4"/>
    </w:lvl>
  </w:abstractNum>
  <w:abstractNum w:abstractNumId="74">
    <w:nsid w:val="26F324BA"/>
    <w:multiLevelType w:val="hybridMultilevel"/>
    <w:lvl w:ilvl="0">
      <w:lvlJc w:val="left"/>
      <w:lvlText w:val="•"/>
      <w:numFmt w:val="bullet"/>
      <w:start w:val="1"/>
    </w:lvl>
  </w:abstractNum>
  <w:abstractNum w:abstractNumId="75">
    <w:nsid w:val="7F01579B"/>
    <w:multiLevelType w:val="hybridMultilevel"/>
    <w:lvl w:ilvl="0">
      <w:lvlJc w:val="left"/>
      <w:lvlText w:val="•"/>
      <w:numFmt w:val="bullet"/>
      <w:start w:val="1"/>
    </w:lvl>
  </w:abstractNum>
  <w:abstractNum w:abstractNumId="76">
    <w:nsid w:val="49DA307D"/>
    <w:multiLevelType w:val="hybridMultilevel"/>
    <w:lvl w:ilvl="0">
      <w:lvlJc w:val="left"/>
      <w:lvlText w:val="(%1)"/>
      <w:numFmt w:val="lowerRoman"/>
      <w:start w:val="5"/>
    </w:lvl>
  </w:abstractNum>
  <w:abstractNum w:abstractNumId="77">
    <w:nsid w:val="7055A5F5"/>
    <w:multiLevelType w:val="hybridMultilevel"/>
    <w:lvl w:ilvl="0">
      <w:lvlJc w:val="left"/>
      <w:lvlText w:val="•"/>
      <w:numFmt w:val="bullet"/>
      <w:start w:val="1"/>
    </w:lvl>
  </w:abstractNum>
  <w:abstractNum w:abstractNumId="78">
    <w:nsid w:val="5FB8370B"/>
    <w:multiLevelType w:val="hybridMultilevel"/>
    <w:lvl w:ilvl="0">
      <w:lvlJc w:val="left"/>
      <w:lvlText w:val="•"/>
      <w:numFmt w:val="bullet"/>
      <w:start w:val="1"/>
    </w:lvl>
  </w:abstractNum>
  <w:abstractNum w:abstractNumId="79">
    <w:nsid w:val="50801EE1"/>
    <w:multiLevelType w:val="hybridMultilevel"/>
    <w:lvl w:ilvl="0">
      <w:lvlJc w:val="left"/>
      <w:lvlText w:val="•"/>
      <w:numFmt w:val="bullet"/>
      <w:start w:val="1"/>
    </w:lvl>
  </w:abstractNum>
  <w:abstractNum w:abstractNumId="80">
    <w:nsid w:val="488AC1A"/>
    <w:multiLevelType w:val="hybridMultilevel"/>
    <w:lvl w:ilvl="0">
      <w:lvlJc w:val="left"/>
      <w:lvlText w:val="•"/>
      <w:numFmt w:val="bullet"/>
      <w:start w:val="1"/>
    </w:lvl>
  </w:abstractNum>
  <w:abstractNum w:abstractNumId="81">
    <w:nsid w:val="5FB8011C"/>
    <w:multiLevelType w:val="hybridMultilevel"/>
    <w:lvl w:ilvl="0">
      <w:lvlJc w:val="left"/>
      <w:lvlText w:val="†"/>
      <w:numFmt w:val="bullet"/>
      <w:start w:val="1"/>
    </w:lvl>
  </w:abstractNum>
  <w:abstractNum w:abstractNumId="82">
    <w:nsid w:val="6AA78F7F"/>
    <w:multiLevelType w:val="hybridMultilevel"/>
    <w:lvl w:ilvl="0">
      <w:lvlJc w:val="left"/>
      <w:lvlText w:val="#"/>
      <w:numFmt w:val="bullet"/>
      <w:start w:val="1"/>
    </w:lvl>
  </w:abstractNum>
  <w:abstractNum w:abstractNumId="83">
    <w:nsid w:val="7672BD23"/>
    <w:multiLevelType w:val="hybridMultilevel"/>
    <w:lvl w:ilvl="0">
      <w:lvlJc w:val="left"/>
      <w:lvlText w:val="*"/>
      <w:numFmt w:val="bullet"/>
      <w:start w:val="1"/>
    </w:lvl>
  </w:abstractNum>
  <w:abstractNum w:abstractNumId="84">
    <w:nsid w:val="6FC75AF8"/>
    <w:multiLevelType w:val="hybridMultilevel"/>
    <w:lvl w:ilvl="0">
      <w:lvlJc w:val="left"/>
      <w:lvlText w:val="(%1)"/>
      <w:numFmt w:val="decimal"/>
      <w:start w:val="1"/>
    </w:lvl>
  </w:abstractNum>
  <w:abstractNum w:abstractNumId="85">
    <w:nsid w:val="6A5F7029"/>
    <w:multiLevelType w:val="hybridMultilevel"/>
    <w:lvl w:ilvl="0">
      <w:lvlJc w:val="left"/>
      <w:lvlText w:val="(%1)"/>
      <w:numFmt w:val="decimal"/>
      <w:start w:val="7"/>
    </w:lvl>
  </w:abstractNum>
  <w:abstractNum w:abstractNumId="86">
    <w:nsid w:val="7D5E18F8"/>
    <w:multiLevelType w:val="hybridMultilevel"/>
    <w:lvl w:ilvl="0">
      <w:lvlJc w:val="left"/>
      <w:lvlText w:val="•"/>
      <w:numFmt w:val="bullet"/>
      <w:start w:val="1"/>
    </w:lvl>
  </w:abstractNum>
  <w:abstractNum w:abstractNumId="87">
    <w:nsid w:val="5F3534A4"/>
    <w:multiLevelType w:val="hybridMultilevel"/>
    <w:lvl w:ilvl="0">
      <w:lvlJc w:val="left"/>
      <w:lvlText w:val="•"/>
      <w:numFmt w:val="bullet"/>
      <w:start w:val="1"/>
    </w:lvl>
  </w:abstractNum>
  <w:abstractNum w:abstractNumId="88">
    <w:nsid w:val="73A1821B"/>
    <w:multiLevelType w:val="hybridMultilevel"/>
    <w:lvl w:ilvl="0">
      <w:lvlJc w:val="left"/>
      <w:lvlText w:val="•"/>
      <w:numFmt w:val="bullet"/>
      <w:start w:val="1"/>
    </w:lvl>
  </w:abstractNum>
  <w:abstractNum w:abstractNumId="89">
    <w:nsid w:val="7DE67713"/>
    <w:multiLevelType w:val="hybridMultilevel"/>
    <w:lvl w:ilvl="0">
      <w:lvlJc w:val="left"/>
      <w:lvlText w:val="•"/>
      <w:numFmt w:val="bullet"/>
      <w:start w:val="1"/>
    </w:lvl>
  </w:abstractNum>
  <w:abstractNum w:abstractNumId="90">
    <w:nsid w:val="555C55B5"/>
    <w:multiLevelType w:val="hybridMultilevel"/>
    <w:lvl w:ilvl="0">
      <w:lvlJc w:val="left"/>
      <w:lvlText w:val="•"/>
      <w:numFmt w:val="bullet"/>
      <w:start w:val="1"/>
    </w:lvl>
  </w:abstractNum>
  <w:abstractNum w:abstractNumId="91">
    <w:nsid w:val="3FA62ACA"/>
    <w:multiLevelType w:val="hybridMultilevel"/>
    <w:lvl w:ilvl="0">
      <w:lvlJc w:val="left"/>
      <w:lvlText w:val="•"/>
      <w:numFmt w:val="bullet"/>
      <w:start w:val="1"/>
    </w:lvl>
  </w:abstractNum>
  <w:abstractNum w:abstractNumId="92">
    <w:nsid w:val="14FCE74E"/>
    <w:multiLevelType w:val="hybridMultilevel"/>
    <w:lvl w:ilvl="0">
      <w:lvlJc w:val="left"/>
      <w:lvlText w:val="•"/>
      <w:numFmt w:val="bullet"/>
      <w:start w:val="1"/>
    </w:lvl>
  </w:abstractNum>
  <w:abstractNum w:abstractNumId="93">
    <w:nsid w:val="6A3DD3E8"/>
    <w:multiLevelType w:val="hybridMultilevel"/>
    <w:lvl w:ilvl="0">
      <w:lvlJc w:val="left"/>
      <w:lvlText w:val="•"/>
      <w:numFmt w:val="bullet"/>
      <w:start w:val="1"/>
    </w:lvl>
  </w:abstractNum>
  <w:abstractNum w:abstractNumId="94">
    <w:nsid w:val="71C91298"/>
    <w:multiLevelType w:val="hybridMultilevel"/>
    <w:lvl w:ilvl="0">
      <w:lvlJc w:val="left"/>
      <w:lvlText w:val="(%1)"/>
      <w:numFmt w:val="lowerLetter"/>
      <w:start w:val="1"/>
    </w:lvl>
  </w:abstractNum>
  <w:abstractNum w:abstractNumId="95">
    <w:nsid w:val="9DAF632"/>
    <w:multiLevelType w:val="hybridMultilevel"/>
    <w:lvl w:ilvl="0">
      <w:lvlJc w:val="left"/>
      <w:lvlText w:val="•"/>
      <w:numFmt w:val="bullet"/>
      <w:start w:val="1"/>
    </w:lvl>
  </w:abstractNum>
  <w:abstractNum w:abstractNumId="96">
    <w:nsid w:val="53299938"/>
    <w:multiLevelType w:val="hybridMultilevel"/>
    <w:lvl w:ilvl="0">
      <w:lvlJc w:val="left"/>
      <w:lvlText w:val="(%1)"/>
      <w:numFmt w:val="lowerLetter"/>
      <w:start w:val="9"/>
    </w:lvl>
    <w:lvl w:ilvl="1">
      <w:lvlJc w:val="left"/>
      <w:lvlText w:val="(%2)"/>
      <w:numFmt w:val="lowerLetter"/>
      <w:start w:val="1"/>
    </w:lvl>
  </w:abstractNum>
  <w:abstractNum w:abstractNumId="97">
    <w:nsid w:val="1FBFE8E0"/>
    <w:multiLevelType w:val="hybridMultilevel"/>
    <w:lvl w:ilvl="0">
      <w:lvlJc w:val="left"/>
      <w:lvlText w:val="(%1)"/>
      <w:numFmt w:val="lowerLetter"/>
      <w:start w:val="35"/>
    </w:lvl>
  </w:abstractNum>
  <w:abstractNum w:abstractNumId="98">
    <w:nsid w:val="5092CA79"/>
    <w:multiLevelType w:val="hybridMultilevel"/>
    <w:lvl w:ilvl="0">
      <w:lvlJc w:val="left"/>
      <w:lvlText w:val="(%1)"/>
      <w:numFmt w:val="decimal"/>
      <w:start w:val="1"/>
    </w:lvl>
  </w:abstractNum>
  <w:abstractNum w:abstractNumId="99">
    <w:nsid w:val="1D545C4D"/>
    <w:multiLevelType w:val="hybridMultilevel"/>
    <w:lvl w:ilvl="0">
      <w:lvlJc w:val="left"/>
      <w:lvlText w:val="(%1)"/>
      <w:numFmt w:val="decimal"/>
      <w:start w:val="1"/>
    </w:lvl>
  </w:abstractNum>
  <w:abstractNum w:abstractNumId="100">
    <w:nsid w:val="59ADEA3D"/>
    <w:multiLevelType w:val="hybridMultilevel"/>
    <w:lvl w:ilvl="0">
      <w:lvlJc w:val="left"/>
      <w:lvlText w:val="(%1)"/>
      <w:numFmt w:val="decimal"/>
      <w:start w:val="1"/>
    </w:lvl>
  </w:abstractNum>
  <w:abstractNum w:abstractNumId="101">
    <w:nsid w:val="288F1A34"/>
    <w:multiLevelType w:val="hybridMultilevel"/>
    <w:lvl w:ilvl="0">
      <w:lvlJc w:val="left"/>
      <w:lvlText w:val="•"/>
      <w:numFmt w:val="bullet"/>
      <w:start w:val="1"/>
    </w:lvl>
  </w:abstractNum>
  <w:abstractNum w:abstractNumId="102">
    <w:nsid w:val="2A155DBC"/>
    <w:multiLevelType w:val="hybridMultilevel"/>
    <w:lvl w:ilvl="0">
      <w:lvlJc w:val="left"/>
      <w:lvlText w:val="•"/>
      <w:numFmt w:val="bullet"/>
      <w:start w:val="1"/>
    </w:lvl>
  </w:abstractNum>
  <w:abstractNum w:abstractNumId="103">
    <w:nsid w:val="1D9F6E5F"/>
    <w:multiLevelType w:val="hybridMultilevel"/>
    <w:lvl w:ilvl="0">
      <w:lvlJc w:val="left"/>
      <w:lvlText w:val="•"/>
      <w:numFmt w:val="bullet"/>
      <w:start w:val="1"/>
    </w:lvl>
  </w:abstractNum>
  <w:abstractNum w:abstractNumId="104">
    <w:nsid w:val="97E1B4E"/>
    <w:multiLevelType w:val="hybridMultilevel"/>
    <w:lvl w:ilvl="0">
      <w:lvlJc w:val="left"/>
      <w:lvlText w:val="•"/>
      <w:numFmt w:val="bullet"/>
      <w:start w:val="1"/>
    </w:lvl>
    <w:lvl w:ilvl="1">
      <w:lvlJc w:val="left"/>
      <w:lvlText w:val="•"/>
      <w:numFmt w:val="bullet"/>
      <w:start w:val="1"/>
    </w:lvl>
  </w:abstractNum>
  <w:abstractNum w:abstractNumId="105">
    <w:nsid w:val="51088277"/>
    <w:multiLevelType w:val="hybridMultilevel"/>
    <w:lvl w:ilvl="0">
      <w:lvlJc w:val="left"/>
      <w:lvlText w:val="(%1)"/>
      <w:numFmt w:val="decimal"/>
      <w:start w:val="1"/>
    </w:lvl>
  </w:abstractNum>
  <w:abstractNum w:abstractNumId="106">
    <w:nsid w:val="1CA0C5FA"/>
    <w:multiLevelType w:val="hybridMultilevel"/>
    <w:lvl w:ilvl="0">
      <w:lvlJc w:val="left"/>
      <w:lvlText w:val="(%1)"/>
      <w:numFmt w:val="decimal"/>
      <w:start w:val="1"/>
    </w:lvl>
  </w:abstractNum>
  <w:abstractNum w:abstractNumId="107">
    <w:nsid w:val="53584BCB"/>
    <w:multiLevelType w:val="hybridMultilevel"/>
    <w:lvl w:ilvl="0">
      <w:lvlJc w:val="left"/>
      <w:lvlText w:val="(%1)"/>
      <w:numFmt w:val="decimal"/>
      <w:start w:val="1"/>
    </w:lvl>
  </w:abstractNum>
  <w:abstractNum w:abstractNumId="108">
    <w:nsid w:val="415E286C"/>
    <w:multiLevelType w:val="hybridMultilevel"/>
    <w:lvl w:ilvl="0">
      <w:lvlJc w:val="left"/>
      <w:lvlText w:val="(%1)"/>
      <w:numFmt w:val="decimal"/>
      <w:start w:val="1"/>
    </w:lvl>
  </w:abstractNum>
  <w:abstractNum w:abstractNumId="109">
    <w:nsid w:val="7C58FD05"/>
    <w:multiLevelType w:val="hybridMultilevel"/>
    <w:lvl w:ilvl="0">
      <w:lvlJc w:val="left"/>
      <w:lvlText w:val="•"/>
      <w:numFmt w:val="bullet"/>
      <w:start w:val="1"/>
    </w:lvl>
  </w:abstractNum>
  <w:abstractNum w:abstractNumId="110">
    <w:nsid w:val="23D86AAC"/>
    <w:multiLevelType w:val="hybridMultilevel"/>
    <w:lvl w:ilvl="0">
      <w:lvlJc w:val="left"/>
      <w:lvlText w:val="(%1)"/>
      <w:numFmt w:val="lowerLetter"/>
      <w:start w:val="1"/>
    </w:lvl>
  </w:abstractNum>
  <w:abstractNum w:abstractNumId="111">
    <w:nsid w:val="45E6D486"/>
    <w:multiLevelType w:val="hybridMultilevel"/>
    <w:lvl w:ilvl="0">
      <w:lvlJc w:val="left"/>
      <w:lvlText w:val="(%1)"/>
      <w:numFmt w:val="lowerLetter"/>
      <w:start w:val="2"/>
    </w:lvl>
  </w:abstractNum>
  <w:abstractNum w:abstractNumId="112">
    <w:nsid w:val="5C10FE21"/>
    <w:multiLevelType w:val="hybridMultilevel"/>
    <w:lvl w:ilvl="0">
      <w:lvlJc w:val="left"/>
      <w:lvlText w:val="(%1)"/>
      <w:numFmt w:val="decimal"/>
      <w:start w:val="1"/>
    </w:lvl>
  </w:abstractNum>
  <w:abstractNum w:abstractNumId="113">
    <w:nsid w:val="E7FFA2B"/>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jpe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jpeg"/><Relationship Id="rId105" Type="http://schemas.openxmlformats.org/officeDocument/2006/relationships/image" Target="media/image98.png"/><Relationship Id="rId106" Type="http://schemas.openxmlformats.org/officeDocument/2006/relationships/image" Target="media/image99.jpe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jpeg"/><Relationship Id="rId110" Type="http://schemas.openxmlformats.org/officeDocument/2006/relationships/image" Target="media/image103.png"/><Relationship Id="rId111" Type="http://schemas.openxmlformats.org/officeDocument/2006/relationships/image" Target="media/image104.jpeg"/><Relationship Id="rId112" Type="http://schemas.openxmlformats.org/officeDocument/2006/relationships/image" Target="media/image105.png"/><Relationship Id="rId113" Type="http://schemas.openxmlformats.org/officeDocument/2006/relationships/image" Target="media/image106.jpe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jpeg"/><Relationship Id="rId141" Type="http://schemas.openxmlformats.org/officeDocument/2006/relationships/image" Target="media/image134.png"/><Relationship Id="rId142" Type="http://schemas.openxmlformats.org/officeDocument/2006/relationships/image" Target="media/image135.jpeg"/><Relationship Id="rId143" Type="http://schemas.openxmlformats.org/officeDocument/2006/relationships/image" Target="media/image136.png"/><Relationship Id="rId144" Type="http://schemas.openxmlformats.org/officeDocument/2006/relationships/image" Target="media/image137.jpeg"/><Relationship Id="rId145" Type="http://schemas.openxmlformats.org/officeDocument/2006/relationships/image" Target="media/image138.png"/><Relationship Id="rId146" Type="http://schemas.openxmlformats.org/officeDocument/2006/relationships/image" Target="media/image139.jpeg"/><Relationship Id="rId147" Type="http://schemas.openxmlformats.org/officeDocument/2006/relationships/image" Target="media/image140.png"/><Relationship Id="rId148" Type="http://schemas.openxmlformats.org/officeDocument/2006/relationships/image" Target="media/image141.jpeg"/><Relationship Id="rId149" Type="http://schemas.openxmlformats.org/officeDocument/2006/relationships/image" Target="media/image142.png"/><Relationship Id="rId150" Type="http://schemas.openxmlformats.org/officeDocument/2006/relationships/image" Target="media/image143.jpeg"/><Relationship Id="rId151" Type="http://schemas.openxmlformats.org/officeDocument/2006/relationships/image" Target="media/image144.png"/><Relationship Id="rId152" Type="http://schemas.openxmlformats.org/officeDocument/2006/relationships/image" Target="media/image145.jpeg"/><Relationship Id="rId153" Type="http://schemas.openxmlformats.org/officeDocument/2006/relationships/image" Target="media/image146.png"/><Relationship Id="rId154" Type="http://schemas.openxmlformats.org/officeDocument/2006/relationships/image" Target="media/image147.jpeg"/><Relationship Id="rId155" Type="http://schemas.openxmlformats.org/officeDocument/2006/relationships/image" Target="media/image148.png"/><Relationship Id="rId156" Type="http://schemas.openxmlformats.org/officeDocument/2006/relationships/image" Target="media/image149.jpe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jpe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jpe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jpe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2020-10-07T23:08:55Z</dcterms:created>
  <dcterms:modified xsi:type="dcterms:W3CDTF">2020-10-07T23:08:55Z</dcterms:modified>
</cp:coreProperties>
</file>