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Parasnis Abhay</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03/25/2022</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03/25/2022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1,791</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1,791</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 In the event the Reporting Person ceases to be a Service Provider, the unvested restricted stock units will be cancelled by the Issuer.</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7"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49"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0" w:lineRule="exact"/>
        <w:rPr>
          <w:sz w:val="20"/>
          <w:szCs w:val="20"/>
          <w:color w:val="auto"/>
        </w:rPr>
      </w:pPr>
    </w:p>
    <w:p>
      <w:pPr>
        <w:ind w:right="3659" w:firstLine="832"/>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49"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859" w:firstLine="832"/>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ind w:right="4699"/>
        <w:spacing w:after="0" w:line="249"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457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Abhay Parasnis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Abhay Parasnis</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3/18/2022</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755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2022-03-29T16:34:46Z</dcterms:created>
  <dcterms:modified xsi:type="dcterms:W3CDTF">2022-03-29T16:34:46Z</dcterms:modified>
</cp:coreProperties>
</file>