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Moore Andrew William</w:t>
              </w:r>
            </w:hyperlink>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Borders>
              <w:bottom w:val="single" w:sz="8" w:color="0000EE"/>
            </w:tcBorders>
            <w:gridSpan w:val="2"/>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gridSpan w:val="2"/>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05/21/2026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color w:val="0000FF"/>
              </w:rPr>
              <w:t>SUITE 200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(City)</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3"/>
                <w:szCs w:val="13"/>
                <w:color w:val="0000FF"/>
              </w:rPr>
              <w:t>9,071</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3"/>
                <w:szCs w:val="13"/>
                <w:color w:val="0000FF"/>
                <w:w w:val="94"/>
              </w:rPr>
              <w:t>9,071</w:t>
            </w:r>
            <w:r>
              <w:rPr>
                <w:rFonts w:ascii="Times New Roman" w:cs="Times New Roman" w:eastAsia="Times New Roman" w:hAnsi="Times New Roman"/>
                <w:sz w:val="17"/>
                <w:szCs w:val="17"/>
                <w:color w:val="008000"/>
                <w:w w:val="94"/>
                <w:vertAlign w:val="superscript"/>
              </w:rPr>
              <w:t>(1)</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48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1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21, 2027 or the day prior to the date of the Issuer's next annual meeting of stockholders.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05/26/2026</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02635"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2026-05-26T16:39:04Z</dcterms:created>
  <dcterms:modified xsi:type="dcterms:W3CDTF">2026-05-26T16:39:04Z</dcterms:modified>
</cp:coreProperties>
</file>