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if no longer subject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340" w:right="340" w:hanging="262"/>
        <w:spacing w:after="0" w:line="181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5"/>
          <w:szCs w:val="25"/>
          <w:color w:val="0000FF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-245745</wp:posOffset>
            </wp:positionV>
            <wp:extent cx="113030" cy="1619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" cy="16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3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380"/>
            <w:col w:w="8500"/>
          </w:cols>
          <w:pgMar w:left="460" w:top="220" w:right="359" w:bottom="1154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6"/>
                </w:rPr>
                <w:t>Ferdowsi Arash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DROPBOX,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DBX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1800 OWENS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18.7088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498,900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498,900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498,900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20.1044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04/16/2020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125,000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28,235,483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498,900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04/20/2020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498,900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27,736,583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-4268470</wp:posOffset>
            </wp:positionV>
            <wp:extent cx="7034530" cy="43097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430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125,000 shares of Class B Common Stock were converted into 125,000 shares of Class A Common Stock at the election of the Reporting Person and had no expiration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by the Arash Ferdowsi Revocable Trust u/a/d 4/20/2012, for which the Reporting Person serves as trustee.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8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$18.43 to $19.21.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498,900 shares of Class B Common Stock were converted into 498,900 shares of Class A Common Stock at the election of the Reporting Person and had no expiration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/>
        <w:spacing w:after="0" w:line="28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$20.00 to $20.38.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Issuer's Class B Common Stock is convertible into the Issuer's Class A Common Stock on a one-for-one basis at the Reporting Person's election and has no expiration date.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Bart E. Volkmer,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15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434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2020-04-20T19:59:00Z</dcterms:created>
  <dcterms:modified xsi:type="dcterms:W3CDTF">2020-04-20T19:59:00Z</dcterms:modified>
</cp:coreProperties>
</file>