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February 27, 2019</w:t>
      </w:r>
    </w:p>
    <w:p>
      <w:pPr>
        <w:spacing w:after="0" w:line="101" w:lineRule="exact"/>
        <w:rPr>
          <w:sz w:val="24"/>
          <w:szCs w:val="24"/>
          <w:color w:val="auto"/>
        </w:rPr>
      </w:pPr>
    </w:p>
    <w:p>
      <w:pPr>
        <w:ind w:left="9340"/>
        <w:spacing w:after="0"/>
        <w:rPr>
          <w:sz w:val="20"/>
          <w:szCs w:val="20"/>
          <w:color w:val="auto"/>
        </w:rPr>
      </w:pPr>
      <w:r>
        <w:rPr>
          <w:rFonts w:ascii="Arial" w:cs="Arial" w:eastAsia="Arial" w:hAnsi="Arial"/>
          <w:sz w:val="19"/>
          <w:szCs w:val="19"/>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241935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S-8</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REGISTRATION STATEMENT</w:t>
      </w:r>
    </w:p>
    <w:p>
      <w:pPr>
        <w:jc w:val="center"/>
        <w:spacing w:after="0" w:line="232" w:lineRule="auto"/>
        <w:rPr>
          <w:sz w:val="20"/>
          <w:szCs w:val="20"/>
          <w:color w:val="auto"/>
        </w:rPr>
      </w:pPr>
      <w:r>
        <w:rPr>
          <w:rFonts w:ascii="Arial" w:cs="Arial" w:eastAsia="Arial" w:hAnsi="Arial"/>
          <w:sz w:val="23"/>
          <w:szCs w:val="23"/>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233045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46"/>
          <w:szCs w:val="46"/>
          <w:b w:val="1"/>
          <w:bCs w:val="1"/>
          <w:color w:val="auto"/>
        </w:rPr>
        <w:t>DROPBOX,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240665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6240" w:type="dxa"/>
            <w:vAlign w:val="bottom"/>
            <w:gridSpan w:val="3"/>
          </w:tcPr>
          <w:p>
            <w:pPr>
              <w:jc w:val="center"/>
              <w:ind w:right="3080"/>
              <w:spacing w:after="0"/>
              <w:rPr>
                <w:sz w:val="20"/>
                <w:szCs w:val="20"/>
                <w:color w:val="auto"/>
              </w:rPr>
            </w:pPr>
            <w:r>
              <w:rPr>
                <w:rFonts w:ascii="Arial" w:cs="Arial" w:eastAsia="Arial" w:hAnsi="Arial"/>
                <w:sz w:val="19"/>
                <w:szCs w:val="19"/>
                <w:b w:val="1"/>
                <w:bCs w:val="1"/>
                <w:color w:val="auto"/>
                <w:w w:val="91"/>
              </w:rPr>
              <w:t>Delaware</w:t>
            </w:r>
          </w:p>
        </w:tc>
        <w:tc>
          <w:tcPr>
            <w:tcW w:w="2600" w:type="dxa"/>
            <w:vAlign w:val="bottom"/>
          </w:tcPr>
          <w:p>
            <w:pPr>
              <w:jc w:val="center"/>
              <w:ind w:right="69"/>
              <w:spacing w:after="0"/>
              <w:rPr>
                <w:sz w:val="20"/>
                <w:szCs w:val="20"/>
                <w:color w:val="auto"/>
              </w:rPr>
            </w:pPr>
            <w:r>
              <w:rPr>
                <w:rFonts w:ascii="Arial" w:cs="Arial" w:eastAsia="Arial" w:hAnsi="Arial"/>
                <w:sz w:val="19"/>
                <w:szCs w:val="19"/>
                <w:b w:val="1"/>
                <w:bCs w:val="1"/>
                <w:color w:val="auto"/>
                <w:w w:val="90"/>
              </w:rPr>
              <w:t>26-0138832</w:t>
            </w:r>
          </w:p>
        </w:tc>
      </w:tr>
      <w:tr>
        <w:trPr>
          <w:trHeight w:val="157"/>
        </w:trPr>
        <w:tc>
          <w:tcPr>
            <w:tcW w:w="6240" w:type="dxa"/>
            <w:vAlign w:val="bottom"/>
            <w:gridSpan w:val="3"/>
          </w:tcPr>
          <w:p>
            <w:pPr>
              <w:jc w:val="center"/>
              <w:ind w:right="3100"/>
              <w:spacing w:after="0" w:line="157" w:lineRule="exact"/>
              <w:rPr>
                <w:sz w:val="20"/>
                <w:szCs w:val="20"/>
                <w:color w:val="auto"/>
              </w:rPr>
            </w:pPr>
            <w:r>
              <w:rPr>
                <w:rFonts w:ascii="Arial" w:cs="Arial" w:eastAsia="Arial" w:hAnsi="Arial"/>
                <w:sz w:val="15"/>
                <w:szCs w:val="15"/>
                <w:b w:val="1"/>
                <w:bCs w:val="1"/>
                <w:color w:val="auto"/>
                <w:w w:val="92"/>
              </w:rPr>
              <w:t>(State or other jurisdiction of</w:t>
            </w:r>
          </w:p>
        </w:tc>
        <w:tc>
          <w:tcPr>
            <w:tcW w:w="2600" w:type="dxa"/>
            <w:vAlign w:val="bottom"/>
          </w:tcPr>
          <w:p>
            <w:pPr>
              <w:jc w:val="center"/>
              <w:ind w:right="89"/>
              <w:spacing w:after="0" w:line="157" w:lineRule="exact"/>
              <w:rPr>
                <w:sz w:val="20"/>
                <w:szCs w:val="20"/>
                <w:color w:val="auto"/>
              </w:rPr>
            </w:pPr>
            <w:r>
              <w:rPr>
                <w:rFonts w:ascii="Arial" w:cs="Arial" w:eastAsia="Arial" w:hAnsi="Arial"/>
                <w:sz w:val="15"/>
                <w:szCs w:val="15"/>
                <w:b w:val="1"/>
                <w:bCs w:val="1"/>
                <w:color w:val="auto"/>
                <w:w w:val="95"/>
              </w:rPr>
              <w:t>(I.R.S. Employer</w:t>
            </w:r>
          </w:p>
        </w:tc>
      </w:tr>
      <w:tr>
        <w:trPr>
          <w:trHeight w:val="195"/>
        </w:trPr>
        <w:tc>
          <w:tcPr>
            <w:tcW w:w="6240" w:type="dxa"/>
            <w:vAlign w:val="bottom"/>
            <w:gridSpan w:val="3"/>
          </w:tcPr>
          <w:p>
            <w:pPr>
              <w:jc w:val="center"/>
              <w:ind w:right="3100"/>
              <w:spacing w:after="0"/>
              <w:rPr>
                <w:sz w:val="20"/>
                <w:szCs w:val="20"/>
                <w:color w:val="auto"/>
              </w:rPr>
            </w:pPr>
            <w:r>
              <w:rPr>
                <w:rFonts w:ascii="Arial" w:cs="Arial" w:eastAsia="Arial" w:hAnsi="Arial"/>
                <w:sz w:val="15"/>
                <w:szCs w:val="15"/>
                <w:b w:val="1"/>
                <w:bCs w:val="1"/>
                <w:color w:val="auto"/>
                <w:w w:val="92"/>
              </w:rPr>
              <w:t>incorporation or organization)</w:t>
            </w:r>
          </w:p>
        </w:tc>
        <w:tc>
          <w:tcPr>
            <w:tcW w:w="2600" w:type="dxa"/>
            <w:vAlign w:val="bottom"/>
          </w:tcPr>
          <w:p>
            <w:pPr>
              <w:jc w:val="center"/>
              <w:ind w:right="89"/>
              <w:spacing w:after="0"/>
              <w:rPr>
                <w:sz w:val="20"/>
                <w:szCs w:val="20"/>
                <w:color w:val="auto"/>
              </w:rPr>
            </w:pPr>
            <w:r>
              <w:rPr>
                <w:rFonts w:ascii="Arial" w:cs="Arial" w:eastAsia="Arial" w:hAnsi="Arial"/>
                <w:sz w:val="15"/>
                <w:szCs w:val="15"/>
                <w:b w:val="1"/>
                <w:bCs w:val="1"/>
                <w:color w:val="auto"/>
                <w:w w:val="93"/>
              </w:rPr>
              <w:t>Identification No.)</w:t>
            </w:r>
          </w:p>
        </w:tc>
      </w:tr>
      <w:tr>
        <w:trPr>
          <w:trHeight w:val="421"/>
        </w:trPr>
        <w:tc>
          <w:tcPr>
            <w:tcW w:w="3240" w:type="dxa"/>
            <w:vAlign w:val="bottom"/>
          </w:tcPr>
          <w:p>
            <w:pPr>
              <w:spacing w:after="0"/>
              <w:rPr>
                <w:sz w:val="24"/>
                <w:szCs w:val="24"/>
                <w:color w:val="auto"/>
              </w:rPr>
            </w:pPr>
          </w:p>
        </w:tc>
        <w:tc>
          <w:tcPr>
            <w:tcW w:w="3000" w:type="dxa"/>
            <w:vAlign w:val="bottom"/>
            <w:gridSpan w:val="2"/>
          </w:tcPr>
          <w:p>
            <w:pPr>
              <w:jc w:val="center"/>
              <w:ind w:right="560"/>
              <w:spacing w:after="0"/>
              <w:rPr>
                <w:sz w:val="20"/>
                <w:szCs w:val="20"/>
                <w:color w:val="auto"/>
              </w:rPr>
            </w:pPr>
            <w:r>
              <w:rPr>
                <w:rFonts w:ascii="Arial" w:cs="Arial" w:eastAsia="Arial" w:hAnsi="Arial"/>
                <w:sz w:val="19"/>
                <w:szCs w:val="19"/>
                <w:b w:val="1"/>
                <w:bCs w:val="1"/>
                <w:color w:val="auto"/>
                <w:w w:val="92"/>
              </w:rPr>
              <w:t>Dropbox, Inc.</w:t>
            </w:r>
          </w:p>
        </w:tc>
        <w:tc>
          <w:tcPr>
            <w:tcW w:w="2600" w:type="dxa"/>
            <w:vAlign w:val="bottom"/>
          </w:tcPr>
          <w:p>
            <w:pPr>
              <w:spacing w:after="0"/>
              <w:rPr>
                <w:sz w:val="24"/>
                <w:szCs w:val="24"/>
                <w:color w:val="auto"/>
              </w:rPr>
            </w:pPr>
          </w:p>
        </w:tc>
      </w:tr>
      <w:tr>
        <w:trPr>
          <w:trHeight w:val="228"/>
        </w:trPr>
        <w:tc>
          <w:tcPr>
            <w:tcW w:w="3240" w:type="dxa"/>
            <w:vAlign w:val="bottom"/>
          </w:tcPr>
          <w:p>
            <w:pPr>
              <w:spacing w:after="0"/>
              <w:rPr>
                <w:sz w:val="19"/>
                <w:szCs w:val="19"/>
                <w:color w:val="auto"/>
              </w:rPr>
            </w:pPr>
          </w:p>
        </w:tc>
        <w:tc>
          <w:tcPr>
            <w:tcW w:w="3000" w:type="dxa"/>
            <w:vAlign w:val="bottom"/>
            <w:gridSpan w:val="2"/>
          </w:tcPr>
          <w:p>
            <w:pPr>
              <w:jc w:val="center"/>
              <w:ind w:right="580"/>
              <w:spacing w:after="0"/>
              <w:rPr>
                <w:sz w:val="20"/>
                <w:szCs w:val="20"/>
                <w:color w:val="auto"/>
              </w:rPr>
            </w:pPr>
            <w:r>
              <w:rPr>
                <w:rFonts w:ascii="Arial" w:cs="Arial" w:eastAsia="Arial" w:hAnsi="Arial"/>
                <w:sz w:val="19"/>
                <w:szCs w:val="19"/>
                <w:b w:val="1"/>
                <w:bCs w:val="1"/>
                <w:color w:val="auto"/>
                <w:w w:val="91"/>
              </w:rPr>
              <w:t>333 Brannan Street</w:t>
            </w:r>
          </w:p>
        </w:tc>
        <w:tc>
          <w:tcPr>
            <w:tcW w:w="2600" w:type="dxa"/>
            <w:vAlign w:val="bottom"/>
          </w:tcPr>
          <w:p>
            <w:pPr>
              <w:spacing w:after="0"/>
              <w:rPr>
                <w:sz w:val="19"/>
                <w:szCs w:val="19"/>
                <w:color w:val="auto"/>
              </w:rPr>
            </w:pPr>
          </w:p>
        </w:tc>
      </w:tr>
      <w:tr>
        <w:trPr>
          <w:trHeight w:val="228"/>
        </w:trPr>
        <w:tc>
          <w:tcPr>
            <w:tcW w:w="6240" w:type="dxa"/>
            <w:vAlign w:val="bottom"/>
            <w:gridSpan w:val="3"/>
          </w:tcPr>
          <w:p>
            <w:pPr>
              <w:jc w:val="center"/>
              <w:ind w:left="2589"/>
              <w:spacing w:after="0"/>
              <w:rPr>
                <w:sz w:val="20"/>
                <w:szCs w:val="20"/>
                <w:color w:val="auto"/>
              </w:rPr>
            </w:pPr>
            <w:r>
              <w:rPr>
                <w:rFonts w:ascii="Arial" w:cs="Arial" w:eastAsia="Arial" w:hAnsi="Arial"/>
                <w:sz w:val="19"/>
                <w:szCs w:val="19"/>
                <w:b w:val="1"/>
                <w:bCs w:val="1"/>
                <w:color w:val="auto"/>
                <w:w w:val="90"/>
              </w:rPr>
              <w:t>San Francisco, California 94107</w:t>
            </w:r>
          </w:p>
        </w:tc>
        <w:tc>
          <w:tcPr>
            <w:tcW w:w="2600" w:type="dxa"/>
            <w:vAlign w:val="bottom"/>
          </w:tcPr>
          <w:p>
            <w:pPr>
              <w:spacing w:after="0"/>
              <w:rPr>
                <w:sz w:val="19"/>
                <w:szCs w:val="19"/>
                <w:color w:val="auto"/>
              </w:rPr>
            </w:pPr>
          </w:p>
        </w:tc>
      </w:tr>
      <w:tr>
        <w:trPr>
          <w:trHeight w:val="225"/>
        </w:trPr>
        <w:tc>
          <w:tcPr>
            <w:tcW w:w="5680" w:type="dxa"/>
            <w:vAlign w:val="bottom"/>
            <w:gridSpan w:val="2"/>
          </w:tcPr>
          <w:p>
            <w:pPr>
              <w:jc w:val="center"/>
              <w:ind w:left="3149"/>
              <w:spacing w:after="0"/>
              <w:rPr>
                <w:sz w:val="20"/>
                <w:szCs w:val="20"/>
                <w:color w:val="auto"/>
              </w:rPr>
            </w:pPr>
            <w:r>
              <w:rPr>
                <w:rFonts w:ascii="Arial" w:cs="Arial" w:eastAsia="Arial" w:hAnsi="Arial"/>
                <w:sz w:val="19"/>
                <w:szCs w:val="19"/>
                <w:b w:val="1"/>
                <w:bCs w:val="1"/>
                <w:color w:val="auto"/>
                <w:w w:val="92"/>
              </w:rPr>
              <w:t>(415) 857-6800</w:t>
            </w:r>
          </w:p>
        </w:tc>
        <w:tc>
          <w:tcPr>
            <w:tcW w:w="56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195"/>
        </w:trPr>
        <w:tc>
          <w:tcPr>
            <w:tcW w:w="8840" w:type="dxa"/>
            <w:vAlign w:val="bottom"/>
            <w:gridSpan w:val="4"/>
          </w:tcPr>
          <w:p>
            <w:pPr>
              <w:jc w:val="center"/>
              <w:spacing w:after="0"/>
              <w:rPr>
                <w:sz w:val="20"/>
                <w:szCs w:val="20"/>
                <w:color w:val="auto"/>
              </w:rPr>
            </w:pPr>
            <w:r>
              <w:rPr>
                <w:rFonts w:ascii="Arial" w:cs="Arial" w:eastAsia="Arial" w:hAnsi="Arial"/>
                <w:sz w:val="15"/>
                <w:szCs w:val="15"/>
                <w:b w:val="1"/>
                <w:bCs w:val="1"/>
                <w:color w:val="auto"/>
                <w:w w:val="89"/>
              </w:rPr>
              <w:t>(Address of principal executive offices, including zip code)</w:t>
            </w:r>
          </w:p>
        </w:tc>
      </w:tr>
      <w:tr>
        <w:trPr>
          <w:trHeight w:val="355"/>
        </w:trPr>
        <w:tc>
          <w:tcPr>
            <w:tcW w:w="324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28"/>
        </w:trPr>
        <w:tc>
          <w:tcPr>
            <w:tcW w:w="6240" w:type="dxa"/>
            <w:vAlign w:val="bottom"/>
            <w:gridSpan w:val="3"/>
          </w:tcPr>
          <w:p>
            <w:pPr>
              <w:jc w:val="center"/>
              <w:ind w:left="2589"/>
              <w:spacing w:after="0"/>
              <w:rPr>
                <w:sz w:val="20"/>
                <w:szCs w:val="20"/>
                <w:color w:val="auto"/>
              </w:rPr>
            </w:pPr>
            <w:r>
              <w:rPr>
                <w:rFonts w:ascii="Arial" w:cs="Arial" w:eastAsia="Arial" w:hAnsi="Arial"/>
                <w:sz w:val="19"/>
                <w:szCs w:val="19"/>
                <w:b w:val="1"/>
                <w:bCs w:val="1"/>
                <w:color w:val="auto"/>
                <w:w w:val="90"/>
              </w:rPr>
              <w:t>JN Projects, Inc. 2011 Equity Incentive Plan</w:t>
            </w:r>
          </w:p>
        </w:tc>
        <w:tc>
          <w:tcPr>
            <w:tcW w:w="2600" w:type="dxa"/>
            <w:vAlign w:val="bottom"/>
          </w:tcPr>
          <w:p>
            <w:pPr>
              <w:spacing w:after="0"/>
              <w:rPr>
                <w:sz w:val="24"/>
                <w:szCs w:val="24"/>
                <w:color w:val="auto"/>
              </w:rPr>
            </w:pPr>
          </w:p>
        </w:tc>
      </w:tr>
      <w:tr>
        <w:trPr>
          <w:trHeight w:val="195"/>
        </w:trPr>
        <w:tc>
          <w:tcPr>
            <w:tcW w:w="3240" w:type="dxa"/>
            <w:vAlign w:val="bottom"/>
          </w:tcPr>
          <w:p>
            <w:pPr>
              <w:spacing w:after="0"/>
              <w:rPr>
                <w:sz w:val="16"/>
                <w:szCs w:val="16"/>
                <w:color w:val="auto"/>
              </w:rPr>
            </w:pPr>
          </w:p>
        </w:tc>
        <w:tc>
          <w:tcPr>
            <w:tcW w:w="3000" w:type="dxa"/>
            <w:vAlign w:val="bottom"/>
            <w:gridSpan w:val="2"/>
          </w:tcPr>
          <w:p>
            <w:pPr>
              <w:jc w:val="center"/>
              <w:ind w:right="560"/>
              <w:spacing w:after="0"/>
              <w:rPr>
                <w:sz w:val="20"/>
                <w:szCs w:val="20"/>
                <w:color w:val="auto"/>
              </w:rPr>
            </w:pPr>
            <w:r>
              <w:rPr>
                <w:rFonts w:ascii="Arial" w:cs="Arial" w:eastAsia="Arial" w:hAnsi="Arial"/>
                <w:sz w:val="15"/>
                <w:szCs w:val="15"/>
                <w:b w:val="1"/>
                <w:bCs w:val="1"/>
                <w:color w:val="auto"/>
                <w:w w:val="94"/>
              </w:rPr>
              <w:t>(Full title of the plan)</w:t>
            </w:r>
          </w:p>
        </w:tc>
        <w:tc>
          <w:tcPr>
            <w:tcW w:w="2600" w:type="dxa"/>
            <w:vAlign w:val="bottom"/>
          </w:tcPr>
          <w:p>
            <w:pPr>
              <w:spacing w:after="0"/>
              <w:rPr>
                <w:sz w:val="16"/>
                <w:szCs w:val="16"/>
                <w:color w:val="auto"/>
              </w:rPr>
            </w:pPr>
          </w:p>
        </w:tc>
      </w:tr>
      <w:tr>
        <w:trPr>
          <w:trHeight w:val="370"/>
        </w:trPr>
        <w:tc>
          <w:tcPr>
            <w:tcW w:w="324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30"/>
        </w:trPr>
        <w:tc>
          <w:tcPr>
            <w:tcW w:w="3240" w:type="dxa"/>
            <w:vAlign w:val="bottom"/>
          </w:tcPr>
          <w:p>
            <w:pPr>
              <w:spacing w:after="0"/>
              <w:rPr>
                <w:sz w:val="24"/>
                <w:szCs w:val="24"/>
                <w:color w:val="auto"/>
              </w:rPr>
            </w:pPr>
          </w:p>
        </w:tc>
        <w:tc>
          <w:tcPr>
            <w:tcW w:w="3000" w:type="dxa"/>
            <w:vAlign w:val="bottom"/>
            <w:gridSpan w:val="2"/>
          </w:tcPr>
          <w:p>
            <w:pPr>
              <w:jc w:val="center"/>
              <w:ind w:right="560"/>
              <w:spacing w:after="0"/>
              <w:rPr>
                <w:sz w:val="20"/>
                <w:szCs w:val="20"/>
                <w:color w:val="auto"/>
              </w:rPr>
            </w:pPr>
            <w:r>
              <w:rPr>
                <w:rFonts w:ascii="Arial" w:cs="Arial" w:eastAsia="Arial" w:hAnsi="Arial"/>
                <w:sz w:val="19"/>
                <w:szCs w:val="19"/>
                <w:b w:val="1"/>
                <w:bCs w:val="1"/>
                <w:color w:val="auto"/>
                <w:w w:val="90"/>
              </w:rPr>
              <w:t>Andrew W. Houston</w:t>
            </w:r>
          </w:p>
        </w:tc>
        <w:tc>
          <w:tcPr>
            <w:tcW w:w="2600" w:type="dxa"/>
            <w:vAlign w:val="bottom"/>
          </w:tcPr>
          <w:p>
            <w:pPr>
              <w:spacing w:after="0"/>
              <w:rPr>
                <w:sz w:val="24"/>
                <w:szCs w:val="24"/>
                <w:color w:val="auto"/>
              </w:rPr>
            </w:pPr>
          </w:p>
        </w:tc>
      </w:tr>
      <w:tr>
        <w:trPr>
          <w:trHeight w:val="228"/>
        </w:trPr>
        <w:tc>
          <w:tcPr>
            <w:tcW w:w="3240" w:type="dxa"/>
            <w:vAlign w:val="bottom"/>
          </w:tcPr>
          <w:p>
            <w:pPr>
              <w:spacing w:after="0"/>
              <w:rPr>
                <w:sz w:val="19"/>
                <w:szCs w:val="19"/>
                <w:color w:val="auto"/>
              </w:rPr>
            </w:pPr>
          </w:p>
        </w:tc>
        <w:tc>
          <w:tcPr>
            <w:tcW w:w="3000" w:type="dxa"/>
            <w:vAlign w:val="bottom"/>
            <w:gridSpan w:val="2"/>
          </w:tcPr>
          <w:p>
            <w:pPr>
              <w:jc w:val="center"/>
              <w:ind w:right="560"/>
              <w:spacing w:after="0"/>
              <w:rPr>
                <w:sz w:val="20"/>
                <w:szCs w:val="20"/>
                <w:color w:val="auto"/>
              </w:rPr>
            </w:pPr>
            <w:r>
              <w:rPr>
                <w:rFonts w:ascii="Arial" w:cs="Arial" w:eastAsia="Arial" w:hAnsi="Arial"/>
                <w:sz w:val="19"/>
                <w:szCs w:val="19"/>
                <w:b w:val="1"/>
                <w:bCs w:val="1"/>
                <w:color w:val="auto"/>
                <w:w w:val="92"/>
              </w:rPr>
              <w:t>Chief Executive Officer</w:t>
            </w:r>
          </w:p>
        </w:tc>
        <w:tc>
          <w:tcPr>
            <w:tcW w:w="2600" w:type="dxa"/>
            <w:vAlign w:val="bottom"/>
          </w:tcPr>
          <w:p>
            <w:pPr>
              <w:spacing w:after="0"/>
              <w:rPr>
                <w:sz w:val="19"/>
                <w:szCs w:val="19"/>
                <w:color w:val="auto"/>
              </w:rPr>
            </w:pPr>
          </w:p>
        </w:tc>
      </w:tr>
      <w:tr>
        <w:trPr>
          <w:trHeight w:val="228"/>
        </w:trPr>
        <w:tc>
          <w:tcPr>
            <w:tcW w:w="3240" w:type="dxa"/>
            <w:vAlign w:val="bottom"/>
          </w:tcPr>
          <w:p>
            <w:pPr>
              <w:spacing w:after="0"/>
              <w:rPr>
                <w:sz w:val="19"/>
                <w:szCs w:val="19"/>
                <w:color w:val="auto"/>
              </w:rPr>
            </w:pPr>
          </w:p>
        </w:tc>
        <w:tc>
          <w:tcPr>
            <w:tcW w:w="3000" w:type="dxa"/>
            <w:vAlign w:val="bottom"/>
            <w:gridSpan w:val="2"/>
          </w:tcPr>
          <w:p>
            <w:pPr>
              <w:jc w:val="center"/>
              <w:ind w:right="560"/>
              <w:spacing w:after="0"/>
              <w:rPr>
                <w:sz w:val="20"/>
                <w:szCs w:val="20"/>
                <w:color w:val="auto"/>
              </w:rPr>
            </w:pPr>
            <w:r>
              <w:rPr>
                <w:rFonts w:ascii="Arial" w:cs="Arial" w:eastAsia="Arial" w:hAnsi="Arial"/>
                <w:sz w:val="19"/>
                <w:szCs w:val="19"/>
                <w:b w:val="1"/>
                <w:bCs w:val="1"/>
                <w:color w:val="auto"/>
                <w:w w:val="92"/>
              </w:rPr>
              <w:t>Dropbox, Inc.</w:t>
            </w:r>
          </w:p>
        </w:tc>
        <w:tc>
          <w:tcPr>
            <w:tcW w:w="2600" w:type="dxa"/>
            <w:vAlign w:val="bottom"/>
          </w:tcPr>
          <w:p>
            <w:pPr>
              <w:spacing w:after="0"/>
              <w:rPr>
                <w:sz w:val="19"/>
                <w:szCs w:val="19"/>
                <w:color w:val="auto"/>
              </w:rPr>
            </w:pPr>
          </w:p>
        </w:tc>
      </w:tr>
      <w:tr>
        <w:trPr>
          <w:trHeight w:val="228"/>
        </w:trPr>
        <w:tc>
          <w:tcPr>
            <w:tcW w:w="3240" w:type="dxa"/>
            <w:vAlign w:val="bottom"/>
          </w:tcPr>
          <w:p>
            <w:pPr>
              <w:spacing w:after="0"/>
              <w:rPr>
                <w:sz w:val="19"/>
                <w:szCs w:val="19"/>
                <w:color w:val="auto"/>
              </w:rPr>
            </w:pPr>
          </w:p>
        </w:tc>
        <w:tc>
          <w:tcPr>
            <w:tcW w:w="3000" w:type="dxa"/>
            <w:vAlign w:val="bottom"/>
            <w:gridSpan w:val="2"/>
          </w:tcPr>
          <w:p>
            <w:pPr>
              <w:jc w:val="center"/>
              <w:ind w:right="580"/>
              <w:spacing w:after="0"/>
              <w:rPr>
                <w:sz w:val="20"/>
                <w:szCs w:val="20"/>
                <w:color w:val="auto"/>
              </w:rPr>
            </w:pPr>
            <w:r>
              <w:rPr>
                <w:rFonts w:ascii="Arial" w:cs="Arial" w:eastAsia="Arial" w:hAnsi="Arial"/>
                <w:sz w:val="19"/>
                <w:szCs w:val="19"/>
                <w:b w:val="1"/>
                <w:bCs w:val="1"/>
                <w:color w:val="auto"/>
                <w:w w:val="91"/>
              </w:rPr>
              <w:t>333 Brannan Street</w:t>
            </w:r>
          </w:p>
        </w:tc>
        <w:tc>
          <w:tcPr>
            <w:tcW w:w="2600" w:type="dxa"/>
            <w:vAlign w:val="bottom"/>
          </w:tcPr>
          <w:p>
            <w:pPr>
              <w:spacing w:after="0"/>
              <w:rPr>
                <w:sz w:val="19"/>
                <w:szCs w:val="19"/>
                <w:color w:val="auto"/>
              </w:rPr>
            </w:pPr>
          </w:p>
        </w:tc>
      </w:tr>
      <w:tr>
        <w:trPr>
          <w:trHeight w:val="228"/>
        </w:trPr>
        <w:tc>
          <w:tcPr>
            <w:tcW w:w="6240" w:type="dxa"/>
            <w:vAlign w:val="bottom"/>
            <w:gridSpan w:val="3"/>
          </w:tcPr>
          <w:p>
            <w:pPr>
              <w:jc w:val="center"/>
              <w:ind w:left="2589"/>
              <w:spacing w:after="0"/>
              <w:rPr>
                <w:sz w:val="20"/>
                <w:szCs w:val="20"/>
                <w:color w:val="auto"/>
              </w:rPr>
            </w:pPr>
            <w:r>
              <w:rPr>
                <w:rFonts w:ascii="Arial" w:cs="Arial" w:eastAsia="Arial" w:hAnsi="Arial"/>
                <w:sz w:val="19"/>
                <w:szCs w:val="19"/>
                <w:b w:val="1"/>
                <w:bCs w:val="1"/>
                <w:color w:val="auto"/>
                <w:w w:val="90"/>
              </w:rPr>
              <w:t>San Francisco, California 94107</w:t>
            </w:r>
          </w:p>
        </w:tc>
        <w:tc>
          <w:tcPr>
            <w:tcW w:w="2600" w:type="dxa"/>
            <w:vAlign w:val="bottom"/>
          </w:tcPr>
          <w:p>
            <w:pPr>
              <w:spacing w:after="0"/>
              <w:rPr>
                <w:sz w:val="19"/>
                <w:szCs w:val="19"/>
                <w:color w:val="auto"/>
              </w:rPr>
            </w:pPr>
          </w:p>
        </w:tc>
      </w:tr>
      <w:tr>
        <w:trPr>
          <w:trHeight w:val="225"/>
        </w:trPr>
        <w:tc>
          <w:tcPr>
            <w:tcW w:w="5680" w:type="dxa"/>
            <w:vAlign w:val="bottom"/>
            <w:gridSpan w:val="2"/>
          </w:tcPr>
          <w:p>
            <w:pPr>
              <w:jc w:val="center"/>
              <w:ind w:left="3149"/>
              <w:spacing w:after="0"/>
              <w:rPr>
                <w:sz w:val="20"/>
                <w:szCs w:val="20"/>
                <w:color w:val="auto"/>
              </w:rPr>
            </w:pPr>
            <w:r>
              <w:rPr>
                <w:rFonts w:ascii="Arial" w:cs="Arial" w:eastAsia="Arial" w:hAnsi="Arial"/>
                <w:sz w:val="19"/>
                <w:szCs w:val="19"/>
                <w:b w:val="1"/>
                <w:bCs w:val="1"/>
                <w:color w:val="auto"/>
                <w:w w:val="92"/>
              </w:rPr>
              <w:t>(415) 857-6800</w:t>
            </w:r>
          </w:p>
        </w:tc>
        <w:tc>
          <w:tcPr>
            <w:tcW w:w="56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195"/>
        </w:trPr>
        <w:tc>
          <w:tcPr>
            <w:tcW w:w="8840" w:type="dxa"/>
            <w:vAlign w:val="bottom"/>
            <w:gridSpan w:val="4"/>
          </w:tcPr>
          <w:p>
            <w:pPr>
              <w:jc w:val="center"/>
              <w:spacing w:after="0"/>
              <w:rPr>
                <w:sz w:val="20"/>
                <w:szCs w:val="20"/>
                <w:color w:val="auto"/>
              </w:rPr>
            </w:pPr>
            <w:r>
              <w:rPr>
                <w:rFonts w:ascii="Arial" w:cs="Arial" w:eastAsia="Arial" w:hAnsi="Arial"/>
                <w:sz w:val="15"/>
                <w:szCs w:val="15"/>
                <w:b w:val="1"/>
                <w:bCs w:val="1"/>
                <w:color w:val="auto"/>
                <w:w w:val="90"/>
              </w:rPr>
              <w:t>(Name, address and telephone number, including area code, of agent for service)</w:t>
            </w:r>
          </w:p>
        </w:tc>
      </w:tr>
      <w:tr>
        <w:trPr>
          <w:trHeight w:val="355"/>
        </w:trPr>
        <w:tc>
          <w:tcPr>
            <w:tcW w:w="324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50"/>
        </w:trPr>
        <w:tc>
          <w:tcPr>
            <w:tcW w:w="3240" w:type="dxa"/>
            <w:vAlign w:val="bottom"/>
          </w:tcPr>
          <w:p>
            <w:pPr>
              <w:spacing w:after="0"/>
              <w:rPr>
                <w:sz w:val="24"/>
                <w:szCs w:val="24"/>
                <w:color w:val="auto"/>
              </w:rPr>
            </w:pPr>
          </w:p>
        </w:tc>
        <w:tc>
          <w:tcPr>
            <w:tcW w:w="3000" w:type="dxa"/>
            <w:vAlign w:val="bottom"/>
            <w:gridSpan w:val="2"/>
          </w:tcPr>
          <w:p>
            <w:pPr>
              <w:jc w:val="center"/>
              <w:ind w:right="560"/>
              <w:spacing w:after="0"/>
              <w:rPr>
                <w:sz w:val="20"/>
                <w:szCs w:val="20"/>
                <w:color w:val="auto"/>
              </w:rPr>
            </w:pPr>
            <w:r>
              <w:rPr>
                <w:rFonts w:ascii="Arial" w:cs="Arial" w:eastAsia="Arial" w:hAnsi="Arial"/>
                <w:sz w:val="19"/>
                <w:szCs w:val="19"/>
                <w:b w:val="1"/>
                <w:bCs w:val="1"/>
                <w:i w:val="1"/>
                <w:iCs w:val="1"/>
                <w:color w:val="auto"/>
                <w:w w:val="86"/>
              </w:rPr>
              <w:t>Copies to:</w:t>
            </w:r>
          </w:p>
        </w:tc>
        <w:tc>
          <w:tcPr>
            <w:tcW w:w="2600" w:type="dxa"/>
            <w:vAlign w:val="bottom"/>
          </w:tcPr>
          <w:p>
            <w:pPr>
              <w:spacing w:after="0"/>
              <w:rPr>
                <w:sz w:val="24"/>
                <w:szCs w:val="24"/>
                <w:color w:val="auto"/>
              </w:rPr>
            </w:pPr>
          </w:p>
        </w:tc>
      </w:tr>
      <w:tr>
        <w:trPr>
          <w:trHeight w:val="466"/>
        </w:trPr>
        <w:tc>
          <w:tcPr>
            <w:tcW w:w="6240" w:type="dxa"/>
            <w:vAlign w:val="bottom"/>
            <w:gridSpan w:val="3"/>
          </w:tcPr>
          <w:p>
            <w:pPr>
              <w:jc w:val="center"/>
              <w:ind w:right="3020"/>
              <w:spacing w:after="0"/>
              <w:rPr>
                <w:sz w:val="20"/>
                <w:szCs w:val="20"/>
                <w:color w:val="auto"/>
              </w:rPr>
            </w:pPr>
            <w:r>
              <w:rPr>
                <w:rFonts w:ascii="Arial" w:cs="Arial" w:eastAsia="Arial" w:hAnsi="Arial"/>
                <w:sz w:val="19"/>
                <w:szCs w:val="19"/>
                <w:b w:val="1"/>
                <w:bCs w:val="1"/>
                <w:color w:val="auto"/>
                <w:w w:val="89"/>
              </w:rPr>
              <w:t>Tony Jeffries, Esq</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2"/>
              </w:rPr>
              <w:t>Bart E. Volkmer, Esq.</w:t>
            </w:r>
          </w:p>
        </w:tc>
      </w:tr>
      <w:tr>
        <w:trPr>
          <w:trHeight w:val="228"/>
        </w:trPr>
        <w:tc>
          <w:tcPr>
            <w:tcW w:w="6240" w:type="dxa"/>
            <w:vAlign w:val="bottom"/>
            <w:gridSpan w:val="3"/>
          </w:tcPr>
          <w:p>
            <w:pPr>
              <w:jc w:val="center"/>
              <w:ind w:right="3000"/>
              <w:spacing w:after="0"/>
              <w:rPr>
                <w:sz w:val="20"/>
                <w:szCs w:val="20"/>
                <w:color w:val="auto"/>
              </w:rPr>
            </w:pPr>
            <w:r>
              <w:rPr>
                <w:rFonts w:ascii="Arial" w:cs="Arial" w:eastAsia="Arial" w:hAnsi="Arial"/>
                <w:sz w:val="19"/>
                <w:szCs w:val="19"/>
                <w:b w:val="1"/>
                <w:bCs w:val="1"/>
                <w:color w:val="auto"/>
                <w:w w:val="92"/>
              </w:rPr>
              <w:t>Lisa L. Stimmell, Esq.</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1"/>
              </w:rPr>
              <w:t>Mary Anne Becking, Esq.</w:t>
            </w:r>
          </w:p>
        </w:tc>
      </w:tr>
      <w:tr>
        <w:trPr>
          <w:trHeight w:val="228"/>
        </w:trPr>
        <w:tc>
          <w:tcPr>
            <w:tcW w:w="6240" w:type="dxa"/>
            <w:vAlign w:val="bottom"/>
            <w:gridSpan w:val="3"/>
          </w:tcPr>
          <w:p>
            <w:pPr>
              <w:jc w:val="center"/>
              <w:ind w:right="3000"/>
              <w:spacing w:after="0"/>
              <w:rPr>
                <w:sz w:val="20"/>
                <w:szCs w:val="20"/>
                <w:color w:val="auto"/>
              </w:rPr>
            </w:pPr>
            <w:r>
              <w:rPr>
                <w:rFonts w:ascii="Arial" w:cs="Arial" w:eastAsia="Arial" w:hAnsi="Arial"/>
                <w:sz w:val="19"/>
                <w:szCs w:val="19"/>
                <w:b w:val="1"/>
                <w:bCs w:val="1"/>
                <w:color w:val="auto"/>
                <w:w w:val="89"/>
              </w:rPr>
              <w:t>Shannon R. Delahaye, Esq.</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3"/>
              </w:rPr>
              <w:t>Cara M. Angelmar, Esq.</w:t>
            </w:r>
          </w:p>
        </w:tc>
      </w:tr>
      <w:tr>
        <w:trPr>
          <w:trHeight w:val="228"/>
        </w:trPr>
        <w:tc>
          <w:tcPr>
            <w:tcW w:w="6240" w:type="dxa"/>
            <w:vAlign w:val="bottom"/>
            <w:gridSpan w:val="3"/>
          </w:tcPr>
          <w:p>
            <w:pPr>
              <w:jc w:val="center"/>
              <w:ind w:right="3020"/>
              <w:spacing w:after="0"/>
              <w:rPr>
                <w:sz w:val="20"/>
                <w:szCs w:val="20"/>
                <w:color w:val="auto"/>
              </w:rPr>
            </w:pPr>
            <w:r>
              <w:rPr>
                <w:rFonts w:ascii="Arial" w:cs="Arial" w:eastAsia="Arial" w:hAnsi="Arial"/>
                <w:sz w:val="19"/>
                <w:szCs w:val="19"/>
                <w:b w:val="1"/>
                <w:bCs w:val="1"/>
                <w:color w:val="auto"/>
                <w:w w:val="90"/>
              </w:rPr>
              <w:t>Wilson Sonsini Goodrich &amp; Rosati, P.C.</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2"/>
              </w:rPr>
              <w:t>Dropbox, Inc.</w:t>
            </w:r>
          </w:p>
        </w:tc>
      </w:tr>
      <w:tr>
        <w:trPr>
          <w:trHeight w:val="228"/>
        </w:trPr>
        <w:tc>
          <w:tcPr>
            <w:tcW w:w="6240" w:type="dxa"/>
            <w:vAlign w:val="bottom"/>
            <w:gridSpan w:val="3"/>
          </w:tcPr>
          <w:p>
            <w:pPr>
              <w:jc w:val="center"/>
              <w:ind w:right="3020"/>
              <w:spacing w:after="0"/>
              <w:rPr>
                <w:sz w:val="20"/>
                <w:szCs w:val="20"/>
                <w:color w:val="auto"/>
              </w:rPr>
            </w:pPr>
            <w:r>
              <w:rPr>
                <w:rFonts w:ascii="Arial" w:cs="Arial" w:eastAsia="Arial" w:hAnsi="Arial"/>
                <w:sz w:val="19"/>
                <w:szCs w:val="19"/>
                <w:b w:val="1"/>
                <w:bCs w:val="1"/>
                <w:color w:val="auto"/>
                <w:w w:val="91"/>
              </w:rPr>
              <w:t>650 Page Mill Road</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1"/>
              </w:rPr>
              <w:t>333 Brannan Street</w:t>
            </w:r>
          </w:p>
        </w:tc>
      </w:tr>
      <w:tr>
        <w:trPr>
          <w:trHeight w:val="228"/>
        </w:trPr>
        <w:tc>
          <w:tcPr>
            <w:tcW w:w="6240" w:type="dxa"/>
            <w:vAlign w:val="bottom"/>
            <w:gridSpan w:val="3"/>
          </w:tcPr>
          <w:p>
            <w:pPr>
              <w:jc w:val="center"/>
              <w:ind w:right="3000"/>
              <w:spacing w:after="0"/>
              <w:rPr>
                <w:sz w:val="20"/>
                <w:szCs w:val="20"/>
                <w:color w:val="auto"/>
              </w:rPr>
            </w:pPr>
            <w:r>
              <w:rPr>
                <w:rFonts w:ascii="Arial" w:cs="Arial" w:eastAsia="Arial" w:hAnsi="Arial"/>
                <w:sz w:val="19"/>
                <w:szCs w:val="19"/>
                <w:b w:val="1"/>
                <w:bCs w:val="1"/>
                <w:color w:val="auto"/>
                <w:w w:val="92"/>
              </w:rPr>
              <w:t>Palo Alto, California 94304</w:t>
            </w: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0"/>
              </w:rPr>
              <w:t>San Francisco, California 94107</w:t>
            </w:r>
          </w:p>
        </w:tc>
      </w:tr>
      <w:tr>
        <w:trPr>
          <w:trHeight w:val="247"/>
        </w:trPr>
        <w:tc>
          <w:tcPr>
            <w:tcW w:w="3240" w:type="dxa"/>
            <w:vAlign w:val="bottom"/>
          </w:tcPr>
          <w:p>
            <w:pPr>
              <w:jc w:val="center"/>
              <w:spacing w:after="0"/>
              <w:rPr>
                <w:sz w:val="20"/>
                <w:szCs w:val="20"/>
                <w:color w:val="auto"/>
              </w:rPr>
            </w:pPr>
            <w:r>
              <w:rPr>
                <w:rFonts w:ascii="Arial" w:cs="Arial" w:eastAsia="Arial" w:hAnsi="Arial"/>
                <w:sz w:val="19"/>
                <w:szCs w:val="19"/>
                <w:b w:val="1"/>
                <w:bCs w:val="1"/>
                <w:color w:val="auto"/>
                <w:w w:val="90"/>
              </w:rPr>
              <w:t>(650) 493-9300</w:t>
            </w:r>
          </w:p>
        </w:tc>
        <w:tc>
          <w:tcPr>
            <w:tcW w:w="2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0" w:type="dxa"/>
            <w:vAlign w:val="bottom"/>
          </w:tcPr>
          <w:p>
            <w:pPr>
              <w:jc w:val="center"/>
              <w:spacing w:after="0"/>
              <w:rPr>
                <w:sz w:val="20"/>
                <w:szCs w:val="20"/>
                <w:color w:val="auto"/>
              </w:rPr>
            </w:pPr>
            <w:r>
              <w:rPr>
                <w:rFonts w:ascii="Arial" w:cs="Arial" w:eastAsia="Arial" w:hAnsi="Arial"/>
                <w:sz w:val="19"/>
                <w:szCs w:val="19"/>
                <w:b w:val="1"/>
                <w:bCs w:val="1"/>
                <w:color w:val="auto"/>
                <w:w w:val="90"/>
              </w:rPr>
              <w:t>(415) 857-6800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245110</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right="140"/>
        <w:spacing w:after="0" w:line="263"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1640"/>
          </w:cols>
          <w:pgMar w:left="300" w:top="90" w:right="300" w:bottom="0" w:gutter="0" w:footer="0" w:header="0"/>
        </w:sectPr>
      </w:pP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62" w:lineRule="exact"/>
        <w:rPr>
          <w:sz w:val="24"/>
          <w:szCs w:val="24"/>
          <w:color w:val="auto"/>
        </w:rPr>
      </w:pPr>
    </w:p>
    <w:p>
      <w:pPr>
        <w:sectPr>
          <w:pgSz w:w="12240" w:h="15840" w:orient="portrait"/>
          <w:cols w:equalWidth="0" w:num="4">
            <w:col w:w="1700" w:space="720"/>
            <w:col w:w="5880" w:space="720"/>
            <w:col w:w="1720" w:space="720"/>
            <w:col w:w="180"/>
          </w:cols>
          <w:pgMar w:left="300" w:top="90" w:right="300" w:bottom="0" w:gutter="0" w:footer="0" w:header="0"/>
          <w:type w:val="continuous"/>
        </w:sectPr>
      </w:pP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ectPr>
          <w:pgSz w:w="12240" w:h="15840" w:orient="portrait"/>
          <w:cols w:equalWidth="0" w:num="4">
            <w:col w:w="1700" w:space="720"/>
            <w:col w:w="5880" w:space="720"/>
            <w:col w:w="2080" w:space="360"/>
            <w:col w:w="180"/>
          </w:cols>
          <w:pgMar w:left="300" w:top="90" w:right="300" w:bottom="0" w:gutter="0" w:footer="0" w:header="0"/>
          <w:type w:val="continuous"/>
        </w:sectPr>
      </w:pPr>
    </w:p>
    <w:bookmarkStart w:id="1" w:name="page2"/>
    <w:bookmarkEnd w:id="1"/>
    <w:p>
      <w:pPr>
        <w:ind w:left="1"/>
        <w:spacing w:after="0" w:line="219" w:lineRule="exact"/>
        <w:tabs>
          <w:tab w:leader="none" w:pos="2400" w:val="left"/>
        </w:tabs>
        <w:rPr>
          <w:sz w:val="20"/>
          <w:szCs w:val="20"/>
          <w:color w:val="auto"/>
        </w:rPr>
      </w:pPr>
      <w:r>
        <w:rPr>
          <w:rFonts w:ascii="Arial" w:cs="Arial" w:eastAsia="Arial" w:hAnsi="Arial"/>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24" w:lineRule="exact"/>
        <w:rPr>
          <w:sz w:val="20"/>
          <w:szCs w:val="20"/>
          <w:color w:val="auto"/>
        </w:rPr>
      </w:pPr>
    </w:p>
    <w:p>
      <w:pPr>
        <w:ind w:left="1" w:right="32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232410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244" w:lineRule="exact"/>
        <w:rPr>
          <w:sz w:val="20"/>
          <w:szCs w:val="20"/>
          <w:color w:val="auto"/>
        </w:rPr>
      </w:pPr>
    </w:p>
    <w:tbl>
      <w:tblPr>
        <w:tblLayout w:type="fixed"/>
        <w:tblInd w:w="1"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14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17"/>
        </w:trPr>
        <w:tc>
          <w:tcPr>
            <w:tcW w:w="20" w:type="dxa"/>
            <w:vAlign w:val="bottom"/>
          </w:tcPr>
          <w:p>
            <w:pPr>
              <w:spacing w:after="0"/>
              <w:rPr>
                <w:sz w:val="10"/>
                <w:szCs w:val="10"/>
                <w:color w:val="auto"/>
              </w:rPr>
            </w:pPr>
          </w:p>
        </w:tc>
        <w:tc>
          <w:tcPr>
            <w:tcW w:w="51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ind w:left="2"/>
              <w:spacing w:after="0" w:line="117" w:lineRule="exact"/>
              <w:rPr>
                <w:sz w:val="20"/>
                <w:szCs w:val="20"/>
                <w:color w:val="auto"/>
              </w:rPr>
            </w:pPr>
            <w:r>
              <w:rPr>
                <w:rFonts w:ascii="Arial" w:cs="Arial" w:eastAsia="Arial" w:hAnsi="Arial"/>
                <w:sz w:val="13"/>
                <w:szCs w:val="13"/>
                <w:b w:val="1"/>
                <w:bCs w:val="1"/>
                <w:color w:val="auto"/>
              </w:rPr>
              <w:t>Proposed</w:t>
            </w:r>
          </w:p>
        </w:tc>
        <w:tc>
          <w:tcPr>
            <w:tcW w:w="16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9"/>
              </w:rPr>
              <w:t>Proposed</w:t>
            </w:r>
          </w:p>
        </w:tc>
        <w:tc>
          <w:tcPr>
            <w:tcW w:w="160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51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1"/>
              </w:rPr>
              <w:t>Amount</w:t>
            </w:r>
          </w:p>
        </w:tc>
        <w:tc>
          <w:tcPr>
            <w:tcW w:w="1620" w:type="dxa"/>
            <w:vAlign w:val="bottom"/>
            <w:tcBorders>
              <w:right w:val="single" w:sz="8" w:color="auto"/>
            </w:tcBorders>
          </w:tcPr>
          <w:p>
            <w:pPr>
              <w:jc w:val="center"/>
              <w:ind w:left="2"/>
              <w:spacing w:after="0" w:line="157" w:lineRule="exact"/>
              <w:rPr>
                <w:sz w:val="20"/>
                <w:szCs w:val="20"/>
                <w:color w:val="auto"/>
              </w:rPr>
            </w:pPr>
            <w:r>
              <w:rPr>
                <w:rFonts w:ascii="Arial" w:cs="Arial" w:eastAsia="Arial" w:hAnsi="Arial"/>
                <w:sz w:val="15"/>
                <w:szCs w:val="15"/>
                <w:b w:val="1"/>
                <w:bCs w:val="1"/>
                <w:color w:val="auto"/>
                <w:w w:val="95"/>
              </w:rPr>
              <w:t>Maximum</w:t>
            </w:r>
          </w:p>
        </w:tc>
        <w:tc>
          <w:tcPr>
            <w:tcW w:w="16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8"/>
              </w:rPr>
              <w:t>Maximum</w:t>
            </w:r>
          </w:p>
        </w:tc>
        <w:tc>
          <w:tcPr>
            <w:tcW w:w="16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1"/>
              </w:rPr>
              <w:t>Title of Securities</w:t>
            </w:r>
          </w:p>
        </w:tc>
        <w:tc>
          <w:tcPr>
            <w:tcW w:w="16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89"/>
              </w:rPr>
              <w:t>to be</w:t>
            </w:r>
          </w:p>
        </w:tc>
        <w:tc>
          <w:tcPr>
            <w:tcW w:w="1620" w:type="dxa"/>
            <w:vAlign w:val="bottom"/>
            <w:tcBorders>
              <w:right w:val="single" w:sz="8" w:color="auto"/>
            </w:tcBorders>
          </w:tcPr>
          <w:p>
            <w:pPr>
              <w:jc w:val="center"/>
              <w:ind w:left="2"/>
              <w:spacing w:after="0" w:line="157" w:lineRule="exact"/>
              <w:rPr>
                <w:sz w:val="20"/>
                <w:szCs w:val="20"/>
                <w:color w:val="auto"/>
              </w:rPr>
            </w:pPr>
            <w:r>
              <w:rPr>
                <w:rFonts w:ascii="Arial" w:cs="Arial" w:eastAsia="Arial" w:hAnsi="Arial"/>
                <w:sz w:val="15"/>
                <w:szCs w:val="15"/>
                <w:b w:val="1"/>
                <w:bCs w:val="1"/>
                <w:color w:val="auto"/>
                <w:w w:val="94"/>
              </w:rPr>
              <w:t>Offering Price</w:t>
            </w:r>
          </w:p>
        </w:tc>
        <w:tc>
          <w:tcPr>
            <w:tcW w:w="16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88"/>
              </w:rPr>
              <w:t>Aggregate</w:t>
            </w:r>
          </w:p>
        </w:tc>
        <w:tc>
          <w:tcPr>
            <w:tcW w:w="16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0"/>
              </w:rPr>
              <w:t>Amount of</w:t>
            </w:r>
          </w:p>
        </w:tc>
      </w:tr>
      <w:tr>
        <w:trPr>
          <w:trHeight w:val="180"/>
        </w:trPr>
        <w:tc>
          <w:tcPr>
            <w:tcW w:w="20" w:type="dxa"/>
            <w:vAlign w:val="bottom"/>
          </w:tcPr>
          <w:p>
            <w:pPr>
              <w:spacing w:after="0"/>
              <w:rPr>
                <w:sz w:val="15"/>
                <w:szCs w:val="15"/>
                <w:color w:val="auto"/>
              </w:rPr>
            </w:pPr>
          </w:p>
        </w:tc>
        <w:tc>
          <w:tcPr>
            <w:tcW w:w="5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to be Registered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Registered(1)</w:t>
            </w:r>
          </w:p>
        </w:tc>
        <w:tc>
          <w:tcPr>
            <w:tcW w:w="162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5"/>
                <w:szCs w:val="15"/>
                <w:b w:val="1"/>
                <w:bCs w:val="1"/>
                <w:color w:val="auto"/>
                <w:w w:val="94"/>
              </w:rPr>
              <w:t>Per Share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Offering Price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Registration Fee</w:t>
            </w:r>
          </w:p>
        </w:tc>
      </w:tr>
      <w:tr>
        <w:trPr>
          <w:trHeight w:val="208"/>
        </w:trPr>
        <w:tc>
          <w:tcPr>
            <w:tcW w:w="20" w:type="dxa"/>
            <w:vAlign w:val="bottom"/>
          </w:tcPr>
          <w:p>
            <w:pPr>
              <w:spacing w:after="0"/>
              <w:rPr>
                <w:sz w:val="18"/>
                <w:szCs w:val="18"/>
                <w:color w:val="auto"/>
              </w:rPr>
            </w:pPr>
          </w:p>
        </w:tc>
        <w:tc>
          <w:tcPr>
            <w:tcW w:w="5140" w:type="dxa"/>
            <w:vAlign w:val="bottom"/>
            <w:tcBorders>
              <w:right w:val="single" w:sz="8" w:color="auto"/>
            </w:tcBorders>
          </w:tcPr>
          <w:p>
            <w:pPr>
              <w:jc w:val="center"/>
              <w:spacing w:after="0" w:line="208" w:lineRule="exact"/>
              <w:rPr>
                <w:sz w:val="20"/>
                <w:szCs w:val="20"/>
                <w:color w:val="auto"/>
              </w:rPr>
            </w:pPr>
            <w:r>
              <w:rPr>
                <w:rFonts w:ascii="Arial" w:cs="Arial" w:eastAsia="Arial" w:hAnsi="Arial"/>
                <w:sz w:val="19"/>
                <w:szCs w:val="19"/>
                <w:color w:val="auto"/>
                <w:w w:val="89"/>
              </w:rPr>
              <w:t>Class A Common Stock, $0.00001 par value per share, to be issued</w:t>
            </w: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40" w:type="dxa"/>
            <w:vAlign w:val="bottom"/>
            <w:tcBorders>
              <w:right w:val="single" w:sz="8" w:color="auto"/>
            </w:tcBorders>
          </w:tcPr>
          <w:p>
            <w:pPr>
              <w:ind w:left="160"/>
              <w:spacing w:after="0"/>
              <w:rPr>
                <w:sz w:val="20"/>
                <w:szCs w:val="20"/>
                <w:color w:val="auto"/>
              </w:rPr>
            </w:pPr>
            <w:r>
              <w:rPr>
                <w:rFonts w:ascii="Arial" w:cs="Arial" w:eastAsia="Arial" w:hAnsi="Arial"/>
                <w:sz w:val="19"/>
                <w:szCs w:val="19"/>
                <w:color w:val="auto"/>
                <w:w w:val="91"/>
              </w:rPr>
              <w:t>pursuant to the JN Projects, Inc. 2011 Equity Incentive Plan (the</w:t>
            </w:r>
          </w:p>
        </w:tc>
        <w:tc>
          <w:tcPr>
            <w:tcW w:w="162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60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51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2011 Plan</w:t>
            </w:r>
            <w:r>
              <w:rPr>
                <w:rFonts w:ascii="Arial" w:cs="Arial" w:eastAsia="Arial" w:hAnsi="Arial"/>
                <w:sz w:val="19"/>
                <w:szCs w:val="19"/>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899,193</w:t>
            </w:r>
          </w:p>
        </w:tc>
        <w:tc>
          <w:tcPr>
            <w:tcW w:w="162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9"/>
                <w:szCs w:val="19"/>
                <w:color w:val="auto"/>
                <w:w w:val="91"/>
              </w:rPr>
              <w:t>$6.03(2)(3)</w:t>
            </w:r>
          </w:p>
        </w:tc>
        <w:tc>
          <w:tcPr>
            <w:tcW w:w="16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9"/>
                <w:szCs w:val="19"/>
                <w:color w:val="auto"/>
              </w:rPr>
              <w:t>$5,422,133.79(3)</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7"/>
              </w:rPr>
              <w:t>$657.17</w:t>
            </w:r>
          </w:p>
        </w:tc>
      </w:tr>
      <w:tr>
        <w:trPr>
          <w:trHeight w:val="223"/>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9"/>
                <w:szCs w:val="19"/>
                <w:color w:val="auto"/>
              </w:rPr>
              <w:t>TOTAL:</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899,193</w:t>
            </w:r>
          </w:p>
        </w:tc>
        <w:tc>
          <w:tcPr>
            <w:tcW w:w="162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9"/>
                <w:szCs w:val="19"/>
                <w:color w:val="auto"/>
              </w:rPr>
              <w:t>$5,422,133.79</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7"/>
              </w:rPr>
              <w:t>$657.17</w:t>
            </w: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ind w:left="461" w:right="60" w:hanging="461"/>
        <w:spacing w:after="0" w:line="254"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Pursuant to Rule 416(a) of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this Registration Statement covers any additional shares of the Registrant’s Class A common stock (“</w:t>
      </w:r>
      <w:r>
        <w:rPr>
          <w:rFonts w:ascii="Arial" w:cs="Arial" w:eastAsia="Arial" w:hAnsi="Arial"/>
          <w:sz w:val="19"/>
          <w:szCs w:val="19"/>
          <w:b w:val="1"/>
          <w:bCs w:val="1"/>
          <w:color w:val="auto"/>
        </w:rPr>
        <w:t>Class A Common Stock</w:t>
      </w:r>
      <w:r>
        <w:rPr>
          <w:rFonts w:ascii="Arial" w:cs="Arial" w:eastAsia="Arial" w:hAnsi="Arial"/>
          <w:sz w:val="19"/>
          <w:szCs w:val="19"/>
          <w:color w:val="auto"/>
        </w:rPr>
        <w:t>”) that become issuable under the 2011 Plan, by reason of any stock dividend, stock split, recapitalization or other similar transaction effected without the Registrant’s receipt of consideration which results in an increase in the number of the outstanding shares of Class A Common Stock.</w:t>
      </w:r>
    </w:p>
    <w:p>
      <w:pPr>
        <w:ind w:left="461" w:right="80" w:hanging="461"/>
        <w:spacing w:after="0" w:line="250"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Pursuant to the Agreement and Plan of Merger entered into as of January 26, 2019 (the “Merger Agreement”), by and among the Registrant, JN Projects, Inc. (dba HelloSign), Hawaii Merger Sub, Inc., and certain other parties, the Registrant assumed certain outstanding options to purchase common stock under the 2011 Plan and such options were automatically converted into options to purchase shares of the Registrant’s Class A common stock, subject to appropriate adjustments to the number of shares issuable pursuant to such options and the exercise price of such options as provided in the Merger Agreement.</w:t>
      </w:r>
    </w:p>
    <w:p>
      <w:pPr>
        <w:spacing w:after="0" w:line="2" w:lineRule="exact"/>
        <w:rPr>
          <w:rFonts w:ascii="Arial" w:cs="Arial" w:eastAsia="Arial" w:hAnsi="Arial"/>
          <w:sz w:val="19"/>
          <w:szCs w:val="19"/>
          <w:color w:val="auto"/>
        </w:rPr>
      </w:pPr>
    </w:p>
    <w:p>
      <w:pPr>
        <w:ind w:left="461" w:right="60" w:hanging="461"/>
        <w:spacing w:after="0" w:line="255"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color w:val="auto"/>
        </w:rPr>
        <w:t>Estimated solely for purposes of calculating the registration fee in accordance with Rule 457(h)(1) under the Securities Act. The proposed maximum offering price per share and the proposed maximum aggregate offering price are based on the weighted average per share exercise price for the outstanding stock options under the 2011 Plan assumed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192405</wp:posOffset>
            </wp:positionV>
            <wp:extent cx="7389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1"/>
          </w:cols>
          <w:pgMar w:left="299" w:top="0" w:right="30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PART I</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INFORMATION REQUIRED IN THE PROSPECTUS</w:t>
      </w:r>
    </w:p>
    <w:p>
      <w:pPr>
        <w:spacing w:after="0" w:line="238" w:lineRule="exact"/>
        <w:rPr>
          <w:sz w:val="20"/>
          <w:szCs w:val="20"/>
          <w:color w:val="auto"/>
        </w:rPr>
      </w:pPr>
    </w:p>
    <w:p>
      <w:pPr>
        <w:ind w:right="80" w:firstLine="465"/>
        <w:spacing w:after="0" w:line="280"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in accordance with the provisions of Rule 428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introductory</w:t>
      </w:r>
      <w:r>
        <w:rPr>
          <w:rFonts w:ascii="Arial" w:cs="Arial" w:eastAsia="Arial" w:hAnsi="Arial"/>
          <w:sz w:val="18"/>
          <w:szCs w:val="18"/>
          <w:b w:val="1"/>
          <w:bCs w:val="1"/>
          <w:color w:val="auto"/>
        </w:rPr>
        <w:t xml:space="preserve"> </w:t>
      </w:r>
      <w:r>
        <w:rPr>
          <w:rFonts w:ascii="Arial" w:cs="Arial" w:eastAsia="Arial" w:hAnsi="Arial"/>
          <w:sz w:val="18"/>
          <w:szCs w:val="18"/>
          <w:color w:val="auto"/>
        </w:rPr>
        <w:t>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II</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INFORMATION REQUIRED IN REGISTRATION STATEMENT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Incorporation of Documents by Reference.</w:t>
      </w:r>
    </w:p>
    <w:p>
      <w:pPr>
        <w:spacing w:after="0" w:line="124" w:lineRule="exact"/>
        <w:rPr>
          <w:sz w:val="20"/>
          <w:szCs w:val="20"/>
          <w:color w:val="auto"/>
        </w:rPr>
      </w:pPr>
    </w:p>
    <w:p>
      <w:pPr>
        <w:jc w:val="both"/>
        <w:ind w:right="20" w:firstLine="465"/>
        <w:spacing w:after="0" w:line="282" w:lineRule="auto"/>
        <w:rPr>
          <w:sz w:val="20"/>
          <w:szCs w:val="20"/>
          <w:color w:val="auto"/>
        </w:rPr>
      </w:pPr>
      <w:r>
        <w:rPr>
          <w:rFonts w:ascii="Arial" w:cs="Arial" w:eastAsia="Arial" w:hAnsi="Arial"/>
          <w:sz w:val="19"/>
          <w:szCs w:val="19"/>
          <w:color w:val="auto"/>
        </w:rPr>
        <w:t>Dropbox, Inc. (the “</w:t>
      </w:r>
      <w:r>
        <w:rPr>
          <w:rFonts w:ascii="Arial" w:cs="Arial" w:eastAsia="Arial" w:hAnsi="Arial"/>
          <w:sz w:val="19"/>
          <w:szCs w:val="19"/>
          <w:b w:val="1"/>
          <w:bCs w:val="1"/>
          <w:color w:val="auto"/>
        </w:rPr>
        <w:t>Registrant</w:t>
      </w:r>
      <w:r>
        <w:rPr>
          <w:rFonts w:ascii="Arial" w:cs="Arial" w:eastAsia="Arial" w:hAnsi="Arial"/>
          <w:sz w:val="19"/>
          <w:szCs w:val="19"/>
          <w:color w:val="auto"/>
        </w:rPr>
        <w:t>”) hereby incorporates by reference into this Registration Statement the following documents previously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The Registrant’s Annual Report on Form 10-K for the fiscal year ended December 31, 2018, filed with the Commission on February 25, 2019;</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The description of the Registrant’s Class A Common Stock contained in the Company’s Registration Statement on Form 8-A (File</w:t>
      </w:r>
    </w:p>
    <w:p>
      <w:pPr>
        <w:spacing w:after="0" w:line="34" w:lineRule="exact"/>
        <w:rPr>
          <w:sz w:val="20"/>
          <w:szCs w:val="20"/>
          <w:color w:val="auto"/>
        </w:rPr>
      </w:pPr>
    </w:p>
    <w:p>
      <w:pPr>
        <w:ind w:right="420"/>
        <w:spacing w:after="0" w:line="261" w:lineRule="auto"/>
        <w:rPr>
          <w:sz w:val="20"/>
          <w:szCs w:val="20"/>
          <w:color w:val="auto"/>
        </w:rPr>
      </w:pPr>
      <w:r>
        <w:rPr>
          <w:rFonts w:ascii="Arial" w:cs="Arial" w:eastAsia="Arial" w:hAnsi="Arial"/>
          <w:sz w:val="19"/>
          <w:szCs w:val="19"/>
          <w:color w:val="auto"/>
        </w:rPr>
        <w:t>No. 001-38434) filed with the Commission on March 19, 2018, pursuant to Section 12(b)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including any amendment or report filed for the purpose of updating such description.</w:t>
      </w:r>
    </w:p>
    <w:p>
      <w:pPr>
        <w:spacing w:after="0" w:line="196" w:lineRule="exact"/>
        <w:rPr>
          <w:sz w:val="20"/>
          <w:szCs w:val="20"/>
          <w:color w:val="auto"/>
        </w:rPr>
      </w:pPr>
    </w:p>
    <w:p>
      <w:pPr>
        <w:jc w:val="both"/>
        <w:ind w:firstLine="465"/>
        <w:spacing w:after="0" w:line="294"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w:t>
      </w:r>
    </w:p>
    <w:p>
      <w:pPr>
        <w:spacing w:after="0" w:line="172" w:lineRule="exact"/>
        <w:rPr>
          <w:sz w:val="20"/>
          <w:szCs w:val="20"/>
          <w:color w:val="auto"/>
        </w:rPr>
      </w:pPr>
    </w:p>
    <w:p>
      <w:pPr>
        <w:ind w:right="80" w:firstLine="465"/>
        <w:spacing w:after="0" w:line="277"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Description of Securities.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Interests of Named Experts and Counsel.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Indemnification of Directors and Officers.</w:t>
      </w:r>
    </w:p>
    <w:p>
      <w:pPr>
        <w:spacing w:after="0" w:line="130" w:lineRule="exact"/>
        <w:rPr>
          <w:sz w:val="20"/>
          <w:szCs w:val="20"/>
          <w:color w:val="auto"/>
        </w:rPr>
      </w:pPr>
    </w:p>
    <w:p>
      <w:pPr>
        <w:ind w:right="380" w:firstLine="465"/>
        <w:spacing w:after="0" w:line="275" w:lineRule="auto"/>
        <w:rPr>
          <w:sz w:val="20"/>
          <w:szCs w:val="20"/>
          <w:color w:val="auto"/>
        </w:rPr>
      </w:pPr>
      <w:r>
        <w:rPr>
          <w:rFonts w:ascii="Arial" w:cs="Arial" w:eastAsia="Arial" w:hAnsi="Arial"/>
          <w:sz w:val="19"/>
          <w:szCs w:val="19"/>
          <w:color w:val="auto"/>
        </w:rPr>
        <w:t>Section 145 of the Delaware General Corporation Law authorizes a corporation’s board of directors to grant, and authorizes a court to award, indemnity to officers, directors, and other corporate agents.</w:t>
      </w:r>
    </w:p>
    <w:p>
      <w:pPr>
        <w:sectPr>
          <w:pgSz w:w="12240" w:h="15840" w:orient="portrait"/>
          <w:cols w:equalWidth="0" w:num="1">
            <w:col w:w="11580"/>
          </w:cols>
          <w:pgMar w:left="300" w:top="136" w:right="360" w:bottom="1440" w:gutter="0" w:footer="0" w:header="0"/>
        </w:sectPr>
      </w:pPr>
    </w:p>
    <w:bookmarkStart w:id="3" w:name="page4"/>
    <w:bookmarkEnd w:id="3"/>
    <w:p>
      <w:pPr>
        <w:jc w:val="both"/>
        <w:ind w:right="20" w:firstLine="465"/>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95" w:lineRule="exact"/>
        <w:rPr>
          <w:sz w:val="20"/>
          <w:szCs w:val="20"/>
          <w:color w:val="auto"/>
        </w:rPr>
      </w:pPr>
    </w:p>
    <w:p>
      <w:pPr>
        <w:ind w:left="920" w:hanging="350"/>
        <w:spacing w:after="0"/>
        <w:tabs>
          <w:tab w:leader="none" w:pos="920" w:val="left"/>
        </w:tabs>
        <w:numPr>
          <w:ilvl w:val="0"/>
          <w:numId w:val="2"/>
        </w:numPr>
        <w:rPr>
          <w:rFonts w:ascii="Arial" w:cs="Arial" w:eastAsia="Arial" w:hAnsi="Arial"/>
          <w:sz w:val="19"/>
          <w:szCs w:val="19"/>
          <w:color w:val="auto"/>
        </w:rPr>
      </w:pPr>
      <w:r>
        <w:rPr>
          <w:rFonts w:ascii="Arial" w:cs="Arial" w:eastAsia="Arial" w:hAnsi="Arial"/>
          <w:sz w:val="19"/>
          <w:szCs w:val="19"/>
          <w:color w:val="auto"/>
        </w:rPr>
        <w:t>any breach of their duty of loyalty to the Registrant or its stockholders;</w:t>
      </w:r>
    </w:p>
    <w:p>
      <w:pPr>
        <w:spacing w:after="0" w:line="138" w:lineRule="exact"/>
        <w:rPr>
          <w:rFonts w:ascii="Arial" w:cs="Arial" w:eastAsia="Arial" w:hAnsi="Arial"/>
          <w:sz w:val="19"/>
          <w:szCs w:val="19"/>
          <w:color w:val="auto"/>
        </w:rPr>
      </w:pPr>
    </w:p>
    <w:p>
      <w:pPr>
        <w:ind w:left="920" w:hanging="350"/>
        <w:spacing w:after="0"/>
        <w:tabs>
          <w:tab w:leader="none" w:pos="920" w:val="left"/>
        </w:tabs>
        <w:numPr>
          <w:ilvl w:val="0"/>
          <w:numId w:val="2"/>
        </w:numPr>
        <w:rPr>
          <w:rFonts w:ascii="Arial" w:cs="Arial" w:eastAsia="Arial" w:hAnsi="Arial"/>
          <w:sz w:val="19"/>
          <w:szCs w:val="19"/>
          <w:color w:val="auto"/>
        </w:rPr>
      </w:pPr>
      <w:r>
        <w:rPr>
          <w:rFonts w:ascii="Arial" w:cs="Arial" w:eastAsia="Arial" w:hAnsi="Arial"/>
          <w:sz w:val="19"/>
          <w:szCs w:val="19"/>
          <w:color w:val="auto"/>
        </w:rPr>
        <w:t>any act or omission not in good faith or that involves intentional misconduct or a knowing violation of law;</w:t>
      </w:r>
    </w:p>
    <w:p>
      <w:pPr>
        <w:spacing w:after="0" w:line="138" w:lineRule="exact"/>
        <w:rPr>
          <w:rFonts w:ascii="Arial" w:cs="Arial" w:eastAsia="Arial" w:hAnsi="Arial"/>
          <w:sz w:val="19"/>
          <w:szCs w:val="19"/>
          <w:color w:val="auto"/>
        </w:rPr>
      </w:pPr>
    </w:p>
    <w:p>
      <w:pPr>
        <w:ind w:left="920" w:right="760" w:hanging="350"/>
        <w:spacing w:after="0" w:line="275" w:lineRule="auto"/>
        <w:tabs>
          <w:tab w:leader="none" w:pos="920" w:val="left"/>
        </w:tabs>
        <w:numPr>
          <w:ilvl w:val="0"/>
          <w:numId w:val="2"/>
        </w:numPr>
        <w:rPr>
          <w:rFonts w:ascii="Arial" w:cs="Arial" w:eastAsia="Arial" w:hAnsi="Arial"/>
          <w:sz w:val="19"/>
          <w:szCs w:val="19"/>
          <w:color w:val="auto"/>
        </w:rPr>
      </w:pPr>
      <w:r>
        <w:rPr>
          <w:rFonts w:ascii="Arial" w:cs="Arial" w:eastAsia="Arial" w:hAnsi="Arial"/>
          <w:sz w:val="19"/>
          <w:szCs w:val="19"/>
          <w:color w:val="auto"/>
        </w:rPr>
        <w:t>unlawful payments of dividends or unlawful stock repurchases or redemptions as provided in Section 174 of the Delaware General Corporation Law; or</w:t>
      </w:r>
    </w:p>
    <w:p>
      <w:pPr>
        <w:spacing w:after="0" w:line="84" w:lineRule="exact"/>
        <w:rPr>
          <w:rFonts w:ascii="Arial" w:cs="Arial" w:eastAsia="Arial" w:hAnsi="Arial"/>
          <w:sz w:val="19"/>
          <w:szCs w:val="19"/>
          <w:color w:val="auto"/>
        </w:rPr>
      </w:pPr>
    </w:p>
    <w:p>
      <w:pPr>
        <w:ind w:left="920" w:hanging="350"/>
        <w:spacing w:after="0"/>
        <w:tabs>
          <w:tab w:leader="none" w:pos="920" w:val="left"/>
        </w:tabs>
        <w:numPr>
          <w:ilvl w:val="0"/>
          <w:numId w:val="2"/>
        </w:numPr>
        <w:rPr>
          <w:rFonts w:ascii="Arial" w:cs="Arial" w:eastAsia="Arial" w:hAnsi="Arial"/>
          <w:sz w:val="19"/>
          <w:szCs w:val="19"/>
          <w:color w:val="auto"/>
        </w:rPr>
      </w:pPr>
      <w:r>
        <w:rPr>
          <w:rFonts w:ascii="Arial" w:cs="Arial" w:eastAsia="Arial" w:hAnsi="Arial"/>
          <w:sz w:val="19"/>
          <w:szCs w:val="19"/>
          <w:color w:val="auto"/>
        </w:rPr>
        <w:t>any transaction from which they derived an improper personal benefit.</w:t>
      </w:r>
    </w:p>
    <w:p>
      <w:pPr>
        <w:spacing w:after="0" w:line="238" w:lineRule="exact"/>
        <w:rPr>
          <w:sz w:val="20"/>
          <w:szCs w:val="20"/>
          <w:color w:val="auto"/>
        </w:rPr>
      </w:pPr>
    </w:p>
    <w:p>
      <w:pPr>
        <w:ind w:right="160" w:firstLine="465"/>
        <w:spacing w:after="0" w:line="259" w:lineRule="auto"/>
        <w:rPr>
          <w:sz w:val="20"/>
          <w:szCs w:val="20"/>
          <w:color w:val="auto"/>
        </w:rPr>
      </w:pPr>
      <w:r>
        <w:rPr>
          <w:rFonts w:ascii="Arial" w:cs="Arial" w:eastAsia="Arial" w:hAnsi="Arial"/>
          <w:sz w:val="19"/>
          <w:szCs w:val="19"/>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98" w:lineRule="exact"/>
        <w:rPr>
          <w:sz w:val="20"/>
          <w:szCs w:val="20"/>
          <w:color w:val="auto"/>
        </w:rPr>
      </w:pPr>
    </w:p>
    <w:p>
      <w:pPr>
        <w:ind w:firstLine="465"/>
        <w:spacing w:after="0" w:line="288" w:lineRule="auto"/>
        <w:rPr>
          <w:sz w:val="20"/>
          <w:szCs w:val="20"/>
          <w:color w:val="auto"/>
        </w:rPr>
      </w:pPr>
      <w:r>
        <w:rPr>
          <w:rFonts w:ascii="Arial" w:cs="Arial" w:eastAsia="Arial" w:hAnsi="Arial"/>
          <w:sz w:val="17"/>
          <w:szCs w:val="17"/>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177" w:lineRule="exact"/>
        <w:rPr>
          <w:sz w:val="20"/>
          <w:szCs w:val="20"/>
          <w:color w:val="auto"/>
        </w:rPr>
      </w:pPr>
    </w:p>
    <w:p>
      <w:pPr>
        <w:ind w:right="140" w:firstLine="465"/>
        <w:spacing w:after="0" w:line="255" w:lineRule="auto"/>
        <w:rPr>
          <w:sz w:val="20"/>
          <w:szCs w:val="20"/>
          <w:color w:val="auto"/>
        </w:rPr>
      </w:pPr>
      <w:r>
        <w:rPr>
          <w:rFonts w:ascii="Arial" w:cs="Arial" w:eastAsia="Arial" w:hAnsi="Arial"/>
          <w:sz w:val="19"/>
          <w:szCs w:val="19"/>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204" w:lineRule="exact"/>
        <w:rPr>
          <w:sz w:val="20"/>
          <w:szCs w:val="20"/>
          <w:color w:val="auto"/>
        </w:rPr>
      </w:pPr>
    </w:p>
    <w:p>
      <w:pPr>
        <w:ind w:right="20" w:firstLine="465"/>
        <w:spacing w:after="0" w:line="287" w:lineRule="auto"/>
        <w:rPr>
          <w:sz w:val="20"/>
          <w:szCs w:val="20"/>
          <w:color w:val="auto"/>
        </w:rPr>
      </w:pPr>
      <w:r>
        <w:rPr>
          <w:rFonts w:ascii="Arial" w:cs="Arial" w:eastAsia="Arial" w:hAnsi="Arial"/>
          <w:sz w:val="17"/>
          <w:szCs w:val="17"/>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ectPr>
          <w:pgSz w:w="12240" w:h="15840" w:orient="portrait"/>
          <w:cols w:equalWidth="0" w:num="1">
            <w:col w:w="11620"/>
          </w:cols>
          <w:pgMar w:left="300" w:top="142" w:right="320" w:bottom="1440" w:gutter="0" w:footer="0" w:header="0"/>
        </w:sectPr>
      </w:pPr>
    </w:p>
    <w:bookmarkStart w:id="4" w:name="page5"/>
    <w:bookmarkEnd w:id="4"/>
    <w:p>
      <w:pPr>
        <w:ind w:right="440" w:firstLine="465"/>
        <w:spacing w:after="0" w:line="29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70" w:lineRule="exact"/>
        <w:rPr>
          <w:sz w:val="20"/>
          <w:szCs w:val="20"/>
          <w:color w:val="auto"/>
        </w:rPr>
      </w:pPr>
    </w:p>
    <w:p>
      <w:pPr>
        <w:ind w:right="280" w:firstLine="465"/>
        <w:spacing w:after="0" w:line="275" w:lineRule="auto"/>
        <w:rPr>
          <w:sz w:val="20"/>
          <w:szCs w:val="20"/>
          <w:color w:val="auto"/>
        </w:rPr>
      </w:pPr>
      <w:r>
        <w:rPr>
          <w:rFonts w:ascii="Arial" w:cs="Arial" w:eastAsia="Arial" w:hAnsi="Arial"/>
          <w:sz w:val="19"/>
          <w:szCs w:val="19"/>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Exemption from Registration Claimed.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Not applicable.</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5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88"/>
        </w:trPr>
        <w:tc>
          <w:tcPr>
            <w:tcW w:w="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Number</w:t>
            </w:r>
          </w:p>
        </w:tc>
        <w:tc>
          <w:tcPr>
            <w:tcW w:w="560" w:type="dxa"/>
            <w:vAlign w:val="bottom"/>
          </w:tcPr>
          <w:p>
            <w:pPr>
              <w:spacing w:after="0"/>
              <w:rPr>
                <w:sz w:val="16"/>
                <w:szCs w:val="16"/>
                <w:color w:val="auto"/>
              </w:rPr>
            </w:pPr>
          </w:p>
        </w:tc>
        <w:tc>
          <w:tcPr>
            <w:tcW w:w="3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940" w:type="dxa"/>
            <w:vAlign w:val="bottom"/>
            <w:tcBorders>
              <w:bottom w:val="single" w:sz="8" w:color="auto"/>
            </w:tcBorders>
            <w:gridSpan w:val="3"/>
          </w:tcPr>
          <w:p>
            <w:pPr>
              <w:ind w:left="300"/>
              <w:spacing w:after="0"/>
              <w:rPr>
                <w:sz w:val="20"/>
                <w:szCs w:val="20"/>
                <w:color w:val="auto"/>
              </w:rPr>
            </w:pPr>
            <w:r>
              <w:rPr>
                <w:rFonts w:ascii="Arial" w:cs="Arial" w:eastAsia="Arial" w:hAnsi="Arial"/>
                <w:sz w:val="15"/>
                <w:szCs w:val="15"/>
                <w:b w:val="1"/>
                <w:bCs w:val="1"/>
                <w:color w:val="auto"/>
              </w:rPr>
              <w:t>Description</w:t>
            </w:r>
          </w:p>
        </w:tc>
      </w:tr>
      <w:tr>
        <w:trPr>
          <w:trHeight w:val="285"/>
        </w:trPr>
        <w:tc>
          <w:tcPr>
            <w:tcW w:w="540" w:type="dxa"/>
            <w:vAlign w:val="bottom"/>
          </w:tcPr>
          <w:p>
            <w:pPr>
              <w:jc w:val="right"/>
              <w:ind w:right="10"/>
              <w:spacing w:after="0"/>
              <w:rPr>
                <w:sz w:val="20"/>
                <w:szCs w:val="20"/>
                <w:color w:val="auto"/>
              </w:rPr>
            </w:pPr>
            <w:r>
              <w:rPr>
                <w:rFonts w:ascii="Arial" w:cs="Arial" w:eastAsia="Arial" w:hAnsi="Arial"/>
                <w:sz w:val="19"/>
                <w:szCs w:val="19"/>
                <w:color w:val="auto"/>
              </w:rPr>
              <w:t>4.1</w:t>
            </w:r>
          </w:p>
        </w:tc>
        <w:tc>
          <w:tcPr>
            <w:tcW w:w="560" w:type="dxa"/>
            <w:vAlign w:val="bottom"/>
          </w:tcPr>
          <w:p>
            <w:pPr>
              <w:spacing w:after="0"/>
              <w:rPr>
                <w:sz w:val="24"/>
                <w:szCs w:val="24"/>
                <w:color w:val="auto"/>
              </w:rPr>
            </w:pPr>
          </w:p>
        </w:tc>
        <w:tc>
          <w:tcPr>
            <w:tcW w:w="5640" w:type="dxa"/>
            <w:vAlign w:val="bottom"/>
            <w:tcBorders>
              <w:bottom w:val="single" w:sz="8" w:color="0000EE"/>
            </w:tcBorders>
            <w:gridSpan w:val="4"/>
          </w:tcPr>
          <w:p>
            <w:pPr>
              <w:spacing w:after="0"/>
              <w:rPr>
                <w:sz w:val="20"/>
                <w:szCs w:val="20"/>
                <w:color w:val="auto"/>
              </w:rPr>
            </w:pPr>
            <w:r>
              <w:rPr>
                <w:rFonts w:ascii="Arial" w:cs="Arial" w:eastAsia="Arial" w:hAnsi="Arial"/>
                <w:sz w:val="19"/>
                <w:szCs w:val="19"/>
                <w:color w:val="0000EE"/>
                <w:w w:val="90"/>
              </w:rPr>
              <w:t>JN Projects, Inc. 2011 Equity Incentive Plan and related form agreements.</w:t>
            </w:r>
          </w:p>
        </w:tc>
        <w:tc>
          <w:tcPr>
            <w:tcW w:w="4900" w:type="dxa"/>
            <w:vAlign w:val="bottom"/>
            <w:gridSpan w:val="2"/>
          </w:tcPr>
          <w:p>
            <w:pPr>
              <w:spacing w:after="0"/>
              <w:rPr>
                <w:sz w:val="24"/>
                <w:szCs w:val="24"/>
                <w:color w:val="auto"/>
              </w:rPr>
            </w:pPr>
          </w:p>
        </w:tc>
      </w:tr>
      <w:tr>
        <w:trPr>
          <w:trHeight w:val="322"/>
        </w:trPr>
        <w:tc>
          <w:tcPr>
            <w:tcW w:w="540" w:type="dxa"/>
            <w:vAlign w:val="bottom"/>
          </w:tcPr>
          <w:p>
            <w:pPr>
              <w:jc w:val="right"/>
              <w:ind w:right="10"/>
              <w:spacing w:after="0"/>
              <w:rPr>
                <w:sz w:val="20"/>
                <w:szCs w:val="20"/>
                <w:color w:val="auto"/>
              </w:rPr>
            </w:pPr>
            <w:r>
              <w:rPr>
                <w:rFonts w:ascii="Arial" w:cs="Arial" w:eastAsia="Arial" w:hAnsi="Arial"/>
                <w:sz w:val="19"/>
                <w:szCs w:val="19"/>
                <w:color w:val="auto"/>
              </w:rPr>
              <w:t>5.1</w:t>
            </w:r>
          </w:p>
        </w:tc>
        <w:tc>
          <w:tcPr>
            <w:tcW w:w="560" w:type="dxa"/>
            <w:vAlign w:val="bottom"/>
          </w:tcPr>
          <w:p>
            <w:pPr>
              <w:spacing w:after="0"/>
              <w:rPr>
                <w:sz w:val="24"/>
                <w:szCs w:val="24"/>
                <w:color w:val="auto"/>
              </w:rPr>
            </w:pPr>
          </w:p>
        </w:tc>
        <w:tc>
          <w:tcPr>
            <w:tcW w:w="10540" w:type="dxa"/>
            <w:vAlign w:val="bottom"/>
            <w:gridSpan w:val="6"/>
          </w:tcPr>
          <w:p>
            <w:pPr>
              <w:spacing w:after="0"/>
              <w:rPr>
                <w:sz w:val="20"/>
                <w:szCs w:val="20"/>
                <w:color w:val="auto"/>
              </w:rPr>
            </w:pPr>
            <w:r>
              <w:rPr>
                <w:rFonts w:ascii="Arial" w:cs="Arial" w:eastAsia="Arial" w:hAnsi="Arial"/>
                <w:sz w:val="19"/>
                <w:szCs w:val="19"/>
                <w:color w:val="0000EE"/>
              </w:rPr>
              <w:t>Opinion of Wilson Sonsini Goodrich &amp; Rosati, P.C.</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22"/>
        </w:trPr>
        <w:tc>
          <w:tcPr>
            <w:tcW w:w="540" w:type="dxa"/>
            <w:vAlign w:val="bottom"/>
          </w:tcPr>
          <w:p>
            <w:pPr>
              <w:jc w:val="right"/>
              <w:ind w:right="10"/>
              <w:spacing w:after="0"/>
              <w:rPr>
                <w:sz w:val="20"/>
                <w:szCs w:val="20"/>
                <w:color w:val="auto"/>
              </w:rPr>
            </w:pPr>
            <w:r>
              <w:rPr>
                <w:rFonts w:ascii="Arial" w:cs="Arial" w:eastAsia="Arial" w:hAnsi="Arial"/>
                <w:sz w:val="19"/>
                <w:szCs w:val="19"/>
                <w:color w:val="auto"/>
              </w:rPr>
              <w:t>23.1</w:t>
            </w:r>
          </w:p>
        </w:tc>
        <w:tc>
          <w:tcPr>
            <w:tcW w:w="560" w:type="dxa"/>
            <w:vAlign w:val="bottom"/>
          </w:tcPr>
          <w:p>
            <w:pPr>
              <w:spacing w:after="0"/>
              <w:rPr>
                <w:sz w:val="24"/>
                <w:szCs w:val="24"/>
                <w:color w:val="auto"/>
              </w:rPr>
            </w:pPr>
          </w:p>
        </w:tc>
        <w:tc>
          <w:tcPr>
            <w:tcW w:w="10540" w:type="dxa"/>
            <w:vAlign w:val="bottom"/>
            <w:gridSpan w:val="6"/>
          </w:tcPr>
          <w:p>
            <w:pPr>
              <w:spacing w:after="0"/>
              <w:rPr>
                <w:sz w:val="20"/>
                <w:szCs w:val="20"/>
                <w:color w:val="auto"/>
              </w:rPr>
            </w:pPr>
            <w:r>
              <w:rPr>
                <w:rFonts w:ascii="Arial" w:cs="Arial" w:eastAsia="Arial" w:hAnsi="Arial"/>
                <w:sz w:val="19"/>
                <w:szCs w:val="19"/>
                <w:color w:val="0000EE"/>
              </w:rPr>
              <w:t>Consent of Independent Registered Public Accounting Firm.</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22"/>
        </w:trPr>
        <w:tc>
          <w:tcPr>
            <w:tcW w:w="540" w:type="dxa"/>
            <w:vAlign w:val="bottom"/>
          </w:tcPr>
          <w:p>
            <w:pPr>
              <w:jc w:val="right"/>
              <w:ind w:right="10"/>
              <w:spacing w:after="0"/>
              <w:rPr>
                <w:sz w:val="20"/>
                <w:szCs w:val="20"/>
                <w:color w:val="auto"/>
              </w:rPr>
            </w:pPr>
            <w:r>
              <w:rPr>
                <w:rFonts w:ascii="Arial" w:cs="Arial" w:eastAsia="Arial" w:hAnsi="Arial"/>
                <w:sz w:val="19"/>
                <w:szCs w:val="19"/>
                <w:color w:val="auto"/>
              </w:rPr>
              <w:t>23.2</w:t>
            </w:r>
          </w:p>
        </w:tc>
        <w:tc>
          <w:tcPr>
            <w:tcW w:w="560" w:type="dxa"/>
            <w:vAlign w:val="bottom"/>
          </w:tcPr>
          <w:p>
            <w:pPr>
              <w:spacing w:after="0"/>
              <w:rPr>
                <w:sz w:val="24"/>
                <w:szCs w:val="24"/>
                <w:color w:val="auto"/>
              </w:rPr>
            </w:pPr>
          </w:p>
        </w:tc>
        <w:tc>
          <w:tcPr>
            <w:tcW w:w="7500" w:type="dxa"/>
            <w:vAlign w:val="bottom"/>
            <w:tcBorders>
              <w:bottom w:val="single" w:sz="8" w:color="0000EE"/>
            </w:tcBorders>
            <w:gridSpan w:val="5"/>
          </w:tcPr>
          <w:p>
            <w:pPr>
              <w:spacing w:after="0"/>
              <w:rPr>
                <w:sz w:val="20"/>
                <w:szCs w:val="20"/>
                <w:color w:val="auto"/>
              </w:rPr>
            </w:pPr>
            <w:r>
              <w:rPr>
                <w:rFonts w:ascii="Arial" w:cs="Arial" w:eastAsia="Arial" w:hAnsi="Arial"/>
                <w:sz w:val="19"/>
                <w:szCs w:val="19"/>
                <w:color w:val="0000EE"/>
                <w:w w:val="92"/>
              </w:rPr>
              <w:t>Consent of Wilson Sonsini Goodrich &amp; Rosati, Professional Corporation (included in Exhibit 5.1).</w:t>
            </w:r>
          </w:p>
        </w:tc>
        <w:tc>
          <w:tcPr>
            <w:tcW w:w="3040" w:type="dxa"/>
            <w:vAlign w:val="bottom"/>
          </w:tcPr>
          <w:p>
            <w:pPr>
              <w:spacing w:after="0"/>
              <w:rPr>
                <w:sz w:val="24"/>
                <w:szCs w:val="24"/>
                <w:color w:val="auto"/>
              </w:rPr>
            </w:pPr>
          </w:p>
        </w:tc>
      </w:tr>
      <w:tr>
        <w:trPr>
          <w:trHeight w:val="322"/>
        </w:trPr>
        <w:tc>
          <w:tcPr>
            <w:tcW w:w="540" w:type="dxa"/>
            <w:vAlign w:val="bottom"/>
          </w:tcPr>
          <w:p>
            <w:pPr>
              <w:jc w:val="right"/>
              <w:ind w:right="10"/>
              <w:spacing w:after="0"/>
              <w:rPr>
                <w:sz w:val="20"/>
                <w:szCs w:val="20"/>
                <w:color w:val="auto"/>
              </w:rPr>
            </w:pPr>
            <w:r>
              <w:rPr>
                <w:rFonts w:ascii="Arial" w:cs="Arial" w:eastAsia="Arial" w:hAnsi="Arial"/>
                <w:sz w:val="19"/>
                <w:szCs w:val="19"/>
                <w:color w:val="auto"/>
              </w:rPr>
              <w:t>24.1</w:t>
            </w:r>
          </w:p>
        </w:tc>
        <w:tc>
          <w:tcPr>
            <w:tcW w:w="560" w:type="dxa"/>
            <w:vAlign w:val="bottom"/>
          </w:tcPr>
          <w:p>
            <w:pPr>
              <w:spacing w:after="0"/>
              <w:rPr>
                <w:sz w:val="24"/>
                <w:szCs w:val="24"/>
                <w:color w:val="auto"/>
              </w:rPr>
            </w:pPr>
          </w:p>
        </w:tc>
        <w:tc>
          <w:tcPr>
            <w:tcW w:w="10540" w:type="dxa"/>
            <w:vAlign w:val="bottom"/>
            <w:gridSpan w:val="6"/>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Power of Attorney (contained on signature page hereto).</w:t>
              </w:r>
            </w:hyperlink>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ectPr>
          <w:pgSz w:w="12240" w:h="15840" w:orient="portrait"/>
          <w:cols w:equalWidth="0" w:num="1">
            <w:col w:w="11640"/>
          </w:cols>
          <w:pgMar w:left="300" w:top="142" w:right="300" w:bottom="1440" w:gutter="0" w:footer="0" w:header="0"/>
        </w:sectPr>
      </w:pPr>
    </w:p>
    <w:bookmarkStart w:id="5" w:name="page6"/>
    <w:bookmarkEnd w:id="5"/>
    <w:p>
      <w:pPr>
        <w:ind w:left="1"/>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9. Undertakings.</w:t>
      </w:r>
    </w:p>
    <w:p>
      <w:pPr>
        <w:spacing w:after="0" w:line="144" w:lineRule="exact"/>
        <w:rPr>
          <w:sz w:val="20"/>
          <w:szCs w:val="20"/>
          <w:color w:val="auto"/>
        </w:rPr>
      </w:pPr>
    </w:p>
    <w:p>
      <w:pPr>
        <w:ind w:left="461" w:hanging="461"/>
        <w:spacing w:after="0"/>
        <w:tabs>
          <w:tab w:leader="none" w:pos="461"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undersigned Registrant hereby undertakes:</w:t>
      </w:r>
    </w:p>
    <w:p>
      <w:pPr>
        <w:spacing w:after="0" w:line="138" w:lineRule="exact"/>
        <w:rPr>
          <w:rFonts w:ascii="Arial" w:cs="Arial" w:eastAsia="Arial" w:hAnsi="Arial"/>
          <w:sz w:val="19"/>
          <w:szCs w:val="19"/>
          <w:color w:val="auto"/>
        </w:rPr>
      </w:pPr>
    </w:p>
    <w:p>
      <w:pPr>
        <w:ind w:left="921" w:hanging="464"/>
        <w:spacing w:after="0"/>
        <w:tabs>
          <w:tab w:leader="none" w:pos="921" w:val="left"/>
        </w:tabs>
        <w:numPr>
          <w:ilvl w:val="1"/>
          <w:numId w:val="3"/>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 Statement:</w:t>
      </w:r>
    </w:p>
    <w:p>
      <w:pPr>
        <w:spacing w:after="0" w:line="138" w:lineRule="exact"/>
        <w:rPr>
          <w:rFonts w:ascii="Arial" w:cs="Arial" w:eastAsia="Arial" w:hAnsi="Arial"/>
          <w:sz w:val="19"/>
          <w:szCs w:val="19"/>
          <w:color w:val="auto"/>
        </w:rPr>
      </w:pPr>
    </w:p>
    <w:p>
      <w:pPr>
        <w:ind w:left="1501" w:hanging="574"/>
        <w:spacing w:after="0"/>
        <w:tabs>
          <w:tab w:leader="none" w:pos="1501" w:val="left"/>
        </w:tabs>
        <w:numPr>
          <w:ilvl w:val="2"/>
          <w:numId w:val="3"/>
        </w:numPr>
        <w:rPr>
          <w:rFonts w:ascii="Arial" w:cs="Arial" w:eastAsia="Arial" w:hAnsi="Arial"/>
          <w:sz w:val="19"/>
          <w:szCs w:val="19"/>
          <w:color w:val="auto"/>
        </w:rPr>
      </w:pPr>
      <w:r>
        <w:rPr>
          <w:rFonts w:ascii="Arial" w:cs="Arial" w:eastAsia="Arial" w:hAnsi="Arial"/>
          <w:sz w:val="19"/>
          <w:szCs w:val="19"/>
          <w:color w:val="auto"/>
        </w:rPr>
        <w:t>To include any prospectus required by Section 10(a)(3) of the Securities Act;</w:t>
      </w:r>
    </w:p>
    <w:p>
      <w:pPr>
        <w:spacing w:after="0" w:line="138" w:lineRule="exact"/>
        <w:rPr>
          <w:rFonts w:ascii="Arial" w:cs="Arial" w:eastAsia="Arial" w:hAnsi="Arial"/>
          <w:sz w:val="19"/>
          <w:szCs w:val="19"/>
          <w:color w:val="auto"/>
        </w:rPr>
      </w:pPr>
    </w:p>
    <w:p>
      <w:pPr>
        <w:ind w:left="1501" w:right="60" w:hanging="574"/>
        <w:spacing w:after="0" w:line="289" w:lineRule="auto"/>
        <w:tabs>
          <w:tab w:leader="none" w:pos="1501"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7" w:lineRule="exact"/>
        <w:rPr>
          <w:rFonts w:ascii="Arial" w:cs="Arial" w:eastAsia="Arial" w:hAnsi="Arial"/>
          <w:sz w:val="17"/>
          <w:szCs w:val="17"/>
          <w:color w:val="auto"/>
        </w:rPr>
      </w:pPr>
    </w:p>
    <w:p>
      <w:pPr>
        <w:ind w:left="1501" w:right="80" w:hanging="574"/>
        <w:spacing w:after="0" w:line="275" w:lineRule="auto"/>
        <w:tabs>
          <w:tab w:leader="none" w:pos="1501" w:val="left"/>
        </w:tabs>
        <w:numPr>
          <w:ilvl w:val="2"/>
          <w:numId w:val="3"/>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the Registration Statement or any material change to such information in the Registration Statement.</w:t>
      </w:r>
    </w:p>
    <w:p>
      <w:pPr>
        <w:spacing w:after="0" w:line="184" w:lineRule="exact"/>
        <w:rPr>
          <w:sz w:val="20"/>
          <w:szCs w:val="20"/>
          <w:color w:val="auto"/>
        </w:rPr>
      </w:pPr>
    </w:p>
    <w:p>
      <w:pPr>
        <w:ind w:left="1" w:right="380"/>
        <w:spacing w:after="0" w:line="263"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(A)(1)(i) and (A)(1)(ii) do not apply if the information required to be included in a post-effective amendment by</w:t>
      </w:r>
      <w:r>
        <w:rPr>
          <w:rFonts w:ascii="Arial" w:cs="Arial" w:eastAsia="Arial" w:hAnsi="Arial"/>
          <w:sz w:val="19"/>
          <w:szCs w:val="19"/>
          <w:i w:val="1"/>
          <w:iCs w:val="1"/>
          <w:color w:val="auto"/>
        </w:rPr>
        <w:t xml:space="preserve"> </w:t>
      </w:r>
      <w:r>
        <w:rPr>
          <w:rFonts w:ascii="Arial" w:cs="Arial" w:eastAsia="Arial" w:hAnsi="Arial"/>
          <w:sz w:val="19"/>
          <w:szCs w:val="19"/>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95" w:lineRule="exact"/>
        <w:rPr>
          <w:sz w:val="20"/>
          <w:szCs w:val="20"/>
          <w:color w:val="auto"/>
        </w:rPr>
      </w:pPr>
    </w:p>
    <w:p>
      <w:pPr>
        <w:ind w:left="921" w:hanging="464"/>
        <w:spacing w:after="0" w:line="263" w:lineRule="auto"/>
        <w:tabs>
          <w:tab w:leader="none" w:pos="921" w:val="left"/>
        </w:tabs>
        <w:numPr>
          <w:ilvl w:val="1"/>
          <w:numId w:val="4"/>
        </w:numPr>
        <w:rPr>
          <w:rFonts w:ascii="Arial" w:cs="Arial" w:eastAsia="Arial" w:hAnsi="Arial"/>
          <w:sz w:val="19"/>
          <w:szCs w:val="19"/>
          <w:color w:val="auto"/>
        </w:rPr>
      </w:pPr>
      <w:r>
        <w:rPr>
          <w:rFonts w:ascii="Arial" w:cs="Arial" w:eastAsia="Arial" w:hAnsi="Arial"/>
          <w:sz w:val="19"/>
          <w:szCs w:val="19"/>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Arial" w:cs="Arial" w:eastAsia="Arial" w:hAnsi="Arial"/>
          <w:sz w:val="19"/>
          <w:szCs w:val="19"/>
          <w:color w:val="auto"/>
        </w:rPr>
      </w:pPr>
    </w:p>
    <w:p>
      <w:pPr>
        <w:ind w:left="921" w:right="240" w:hanging="464"/>
        <w:spacing w:after="0" w:line="275" w:lineRule="auto"/>
        <w:tabs>
          <w:tab w:leader="none" w:pos="921" w:val="left"/>
        </w:tabs>
        <w:numPr>
          <w:ilvl w:val="1"/>
          <w:numId w:val="4"/>
        </w:numPr>
        <w:rPr>
          <w:rFonts w:ascii="Arial" w:cs="Arial" w:eastAsia="Arial" w:hAnsi="Arial"/>
          <w:sz w:val="19"/>
          <w:szCs w:val="19"/>
          <w:color w:val="auto"/>
        </w:rPr>
      </w:pPr>
      <w:r>
        <w:rPr>
          <w:rFonts w:ascii="Arial" w:cs="Arial" w:eastAsia="Arial" w:hAnsi="Arial"/>
          <w:sz w:val="19"/>
          <w:szCs w:val="19"/>
          <w:color w:val="auto"/>
        </w:rPr>
        <w:t>It will remove from registration by means of a post-effective amendment any of the securities being registered which remain unsold at the termination of the offering.</w:t>
      </w:r>
    </w:p>
    <w:p>
      <w:pPr>
        <w:spacing w:after="0" w:line="84" w:lineRule="exact"/>
        <w:rPr>
          <w:rFonts w:ascii="Arial" w:cs="Arial" w:eastAsia="Arial" w:hAnsi="Arial"/>
          <w:sz w:val="19"/>
          <w:szCs w:val="19"/>
          <w:color w:val="auto"/>
        </w:rPr>
      </w:pPr>
    </w:p>
    <w:p>
      <w:pPr>
        <w:ind w:left="461" w:right="60" w:hanging="461"/>
        <w:spacing w:after="0" w:line="256" w:lineRule="auto"/>
        <w:tabs>
          <w:tab w:leader="none" w:pos="461"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3" w:lineRule="exact"/>
        <w:rPr>
          <w:rFonts w:ascii="Arial" w:cs="Arial" w:eastAsia="Arial" w:hAnsi="Arial"/>
          <w:sz w:val="19"/>
          <w:szCs w:val="19"/>
          <w:color w:val="auto"/>
        </w:rPr>
      </w:pPr>
    </w:p>
    <w:p>
      <w:pPr>
        <w:ind w:left="461" w:right="80" w:hanging="461"/>
        <w:spacing w:after="0" w:line="270" w:lineRule="auto"/>
        <w:tabs>
          <w:tab w:leader="none" w:pos="46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2240" w:h="15840" w:orient="portrait"/>
          <w:cols w:equalWidth="0" w:num="1">
            <w:col w:w="11641"/>
          </w:cols>
          <w:pgMar w:left="299" w:top="136" w:right="300"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SIGNATURES</w:t>
      </w:r>
    </w:p>
    <w:p>
      <w:pPr>
        <w:spacing w:after="0" w:line="244" w:lineRule="exact"/>
        <w:rPr>
          <w:sz w:val="20"/>
          <w:szCs w:val="20"/>
          <w:color w:val="auto"/>
        </w:rPr>
      </w:pPr>
    </w:p>
    <w:p>
      <w:pPr>
        <w:jc w:val="both"/>
        <w:ind w:right="440" w:firstLine="465"/>
        <w:spacing w:after="0" w:line="263" w:lineRule="auto"/>
        <w:rPr>
          <w:sz w:val="20"/>
          <w:szCs w:val="20"/>
          <w:color w:val="auto"/>
        </w:rPr>
      </w:pPr>
      <w:r>
        <w:rPr>
          <w:rFonts w:ascii="Arial" w:cs="Arial" w:eastAsia="Arial" w:hAnsi="Arial"/>
          <w:sz w:val="19"/>
          <w:szCs w:val="19"/>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 Francisco, California, on the 27 day of February, 2019.</w:t>
      </w:r>
    </w:p>
    <w:p>
      <w:pPr>
        <w:spacing w:after="0" w:line="217" w:lineRule="exact"/>
        <w:rPr>
          <w:sz w:val="20"/>
          <w:szCs w:val="20"/>
          <w:color w:val="auto"/>
        </w:rPr>
      </w:pPr>
    </w:p>
    <w:p>
      <w:pPr>
        <w:ind w:left="6980"/>
        <w:spacing w:after="0"/>
        <w:rPr>
          <w:sz w:val="20"/>
          <w:szCs w:val="20"/>
          <w:color w:val="auto"/>
        </w:rPr>
      </w:pPr>
      <w:r>
        <w:rPr>
          <w:rFonts w:ascii="Arial" w:cs="Arial" w:eastAsia="Arial" w:hAnsi="Arial"/>
          <w:sz w:val="19"/>
          <w:szCs w:val="19"/>
          <w:b w:val="1"/>
          <w:bCs w:val="1"/>
          <w:color w:val="auto"/>
        </w:rPr>
        <w:t>DROPBOX, INC.</w:t>
      </w:r>
    </w:p>
    <w:p>
      <w:pPr>
        <w:spacing w:after="0" w:line="244" w:lineRule="exact"/>
        <w:rPr>
          <w:sz w:val="20"/>
          <w:szCs w:val="20"/>
          <w:color w:val="auto"/>
        </w:rPr>
      </w:pPr>
    </w:p>
    <w:p>
      <w:pPr>
        <w:ind w:left="6980"/>
        <w:spacing w:after="0"/>
        <w:tabs>
          <w:tab w:leader="none" w:pos="74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15240</wp:posOffset>
            </wp:positionV>
            <wp:extent cx="2680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0335" cy="8890"/>
                    </a:xfrm>
                    <a:prstGeom prst="rect">
                      <a:avLst/>
                    </a:prstGeom>
                    <a:noFill/>
                  </pic:spPr>
                </pic:pic>
              </a:graphicData>
            </a:graphic>
          </wp:anchor>
        </w:drawing>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Ajay V. Vashee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44" w:lineRule="exact"/>
        <w:rPr>
          <w:sz w:val="20"/>
          <w:szCs w:val="20"/>
          <w:color w:val="auto"/>
        </w:rPr>
      </w:pPr>
    </w:p>
    <w:p>
      <w:pPr>
        <w:ind w:right="80" w:firstLine="465"/>
        <w:spacing w:after="0" w:line="28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Ajay V. Vashee,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pacing w:after="0" w:line="178" w:lineRule="exact"/>
        <w:rPr>
          <w:sz w:val="20"/>
          <w:szCs w:val="20"/>
          <w:color w:val="auto"/>
        </w:rPr>
      </w:pPr>
    </w:p>
    <w:p>
      <w:pPr>
        <w:ind w:right="60" w:firstLine="465"/>
        <w:spacing w:after="0" w:line="275" w:lineRule="auto"/>
        <w:rPr>
          <w:sz w:val="20"/>
          <w:szCs w:val="20"/>
          <w:color w:val="auto"/>
        </w:rPr>
      </w:pPr>
      <w:r>
        <w:rPr>
          <w:rFonts w:ascii="Arial" w:cs="Arial" w:eastAsia="Arial" w:hAnsi="Arial"/>
          <w:sz w:val="19"/>
          <w:szCs w:val="19"/>
          <w:color w:val="auto"/>
        </w:rPr>
        <w:t>Pursuant to the requirements of the Securities Act of 1933, as amended, this Registration Statement on Form S-8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Signature</w:t>
            </w:r>
          </w:p>
        </w:tc>
        <w:tc>
          <w:tcPr>
            <w:tcW w:w="360" w:type="dxa"/>
            <w:vAlign w:val="bottom"/>
          </w:tcPr>
          <w:p>
            <w:pPr>
              <w:spacing w:after="0"/>
              <w:rPr>
                <w:sz w:val="16"/>
                <w:szCs w:val="16"/>
                <w:color w:val="auto"/>
              </w:rPr>
            </w:pPr>
          </w:p>
        </w:tc>
        <w:tc>
          <w:tcPr>
            <w:tcW w:w="5120" w:type="dxa"/>
            <w:vAlign w:val="bottom"/>
            <w:tcBorders>
              <w:bottom w:val="single" w:sz="8" w:color="auto"/>
            </w:tcBorders>
          </w:tcPr>
          <w:p>
            <w:pPr>
              <w:ind w:left="2400"/>
              <w:spacing w:after="0"/>
              <w:rPr>
                <w:sz w:val="20"/>
                <w:szCs w:val="20"/>
                <w:color w:val="auto"/>
              </w:rPr>
            </w:pPr>
            <w:r>
              <w:rPr>
                <w:rFonts w:ascii="Arial" w:cs="Arial" w:eastAsia="Arial" w:hAnsi="Arial"/>
                <w:sz w:val="15"/>
                <w:szCs w:val="15"/>
                <w:b w:val="1"/>
                <w:bCs w:val="1"/>
                <w:color w:val="auto"/>
              </w:rPr>
              <w:t>Title</w:t>
            </w:r>
          </w:p>
        </w:tc>
        <w:tc>
          <w:tcPr>
            <w:tcW w:w="220" w:type="dxa"/>
            <w:vAlign w:val="bottom"/>
          </w:tcPr>
          <w:p>
            <w:pPr>
              <w:spacing w:after="0"/>
              <w:rPr>
                <w:sz w:val="16"/>
                <w:szCs w:val="16"/>
                <w:color w:val="auto"/>
              </w:rPr>
            </w:pPr>
          </w:p>
        </w:tc>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5"/>
                <w:szCs w:val="15"/>
                <w:b w:val="1"/>
                <w:bCs w:val="1"/>
                <w:color w:val="auto"/>
              </w:rPr>
              <w:t>Date</w:t>
            </w:r>
          </w:p>
        </w:tc>
      </w:tr>
      <w:tr>
        <w:trPr>
          <w:trHeight w:val="441"/>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Andrew W. Houston</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Chief Executive Officer and Chairman</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7"/>
        </w:trPr>
        <w:tc>
          <w:tcPr>
            <w:tcW w:w="4140" w:type="dxa"/>
            <w:vAlign w:val="bottom"/>
            <w:gridSpan w:val="2"/>
          </w:tcPr>
          <w:p>
            <w:pPr>
              <w:spacing w:after="0"/>
              <w:rPr>
                <w:sz w:val="20"/>
                <w:szCs w:val="20"/>
                <w:color w:val="auto"/>
              </w:rPr>
            </w:pPr>
            <w:r>
              <w:rPr>
                <w:rFonts w:ascii="Arial" w:cs="Arial" w:eastAsia="Arial" w:hAnsi="Arial"/>
                <w:sz w:val="19"/>
                <w:szCs w:val="19"/>
                <w:color w:val="auto"/>
              </w:rPr>
              <w:t>Andrew W. Houston</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9"/>
                <w:szCs w:val="19"/>
                <w:i w:val="1"/>
                <w:iCs w:val="1"/>
                <w:color w:val="auto"/>
              </w:rPr>
              <w:t>(Principal Executive Officer)</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6"/>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Ajay V. Vashee</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Chief Financial Officer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7"/>
        </w:trPr>
        <w:tc>
          <w:tcPr>
            <w:tcW w:w="4140" w:type="dxa"/>
            <w:vAlign w:val="bottom"/>
            <w:gridSpan w:val="2"/>
          </w:tcPr>
          <w:p>
            <w:pPr>
              <w:spacing w:after="0"/>
              <w:rPr>
                <w:sz w:val="20"/>
                <w:szCs w:val="20"/>
                <w:color w:val="auto"/>
              </w:rPr>
            </w:pPr>
            <w:r>
              <w:rPr>
                <w:rFonts w:ascii="Arial" w:cs="Arial" w:eastAsia="Arial" w:hAnsi="Arial"/>
                <w:sz w:val="19"/>
                <w:szCs w:val="19"/>
                <w:color w:val="auto"/>
              </w:rPr>
              <w:t>Ajay V. Vashee</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9"/>
                <w:szCs w:val="19"/>
                <w:i w:val="1"/>
                <w:iCs w:val="1"/>
                <w:color w:val="auto"/>
              </w:rPr>
              <w:t>(Principal Financial Officer)</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6"/>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Timothy J. Regan</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Chief Accounting Officer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7"/>
        </w:trPr>
        <w:tc>
          <w:tcPr>
            <w:tcW w:w="4140" w:type="dxa"/>
            <w:vAlign w:val="bottom"/>
            <w:gridSpan w:val="2"/>
          </w:tcPr>
          <w:p>
            <w:pPr>
              <w:spacing w:after="0"/>
              <w:rPr>
                <w:sz w:val="20"/>
                <w:szCs w:val="20"/>
                <w:color w:val="auto"/>
              </w:rPr>
            </w:pPr>
            <w:r>
              <w:rPr>
                <w:rFonts w:ascii="Arial" w:cs="Arial" w:eastAsia="Arial" w:hAnsi="Arial"/>
                <w:sz w:val="19"/>
                <w:szCs w:val="19"/>
                <w:color w:val="auto"/>
              </w:rPr>
              <w:t>Timothy J. Regan</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9"/>
                <w:szCs w:val="19"/>
                <w:i w:val="1"/>
                <w:iCs w:val="1"/>
                <w:color w:val="auto"/>
              </w:rPr>
              <w:t>(Principal Accounting Officer)</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Donald W. Blair</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6"/>
        </w:trPr>
        <w:tc>
          <w:tcPr>
            <w:tcW w:w="4140" w:type="dxa"/>
            <w:vAlign w:val="bottom"/>
            <w:gridSpan w:val="2"/>
          </w:tcPr>
          <w:p>
            <w:pPr>
              <w:spacing w:after="0"/>
              <w:rPr>
                <w:sz w:val="20"/>
                <w:szCs w:val="20"/>
                <w:color w:val="auto"/>
              </w:rPr>
            </w:pPr>
            <w:r>
              <w:rPr>
                <w:rFonts w:ascii="Arial" w:cs="Arial" w:eastAsia="Arial" w:hAnsi="Arial"/>
                <w:sz w:val="19"/>
                <w:szCs w:val="19"/>
                <w:color w:val="auto"/>
              </w:rPr>
              <w:t>Donald W. Blair</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Arash Ferdowsi</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6"/>
        </w:trPr>
        <w:tc>
          <w:tcPr>
            <w:tcW w:w="4140" w:type="dxa"/>
            <w:vAlign w:val="bottom"/>
            <w:gridSpan w:val="2"/>
          </w:tcPr>
          <w:p>
            <w:pPr>
              <w:spacing w:after="0"/>
              <w:rPr>
                <w:sz w:val="20"/>
                <w:szCs w:val="20"/>
                <w:color w:val="auto"/>
              </w:rPr>
            </w:pPr>
            <w:r>
              <w:rPr>
                <w:rFonts w:ascii="Arial" w:cs="Arial" w:eastAsia="Arial" w:hAnsi="Arial"/>
                <w:sz w:val="19"/>
                <w:szCs w:val="19"/>
                <w:color w:val="auto"/>
              </w:rPr>
              <w:t>Arash Ferdowsi</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Paul E. Jacobs</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6"/>
        </w:trPr>
        <w:tc>
          <w:tcPr>
            <w:tcW w:w="4140" w:type="dxa"/>
            <w:vAlign w:val="bottom"/>
            <w:gridSpan w:val="2"/>
          </w:tcPr>
          <w:p>
            <w:pPr>
              <w:spacing w:after="0"/>
              <w:rPr>
                <w:sz w:val="20"/>
                <w:szCs w:val="20"/>
                <w:color w:val="auto"/>
              </w:rPr>
            </w:pPr>
            <w:r>
              <w:rPr>
                <w:rFonts w:ascii="Arial" w:cs="Arial" w:eastAsia="Arial" w:hAnsi="Arial"/>
                <w:sz w:val="19"/>
                <w:szCs w:val="19"/>
                <w:color w:val="auto"/>
              </w:rPr>
              <w:t>Paul E. Jacobs</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Robert J. Mylod, Jr.</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6"/>
        </w:trPr>
        <w:tc>
          <w:tcPr>
            <w:tcW w:w="4140" w:type="dxa"/>
            <w:vAlign w:val="bottom"/>
            <w:gridSpan w:val="2"/>
          </w:tcPr>
          <w:p>
            <w:pPr>
              <w:spacing w:after="0"/>
              <w:rPr>
                <w:sz w:val="20"/>
                <w:szCs w:val="20"/>
                <w:color w:val="auto"/>
              </w:rPr>
            </w:pPr>
            <w:r>
              <w:rPr>
                <w:rFonts w:ascii="Arial" w:cs="Arial" w:eastAsia="Arial" w:hAnsi="Arial"/>
                <w:sz w:val="19"/>
                <w:szCs w:val="19"/>
                <w:color w:val="auto"/>
              </w:rPr>
              <w:t>Robert J. Mylod, Jr.</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Condoleezza Rice</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6"/>
        </w:trPr>
        <w:tc>
          <w:tcPr>
            <w:tcW w:w="4140" w:type="dxa"/>
            <w:vAlign w:val="bottom"/>
            <w:gridSpan w:val="2"/>
          </w:tcPr>
          <w:p>
            <w:pPr>
              <w:spacing w:after="0"/>
              <w:rPr>
                <w:sz w:val="20"/>
                <w:szCs w:val="20"/>
                <w:color w:val="auto"/>
              </w:rPr>
            </w:pPr>
            <w:r>
              <w:rPr>
                <w:rFonts w:ascii="Arial" w:cs="Arial" w:eastAsia="Arial" w:hAnsi="Arial"/>
                <w:sz w:val="19"/>
                <w:szCs w:val="19"/>
                <w:color w:val="auto"/>
              </w:rPr>
              <w:t>Condoleezza Rice</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R. Bryan Schreier</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6"/>
        </w:trPr>
        <w:tc>
          <w:tcPr>
            <w:tcW w:w="4140" w:type="dxa"/>
            <w:vAlign w:val="bottom"/>
            <w:gridSpan w:val="2"/>
          </w:tcPr>
          <w:p>
            <w:pPr>
              <w:spacing w:after="0"/>
              <w:rPr>
                <w:sz w:val="20"/>
                <w:szCs w:val="20"/>
                <w:color w:val="auto"/>
              </w:rPr>
            </w:pPr>
            <w:r>
              <w:rPr>
                <w:rFonts w:ascii="Arial" w:cs="Arial" w:eastAsia="Arial" w:hAnsi="Arial"/>
                <w:sz w:val="19"/>
                <w:szCs w:val="19"/>
                <w:color w:val="auto"/>
              </w:rPr>
              <w:t>R. Bryan Schreier</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7"/>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Margaret C. Whitman</w:t>
            </w:r>
          </w:p>
        </w:tc>
        <w:tc>
          <w:tcPr>
            <w:tcW w:w="36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9"/>
                <w:szCs w:val="19"/>
                <w:color w:val="auto"/>
              </w:rPr>
              <w:t>Director</w:t>
            </w:r>
          </w:p>
        </w:tc>
        <w:tc>
          <w:tcPr>
            <w:tcW w:w="2020" w:type="dxa"/>
            <w:vAlign w:val="bottom"/>
            <w:gridSpan w:val="2"/>
          </w:tcPr>
          <w:p>
            <w:pPr>
              <w:ind w:left="220"/>
              <w:spacing w:after="0"/>
              <w:rPr>
                <w:sz w:val="20"/>
                <w:szCs w:val="20"/>
                <w:color w:val="auto"/>
              </w:rPr>
            </w:pPr>
            <w:r>
              <w:rPr>
                <w:rFonts w:ascii="Arial" w:cs="Arial" w:eastAsia="Arial" w:hAnsi="Arial"/>
                <w:sz w:val="19"/>
                <w:szCs w:val="19"/>
                <w:color w:val="auto"/>
              </w:rPr>
              <w:t>February 27, 2019</w:t>
            </w:r>
          </w:p>
        </w:tc>
      </w:tr>
      <w:tr>
        <w:trPr>
          <w:trHeight w:val="236"/>
        </w:trPr>
        <w:tc>
          <w:tcPr>
            <w:tcW w:w="4140" w:type="dxa"/>
            <w:vAlign w:val="bottom"/>
            <w:gridSpan w:val="2"/>
          </w:tcPr>
          <w:p>
            <w:pPr>
              <w:spacing w:after="0"/>
              <w:rPr>
                <w:sz w:val="20"/>
                <w:szCs w:val="20"/>
                <w:color w:val="auto"/>
              </w:rPr>
            </w:pPr>
            <w:r>
              <w:rPr>
                <w:rFonts w:ascii="Arial" w:cs="Arial" w:eastAsia="Arial" w:hAnsi="Arial"/>
                <w:sz w:val="19"/>
                <w:szCs w:val="19"/>
                <w:color w:val="auto"/>
              </w:rPr>
              <w:t>Margaret C. Whitman</w:t>
            </w:r>
          </w:p>
        </w:tc>
        <w:tc>
          <w:tcPr>
            <w:tcW w:w="3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ectPr>
          <w:pgSz w:w="12240" w:h="15840" w:orient="portrait"/>
          <w:cols w:equalWidth="0" w:num="1">
            <w:col w:w="11640"/>
          </w:cols>
          <w:pgMar w:left="300" w:top="136" w:right="300" w:bottom="1440" w:gutter="0" w:footer="0" w:header="0"/>
        </w:sectPr>
      </w:pPr>
    </w:p>
    <w:bookmarkStart w:id="7" w:name="page8"/>
    <w:bookmarkEnd w:id="7"/>
    <w:p>
      <w:pPr>
        <w:jc w:val="right"/>
        <w:spacing w:after="0"/>
        <w:rPr>
          <w:sz w:val="20"/>
          <w:szCs w:val="20"/>
          <w:color w:val="auto"/>
        </w:rPr>
      </w:pPr>
      <w:r>
        <w:rPr>
          <w:rFonts w:ascii="Arial" w:cs="Arial" w:eastAsia="Arial" w:hAnsi="Arial"/>
          <w:sz w:val="19"/>
          <w:szCs w:val="19"/>
          <w:b w:val="1"/>
          <w:bCs w:val="1"/>
          <w:color w:val="auto"/>
        </w:rPr>
        <w:t>Exhibit 4.1</w:t>
      </w:r>
    </w:p>
    <w:p>
      <w:pPr>
        <w:spacing w:after="0" w:line="218" w:lineRule="exact"/>
        <w:rPr>
          <w:sz w:val="20"/>
          <w:szCs w:val="20"/>
          <w:color w:val="auto"/>
        </w:rPr>
      </w:pPr>
    </w:p>
    <w:p>
      <w:pPr>
        <w:ind w:left="4940"/>
        <w:spacing w:after="0"/>
        <w:rPr>
          <w:sz w:val="20"/>
          <w:szCs w:val="20"/>
          <w:color w:val="auto"/>
        </w:rPr>
      </w:pPr>
      <w:r>
        <w:rPr>
          <w:rFonts w:ascii="Arial" w:cs="Arial" w:eastAsia="Arial" w:hAnsi="Arial"/>
          <w:sz w:val="19"/>
          <w:szCs w:val="19"/>
          <w:b w:val="1"/>
          <w:bCs w:val="1"/>
          <w:color w:val="auto"/>
        </w:rPr>
        <w:t>JN PROJECTS, INC.</w:t>
      </w:r>
    </w:p>
    <w:p>
      <w:pPr>
        <w:spacing w:after="0" w:line="124" w:lineRule="exact"/>
        <w:rPr>
          <w:sz w:val="20"/>
          <w:szCs w:val="20"/>
          <w:color w:val="auto"/>
        </w:rPr>
      </w:pPr>
    </w:p>
    <w:p>
      <w:pPr>
        <w:ind w:left="4380"/>
        <w:spacing w:after="0"/>
        <w:rPr>
          <w:sz w:val="20"/>
          <w:szCs w:val="20"/>
          <w:color w:val="auto"/>
        </w:rPr>
      </w:pPr>
      <w:r>
        <w:rPr>
          <w:rFonts w:ascii="Arial" w:cs="Arial" w:eastAsia="Arial" w:hAnsi="Arial"/>
          <w:sz w:val="19"/>
          <w:szCs w:val="19"/>
          <w:b w:val="1"/>
          <w:bCs w:val="1"/>
          <w:color w:val="auto"/>
        </w:rPr>
        <w:t>2011 EQUITY INCENTIVE PLAN</w:t>
      </w:r>
    </w:p>
    <w:p>
      <w:pPr>
        <w:spacing w:after="0" w:line="124" w:lineRule="exact"/>
        <w:rPr>
          <w:sz w:val="20"/>
          <w:szCs w:val="20"/>
          <w:color w:val="auto"/>
        </w:rPr>
      </w:pPr>
    </w:p>
    <w:p>
      <w:pPr>
        <w:ind w:left="4660"/>
        <w:spacing w:after="0"/>
        <w:rPr>
          <w:sz w:val="20"/>
          <w:szCs w:val="20"/>
          <w:color w:val="auto"/>
        </w:rPr>
      </w:pPr>
      <w:r>
        <w:rPr>
          <w:rFonts w:ascii="Arial" w:cs="Arial" w:eastAsia="Arial" w:hAnsi="Arial"/>
          <w:sz w:val="19"/>
          <w:szCs w:val="19"/>
          <w:b w:val="1"/>
          <w:bCs w:val="1"/>
          <w:color w:val="auto"/>
        </w:rPr>
        <w:t>As Adopted on July 19, 2011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on March 31, 2016</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on May 19, 2017</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on September 13, 2017</w:t>
      </w:r>
    </w:p>
    <w:p>
      <w:pPr>
        <w:spacing w:after="0" w:line="219" w:lineRule="exact"/>
        <w:rPr>
          <w:sz w:val="20"/>
          <w:szCs w:val="20"/>
          <w:color w:val="auto"/>
        </w:rPr>
      </w:pPr>
    </w:p>
    <w:p>
      <w:pPr>
        <w:ind w:right="60" w:firstLine="465"/>
        <w:spacing w:after="0" w:line="256" w:lineRule="auto"/>
        <w:tabs>
          <w:tab w:leader="none" w:pos="655"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PURPOSE</w:t>
      </w:r>
      <w:r>
        <w:rPr>
          <w:rFonts w:ascii="Arial" w:cs="Arial" w:eastAsia="Arial" w:hAnsi="Arial"/>
          <w:sz w:val="19"/>
          <w:szCs w:val="19"/>
          <w:b w:val="1"/>
          <w:bCs w:val="1"/>
          <w:color w:val="auto"/>
        </w:rPr>
        <w:t xml:space="preserve">. </w:t>
      </w:r>
      <w:r>
        <w:rPr>
          <w:rFonts w:ascii="Arial" w:cs="Arial" w:eastAsia="Arial" w:hAnsi="Arial"/>
          <w:sz w:val="19"/>
          <w:szCs w:val="19"/>
          <w:color w:val="auto"/>
        </w:rPr>
        <w:t>The purpose of this Plan is to provide incentives to attract, retain and motivate eligible persons whose present and potential</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98" w:lineRule="exact"/>
        <w:rPr>
          <w:rFonts w:ascii="Arial" w:cs="Arial" w:eastAsia="Arial" w:hAnsi="Arial"/>
          <w:sz w:val="19"/>
          <w:szCs w:val="19"/>
          <w:b w:val="1"/>
          <w:bCs w:val="1"/>
          <w:color w:val="auto"/>
        </w:rPr>
      </w:pPr>
    </w:p>
    <w:p>
      <w:pPr>
        <w:ind w:left="660" w:hanging="195"/>
        <w:spacing w:after="0"/>
        <w:tabs>
          <w:tab w:leader="none" w:pos="66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SHARES SUBJECT TO THE PLAN</w:t>
      </w:r>
      <w:r>
        <w:rPr>
          <w:rFonts w:ascii="Arial" w:cs="Arial" w:eastAsia="Arial" w:hAnsi="Arial"/>
          <w:sz w:val="19"/>
          <w:szCs w:val="19"/>
          <w:b w:val="1"/>
          <w:bCs w:val="1"/>
          <w:color w:val="auto"/>
        </w:rPr>
        <w:t>.</w:t>
      </w:r>
    </w:p>
    <w:p>
      <w:pPr>
        <w:spacing w:after="0" w:line="238" w:lineRule="exact"/>
        <w:rPr>
          <w:sz w:val="20"/>
          <w:szCs w:val="20"/>
          <w:color w:val="auto"/>
        </w:rPr>
      </w:pPr>
    </w:p>
    <w:p>
      <w:pPr>
        <w:ind w:right="20" w:firstLine="931"/>
        <w:spacing w:after="0" w:line="26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Number of Shares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Sections 2.2 and 11 hereof, the total number of Shares reserved and available for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pursuant to this Plan will be 3,836,206 Shares. Subject to Sections 2.2 and 11 hereof, Shares subject to Awards that are cancelled, forfeited, settled in cash, used to pay withholding obligations or pay the exercise price of an Option or that expire by their terms at any time will again be available for grant and issuance in connection with other Awards. In the event that Shares previously issued under the Plan are reacquired by the Company pursuant to a forfeiture provision, right of first refusal, or repurchase by the Company, such Shares shall be added to the number of Shares then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7,672,412 Shares (adjusted in proportion to any adjustments under Section 2.2 hereof) over the term of the Plan (the “</w:t>
      </w:r>
      <w:r>
        <w:rPr>
          <w:rFonts w:ascii="Arial" w:cs="Arial" w:eastAsia="Arial" w:hAnsi="Arial"/>
          <w:sz w:val="18"/>
          <w:szCs w:val="18"/>
          <w:b w:val="1"/>
          <w:bCs w:val="1"/>
          <w:i w:val="1"/>
          <w:iCs w:val="1"/>
          <w:color w:val="auto"/>
        </w:rPr>
        <w:t>ISO Limit</w:t>
      </w:r>
      <w:r>
        <w:rPr>
          <w:rFonts w:ascii="Arial" w:cs="Arial" w:eastAsia="Arial" w:hAnsi="Arial"/>
          <w:sz w:val="18"/>
          <w:szCs w:val="18"/>
          <w:color w:val="auto"/>
        </w:rPr>
        <w:t>”). Subject to Sections 2.2 and 11 hereof, in the event that the number of Shares reserved for issuance under the Plan is increased, the ISO Limit shall be automatically increased by such number of Shares such that the ISO Limit equals (a) two (2) multiplied by (b) the number of Shares reserved for issuance under the Plan.</w:t>
      </w:r>
    </w:p>
    <w:p>
      <w:pPr>
        <w:spacing w:after="0" w:line="193" w:lineRule="exact"/>
        <w:rPr>
          <w:sz w:val="20"/>
          <w:szCs w:val="20"/>
          <w:color w:val="auto"/>
        </w:rPr>
      </w:pPr>
    </w:p>
    <w:p>
      <w:pPr>
        <w:ind w:right="80" w:firstLine="931"/>
        <w:spacing w:after="0" w:line="258"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b w:val="1"/>
          <w:bCs w:val="1"/>
          <w:u w:val="single" w:color="auto"/>
          <w:color w:val="auto"/>
        </w:rPr>
        <w:t>Adjustment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the number of outstanding shares of the Company’s Common Stock is changed by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dividend, 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of Shares reserved for issuance under this Plan, (b) the Exercise Prices of and number of Shares subject to outstanding Options and SARs, and (c) the Purchase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1640"/>
          </w:cols>
          <w:pgMar w:left="300" w:top="0" w:right="300"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Prices of and/or number of Shares subject to other outstanding Awards will (to the extent appropriate) be proportionately adjusted, subject to any required action by the Board or the stockholders of the Company and compliance with applicable securities laws;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fractions of a Share will not be issued but will either be paid in cash at the Fair Market Value of such fraction of a Share or will be rounded down to the nearest whole Share, as determined by the Committee.</w:t>
      </w:r>
    </w:p>
    <w:p>
      <w:pPr>
        <w:spacing w:after="0" w:line="192" w:lineRule="exact"/>
        <w:rPr>
          <w:sz w:val="20"/>
          <w:szCs w:val="20"/>
          <w:color w:val="auto"/>
        </w:rPr>
      </w:pPr>
    </w:p>
    <w:p>
      <w:pPr>
        <w:ind w:left="660" w:hanging="195"/>
        <w:spacing w:after="0"/>
        <w:tabs>
          <w:tab w:leader="none" w:pos="66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PLAN FOR BENEFIT OF SERVICE PROVIDERS</w:t>
      </w:r>
      <w:r>
        <w:rPr>
          <w:rFonts w:ascii="Arial" w:cs="Arial" w:eastAsia="Arial" w:hAnsi="Arial"/>
          <w:sz w:val="19"/>
          <w:szCs w:val="19"/>
          <w:b w:val="1"/>
          <w:bCs w:val="1"/>
          <w:color w:val="auto"/>
        </w:rPr>
        <w:t>.</w:t>
      </w:r>
    </w:p>
    <w:p>
      <w:pPr>
        <w:spacing w:after="0" w:line="238" w:lineRule="exact"/>
        <w:rPr>
          <w:sz w:val="20"/>
          <w:szCs w:val="20"/>
          <w:color w:val="auto"/>
        </w:rPr>
      </w:pPr>
    </w:p>
    <w:p>
      <w:pPr>
        <w:ind w:right="60" w:firstLine="931"/>
        <w:spacing w:after="0" w:line="256"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Eligibility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will have the authority to select persons to receive Awards. ISOs (as defined in Section 4 hereof) may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granted only to 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199" w:lineRule="exact"/>
        <w:rPr>
          <w:sz w:val="20"/>
          <w:szCs w:val="20"/>
          <w:color w:val="auto"/>
        </w:rPr>
      </w:pPr>
    </w:p>
    <w:p>
      <w:pPr>
        <w:ind w:right="200" w:firstLine="931"/>
        <w:spacing w:after="0" w:line="261"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No Obligation to Employ</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Plan or any Award granted under this Plan will confer or be deemed to confer on any</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any right to continue in the 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190" w:lineRule="exact"/>
        <w:rPr>
          <w:sz w:val="20"/>
          <w:szCs w:val="20"/>
          <w:color w:val="auto"/>
        </w:rPr>
      </w:pPr>
    </w:p>
    <w:p>
      <w:pPr>
        <w:ind w:firstLine="465"/>
        <w:spacing w:after="0" w:line="261" w:lineRule="auto"/>
        <w:tabs>
          <w:tab w:leader="none" w:pos="655"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OPTIONS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may grant Options to eligible persons described in Section 3 hereof and will determine whether such Options will</w:t>
      </w:r>
      <w:r>
        <w:rPr>
          <w:rFonts w:ascii="Arial" w:cs="Arial" w:eastAsia="Arial" w:hAnsi="Arial"/>
          <w:sz w:val="19"/>
          <w:szCs w:val="19"/>
          <w:b w:val="1"/>
          <w:bCs w:val="1"/>
          <w:color w:val="auto"/>
        </w:rPr>
        <w:t xml:space="preserve"> </w:t>
      </w:r>
      <w:r>
        <w:rPr>
          <w:rFonts w:ascii="Arial" w:cs="Arial" w:eastAsia="Arial" w:hAnsi="Arial"/>
          <w:sz w:val="19"/>
          <w:szCs w:val="19"/>
          <w:color w:val="auto"/>
        </w:rPr>
        <w:t>be Incentive Stock Options within the meaning of the Code (“</w:t>
      </w:r>
      <w:r>
        <w:rPr>
          <w:rFonts w:ascii="Arial" w:cs="Arial" w:eastAsia="Arial" w:hAnsi="Arial"/>
          <w:sz w:val="19"/>
          <w:szCs w:val="19"/>
          <w:b w:val="1"/>
          <w:bCs w:val="1"/>
          <w:i w:val="1"/>
          <w:iCs w:val="1"/>
          <w:color w:val="auto"/>
        </w:rPr>
        <w:t>ISOs</w:t>
      </w:r>
      <w:r>
        <w:rPr>
          <w:rFonts w:ascii="Arial" w:cs="Arial" w:eastAsia="Arial" w:hAnsi="Arial"/>
          <w:sz w:val="19"/>
          <w:szCs w:val="19"/>
          <w:color w:val="auto"/>
        </w:rPr>
        <w:t>”) or Nonqualified Stock Options (“</w:t>
      </w:r>
      <w:r>
        <w:rPr>
          <w:rFonts w:ascii="Arial" w:cs="Arial" w:eastAsia="Arial" w:hAnsi="Arial"/>
          <w:sz w:val="19"/>
          <w:szCs w:val="19"/>
          <w:b w:val="1"/>
          <w:bCs w:val="1"/>
          <w:i w:val="1"/>
          <w:iCs w:val="1"/>
          <w:color w:val="auto"/>
        </w:rPr>
        <w:t>NQSOs</w:t>
      </w:r>
      <w:r>
        <w:rPr>
          <w:rFonts w:ascii="Arial" w:cs="Arial" w:eastAsia="Arial" w:hAnsi="Arial"/>
          <w:sz w:val="19"/>
          <w:szCs w:val="19"/>
          <w:color w:val="auto"/>
        </w:rPr>
        <w:t>”), the number of Shares subject to the Option, the Exercise Price of the Option, the period during which the Option may be exercised, and all other terms and conditions of the Option, subject to the following.</w:t>
      </w:r>
    </w:p>
    <w:p>
      <w:pPr>
        <w:spacing w:after="0" w:line="190" w:lineRule="exact"/>
        <w:rPr>
          <w:sz w:val="20"/>
          <w:szCs w:val="20"/>
          <w:color w:val="auto"/>
        </w:rPr>
      </w:pPr>
    </w:p>
    <w:p>
      <w:pPr>
        <w:jc w:val="both"/>
        <w:ind w:right="60" w:firstLine="931"/>
        <w:spacing w:after="0" w:line="312"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Form of Option Grant</w:t>
      </w:r>
      <w:r>
        <w:rPr>
          <w:rFonts w:ascii="Arial" w:cs="Arial" w:eastAsia="Arial" w:hAnsi="Arial"/>
          <w:sz w:val="17"/>
          <w:szCs w:val="17"/>
          <w:b w:val="1"/>
          <w:bCs w:val="1"/>
          <w:color w:val="auto"/>
        </w:rPr>
        <w:t xml:space="preserve">. </w:t>
      </w:r>
      <w:r>
        <w:rPr>
          <w:rFonts w:ascii="Arial" w:cs="Arial" w:eastAsia="Arial" w:hAnsi="Arial"/>
          <w:sz w:val="17"/>
          <w:szCs w:val="17"/>
          <w:color w:val="auto"/>
        </w:rPr>
        <w:t>Each Option granted under this Plan will be evidenced by an Award Agreement which will expressly identify</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as an ISO or an NQSO (“</w:t>
      </w:r>
      <w:r>
        <w:rPr>
          <w:rFonts w:ascii="Arial" w:cs="Arial" w:eastAsia="Arial" w:hAnsi="Arial"/>
          <w:sz w:val="17"/>
          <w:szCs w:val="17"/>
          <w:b w:val="1"/>
          <w:bCs w:val="1"/>
          <w:i w:val="1"/>
          <w:iCs w:val="1"/>
          <w:color w:val="auto"/>
        </w:rPr>
        <w:t>Stock Option Agreement</w:t>
      </w:r>
      <w:r>
        <w:rPr>
          <w:rFonts w:ascii="Arial" w:cs="Arial" w:eastAsia="Arial" w:hAnsi="Arial"/>
          <w:sz w:val="17"/>
          <w:szCs w:val="17"/>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50" w:lineRule="exact"/>
        <w:rPr>
          <w:sz w:val="20"/>
          <w:szCs w:val="20"/>
          <w:color w:val="auto"/>
        </w:rPr>
      </w:pPr>
    </w:p>
    <w:p>
      <w:pPr>
        <w:ind w:right="100" w:firstLine="931"/>
        <w:spacing w:after="0" w:line="266"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Date of Grant</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grant of an Option will be the date on which the Committee makes the determination to grant such Option,</w:t>
      </w:r>
      <w:r>
        <w:rPr>
          <w:rFonts w:ascii="Arial" w:cs="Arial" w:eastAsia="Arial" w:hAnsi="Arial"/>
          <w:sz w:val="19"/>
          <w:szCs w:val="19"/>
          <w:b w:val="1"/>
          <w:bCs w:val="1"/>
          <w:color w:val="auto"/>
        </w:rPr>
        <w:t xml:space="preserve"> </w:t>
      </w:r>
      <w:r>
        <w:rPr>
          <w:rFonts w:ascii="Arial" w:cs="Arial" w:eastAsia="Arial" w:hAnsi="Arial"/>
          <w:sz w:val="19"/>
          <w:szCs w:val="19"/>
          <w:color w:val="auto"/>
        </w:rPr>
        <w:t>unless a later date is otherwise specified by the Committee. The Stock Option Agreement and a copy of this Plan will be delivered to the Participant within a reasonable time after the granting of the Option.</w:t>
      </w:r>
    </w:p>
    <w:p>
      <w:pPr>
        <w:spacing w:after="0" w:line="186" w:lineRule="exact"/>
        <w:rPr>
          <w:sz w:val="20"/>
          <w:szCs w:val="20"/>
          <w:color w:val="auto"/>
        </w:rPr>
      </w:pPr>
    </w:p>
    <w:p>
      <w:pPr>
        <w:jc w:val="both"/>
        <w:ind w:firstLine="931"/>
        <w:spacing w:after="0" w:line="266"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Exercise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may be exercisable within the time or upon the events determined by the Committee in the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may be awarded as immediately exercisable but subject to repurchase pursuant to Section 10 hereof or may be exercisable within the times or upon the events determined by the Committee as set forth in the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560"/>
          </w:cols>
          <w:pgMar w:left="300" w:top="142" w:right="380" w:bottom="1440" w:gutter="0" w:footer="0" w:header="0"/>
        </w:sectPr>
      </w:pPr>
    </w:p>
    <w:bookmarkStart w:id="9" w:name="page10"/>
    <w:bookmarkEnd w:id="9"/>
    <w:p>
      <w:pPr>
        <w:ind w:right="4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Stock Option Agreement governing such Option;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66" w:lineRule="exact"/>
        <w:rPr>
          <w:sz w:val="20"/>
          <w:szCs w:val="20"/>
          <w:color w:val="auto"/>
        </w:rPr>
      </w:pPr>
    </w:p>
    <w:p>
      <w:pPr>
        <w:jc w:val="both"/>
        <w:ind w:right="80" w:firstLine="931"/>
        <w:spacing w:after="0" w:line="280"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Price of an Option will be determined by the Committee when the Option is granted and shall not be less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the Fair Market Value per Share unless expressly determined in writing by the Committee on the Option’s date of grant;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175" w:lineRule="exact"/>
        <w:rPr>
          <w:sz w:val="20"/>
          <w:szCs w:val="20"/>
          <w:color w:val="auto"/>
        </w:rPr>
      </w:pPr>
    </w:p>
    <w:p>
      <w:pPr>
        <w:ind w:firstLine="931"/>
        <w:spacing w:after="0" w:line="26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Method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exercised only by delivery to the Company of a stock option exercise agreement (the “</w:t>
      </w:r>
      <w:r>
        <w:rPr>
          <w:rFonts w:ascii="Arial" w:cs="Arial" w:eastAsia="Arial" w:hAnsi="Arial"/>
          <w:sz w:val="18"/>
          <w:szCs w:val="18"/>
          <w:b w:val="1"/>
          <w:bCs w:val="1"/>
          <w:i w:val="1"/>
          <w:iCs w:val="1"/>
          <w:color w:val="auto"/>
        </w:rPr>
        <w:t>Exercise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in the form specified by the Committee, which may be electronic or written form (and which need not be the same for each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payment of any applicable taxes.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193" w:lineRule="exact"/>
        <w:rPr>
          <w:sz w:val="20"/>
          <w:szCs w:val="20"/>
          <w:color w:val="auto"/>
        </w:rPr>
      </w:pPr>
    </w:p>
    <w:p>
      <w:pPr>
        <w:ind w:right="20" w:firstLine="931"/>
        <w:spacing w:after="0" w:line="282" w:lineRule="auto"/>
        <w:rPr>
          <w:sz w:val="20"/>
          <w:szCs w:val="20"/>
          <w:color w:val="auto"/>
        </w:rPr>
      </w:pPr>
      <w:r>
        <w:rPr>
          <w:rFonts w:ascii="Arial" w:cs="Arial" w:eastAsia="Arial" w:hAnsi="Arial"/>
          <w:sz w:val="19"/>
          <w:szCs w:val="19"/>
          <w:b w:val="1"/>
          <w:bCs w:val="1"/>
          <w:color w:val="auto"/>
        </w:rPr>
        <w:t xml:space="preserve">4.6 </w:t>
      </w:r>
      <w:r>
        <w:rPr>
          <w:rFonts w:ascii="Arial" w:cs="Arial" w:eastAsia="Arial" w:hAnsi="Arial"/>
          <w:sz w:val="19"/>
          <w:szCs w:val="19"/>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earlier termination pursuant to Sections 11 and 13.3 hereof and notwithstanding the exercise periods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the Stock Option Agreement, exercise of an Option will always be subject to the following terms and conditions.</w:t>
      </w:r>
    </w:p>
    <w:p>
      <w:pPr>
        <w:spacing w:after="0" w:line="177" w:lineRule="exact"/>
        <w:rPr>
          <w:sz w:val="20"/>
          <w:szCs w:val="20"/>
          <w:color w:val="auto"/>
        </w:rPr>
      </w:pPr>
    </w:p>
    <w:p>
      <w:pPr>
        <w:ind w:right="40" w:firstLine="1513"/>
        <w:spacing w:after="0" w:line="271"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Other than Death or Disability or for Cause</w:t>
      </w:r>
      <w:r>
        <w:rPr>
          <w:rFonts w:ascii="Arial" w:cs="Arial" w:eastAsia="Arial" w:hAnsi="Arial"/>
          <w:sz w:val="18"/>
          <w:szCs w:val="18"/>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with any exercise beyond three (3) months after the date Participant ceases to be an employee deemed to be an NQSO) but in any event, no later than the expiration date of the Options.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1640"/>
          </w:cols>
          <w:pgMar w:left="300" w:top="142" w:right="300" w:bottom="1440" w:gutter="0" w:footer="0" w:header="0"/>
        </w:sectPr>
      </w:pPr>
    </w:p>
    <w:bookmarkStart w:id="10" w:name="page11"/>
    <w:bookmarkEnd w:id="10"/>
    <w:p>
      <w:pPr>
        <w:ind w:left="1" w:firstLine="1513"/>
        <w:spacing w:after="0" w:line="28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4.6.2 </w:t>
      </w:r>
      <w:r>
        <w:rPr>
          <w:rFonts w:ascii="Arial" w:cs="Arial" w:eastAsia="Arial" w:hAnsi="Arial"/>
          <w:sz w:val="17"/>
          <w:szCs w:val="17"/>
          <w:u w:val="single" w:color="auto"/>
          <w:color w:val="auto"/>
        </w:rPr>
        <w:t>Death or Disability</w:t>
      </w:r>
      <w:r>
        <w:rPr>
          <w:rFonts w:ascii="Arial" w:cs="Arial" w:eastAsia="Arial" w:hAnsi="Arial"/>
          <w:sz w:val="17"/>
          <w:szCs w:val="17"/>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with any exercise beyond</w:t>
      </w:r>
    </w:p>
    <w:p>
      <w:pPr>
        <w:spacing w:after="0" w:line="4" w:lineRule="exact"/>
        <w:rPr>
          <w:sz w:val="20"/>
          <w:szCs w:val="20"/>
          <w:color w:val="auto"/>
        </w:rPr>
      </w:pPr>
    </w:p>
    <w:p>
      <w:pPr>
        <w:ind w:left="1" w:hanging="1"/>
        <w:spacing w:after="0" w:line="254" w:lineRule="auto"/>
        <w:tabs>
          <w:tab w:leader="none" w:pos="25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203" w:lineRule="exact"/>
        <w:rPr>
          <w:sz w:val="20"/>
          <w:szCs w:val="20"/>
          <w:color w:val="auto"/>
        </w:rPr>
      </w:pPr>
    </w:p>
    <w:p>
      <w:pPr>
        <w:ind w:left="1" w:right="360" w:firstLine="1513"/>
        <w:spacing w:after="0" w:line="284" w:lineRule="auto"/>
        <w:rPr>
          <w:sz w:val="20"/>
          <w:szCs w:val="20"/>
          <w:color w:val="auto"/>
        </w:rPr>
      </w:pPr>
      <w:r>
        <w:rPr>
          <w:rFonts w:ascii="Arial" w:cs="Arial" w:eastAsia="Arial" w:hAnsi="Arial"/>
          <w:sz w:val="18"/>
          <w:szCs w:val="18"/>
          <w:color w:val="auto"/>
        </w:rPr>
        <w:t xml:space="preserve">4.6.3 </w:t>
      </w:r>
      <w:r>
        <w:rPr>
          <w:rFonts w:ascii="Arial" w:cs="Arial" w:eastAsia="Arial" w:hAnsi="Arial"/>
          <w:sz w:val="18"/>
          <w:szCs w:val="18"/>
          <w:u w:val="single" w:color="auto"/>
          <w:color w:val="auto"/>
        </w:rPr>
        <w:t>For Cause</w:t>
      </w:r>
      <w:r>
        <w:rPr>
          <w:rFonts w:ascii="Arial" w:cs="Arial" w:eastAsia="Arial" w:hAnsi="Arial"/>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72" w:lineRule="exact"/>
        <w:rPr>
          <w:sz w:val="20"/>
          <w:szCs w:val="20"/>
          <w:color w:val="auto"/>
        </w:rPr>
      </w:pPr>
    </w:p>
    <w:p>
      <w:pPr>
        <w:jc w:val="both"/>
        <w:ind w:left="1" w:right="60" w:firstLine="931"/>
        <w:spacing w:after="0" w:line="266" w:lineRule="auto"/>
        <w:rPr>
          <w:sz w:val="20"/>
          <w:szCs w:val="20"/>
          <w:color w:val="auto"/>
        </w:rPr>
      </w:pPr>
      <w:r>
        <w:rPr>
          <w:rFonts w:ascii="Arial" w:cs="Arial" w:eastAsia="Arial" w:hAnsi="Arial"/>
          <w:sz w:val="19"/>
          <w:szCs w:val="19"/>
          <w:b w:val="1"/>
          <w:bCs w:val="1"/>
          <w:color w:val="auto"/>
        </w:rPr>
        <w:t xml:space="preserve">4.7 </w:t>
      </w:r>
      <w:r>
        <w:rPr>
          <w:rFonts w:ascii="Arial" w:cs="Arial" w:eastAsia="Arial" w:hAnsi="Arial"/>
          <w:sz w:val="19"/>
          <w:szCs w:val="19"/>
          <w:b w:val="1"/>
          <w:bCs w:val="1"/>
          <w:u w:val="single" w:color="auto"/>
          <w:color w:val="auto"/>
        </w:rPr>
        <w:t>Limitations on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may specify a reasonable minimum number of Shares that may be purchased on any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an Option,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such minimum number will not prevent Participant from exercising the Option for the full number of Shares for which it is then exercisable.</w:t>
      </w:r>
    </w:p>
    <w:p>
      <w:pPr>
        <w:spacing w:after="0" w:line="186" w:lineRule="exact"/>
        <w:rPr>
          <w:sz w:val="20"/>
          <w:szCs w:val="20"/>
          <w:color w:val="auto"/>
        </w:rPr>
      </w:pPr>
    </w:p>
    <w:p>
      <w:pPr>
        <w:ind w:left="941"/>
        <w:spacing w:after="0"/>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Limitations on ISOs</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Fair Market Value (determined as of the date of grant) of Shares with respect to which ISOs are</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7"/>
          <w:szCs w:val="17"/>
          <w:color w:val="auto"/>
        </w:rPr>
        <w:t>exercisable for the first time by a Participant during any calendar year (under this Plan or under any other incentive stock option plan of the Company or</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7"/>
          <w:szCs w:val="17"/>
          <w:color w:val="auto"/>
        </w:rPr>
        <w:t>any Parent or Subsidiary of the Company) will not exceed One Hundred Thousand Dollars ($100,000). If the Fair Market Value of Shares on the date of</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7"/>
          <w:szCs w:val="17"/>
          <w:color w:val="auto"/>
        </w:rPr>
        <w:t>grant with respect to which ISOs are exercisable for the first time by a Participant during any calendar year exceeds One Hundred Thousand Dollars</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7"/>
          <w:szCs w:val="17"/>
          <w:color w:val="auto"/>
        </w:rPr>
        <w:t>($100,000), then the Options for the first One Hundred Thousand Dollars ($100,000) worth of Shares to become exercisable in such calendar year will</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7"/>
          <w:szCs w:val="17"/>
          <w:color w:val="auto"/>
        </w:rPr>
        <w:t>be ISOs and the Options for the amount in excess of One Hundred Thousand Dollars ($100,000) that become exercisable in that calendar year will be</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7"/>
          <w:szCs w:val="17"/>
          <w:color w:val="auto"/>
        </w:rPr>
        <w:t>NQSOs. In the event that the Code or the regulations promulgated thereunder are amended after the Effective Date (as defined in Section 13.1 hereof) to</w:t>
      </w:r>
    </w:p>
    <w:p>
      <w:pPr>
        <w:spacing w:after="0" w:line="33" w:lineRule="exact"/>
        <w:rPr>
          <w:sz w:val="20"/>
          <w:szCs w:val="20"/>
          <w:color w:val="auto"/>
        </w:rPr>
      </w:pPr>
    </w:p>
    <w:p>
      <w:pPr>
        <w:ind w:left="1"/>
        <w:spacing w:after="0"/>
        <w:rPr>
          <w:sz w:val="20"/>
          <w:szCs w:val="20"/>
          <w:color w:val="auto"/>
        </w:rPr>
      </w:pPr>
      <w:r>
        <w:rPr>
          <w:rFonts w:ascii="Arial" w:cs="Arial" w:eastAsia="Arial" w:hAnsi="Arial"/>
          <w:sz w:val="18"/>
          <w:szCs w:val="18"/>
          <w:color w:val="auto"/>
        </w:rPr>
        <w:t>provide for a different limit on the Fair Market Value of Shares permitted to be subject to ISOs, then such different limit will be automatically</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9"/>
          <w:szCs w:val="19"/>
          <w:color w:val="auto"/>
        </w:rPr>
        <w:t>incorporated herein and will apply to any Options granted after the effective date of such amendment.</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1601"/>
          </w:cols>
          <w:pgMar w:left="299" w:top="142" w:right="340" w:bottom="1440" w:gutter="0" w:footer="0" w:header="0"/>
        </w:sectPr>
      </w:pPr>
    </w:p>
    <w:bookmarkStart w:id="11" w:name="page12"/>
    <w:bookmarkEnd w:id="11"/>
    <w:p>
      <w:pPr>
        <w:ind w:firstLine="931"/>
        <w:spacing w:after="0" w:line="29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4.9 </w:t>
      </w:r>
      <w:r>
        <w:rPr>
          <w:rFonts w:ascii="Arial" w:cs="Arial" w:eastAsia="Arial" w:hAnsi="Arial"/>
          <w:sz w:val="17"/>
          <w:szCs w:val="17"/>
          <w:b w:val="1"/>
          <w:bCs w:val="1"/>
          <w:u w:val="single" w:color="auto"/>
          <w:color w:val="auto"/>
        </w:rPr>
        <w:t>Modification, Extension or Renewal</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may modify, extend or renew outstanding Options and authorize the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new Options in substitution therefor,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Exercise Price may not be reduced below the minimum Exercise Price that would be permitted under Section 4.4 hereof for Options granted on the date the action is taken to reduce the Exercise Price.</w:t>
      </w:r>
    </w:p>
    <w:p>
      <w:pPr>
        <w:spacing w:after="0" w:line="170" w:lineRule="exact"/>
        <w:rPr>
          <w:sz w:val="20"/>
          <w:szCs w:val="20"/>
          <w:color w:val="auto"/>
        </w:rPr>
      </w:pPr>
    </w:p>
    <w:p>
      <w:pPr>
        <w:ind w:right="80" w:firstLine="931"/>
        <w:spacing w:after="0" w:line="287"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No Disqualification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this Plan, no term of this Plan relating to ISOs will be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70" w:lineRule="exact"/>
        <w:rPr>
          <w:sz w:val="20"/>
          <w:szCs w:val="20"/>
          <w:color w:val="auto"/>
        </w:rPr>
      </w:pPr>
    </w:p>
    <w:p>
      <w:pPr>
        <w:ind w:right="20" w:firstLine="465"/>
        <w:spacing w:after="0" w:line="261" w:lineRule="auto"/>
        <w:tabs>
          <w:tab w:leader="none" w:pos="655"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A Restricted Stock Award is an offer by the Company to sell to an eligible person Shares that are subject to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90" w:lineRule="exact"/>
        <w:rPr>
          <w:sz w:val="20"/>
          <w:szCs w:val="20"/>
          <w:color w:val="auto"/>
        </w:rPr>
      </w:pPr>
    </w:p>
    <w:p>
      <w:pPr>
        <w:ind w:right="80" w:firstLine="931"/>
        <w:spacing w:after="0" w:line="272"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Form of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All purchases under a Restricted Stock Award made pursuant to this Plan will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w:t>
      </w:r>
      <w:r>
        <w:rPr>
          <w:rFonts w:ascii="Arial" w:cs="Arial" w:eastAsia="Arial" w:hAnsi="Arial"/>
          <w:sz w:val="18"/>
          <w:szCs w:val="18"/>
          <w:b w:val="1"/>
          <w:bCs w:val="1"/>
          <w:i w:val="1"/>
          <w:iCs w:val="1"/>
          <w:color w:val="auto"/>
        </w:rPr>
        <w:t>Restricted Stock Purchase Agreement</w:t>
      </w:r>
      <w:r>
        <w:rPr>
          <w:rFonts w:ascii="Arial" w:cs="Arial" w:eastAsia="Arial" w:hAnsi="Arial"/>
          <w:sz w:val="18"/>
          <w:szCs w:val="18"/>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 (30) days from the date the Restricted Stock Purchase Agreement is delivered to the person in electronic or written form.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83" w:lineRule="exact"/>
        <w:rPr>
          <w:sz w:val="20"/>
          <w:szCs w:val="20"/>
          <w:color w:val="auto"/>
        </w:rPr>
      </w:pPr>
    </w:p>
    <w:p>
      <w:pPr>
        <w:ind w:right="40" w:firstLine="931"/>
        <w:spacing w:after="0" w:line="266"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u w:val="single" w:color="auto"/>
          <w:color w:val="auto"/>
        </w:rPr>
        <w:t>Purchase Price</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of Shares sold pursuant to a Restricted Stock Award will be determined by the Committee on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the Restricted Stock Award is granted or at the time the purchase is consummated. Payment of the Purchase Price must be made in accordance with Section 8 hereof.</w:t>
      </w:r>
    </w:p>
    <w:p>
      <w:pPr>
        <w:spacing w:after="0" w:line="186" w:lineRule="exact"/>
        <w:rPr>
          <w:sz w:val="20"/>
          <w:szCs w:val="20"/>
          <w:color w:val="auto"/>
        </w:rPr>
      </w:pPr>
    </w:p>
    <w:p>
      <w:pPr>
        <w:ind w:right="180" w:firstLine="931"/>
        <w:spacing w:after="0" w:line="261"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Dividends and Other Distributions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holding Restricted Stock will be entitled to receive all dividends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distributions paid with respect to such Shares, unless the Committee provides otherwise at the time of award. If any such dividends or distributions are paid in Shares, the Shares will be subject to the same restrictions on transferability and forfeitability as the Shares of Restricted Stock with respect to which they were paid.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620"/>
          </w:cols>
          <w:pgMar w:left="300" w:top="136" w:right="320" w:bottom="1440" w:gutter="0" w:footer="0" w:header="0"/>
        </w:sectPr>
      </w:pPr>
    </w:p>
    <w:bookmarkStart w:id="12" w:name="page13"/>
    <w:bookmarkEnd w:id="12"/>
    <w:p>
      <w:pPr>
        <w:ind w:right="540" w:firstLine="931"/>
        <w:spacing w:after="0" w:line="31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5.4 </w:t>
      </w:r>
      <w:r>
        <w:rPr>
          <w:rFonts w:ascii="Arial" w:cs="Arial" w:eastAsia="Arial" w:hAnsi="Arial"/>
          <w:sz w:val="18"/>
          <w:szCs w:val="18"/>
          <w:b w:val="1"/>
          <w:bCs w:val="1"/>
          <w:u w:val="single" w:color="auto"/>
          <w:color w:val="auto"/>
        </w:rPr>
        <w:t>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Awards may be subject to the restrictions set forth in Sections 9 and 10 hereof or,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 to which Section 25102(o) is to apply, such other restrictions not inconsistent with Section 25102(o).</w:t>
      </w:r>
    </w:p>
    <w:p>
      <w:pPr>
        <w:spacing w:after="0" w:line="148" w:lineRule="exact"/>
        <w:rPr>
          <w:sz w:val="20"/>
          <w:szCs w:val="20"/>
          <w:color w:val="auto"/>
        </w:rPr>
      </w:pPr>
    </w:p>
    <w:p>
      <w:pPr>
        <w:ind w:left="660" w:hanging="195"/>
        <w:spacing w:after="0"/>
        <w:tabs>
          <w:tab w:leader="none" w:pos="66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RESTRICTED STOCK UNITS</w:t>
      </w:r>
      <w:r>
        <w:rPr>
          <w:rFonts w:ascii="Arial" w:cs="Arial" w:eastAsia="Arial" w:hAnsi="Arial"/>
          <w:sz w:val="19"/>
          <w:szCs w:val="19"/>
          <w:b w:val="1"/>
          <w:bCs w:val="1"/>
          <w:color w:val="auto"/>
        </w:rPr>
        <w:t>.</w:t>
      </w:r>
    </w:p>
    <w:p>
      <w:pPr>
        <w:spacing w:after="0" w:line="238" w:lineRule="exact"/>
        <w:rPr>
          <w:sz w:val="20"/>
          <w:szCs w:val="20"/>
          <w:color w:val="auto"/>
        </w:rPr>
      </w:pPr>
    </w:p>
    <w:p>
      <w:pPr>
        <w:ind w:right="40" w:firstLine="931"/>
        <w:spacing w:after="0" w:line="258"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b w:val="1"/>
          <w:bCs w:val="1"/>
          <w:u w:val="single" w:color="auto"/>
          <w:color w:val="auto"/>
        </w:rPr>
        <w:t>Awards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A Restricted Stock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is an Award covering a number of Shares that may be settled in</w:t>
      </w:r>
      <w:r>
        <w:rPr>
          <w:rFonts w:ascii="Arial" w:cs="Arial" w:eastAsia="Arial" w:hAnsi="Arial"/>
          <w:sz w:val="19"/>
          <w:szCs w:val="19"/>
          <w:b w:val="1"/>
          <w:bCs w:val="1"/>
          <w:color w:val="auto"/>
        </w:rPr>
        <w:t xml:space="preserve"> </w:t>
      </w:r>
      <w:r>
        <w:rPr>
          <w:rFonts w:ascii="Arial" w:cs="Arial" w:eastAsia="Arial" w:hAnsi="Arial"/>
          <w:sz w:val="19"/>
          <w:szCs w:val="19"/>
          <w:color w:val="auto"/>
        </w:rPr>
        <w:t>cash, or by issuance of those Shares at a date in the future.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195" w:lineRule="exact"/>
        <w:rPr>
          <w:sz w:val="20"/>
          <w:szCs w:val="20"/>
          <w:color w:val="auto"/>
        </w:rPr>
      </w:pPr>
    </w:p>
    <w:p>
      <w:pPr>
        <w:ind w:firstLine="931"/>
        <w:spacing w:after="0" w:line="261"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b w:val="1"/>
          <w:bCs w:val="1"/>
          <w:u w:val="single" w:color="auto"/>
          <w:color w:val="auto"/>
        </w:rPr>
        <w:t>Form and Timing of Settlement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permissible under applicable law, the Committee may permit a Participant to defer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payment under a RSU to a date or dates after the RSU is earned,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190" w:lineRule="exact"/>
        <w:rPr>
          <w:sz w:val="20"/>
          <w:szCs w:val="20"/>
          <w:color w:val="auto"/>
        </w:rPr>
      </w:pPr>
    </w:p>
    <w:p>
      <w:pPr>
        <w:ind w:right="20" w:firstLine="931"/>
        <w:spacing w:after="0" w:line="276"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Dividend Equivalent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permit Participants holding RSUs to receive dividend equivalent payments on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RSUs if and when dividends are paid to stockholders on Shares. In the discretion of the Board, such dividend equivalent payments may be paid in cash or Shares and they may either be paid at the same time as dividend payments are made to stockholders or delayed until when Shares are issued pursuant to the RSU grants and may be subject to the same vesting requirements as the RSUs. If the Board permits dividend equivalent payments to be made on RSUs, the terms and conditions for such payments will be set forth in the Award Agreement.</w:t>
      </w:r>
    </w:p>
    <w:p>
      <w:pPr>
        <w:spacing w:after="0" w:line="179" w:lineRule="exact"/>
        <w:rPr>
          <w:sz w:val="20"/>
          <w:szCs w:val="20"/>
          <w:color w:val="auto"/>
        </w:rPr>
      </w:pPr>
    </w:p>
    <w:p>
      <w:pPr>
        <w:ind w:left="660" w:hanging="195"/>
        <w:spacing w:after="0"/>
        <w:tabs>
          <w:tab w:leader="none" w:pos="66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STOCK APPRECIATION RIGHTS</w:t>
      </w:r>
      <w:r>
        <w:rPr>
          <w:rFonts w:ascii="Arial" w:cs="Arial" w:eastAsia="Arial" w:hAnsi="Arial"/>
          <w:sz w:val="19"/>
          <w:szCs w:val="19"/>
          <w:b w:val="1"/>
          <w:bCs w:val="1"/>
          <w:color w:val="auto"/>
        </w:rPr>
        <w:t>.</w:t>
      </w:r>
    </w:p>
    <w:p>
      <w:pPr>
        <w:spacing w:after="0" w:line="238" w:lineRule="exact"/>
        <w:rPr>
          <w:sz w:val="20"/>
          <w:szCs w:val="20"/>
          <w:color w:val="auto"/>
        </w:rPr>
      </w:pPr>
    </w:p>
    <w:p>
      <w:pPr>
        <w:ind w:right="100" w:firstLine="931"/>
        <w:spacing w:after="0" w:line="258"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Awards of SARs</w:t>
      </w:r>
      <w:r>
        <w:rPr>
          <w:rFonts w:ascii="Arial" w:cs="Arial" w:eastAsia="Arial" w:hAnsi="Arial"/>
          <w:sz w:val="19"/>
          <w:szCs w:val="19"/>
          <w:b w:val="1"/>
          <w:bCs w:val="1"/>
          <w:color w:val="auto"/>
        </w:rPr>
        <w:t xml:space="preserve">. </w:t>
      </w:r>
      <w:r>
        <w:rPr>
          <w:rFonts w:ascii="Arial" w:cs="Arial" w:eastAsia="Arial" w:hAnsi="Arial"/>
          <w:sz w:val="19"/>
          <w:szCs w:val="19"/>
          <w:color w:val="auto"/>
        </w:rPr>
        <w:t>Stock Appreciation Rights (“</w:t>
      </w:r>
      <w:r>
        <w:rPr>
          <w:rFonts w:ascii="Arial" w:cs="Arial" w:eastAsia="Arial" w:hAnsi="Arial"/>
          <w:sz w:val="19"/>
          <w:szCs w:val="19"/>
          <w:b w:val="1"/>
          <w:bCs w:val="1"/>
          <w:i w:val="1"/>
          <w:iCs w:val="1"/>
          <w:color w:val="auto"/>
        </w:rPr>
        <w:t>SARs</w:t>
      </w:r>
      <w:r>
        <w:rPr>
          <w:rFonts w:ascii="Arial" w:cs="Arial" w:eastAsia="Arial" w:hAnsi="Arial"/>
          <w:sz w:val="19"/>
          <w:szCs w:val="19"/>
          <w:color w:val="auto"/>
        </w:rPr>
        <w:t>”) may be settled in cash, or Shares (which may consist of Restricted Stock or</w:t>
      </w:r>
      <w:r>
        <w:rPr>
          <w:rFonts w:ascii="Arial" w:cs="Arial" w:eastAsia="Arial" w:hAnsi="Arial"/>
          <w:sz w:val="19"/>
          <w:szCs w:val="19"/>
          <w:b w:val="1"/>
          <w:bCs w:val="1"/>
          <w:color w:val="auto"/>
        </w:rPr>
        <w:t xml:space="preserve"> </w:t>
      </w:r>
      <w:r>
        <w:rPr>
          <w:rFonts w:ascii="Arial" w:cs="Arial" w:eastAsia="Arial" w:hAnsi="Arial"/>
          <w:sz w:val="19"/>
          <w:szCs w:val="19"/>
          <w:color w:val="auto"/>
        </w:rPr>
        <w:t>RSUs), having a value equal to the 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Committee will from time to time approve, and will comply with and be subject to the terms and conditions of this Plan.</w:t>
      </w:r>
    </w:p>
    <w:p>
      <w:pPr>
        <w:spacing w:after="0" w:line="195" w:lineRule="exact"/>
        <w:rPr>
          <w:sz w:val="20"/>
          <w:szCs w:val="20"/>
          <w:color w:val="auto"/>
        </w:rPr>
      </w:pPr>
    </w:p>
    <w:p>
      <w:pPr>
        <w:jc w:val="both"/>
        <w:ind w:firstLine="931"/>
        <w:spacing w:after="0" w:line="266"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b w:val="1"/>
          <w:bCs w:val="1"/>
          <w:u w:val="single" w:color="auto"/>
          <w:color w:val="auto"/>
        </w:rPr>
        <w:t>Exercise Period and Expiration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A SAR will be exercisable within the times or upon the occurrence of events determined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Committee and set forth in the Award Agreement governing such SAR. The Award Agreement shall set forth the Expiration Date;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no SAR will be exercisable after the expiration of ten years from the date the SAR is granted.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1600"/>
          </w:cols>
          <w:pgMar w:left="300" w:top="136" w:right="340" w:bottom="1440" w:gutter="0" w:footer="0" w:header="0"/>
        </w:sectPr>
      </w:pPr>
    </w:p>
    <w:bookmarkStart w:id="13" w:name="page14"/>
    <w:bookmarkEnd w:id="13"/>
    <w:p>
      <w:pPr>
        <w:ind w:left="1" w:right="60" w:firstLine="931"/>
        <w:spacing w:after="0" w:line="282"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7.3 </w:t>
      </w:r>
      <w:r>
        <w:rPr>
          <w:rFonts w:ascii="Arial" w:cs="Arial" w:eastAsia="Arial" w:hAnsi="Arial"/>
          <w:sz w:val="19"/>
          <w:szCs w:val="19"/>
          <w:b w:val="1"/>
          <w:bCs w:val="1"/>
          <w:u w:val="single" w:color="auto"/>
          <w:color w:val="auto"/>
        </w:rPr>
        <w:t>Exercise Price</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will determine the Exercise Price of the SAR when the SAR is granted, and which may not be less than</w:t>
      </w:r>
      <w:r>
        <w:rPr>
          <w:rFonts w:ascii="Arial" w:cs="Arial" w:eastAsia="Arial" w:hAnsi="Arial"/>
          <w:sz w:val="19"/>
          <w:szCs w:val="19"/>
          <w:b w:val="1"/>
          <w:bCs w:val="1"/>
          <w:color w:val="auto"/>
        </w:rPr>
        <w:t xml:space="preserve"> </w:t>
      </w:r>
      <w:r>
        <w:rPr>
          <w:rFonts w:ascii="Arial" w:cs="Arial" w:eastAsia="Arial" w:hAnsi="Arial"/>
          <w:sz w:val="19"/>
          <w:szCs w:val="19"/>
          <w:color w:val="auto"/>
        </w:rPr>
        <w:t>the Fair Market Value on the date of grant and may be settled in cash or in Shares.</w:t>
      </w:r>
    </w:p>
    <w:p>
      <w:pPr>
        <w:spacing w:after="0" w:line="171" w:lineRule="exact"/>
        <w:rPr>
          <w:sz w:val="20"/>
          <w:szCs w:val="20"/>
          <w:color w:val="auto"/>
        </w:rPr>
      </w:pPr>
    </w:p>
    <w:p>
      <w:pPr>
        <w:ind w:left="1" w:firstLine="931"/>
        <w:spacing w:after="0" w:line="282" w:lineRule="auto"/>
        <w:rPr>
          <w:sz w:val="20"/>
          <w:szCs w:val="20"/>
          <w:color w:val="auto"/>
        </w:rPr>
      </w:pPr>
      <w:r>
        <w:rPr>
          <w:rFonts w:ascii="Arial" w:cs="Arial" w:eastAsia="Arial" w:hAnsi="Arial"/>
          <w:sz w:val="19"/>
          <w:szCs w:val="19"/>
          <w:b w:val="1"/>
          <w:bCs w:val="1"/>
          <w:color w:val="auto"/>
        </w:rPr>
        <w:t xml:space="preserve">7.4 </w:t>
      </w:r>
      <w:r>
        <w:rPr>
          <w:rFonts w:ascii="Arial" w:cs="Arial" w:eastAsia="Arial" w:hAnsi="Arial"/>
          <w:sz w:val="19"/>
          <w:szCs w:val="19"/>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earlier termination pursuant to Sections 11 and 13.1 hereof and notwithstanding the exercise periods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Agreement, exercise of SARs will always be subject to the following terms and conditions.</w:t>
      </w:r>
    </w:p>
    <w:p>
      <w:pPr>
        <w:spacing w:after="0" w:line="177" w:lineRule="exact"/>
        <w:rPr>
          <w:sz w:val="20"/>
          <w:szCs w:val="20"/>
          <w:color w:val="auto"/>
        </w:rPr>
      </w:pPr>
    </w:p>
    <w:p>
      <w:pPr>
        <w:ind w:left="1" w:right="60" w:firstLine="1513"/>
        <w:spacing w:after="0" w:line="272"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Other than Death or Disability or for Cause</w:t>
      </w:r>
      <w:r>
        <w:rPr>
          <w:rFonts w:ascii="Arial" w:cs="Arial" w:eastAsia="Arial" w:hAnsi="Arial"/>
          <w:sz w:val="18"/>
          <w:szCs w:val="18"/>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but in any event, no later than the expiration date of the SARs.</w:t>
      </w:r>
    </w:p>
    <w:p>
      <w:pPr>
        <w:spacing w:after="0" w:line="190" w:lineRule="exact"/>
        <w:rPr>
          <w:sz w:val="20"/>
          <w:szCs w:val="20"/>
          <w:color w:val="auto"/>
        </w:rPr>
      </w:pPr>
    </w:p>
    <w:p>
      <w:pPr>
        <w:ind w:left="1" w:firstLine="1513"/>
        <w:spacing w:after="0" w:line="283" w:lineRule="auto"/>
        <w:rPr>
          <w:sz w:val="20"/>
          <w:szCs w:val="20"/>
          <w:color w:val="auto"/>
        </w:rPr>
      </w:pPr>
      <w:r>
        <w:rPr>
          <w:rFonts w:ascii="Arial" w:cs="Arial" w:eastAsia="Arial" w:hAnsi="Arial"/>
          <w:sz w:val="17"/>
          <w:szCs w:val="17"/>
          <w:color w:val="auto"/>
        </w:rPr>
        <w:t xml:space="preserve">7.4.2 </w:t>
      </w:r>
      <w:r>
        <w:rPr>
          <w:rFonts w:ascii="Arial" w:cs="Arial" w:eastAsia="Arial" w:hAnsi="Arial"/>
          <w:sz w:val="17"/>
          <w:szCs w:val="17"/>
          <w:u w:val="single" w:color="auto"/>
          <w:color w:val="auto"/>
        </w:rPr>
        <w:t>Death or Disability</w:t>
      </w:r>
      <w:r>
        <w:rPr>
          <w:rFonts w:ascii="Arial" w:cs="Arial" w:eastAsia="Arial" w:hAnsi="Arial"/>
          <w:sz w:val="17"/>
          <w:szCs w:val="17"/>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by Participant on the Termination Date or as otherwise determined by the Committee.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w:t>
      </w:r>
    </w:p>
    <w:p>
      <w:pPr>
        <w:spacing w:after="0" w:line="2" w:lineRule="exact"/>
        <w:rPr>
          <w:sz w:val="20"/>
          <w:szCs w:val="20"/>
          <w:color w:val="auto"/>
        </w:rPr>
      </w:pPr>
    </w:p>
    <w:p>
      <w:pPr>
        <w:ind w:left="1" w:right="380" w:hanging="1"/>
        <w:spacing w:after="0" w:line="261" w:lineRule="auto"/>
        <w:tabs>
          <w:tab w:leader="none" w:pos="27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months, or within such longer time period after the Termination Date as may be determined by the Committee) but in any event no later than the expiration date of the SARs.</w:t>
      </w:r>
    </w:p>
    <w:p>
      <w:pPr>
        <w:spacing w:after="0" w:line="196" w:lineRule="exact"/>
        <w:rPr>
          <w:sz w:val="20"/>
          <w:szCs w:val="20"/>
          <w:color w:val="auto"/>
        </w:rPr>
      </w:pPr>
    </w:p>
    <w:p>
      <w:pPr>
        <w:ind w:left="1" w:right="20" w:firstLine="1513"/>
        <w:spacing w:after="0" w:line="263" w:lineRule="auto"/>
        <w:rPr>
          <w:sz w:val="20"/>
          <w:szCs w:val="20"/>
          <w:color w:val="auto"/>
        </w:rPr>
      </w:pPr>
      <w:r>
        <w:rPr>
          <w:rFonts w:ascii="Arial" w:cs="Arial" w:eastAsia="Arial" w:hAnsi="Arial"/>
          <w:sz w:val="19"/>
          <w:szCs w:val="19"/>
          <w:color w:val="auto"/>
        </w:rPr>
        <w:t xml:space="preserve">7.4.3 </w:t>
      </w:r>
      <w:r>
        <w:rPr>
          <w:rFonts w:ascii="Arial" w:cs="Arial" w:eastAsia="Arial" w:hAnsi="Arial"/>
          <w:sz w:val="19"/>
          <w:szCs w:val="19"/>
          <w:u w:val="single" w:color="auto"/>
          <w:color w:val="auto"/>
        </w:rPr>
        <w:t>For Cause</w:t>
      </w:r>
      <w:r>
        <w:rPr>
          <w:rFonts w:ascii="Arial" w:cs="Arial" w:eastAsia="Arial" w:hAnsi="Arial"/>
          <w:sz w:val="19"/>
          <w:szCs w:val="19"/>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88" w:lineRule="exact"/>
        <w:rPr>
          <w:sz w:val="20"/>
          <w:szCs w:val="20"/>
          <w:color w:val="auto"/>
        </w:rPr>
      </w:pPr>
    </w:p>
    <w:p>
      <w:pPr>
        <w:ind w:left="661" w:hanging="195"/>
        <w:spacing w:after="0"/>
        <w:tabs>
          <w:tab w:leader="none" w:pos="661"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 FOR PURCHASES AND EXERCISES</w:t>
      </w:r>
      <w:r>
        <w:rPr>
          <w:rFonts w:ascii="Arial" w:cs="Arial" w:eastAsia="Arial" w:hAnsi="Arial"/>
          <w:sz w:val="19"/>
          <w:szCs w:val="19"/>
          <w:b w:val="1"/>
          <w:bCs w:val="1"/>
          <w:color w:val="auto"/>
        </w:rPr>
        <w:t>.</w:t>
      </w:r>
    </w:p>
    <w:p>
      <w:pPr>
        <w:spacing w:after="0" w:line="238" w:lineRule="exact"/>
        <w:rPr>
          <w:sz w:val="20"/>
          <w:szCs w:val="20"/>
          <w:color w:val="auto"/>
        </w:rPr>
      </w:pPr>
    </w:p>
    <w:p>
      <w:pPr>
        <w:ind w:left="1" w:right="120" w:firstLine="931"/>
        <w:spacing w:after="0" w:line="282"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b w:val="1"/>
          <w:bCs w:val="1"/>
          <w:u w:val="single" w:color="auto"/>
          <w:color w:val="auto"/>
        </w:rPr>
        <w:t>Payment in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for Shares acquired pursuant to this Plan may be made in cash (by check) or, where expressly approved</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Participant by the Committee and where permitted by law:</w:t>
      </w:r>
    </w:p>
    <w:p>
      <w:pPr>
        <w:spacing w:after="0" w:line="63" w:lineRule="exact"/>
        <w:rPr>
          <w:sz w:val="20"/>
          <w:szCs w:val="20"/>
          <w:color w:val="auto"/>
        </w:rPr>
      </w:pPr>
    </w:p>
    <w:p>
      <w:pPr>
        <w:ind w:left="1781" w:hanging="268"/>
        <w:spacing w:after="0"/>
        <w:tabs>
          <w:tab w:leader="none" w:pos="1781" w:val="left"/>
        </w:tabs>
        <w:numPr>
          <w:ilvl w:val="0"/>
          <w:numId w:val="15"/>
        </w:numPr>
        <w:rPr>
          <w:rFonts w:ascii="Arial" w:cs="Arial" w:eastAsia="Arial" w:hAnsi="Arial"/>
          <w:sz w:val="19"/>
          <w:szCs w:val="19"/>
          <w:color w:val="auto"/>
        </w:rPr>
      </w:pPr>
      <w:r>
        <w:rPr>
          <w:rFonts w:ascii="Arial" w:cs="Arial" w:eastAsia="Arial" w:hAnsi="Arial"/>
          <w:sz w:val="19"/>
          <w:szCs w:val="19"/>
          <w:color w:val="auto"/>
        </w:rPr>
        <w:t>by cancellation of indebtedness of the Company owed to the Participant;</w:t>
      </w:r>
    </w:p>
    <w:p>
      <w:pPr>
        <w:spacing w:after="0" w:line="237" w:lineRule="exact"/>
        <w:rPr>
          <w:rFonts w:ascii="Arial" w:cs="Arial" w:eastAsia="Arial" w:hAnsi="Arial"/>
          <w:sz w:val="19"/>
          <w:szCs w:val="19"/>
          <w:color w:val="auto"/>
        </w:rPr>
      </w:pPr>
    </w:p>
    <w:p>
      <w:pPr>
        <w:ind w:left="1" w:right="40" w:firstLine="1512"/>
        <w:spacing w:after="0" w:line="259" w:lineRule="auto"/>
        <w:tabs>
          <w:tab w:leader="none" w:pos="1783" w:val="left"/>
        </w:tabs>
        <w:numPr>
          <w:ilvl w:val="0"/>
          <w:numId w:val="15"/>
        </w:numPr>
        <w:rPr>
          <w:rFonts w:ascii="Arial" w:cs="Arial" w:eastAsia="Arial" w:hAnsi="Arial"/>
          <w:sz w:val="19"/>
          <w:szCs w:val="19"/>
          <w:color w:val="auto"/>
        </w:rPr>
      </w:pPr>
      <w:r>
        <w:rPr>
          <w:rFonts w:ascii="Arial" w:cs="Arial" w:eastAsia="Arial" w:hAnsi="Arial"/>
          <w:sz w:val="19"/>
          <w:szCs w:val="19"/>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7</w:t>
      </w:r>
    </w:p>
    <w:p>
      <w:pPr>
        <w:sectPr>
          <w:pgSz w:w="12240" w:h="15840" w:orient="portrait"/>
          <w:cols w:equalWidth="0" w:num="1">
            <w:col w:w="11621"/>
          </w:cols>
          <w:pgMar w:left="299" w:top="136" w:right="320" w:bottom="1440" w:gutter="0" w:footer="0" w:header="0"/>
        </w:sectPr>
      </w:pPr>
    </w:p>
    <w:bookmarkStart w:id="14" w:name="page15"/>
    <w:bookmarkEnd w:id="14"/>
    <w:p>
      <w:pPr>
        <w:ind w:firstLine="1512"/>
        <w:spacing w:after="0" w:line="294" w:lineRule="auto"/>
        <w:tabs>
          <w:tab w:leader="none" w:pos="1771"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further</w:t>
      </w:r>
      <w:r>
        <w:rPr>
          <w:rFonts w:ascii="Arial" w:cs="Arial" w:eastAsia="Arial" w:hAnsi="Arial"/>
          <w:sz w:val="17"/>
          <w:szCs w:val="17"/>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171" w:lineRule="exact"/>
        <w:rPr>
          <w:rFonts w:ascii="Arial" w:cs="Arial" w:eastAsia="Arial" w:hAnsi="Arial"/>
          <w:sz w:val="17"/>
          <w:szCs w:val="17"/>
          <w:color w:val="auto"/>
        </w:rPr>
      </w:pPr>
    </w:p>
    <w:p>
      <w:pPr>
        <w:ind w:left="1780" w:hanging="268"/>
        <w:spacing w:after="0"/>
        <w:tabs>
          <w:tab w:leader="none" w:pos="17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waiver of compensation due or accrued to the Participant from the Company for services rendered;</w:t>
      </w:r>
    </w:p>
    <w:p>
      <w:pPr>
        <w:spacing w:after="0" w:line="237" w:lineRule="exact"/>
        <w:rPr>
          <w:rFonts w:ascii="Arial" w:cs="Arial" w:eastAsia="Arial" w:hAnsi="Arial"/>
          <w:sz w:val="19"/>
          <w:szCs w:val="19"/>
          <w:color w:val="auto"/>
        </w:rPr>
      </w:pPr>
    </w:p>
    <w:p>
      <w:pPr>
        <w:ind w:left="1780" w:hanging="268"/>
        <w:spacing w:after="0"/>
        <w:tabs>
          <w:tab w:leader="none" w:pos="17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participating in a formal cashless exercise program implemented by the Committee in connection with the Plan;</w:t>
      </w:r>
    </w:p>
    <w:p>
      <w:pPr>
        <w:spacing w:after="0" w:line="237" w:lineRule="exact"/>
        <w:rPr>
          <w:rFonts w:ascii="Arial" w:cs="Arial" w:eastAsia="Arial" w:hAnsi="Arial"/>
          <w:sz w:val="19"/>
          <w:szCs w:val="19"/>
          <w:color w:val="auto"/>
        </w:rPr>
      </w:pPr>
    </w:p>
    <w:p>
      <w:pPr>
        <w:jc w:val="both"/>
        <w:ind w:right="60" w:firstLine="1512"/>
        <w:spacing w:after="0" w:line="277" w:lineRule="auto"/>
        <w:tabs>
          <w:tab w:leader="none" w:pos="17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compliance with applicable law, 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185" w:lineRule="exact"/>
        <w:rPr>
          <w:rFonts w:ascii="Arial" w:cs="Arial" w:eastAsia="Arial" w:hAnsi="Arial"/>
          <w:sz w:val="18"/>
          <w:szCs w:val="18"/>
          <w:color w:val="auto"/>
        </w:rPr>
      </w:pPr>
    </w:p>
    <w:p>
      <w:pPr>
        <w:ind w:left="1780" w:hanging="268"/>
        <w:spacing w:after="0"/>
        <w:tabs>
          <w:tab w:leader="none" w:pos="17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any combination of the foregoing or any other method of payment approved by the Committee.</w:t>
      </w:r>
    </w:p>
    <w:p>
      <w:pPr>
        <w:spacing w:after="0" w:line="232"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b w:val="1"/>
          <w:bCs w:val="1"/>
          <w:u w:val="single" w:color="auto"/>
          <w:color w:val="auto"/>
        </w:rPr>
        <w:t>Withholding Taxes</w:t>
      </w:r>
      <w:r>
        <w:rPr>
          <w:rFonts w:ascii="Arial" w:cs="Arial" w:eastAsia="Arial" w:hAnsi="Arial"/>
          <w:sz w:val="19"/>
          <w:szCs w:val="19"/>
          <w:b w:val="1"/>
          <w:bCs w:val="1"/>
          <w:color w:val="auto"/>
        </w:rPr>
        <w:t>.</w:t>
      </w:r>
    </w:p>
    <w:p>
      <w:pPr>
        <w:spacing w:after="0" w:line="244" w:lineRule="exact"/>
        <w:rPr>
          <w:sz w:val="20"/>
          <w:szCs w:val="20"/>
          <w:color w:val="auto"/>
        </w:rPr>
      </w:pPr>
    </w:p>
    <w:p>
      <w:pPr>
        <w:ind w:right="40" w:firstLine="1513"/>
        <w:spacing w:after="0" w:line="259" w:lineRule="auto"/>
        <w:rPr>
          <w:sz w:val="20"/>
          <w:szCs w:val="20"/>
          <w:color w:val="auto"/>
        </w:rPr>
      </w:pPr>
      <w:r>
        <w:rPr>
          <w:rFonts w:ascii="Arial" w:cs="Arial" w:eastAsia="Arial" w:hAnsi="Arial"/>
          <w:sz w:val="19"/>
          <w:szCs w:val="19"/>
          <w:color w:val="auto"/>
        </w:rPr>
        <w:t xml:space="preserve">8.2.1 </w:t>
      </w:r>
      <w:r>
        <w:rPr>
          <w:rFonts w:ascii="Arial" w:cs="Arial" w:eastAsia="Arial" w:hAnsi="Arial"/>
          <w:sz w:val="19"/>
          <w:szCs w:val="19"/>
          <w:u w:val="single" w:color="auto"/>
          <w:color w:val="auto"/>
        </w:rPr>
        <w:t>Withholding Generally</w:t>
      </w:r>
      <w:r>
        <w:rPr>
          <w:rFonts w:ascii="Arial" w:cs="Arial" w:eastAsia="Arial" w:hAnsi="Arial"/>
          <w:sz w:val="19"/>
          <w:szCs w:val="19"/>
          <w:color w:val="auto"/>
        </w:rPr>
        <w:t>. Whenever Shares are to be issued in satisfaction of Awards granted under this Plan, the Company may require the Participant to remit to the Company an amount sufficient to satisfy applicable tax withholding requirements prior to the delivery of any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198" w:lineRule="exact"/>
        <w:rPr>
          <w:sz w:val="20"/>
          <w:szCs w:val="20"/>
          <w:color w:val="auto"/>
        </w:rPr>
      </w:pPr>
    </w:p>
    <w:p>
      <w:pPr>
        <w:ind w:right="20" w:firstLine="1513"/>
        <w:spacing w:after="0" w:line="270"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Stock Withholding</w:t>
      </w:r>
      <w:r>
        <w:rPr>
          <w:rFonts w:ascii="Arial" w:cs="Arial" w:eastAsia="Arial" w:hAnsi="Arial"/>
          <w:sz w:val="18"/>
          <w:szCs w:val="18"/>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the minimum tax withholding obligation by electing to have the Company withhold from the Shares to be issued up to the minimum number of Shares having a Fair Market Value on the date that the amount of tax to be withheld is to be determined that is not more than the minimum amount to be withheld; or to arrange a mandatory “sell to cover” on Participant’s behalf (without further authorization) but in no event will the Company withhold Shares or “sell to cover” if such withholding would result in adverse accounting consequences to the Company. Any elections to have Shares withheld or sold for this purpose will be made in accordance with the requirements established by the Committee for such elections and be in writing in a form acceptable to the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1620"/>
          </w:cols>
          <w:pgMar w:left="300" w:top="142" w:right="320" w:bottom="1440" w:gutter="0" w:footer="0" w:header="0"/>
        </w:sectPr>
      </w:pPr>
    </w:p>
    <w:bookmarkStart w:id="15" w:name="page16"/>
    <w:bookmarkEnd w:id="15"/>
    <w:p>
      <w:pPr>
        <w:ind w:left="661" w:hanging="195"/>
        <w:spacing w:after="0"/>
        <w:tabs>
          <w:tab w:leader="none" w:pos="661"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RESTRICTIONS ON AWARDS</w:t>
      </w:r>
      <w:r>
        <w:rPr>
          <w:rFonts w:ascii="Arial" w:cs="Arial" w:eastAsia="Arial" w:hAnsi="Arial"/>
          <w:sz w:val="19"/>
          <w:szCs w:val="19"/>
          <w:b w:val="1"/>
          <w:bCs w:val="1"/>
          <w:color w:val="auto"/>
        </w:rPr>
        <w:t>.</w:t>
      </w:r>
    </w:p>
    <w:p>
      <w:pPr>
        <w:spacing w:after="0" w:line="238" w:lineRule="exact"/>
        <w:rPr>
          <w:sz w:val="20"/>
          <w:szCs w:val="20"/>
          <w:color w:val="auto"/>
        </w:rPr>
      </w:pPr>
    </w:p>
    <w:p>
      <w:pPr>
        <w:ind w:left="1" w:right="20" w:firstLine="931"/>
        <w:spacing w:after="0" w:line="269"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permitted by the Committee, Awards granted under this Plan, and any interest therein,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or assignable by Participant, other than by will or by the laws of descent and distribution, and, with respect to NQSOs,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 stock option and, prior to exercise, the shares to be issued on exercise of a stock option,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186" w:lineRule="exact"/>
        <w:rPr>
          <w:sz w:val="20"/>
          <w:szCs w:val="20"/>
          <w:color w:val="auto"/>
        </w:rPr>
      </w:pPr>
    </w:p>
    <w:p>
      <w:pPr>
        <w:ind w:left="1" w:right="80" w:firstLine="931"/>
        <w:spacing w:after="0" w:line="283"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this Plan is intended to be a written compensatory benefit plan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of Rule 701 promulgated under the Securities Act, grants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w:t>
      </w:r>
    </w:p>
    <w:p>
      <w:pPr>
        <w:spacing w:after="0" w:line="1" w:lineRule="exact"/>
        <w:rPr>
          <w:sz w:val="20"/>
          <w:szCs w:val="20"/>
          <w:color w:val="auto"/>
        </w:rPr>
      </w:pPr>
    </w:p>
    <w:p>
      <w:pPr>
        <w:ind w:left="1" w:hanging="1"/>
        <w:spacing w:after="0" w:line="254" w:lineRule="auto"/>
        <w:tabs>
          <w:tab w:leader="none" w:pos="27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compliance with any exemption,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securities laws, stock exchange or automated quotation system, and the Company will have no liability for any inability or failure so do.</w:t>
      </w:r>
    </w:p>
    <w:p>
      <w:pPr>
        <w:spacing w:after="0" w:line="197" w:lineRule="exact"/>
        <w:rPr>
          <w:sz w:val="20"/>
          <w:szCs w:val="20"/>
          <w:color w:val="auto"/>
        </w:rPr>
      </w:pPr>
    </w:p>
    <w:p>
      <w:pPr>
        <w:ind w:left="1" w:right="80" w:firstLine="931"/>
        <w:spacing w:after="0" w:line="266"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b w:val="1"/>
          <w:bCs w:val="1"/>
          <w:u w:val="single" w:color="auto"/>
          <w:color w:val="auto"/>
        </w:rPr>
        <w:t>Exchange and Buyout of Awards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Committee may, at any time or from time to time, authorize the Company, with the consent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respective Participants, to issue new Awards in exchange for the surrender and cancellation of any or all outstanding Awards. Without prior stockholder approval the Committee may reprice Options or SARs (and</w:t>
      </w:r>
    </w:p>
    <w:p>
      <w:pPr>
        <w:spacing w:after="0" w:line="121"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9</w:t>
      </w:r>
    </w:p>
    <w:p>
      <w:pPr>
        <w:sectPr>
          <w:pgSz w:w="12240" w:h="15840" w:orient="portrait"/>
          <w:cols w:equalWidth="0" w:num="1">
            <w:col w:w="11521"/>
          </w:cols>
          <w:pgMar w:left="299" w:top="136" w:right="420" w:bottom="1440" w:gutter="0" w:footer="0" w:header="0"/>
        </w:sectPr>
      </w:pPr>
    </w:p>
    <w:bookmarkStart w:id="16" w:name="page17"/>
    <w:bookmarkEnd w:id="16"/>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t>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54" w:lineRule="exact"/>
        <w:rPr>
          <w:sz w:val="20"/>
          <w:szCs w:val="20"/>
          <w:color w:val="auto"/>
        </w:rPr>
      </w:pPr>
    </w:p>
    <w:p>
      <w:pPr>
        <w:ind w:left="740" w:hanging="275"/>
        <w:spacing w:after="0"/>
        <w:tabs>
          <w:tab w:leader="none" w:pos="74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RESTRICTIONS ON SHARES</w:t>
      </w:r>
      <w:r>
        <w:rPr>
          <w:rFonts w:ascii="Arial" w:cs="Arial" w:eastAsia="Arial" w:hAnsi="Arial"/>
          <w:sz w:val="19"/>
          <w:szCs w:val="19"/>
          <w:b w:val="1"/>
          <w:bCs w:val="1"/>
          <w:color w:val="auto"/>
        </w:rPr>
        <w:t>.</w:t>
      </w:r>
    </w:p>
    <w:p>
      <w:pPr>
        <w:spacing w:after="0" w:line="238" w:lineRule="exact"/>
        <w:rPr>
          <w:sz w:val="20"/>
          <w:szCs w:val="20"/>
          <w:color w:val="auto"/>
        </w:rPr>
      </w:pPr>
    </w:p>
    <w:p>
      <w:pPr>
        <w:ind w:right="80" w:firstLine="931"/>
        <w:spacing w:after="0" w:line="27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Privileges of Stock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No Participant will have any of the rights of a stockholder with respect to any Shares until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83" w:lineRule="exact"/>
        <w:rPr>
          <w:sz w:val="20"/>
          <w:szCs w:val="20"/>
          <w:color w:val="auto"/>
        </w:rPr>
      </w:pPr>
    </w:p>
    <w:p>
      <w:pPr>
        <w:ind w:right="20" w:firstLine="931"/>
        <w:spacing w:after="0" w:line="296"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b w:val="1"/>
          <w:bCs w:val="1"/>
          <w:u w:val="single" w:color="auto"/>
          <w:color w:val="auto"/>
        </w:rPr>
        <w:t>Rights of First Refusal and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At the discretion of the Committee, the Company may reserve to itself and/or its assignee(s)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Award Agreement (a) a right of first refusal to purchase all Shares that a Participant (or a subsequent transferee) may propose to transfer to a third party,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such right of first refusal terminates upon the Company’s initial public offering of Common Stock pursuant to an effective registration statement 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164" w:lineRule="exact"/>
        <w:rPr>
          <w:sz w:val="20"/>
          <w:szCs w:val="20"/>
          <w:color w:val="auto"/>
        </w:rPr>
      </w:pPr>
    </w:p>
    <w:p>
      <w:pPr>
        <w:ind w:right="100" w:firstLine="931"/>
        <w:spacing w:after="0" w:line="269"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Escrow; Pledge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any restrictions on a Participant’s Shares, the Committee may require the Participant to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2240" w:h="15840" w:orient="portrait"/>
          <w:cols w:equalWidth="0" w:num="1">
            <w:col w:w="11620"/>
          </w:cols>
          <w:pgMar w:left="300" w:top="142" w:right="320" w:bottom="1440" w:gutter="0" w:footer="0" w:header="0"/>
        </w:sectPr>
      </w:pPr>
    </w:p>
    <w:bookmarkStart w:id="17" w:name="page18"/>
    <w:bookmarkEnd w:id="17"/>
    <w:p>
      <w:pPr>
        <w:ind w:right="240" w:firstLine="931"/>
        <w:spacing w:after="0" w:line="261"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10.4 </w:t>
      </w:r>
      <w:r>
        <w:rPr>
          <w:rFonts w:ascii="Arial" w:cs="Arial" w:eastAsia="Arial" w:hAnsi="Arial"/>
          <w:sz w:val="19"/>
          <w:szCs w:val="19"/>
          <w:b w:val="1"/>
          <w:bCs w:val="1"/>
          <w:u w:val="single" w:color="auto"/>
          <w:color w:val="auto"/>
        </w:rPr>
        <w:t>Securities Law Restrictions</w:t>
      </w:r>
      <w:r>
        <w:rPr>
          <w:rFonts w:ascii="Arial" w:cs="Arial" w:eastAsia="Arial" w:hAnsi="Arial"/>
          <w:sz w:val="19"/>
          <w:szCs w:val="19"/>
          <w:b w:val="1"/>
          <w:bCs w:val="1"/>
          <w:color w:val="auto"/>
        </w:rPr>
        <w:t xml:space="preserve">. </w:t>
      </w:r>
      <w:r>
        <w:rPr>
          <w:rFonts w:ascii="Arial" w:cs="Arial" w:eastAsia="Arial" w:hAnsi="Arial"/>
          <w:sz w:val="19"/>
          <w:szCs w:val="19"/>
          <w:color w:val="auto"/>
        </w:rPr>
        <w:t>All certificates for Shares or other securities delivered under this Plan will be subject to such stock</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orders, 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90" w:lineRule="exact"/>
        <w:rPr>
          <w:sz w:val="20"/>
          <w:szCs w:val="20"/>
          <w:color w:val="auto"/>
        </w:rPr>
      </w:pPr>
    </w:p>
    <w:p>
      <w:pPr>
        <w:ind w:left="740" w:hanging="275"/>
        <w:spacing w:after="0"/>
        <w:tabs>
          <w:tab w:leader="none" w:pos="74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CORPORATE TRANSACTIONS</w:t>
      </w:r>
      <w:r>
        <w:rPr>
          <w:rFonts w:ascii="Arial" w:cs="Arial" w:eastAsia="Arial" w:hAnsi="Arial"/>
          <w:sz w:val="19"/>
          <w:szCs w:val="19"/>
          <w:b w:val="1"/>
          <w:bCs w:val="1"/>
          <w:color w:val="auto"/>
        </w:rPr>
        <w:t>.</w:t>
      </w:r>
    </w:p>
    <w:p>
      <w:pPr>
        <w:spacing w:after="0" w:line="238" w:lineRule="exact"/>
        <w:rPr>
          <w:sz w:val="20"/>
          <w:szCs w:val="20"/>
          <w:color w:val="auto"/>
        </w:rPr>
      </w:pPr>
    </w:p>
    <w:p>
      <w:pPr>
        <w:ind w:right="60" w:firstLine="931"/>
        <w:spacing w:after="0" w:line="261"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b w:val="1"/>
          <w:bCs w:val="1"/>
          <w:u w:val="single" w:color="auto"/>
          <w:color w:val="auto"/>
        </w:rPr>
        <w:t>Acquisitions or Other Combinations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the Company is subject to an Acquisition or Other Combination, outstanding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82" w:lineRule="exact"/>
        <w:rPr>
          <w:sz w:val="20"/>
          <w:szCs w:val="20"/>
          <w:color w:val="auto"/>
        </w:rPr>
      </w:pPr>
    </w:p>
    <w:p>
      <w:pPr>
        <w:ind w:left="1780" w:hanging="268"/>
        <w:spacing w:after="0"/>
        <w:tabs>
          <w:tab w:leader="none" w:pos="17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continuation of such outstanding Awards by the Company (if the Company is the successor entity).</w:t>
      </w:r>
    </w:p>
    <w:p>
      <w:pPr>
        <w:spacing w:after="0" w:line="237" w:lineRule="exact"/>
        <w:rPr>
          <w:rFonts w:ascii="Arial" w:cs="Arial" w:eastAsia="Arial" w:hAnsi="Arial"/>
          <w:sz w:val="19"/>
          <w:szCs w:val="19"/>
          <w:color w:val="auto"/>
        </w:rPr>
      </w:pPr>
    </w:p>
    <w:p>
      <w:pPr>
        <w:ind w:firstLine="1512"/>
        <w:spacing w:after="0" w:line="285" w:lineRule="auto"/>
        <w:tabs>
          <w:tab w:leader="none" w:pos="17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Acquisition or Other Combination.</w:t>
      </w:r>
    </w:p>
    <w:p>
      <w:pPr>
        <w:spacing w:after="0" w:line="180" w:lineRule="exact"/>
        <w:rPr>
          <w:rFonts w:ascii="Arial" w:cs="Arial" w:eastAsia="Arial" w:hAnsi="Arial"/>
          <w:sz w:val="17"/>
          <w:szCs w:val="17"/>
          <w:color w:val="auto"/>
        </w:rPr>
      </w:pPr>
    </w:p>
    <w:p>
      <w:pPr>
        <w:jc w:val="both"/>
        <w:ind w:right="140" w:firstLine="1512"/>
        <w:spacing w:after="0" w:line="259" w:lineRule="auto"/>
        <w:tabs>
          <w:tab w:leader="none" w:pos="1771"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1640"/>
          </w:cols>
          <w:pgMar w:left="300" w:top="136" w:right="300" w:bottom="1440" w:gutter="0" w:footer="0" w:header="0"/>
        </w:sectPr>
      </w:pPr>
    </w:p>
    <w:bookmarkStart w:id="18" w:name="page19"/>
    <w:bookmarkEnd w:id="18"/>
    <w:p>
      <w:pPr>
        <w:ind w:left="1780" w:hanging="268"/>
        <w:spacing w:after="0"/>
        <w:tabs>
          <w:tab w:leader="none" w:pos="1780" w:val="left"/>
        </w:tabs>
        <w:numPr>
          <w:ilvl w:val="0"/>
          <w:numId w:val="2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The full or partial exercisability or vesting and accelerated expiration of outstanding Awards.</w:t>
      </w:r>
    </w:p>
    <w:p>
      <w:pPr>
        <w:spacing w:after="0" w:line="237" w:lineRule="exact"/>
        <w:rPr>
          <w:rFonts w:ascii="Arial" w:cs="Arial" w:eastAsia="Arial" w:hAnsi="Arial"/>
          <w:sz w:val="19"/>
          <w:szCs w:val="19"/>
          <w:color w:val="auto"/>
        </w:rPr>
      </w:pPr>
    </w:p>
    <w:p>
      <w:pPr>
        <w:ind w:right="20" w:firstLine="1512"/>
        <w:spacing w:after="0" w:line="270" w:lineRule="auto"/>
        <w:tabs>
          <w:tab w:leader="none" w:pos="17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190" w:lineRule="exact"/>
        <w:rPr>
          <w:rFonts w:ascii="Arial" w:cs="Arial" w:eastAsia="Arial" w:hAnsi="Arial"/>
          <w:sz w:val="18"/>
          <w:szCs w:val="18"/>
          <w:color w:val="auto"/>
        </w:rPr>
      </w:pPr>
    </w:p>
    <w:p>
      <w:pPr>
        <w:ind w:left="1740" w:hanging="228"/>
        <w:spacing w:after="0"/>
        <w:tabs>
          <w:tab w:leader="none" w:pos="17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cancellation of outstanding Awards in exchange for no consideration.</w:t>
      </w:r>
    </w:p>
    <w:p>
      <w:pPr>
        <w:spacing w:after="0" w:line="238" w:lineRule="exact"/>
        <w:rPr>
          <w:sz w:val="20"/>
          <w:szCs w:val="20"/>
          <w:color w:val="auto"/>
        </w:rPr>
      </w:pPr>
    </w:p>
    <w:p>
      <w:pPr>
        <w:ind w:right="40" w:firstLine="465"/>
        <w:spacing w:after="0" w:line="275" w:lineRule="auto"/>
        <w:rPr>
          <w:sz w:val="20"/>
          <w:szCs w:val="20"/>
          <w:color w:val="auto"/>
        </w:rPr>
      </w:pPr>
      <w:r>
        <w:rPr>
          <w:rFonts w:ascii="Arial" w:cs="Arial" w:eastAsia="Arial" w:hAnsi="Arial"/>
          <w:sz w:val="19"/>
          <w:szCs w:val="19"/>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178" w:lineRule="exact"/>
        <w:rPr>
          <w:sz w:val="20"/>
          <w:szCs w:val="20"/>
          <w:color w:val="auto"/>
        </w:rPr>
      </w:pPr>
    </w:p>
    <w:p>
      <w:pPr>
        <w:ind w:firstLine="931"/>
        <w:spacing w:after="0" w:line="254"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b w:val="1"/>
          <w:bCs w:val="1"/>
          <w:u w:val="single" w:color="auto"/>
          <w:color w:val="auto"/>
        </w:rPr>
        <w:t>Assumption of Awards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from time to time, also may substitute or assume outstanding awards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rather than assuming an existing option or stock appreciation right, such new Option or SAR may be granted with a similarly adjusted Exercise Price.</w:t>
      </w:r>
    </w:p>
    <w:p>
      <w:pPr>
        <w:spacing w:after="0" w:line="198" w:lineRule="exact"/>
        <w:rPr>
          <w:sz w:val="20"/>
          <w:szCs w:val="20"/>
          <w:color w:val="auto"/>
        </w:rPr>
      </w:pPr>
    </w:p>
    <w:p>
      <w:pPr>
        <w:ind w:left="740" w:hanging="275"/>
        <w:spacing w:after="0"/>
        <w:tabs>
          <w:tab w:leader="none" w:pos="74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ADMINISTRATION</w:t>
      </w:r>
      <w:r>
        <w:rPr>
          <w:rFonts w:ascii="Arial" w:cs="Arial" w:eastAsia="Arial" w:hAnsi="Arial"/>
          <w:sz w:val="19"/>
          <w:szCs w:val="19"/>
          <w:b w:val="1"/>
          <w:bCs w:val="1"/>
          <w:color w:val="auto"/>
        </w:rPr>
        <w:t>.</w:t>
      </w:r>
    </w:p>
    <w:p>
      <w:pPr>
        <w:spacing w:after="0" w:line="238" w:lineRule="exact"/>
        <w:rPr>
          <w:sz w:val="20"/>
          <w:szCs w:val="20"/>
          <w:color w:val="auto"/>
        </w:rPr>
      </w:pPr>
    </w:p>
    <w:p>
      <w:pPr>
        <w:ind w:right="240" w:firstLine="931"/>
        <w:spacing w:after="0" w:line="266"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19"/>
          <w:szCs w:val="19"/>
          <w:b w:val="1"/>
          <w:bCs w:val="1"/>
          <w:u w:val="single" w:color="auto"/>
          <w:color w:val="auto"/>
        </w:rPr>
        <w:t>Committee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This Plan will be administered by the Committee or the Board if no Committee is created by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general purposes, terms and conditions of this Plan, and to the direction of the Board, the Committee will have full power to implement and carry out this Plan. Without limitation, the Committee will have the authority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2240" w:h="15840" w:orient="portrait"/>
          <w:cols w:equalWidth="0" w:num="1">
            <w:col w:w="11640"/>
          </w:cols>
          <w:pgMar w:left="300" w:top="142" w:right="300" w:bottom="1440" w:gutter="0" w:footer="0" w:header="0"/>
        </w:sectPr>
      </w:pPr>
    </w:p>
    <w:bookmarkStart w:id="19" w:name="page20"/>
    <w:bookmarkEnd w:id="19"/>
    <w:p>
      <w:pPr>
        <w:ind w:left="1700" w:hanging="26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construe and interpret this Plan, any Award Agreement and any other agreement or document executed pursuant to this Plan;</w:t>
      </w:r>
    </w:p>
    <w:p>
      <w:pPr>
        <w:spacing w:after="0" w:line="260" w:lineRule="exact"/>
        <w:rPr>
          <w:rFonts w:ascii="Arial" w:cs="Arial" w:eastAsia="Arial" w:hAnsi="Arial"/>
          <w:sz w:val="17"/>
          <w:szCs w:val="17"/>
          <w:color w:val="auto"/>
        </w:rPr>
      </w:pPr>
    </w:p>
    <w:p>
      <w:pPr>
        <w:ind w:left="1700" w:hanging="268"/>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prescribe, amend, expand, modify and rescind or terminate rules and regulations relating to this Plan;</w:t>
      </w:r>
    </w:p>
    <w:p>
      <w:pPr>
        <w:spacing w:after="0" w:line="237" w:lineRule="exact"/>
        <w:rPr>
          <w:rFonts w:ascii="Arial" w:cs="Arial" w:eastAsia="Arial" w:hAnsi="Arial"/>
          <w:sz w:val="19"/>
          <w:szCs w:val="19"/>
          <w:color w:val="auto"/>
        </w:rPr>
      </w:pPr>
    </w:p>
    <w:p>
      <w:pPr>
        <w:ind w:left="1700" w:hanging="268"/>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approve persons to receive Awards;</w:t>
      </w:r>
    </w:p>
    <w:p>
      <w:pPr>
        <w:spacing w:after="0" w:line="237" w:lineRule="exact"/>
        <w:rPr>
          <w:rFonts w:ascii="Arial" w:cs="Arial" w:eastAsia="Arial" w:hAnsi="Arial"/>
          <w:sz w:val="19"/>
          <w:szCs w:val="19"/>
          <w:color w:val="auto"/>
        </w:rPr>
      </w:pPr>
    </w:p>
    <w:p>
      <w:pPr>
        <w:ind w:left="1700" w:hanging="268"/>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determine the form and terms of Awards;</w:t>
      </w:r>
    </w:p>
    <w:p>
      <w:pPr>
        <w:spacing w:after="0" w:line="237" w:lineRule="exact"/>
        <w:rPr>
          <w:rFonts w:ascii="Arial" w:cs="Arial" w:eastAsia="Arial" w:hAnsi="Arial"/>
          <w:sz w:val="19"/>
          <w:szCs w:val="19"/>
          <w:color w:val="auto"/>
        </w:rPr>
      </w:pPr>
    </w:p>
    <w:p>
      <w:pPr>
        <w:ind w:left="1700" w:hanging="268"/>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determine the number of Shares or other consideration subject to Awards granted under this Plan;</w:t>
      </w:r>
    </w:p>
    <w:p>
      <w:pPr>
        <w:spacing w:after="0" w:line="237" w:lineRule="exact"/>
        <w:rPr>
          <w:rFonts w:ascii="Arial" w:cs="Arial" w:eastAsia="Arial" w:hAnsi="Arial"/>
          <w:sz w:val="19"/>
          <w:szCs w:val="19"/>
          <w:color w:val="auto"/>
        </w:rPr>
      </w:pPr>
    </w:p>
    <w:p>
      <w:pPr>
        <w:ind w:left="-80" w:right="500" w:firstLine="1512"/>
        <w:spacing w:after="0" w:line="275" w:lineRule="auto"/>
        <w:tabs>
          <w:tab w:leader="none" w:pos="167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83" w:lineRule="exact"/>
        <w:rPr>
          <w:rFonts w:ascii="Arial" w:cs="Arial" w:eastAsia="Arial" w:hAnsi="Arial"/>
          <w:sz w:val="19"/>
          <w:szCs w:val="19"/>
          <w:color w:val="auto"/>
        </w:rPr>
      </w:pPr>
    </w:p>
    <w:p>
      <w:pPr>
        <w:jc w:val="both"/>
        <w:ind w:left="-80" w:right="140" w:firstLine="1512"/>
        <w:spacing w:after="0" w:line="336" w:lineRule="auto"/>
        <w:tabs>
          <w:tab w:leader="none" w:pos="17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37" w:lineRule="exact"/>
        <w:rPr>
          <w:rFonts w:ascii="Arial" w:cs="Arial" w:eastAsia="Arial" w:hAnsi="Arial"/>
          <w:sz w:val="17"/>
          <w:szCs w:val="17"/>
          <w:color w:val="auto"/>
        </w:rPr>
      </w:pPr>
    </w:p>
    <w:p>
      <w:pPr>
        <w:ind w:left="1700" w:hanging="268"/>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grant waivers of any conditions of this Plan or any Award;</w:t>
      </w:r>
    </w:p>
    <w:p>
      <w:pPr>
        <w:spacing w:after="0" w:line="237" w:lineRule="exact"/>
        <w:rPr>
          <w:rFonts w:ascii="Arial" w:cs="Arial" w:eastAsia="Arial" w:hAnsi="Arial"/>
          <w:sz w:val="19"/>
          <w:szCs w:val="19"/>
          <w:color w:val="auto"/>
        </w:rPr>
      </w:pPr>
    </w:p>
    <w:p>
      <w:pPr>
        <w:ind w:left="1660" w:hanging="228"/>
        <w:spacing w:after="0"/>
        <w:tabs>
          <w:tab w:leader="none" w:pos="16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determine the terms of vesting, exercisability and payment of Awards to be granted pursuant to this Plan;</w:t>
      </w:r>
    </w:p>
    <w:p>
      <w:pPr>
        <w:spacing w:after="0" w:line="237" w:lineRule="exact"/>
        <w:rPr>
          <w:rFonts w:ascii="Arial" w:cs="Arial" w:eastAsia="Arial" w:hAnsi="Arial"/>
          <w:sz w:val="19"/>
          <w:szCs w:val="19"/>
          <w:color w:val="auto"/>
        </w:rPr>
      </w:pPr>
    </w:p>
    <w:p>
      <w:pPr>
        <w:ind w:left="-80" w:right="400" w:firstLine="1512"/>
        <w:spacing w:after="0" w:line="275" w:lineRule="auto"/>
        <w:tabs>
          <w:tab w:leader="none" w:pos="16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correct any defect, supply any omission, or reconcile any inconsistency in this Plan, any Award, any Award Agreement, any Exercise Agreement or any Restricted Stock Purchase Agreement;</w:t>
      </w:r>
    </w:p>
    <w:p>
      <w:pPr>
        <w:spacing w:after="0" w:line="183" w:lineRule="exact"/>
        <w:rPr>
          <w:rFonts w:ascii="Arial" w:cs="Arial" w:eastAsia="Arial" w:hAnsi="Arial"/>
          <w:sz w:val="19"/>
          <w:szCs w:val="19"/>
          <w:color w:val="auto"/>
        </w:rPr>
      </w:pPr>
    </w:p>
    <w:p>
      <w:pPr>
        <w:ind w:left="1700" w:hanging="268"/>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determine whether an Award has been earned;</w:t>
      </w:r>
    </w:p>
    <w:p>
      <w:pPr>
        <w:spacing w:after="0" w:line="237" w:lineRule="exact"/>
        <w:rPr>
          <w:rFonts w:ascii="Arial" w:cs="Arial" w:eastAsia="Arial" w:hAnsi="Arial"/>
          <w:sz w:val="19"/>
          <w:szCs w:val="19"/>
          <w:color w:val="auto"/>
        </w:rPr>
      </w:pPr>
    </w:p>
    <w:p>
      <w:pPr>
        <w:ind w:left="1660" w:hanging="228"/>
        <w:spacing w:after="0"/>
        <w:tabs>
          <w:tab w:leader="none" w:pos="16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extend the vesting period beyond a Participant’s Termination Date;</w:t>
      </w:r>
    </w:p>
    <w:p>
      <w:pPr>
        <w:spacing w:after="0" w:line="237" w:lineRule="exact"/>
        <w:rPr>
          <w:rFonts w:ascii="Arial" w:cs="Arial" w:eastAsia="Arial" w:hAnsi="Arial"/>
          <w:sz w:val="19"/>
          <w:szCs w:val="19"/>
          <w:color w:val="auto"/>
        </w:rPr>
      </w:pPr>
    </w:p>
    <w:p>
      <w:pPr>
        <w:ind w:left="-80" w:right="1040" w:firstLine="1512"/>
        <w:spacing w:after="0" w:line="304" w:lineRule="auto"/>
        <w:tabs>
          <w:tab w:leader="none" w:pos="17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60" w:lineRule="exact"/>
        <w:rPr>
          <w:rFonts w:ascii="Arial" w:cs="Arial" w:eastAsia="Arial" w:hAnsi="Arial"/>
          <w:sz w:val="18"/>
          <w:szCs w:val="18"/>
          <w:color w:val="auto"/>
        </w:rPr>
      </w:pPr>
    </w:p>
    <w:p>
      <w:pPr>
        <w:ind w:left="-80" w:firstLine="1512"/>
        <w:spacing w:after="0" w:line="275" w:lineRule="auto"/>
        <w:tabs>
          <w:tab w:leader="none" w:pos="1702"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delegate any of the foregoing to a subcommittee consisting of one or more executive officers pursuant to a specific delegation as may otherwise be permitted by applicable law;</w:t>
      </w:r>
    </w:p>
    <w:p>
      <w:pPr>
        <w:spacing w:after="0" w:line="183" w:lineRule="exact"/>
        <w:rPr>
          <w:rFonts w:ascii="Arial" w:cs="Arial" w:eastAsia="Arial" w:hAnsi="Arial"/>
          <w:sz w:val="19"/>
          <w:szCs w:val="19"/>
          <w:color w:val="auto"/>
        </w:rPr>
      </w:pPr>
    </w:p>
    <w:p>
      <w:pPr>
        <w:ind w:left="-80" w:right="340" w:firstLine="1512"/>
        <w:spacing w:after="0" w:line="304" w:lineRule="auto"/>
        <w:tabs>
          <w:tab w:leader="none" w:pos="17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60" w:lineRule="exact"/>
        <w:rPr>
          <w:rFonts w:ascii="Arial" w:cs="Arial" w:eastAsia="Arial" w:hAnsi="Arial"/>
          <w:sz w:val="18"/>
          <w:szCs w:val="18"/>
          <w:color w:val="auto"/>
        </w:rPr>
      </w:pPr>
    </w:p>
    <w:p>
      <w:pPr>
        <w:ind w:left="1700" w:hanging="268"/>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make all other determinations necessary or advisable in connection with the administration of this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2240" w:h="15840" w:orient="portrait"/>
          <w:cols w:equalWidth="0" w:num="1">
            <w:col w:w="11480"/>
          </w:cols>
          <w:pgMar w:left="380" w:top="142" w:right="380" w:bottom="1440" w:gutter="0" w:footer="0" w:header="0"/>
        </w:sectPr>
      </w:pPr>
    </w:p>
    <w:bookmarkStart w:id="20" w:name="page21"/>
    <w:bookmarkEnd w:id="20"/>
    <w:p>
      <w:pPr>
        <w:ind w:left="1" w:firstLine="931"/>
        <w:spacing w:after="0" w:line="29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12.2 </w:t>
      </w:r>
      <w:r>
        <w:rPr>
          <w:rFonts w:ascii="Arial" w:cs="Arial" w:eastAsia="Arial" w:hAnsi="Arial"/>
          <w:sz w:val="17"/>
          <w:szCs w:val="17"/>
          <w:b w:val="1"/>
          <w:bCs w:val="1"/>
          <w:u w:val="single" w:color="auto"/>
          <w:color w:val="auto"/>
        </w:rPr>
        <w:t>Committee Composition and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delegate full administrative authority over the Plan and Awards to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each such officer is a member of the Board.</w:t>
      </w:r>
    </w:p>
    <w:p>
      <w:pPr>
        <w:spacing w:after="0" w:line="170" w:lineRule="exact"/>
        <w:rPr>
          <w:sz w:val="20"/>
          <w:szCs w:val="20"/>
          <w:color w:val="auto"/>
        </w:rPr>
      </w:pPr>
    </w:p>
    <w:p>
      <w:pPr>
        <w:ind w:left="1" w:right="20" w:firstLine="931"/>
        <w:spacing w:after="0" w:line="280"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Nonexclusivity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adoption of this Plan by the Board, the submission of this Plan to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75" w:lineRule="exact"/>
        <w:rPr>
          <w:sz w:val="20"/>
          <w:szCs w:val="20"/>
          <w:color w:val="auto"/>
        </w:rPr>
      </w:pPr>
    </w:p>
    <w:p>
      <w:pPr>
        <w:ind w:left="1" w:right="160" w:firstLine="931"/>
        <w:spacing w:after="0" w:line="282" w:lineRule="auto"/>
        <w:rPr>
          <w:sz w:val="20"/>
          <w:szCs w:val="20"/>
          <w:color w:val="auto"/>
        </w:rPr>
      </w:pPr>
      <w:r>
        <w:rPr>
          <w:rFonts w:ascii="Arial" w:cs="Arial" w:eastAsia="Arial" w:hAnsi="Arial"/>
          <w:sz w:val="19"/>
          <w:szCs w:val="19"/>
          <w:b w:val="1"/>
          <w:bCs w:val="1"/>
          <w:color w:val="auto"/>
        </w:rPr>
        <w:t xml:space="preserve">12.4 </w:t>
      </w: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Plan and all agreements hereunder shall be governed by and construed in accordance with the laws of the State</w:t>
      </w:r>
      <w:r>
        <w:rPr>
          <w:rFonts w:ascii="Arial" w:cs="Arial" w:eastAsia="Arial" w:hAnsi="Arial"/>
          <w:sz w:val="19"/>
          <w:szCs w:val="19"/>
          <w:b w:val="1"/>
          <w:bCs w:val="1"/>
          <w:color w:val="auto"/>
        </w:rPr>
        <w:t xml:space="preserve"> </w:t>
      </w:r>
      <w:r>
        <w:rPr>
          <w:rFonts w:ascii="Arial" w:cs="Arial" w:eastAsia="Arial" w:hAnsi="Arial"/>
          <w:sz w:val="19"/>
          <w:szCs w:val="19"/>
          <w:color w:val="auto"/>
        </w:rPr>
        <w:t>of California, without giving effect to that body of laws pertaining to conflict of laws.</w:t>
      </w:r>
    </w:p>
    <w:p>
      <w:pPr>
        <w:spacing w:after="0" w:line="171" w:lineRule="exact"/>
        <w:rPr>
          <w:sz w:val="20"/>
          <w:szCs w:val="20"/>
          <w:color w:val="auto"/>
        </w:rPr>
      </w:pPr>
    </w:p>
    <w:p>
      <w:pPr>
        <w:ind w:left="741" w:hanging="275"/>
        <w:spacing w:after="0"/>
        <w:tabs>
          <w:tab w:leader="none" w:pos="741"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EFFECTIVENESS, AMENDMENT AND TERMINATION OF THE PLAN</w:t>
      </w:r>
      <w:r>
        <w:rPr>
          <w:rFonts w:ascii="Arial" w:cs="Arial" w:eastAsia="Arial" w:hAnsi="Arial"/>
          <w:sz w:val="19"/>
          <w:szCs w:val="19"/>
          <w:b w:val="1"/>
          <w:bCs w:val="1"/>
          <w:color w:val="auto"/>
        </w:rPr>
        <w:t>.</w:t>
      </w:r>
    </w:p>
    <w:p>
      <w:pPr>
        <w:spacing w:after="0" w:line="238" w:lineRule="exact"/>
        <w:rPr>
          <w:sz w:val="20"/>
          <w:szCs w:val="20"/>
          <w:color w:val="auto"/>
        </w:rPr>
      </w:pPr>
    </w:p>
    <w:p>
      <w:pPr>
        <w:ind w:left="1" w:right="60" w:firstLine="931"/>
        <w:spacing w:after="0" w:line="286"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b w:val="1"/>
          <w:bCs w:val="1"/>
          <w:u w:val="single" w:color="auto"/>
          <w:color w:val="auto"/>
        </w:rPr>
        <w:t>Adoption and Stockholder Approval</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will become effective on the date that it is adopted by the Board (the “</w:t>
      </w:r>
      <w:r>
        <w:rPr>
          <w:rFonts w:ascii="Arial" w:cs="Arial" w:eastAsia="Arial" w:hAnsi="Arial"/>
          <w:sz w:val="17"/>
          <w:szCs w:val="17"/>
          <w:b w:val="1"/>
          <w:bCs w:val="1"/>
          <w:i w:val="1"/>
          <w:iCs w:val="1"/>
          <w:color w:val="auto"/>
        </w:rPr>
        <w:t>Effective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This Plan will be approved by the stockholders of the Company (excluding Shares issued pursuant to this Plan), consistent with applicable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within twelve (12) months before or after the Effective Date. Upon the Effective Date, the Board may grant Awards pursuant to this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 no Option or SAR may be exercised prior to initial stockholder approval of this Plan; (b) no Option or SAR granted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76" w:lineRule="exact"/>
        <w:rPr>
          <w:sz w:val="20"/>
          <w:szCs w:val="20"/>
          <w:color w:val="auto"/>
        </w:rPr>
      </w:pPr>
    </w:p>
    <w:p>
      <w:pPr>
        <w:ind w:left="941"/>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as provided herein, this Plan will automatically terminate ten (10) years after the later of</w:t>
      </w:r>
    </w:p>
    <w:p>
      <w:pPr>
        <w:spacing w:after="0" w:line="40" w:lineRule="exact"/>
        <w:rPr>
          <w:sz w:val="20"/>
          <w:szCs w:val="20"/>
          <w:color w:val="auto"/>
        </w:rPr>
      </w:pPr>
    </w:p>
    <w:p>
      <w:pPr>
        <w:ind w:left="5721" w:right="1100" w:hanging="5721"/>
        <w:spacing w:after="0" w:line="433" w:lineRule="auto"/>
        <w:tabs>
          <w:tab w:leader="none" w:pos="224"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Effective Date, or (ii) the most recent increase in the number of Shares reserved under Section 2 that was approved by stockholders. 14</w:t>
      </w:r>
    </w:p>
    <w:p>
      <w:pPr>
        <w:sectPr>
          <w:pgSz w:w="12240" w:h="15840" w:orient="portrait"/>
          <w:cols w:equalWidth="0" w:num="1">
            <w:col w:w="11641"/>
          </w:cols>
          <w:pgMar w:left="299" w:top="136" w:right="300" w:bottom="1440" w:gutter="0" w:footer="0" w:header="0"/>
        </w:sectPr>
      </w:pPr>
    </w:p>
    <w:bookmarkStart w:id="21" w:name="page22"/>
    <w:bookmarkEnd w:id="21"/>
    <w:p>
      <w:pPr>
        <w:ind w:right="20" w:firstLine="931"/>
        <w:spacing w:after="0" w:line="27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13.3 </w:t>
      </w: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4.9 hereof, the Board may at any time (a) terminate or amend this Plan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including without limitation amendment of any form of Award Agreement or instrument to be executed pursuant to this Plan and (b) terminate any and all outstanding Options, SARs or RSUs upon a dissolution or liquidation of the Company, followed by the payment of creditors and the distribution of any remaining funds to the Company’s stockholders;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183" w:lineRule="exact"/>
        <w:rPr>
          <w:sz w:val="20"/>
          <w:szCs w:val="20"/>
          <w:color w:val="auto"/>
        </w:rPr>
      </w:pPr>
    </w:p>
    <w:p>
      <w:pPr>
        <w:ind w:left="740" w:hanging="275"/>
        <w:spacing w:after="0"/>
        <w:tabs>
          <w:tab w:leader="none" w:pos="74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all purposes of this Plan, the following terms will have the following meanings.</w:t>
      </w:r>
    </w:p>
    <w:p>
      <w:pPr>
        <w:spacing w:after="0" w:line="244"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for purposes of Section 11, means:</w:t>
      </w:r>
    </w:p>
    <w:p>
      <w:pPr>
        <w:spacing w:after="0" w:line="124" w:lineRule="exact"/>
        <w:rPr>
          <w:sz w:val="20"/>
          <w:szCs w:val="20"/>
          <w:color w:val="auto"/>
        </w:rPr>
      </w:pPr>
    </w:p>
    <w:p>
      <w:pPr>
        <w:jc w:val="both"/>
        <w:ind w:right="60" w:firstLine="1512"/>
        <w:spacing w:after="0" w:line="274" w:lineRule="auto"/>
        <w:tabs>
          <w:tab w:leader="none" w:pos="17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87" w:lineRule="exact"/>
        <w:rPr>
          <w:rFonts w:ascii="Arial" w:cs="Arial" w:eastAsia="Arial" w:hAnsi="Arial"/>
          <w:sz w:val="18"/>
          <w:szCs w:val="18"/>
          <w:color w:val="auto"/>
        </w:rPr>
      </w:pPr>
    </w:p>
    <w:p>
      <w:pPr>
        <w:ind w:firstLine="1512"/>
        <w:spacing w:after="0" w:line="256" w:lineRule="auto"/>
        <w:tabs>
          <w:tab w:leader="none" w:pos="1782"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203" w:lineRule="exact"/>
        <w:rPr>
          <w:rFonts w:ascii="Arial" w:cs="Arial" w:eastAsia="Arial" w:hAnsi="Arial"/>
          <w:sz w:val="19"/>
          <w:szCs w:val="19"/>
          <w:color w:val="auto"/>
        </w:rPr>
      </w:pPr>
    </w:p>
    <w:p>
      <w:pPr>
        <w:ind w:right="40" w:firstLine="1512"/>
        <w:spacing w:after="0" w:line="274" w:lineRule="auto"/>
        <w:tabs>
          <w:tab w:leader="none" w:pos="17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8"/>
          <w:szCs w:val="18"/>
          <w:b w:val="1"/>
          <w:bCs w:val="1"/>
          <w:i w:val="1"/>
          <w:iCs w:val="1"/>
          <w:color w:val="auto"/>
        </w:rPr>
        <w:t>Acquisition by Sale of Assets</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11640"/>
          </w:cols>
          <w:pgMar w:left="300" w:top="136" w:right="300" w:bottom="1440" w:gutter="0" w:footer="0" w:header="0"/>
        </w:sectPr>
      </w:pPr>
    </w:p>
    <w:bookmarkStart w:id="22" w:name="page23"/>
    <w:bookmarkEnd w:id="22"/>
    <w:p>
      <w:pPr>
        <w:ind w:left="1" w:firstLine="931"/>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“Affiliate” </w:t>
      </w:r>
      <w:r>
        <w:rPr>
          <w:rFonts w:ascii="Arial" w:cs="Arial" w:eastAsia="Arial" w:hAnsi="Arial"/>
          <w:sz w:val="18"/>
          <w:szCs w:val="18"/>
          <w:color w:val="auto"/>
        </w:rPr>
        <w:t>of a specified person means a person that directly, or indirectly through one or more intermediaries, controls or is controlled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under common control with, the person specified (where, for purposes of this definition, the term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xml:space="preserve">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controlled by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under common control with</w:t>
      </w:r>
      <w:r>
        <w:rPr>
          <w:rFonts w:ascii="Arial" w:cs="Arial" w:eastAsia="Arial" w:hAnsi="Arial"/>
          <w:sz w:val="18"/>
          <w:szCs w:val="18"/>
          <w:color w:val="auto"/>
        </w:rPr>
        <w:t>) means the possession, direct or indirect, of the power to direct or cause the direction of the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policies of a person, whether through the ownership of voting securities, by contract, or otherwise.</w:t>
      </w:r>
    </w:p>
    <w:p>
      <w:pPr>
        <w:spacing w:after="0" w:line="185" w:lineRule="exact"/>
        <w:rPr>
          <w:sz w:val="20"/>
          <w:szCs w:val="20"/>
          <w:color w:val="auto"/>
        </w:rPr>
      </w:pPr>
    </w:p>
    <w:p>
      <w:pPr>
        <w:ind w:left="1" w:right="920" w:firstLine="931"/>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means any award pursuant to the terms and conditions of this Plan, including any Option, Restricted Stock Unit, Stock Appreciation Right or Restricted Stock Award.</w:t>
      </w:r>
    </w:p>
    <w:p>
      <w:pPr>
        <w:spacing w:after="0" w:line="184" w:lineRule="exact"/>
        <w:rPr>
          <w:sz w:val="20"/>
          <w:szCs w:val="20"/>
          <w:color w:val="auto"/>
        </w:rPr>
      </w:pPr>
    </w:p>
    <w:p>
      <w:pPr>
        <w:ind w:left="1" w:right="160" w:firstLine="931"/>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means, with respect to each Award, the signed written or electronic agreement between the Company and the Participant setting forth the terms and conditions of the Award as approved by the Committee. For purposes of the Plan, the Award Agreement may be executed via written or electronic means.</w:t>
      </w:r>
    </w:p>
    <w:p>
      <w:pPr>
        <w:spacing w:after="0" w:line="194" w:lineRule="exact"/>
        <w:rPr>
          <w:sz w:val="20"/>
          <w:szCs w:val="20"/>
          <w:color w:val="auto"/>
        </w:rPr>
      </w:pPr>
    </w:p>
    <w:p>
      <w:pPr>
        <w:ind w:left="9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p>
      <w:pPr>
        <w:spacing w:after="0" w:line="238" w:lineRule="exact"/>
        <w:rPr>
          <w:sz w:val="20"/>
          <w:szCs w:val="20"/>
          <w:color w:val="auto"/>
        </w:rPr>
      </w:pPr>
    </w:p>
    <w:p>
      <w:pPr>
        <w:ind w:left="1" w:right="160" w:firstLine="931"/>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w:t>
      </w:r>
    </w:p>
    <w:p>
      <w:pPr>
        <w:ind w:left="1" w:right="60" w:hanging="1"/>
        <w:spacing w:after="0" w:line="255" w:lineRule="auto"/>
        <w:tabs>
          <w:tab w:leader="none" w:pos="259" w:val="left"/>
        </w:tabs>
        <w:numPr>
          <w:ilvl w:val="0"/>
          <w:numId w:val="29"/>
        </w:numPr>
        <w:rPr>
          <w:rFonts w:ascii="Arial" w:cs="Arial" w:eastAsia="Arial" w:hAnsi="Arial"/>
          <w:sz w:val="19"/>
          <w:szCs w:val="19"/>
          <w:color w:val="auto"/>
        </w:rPr>
      </w:pPr>
      <w:r>
        <w:rPr>
          <w:rFonts w:ascii="Arial" w:cs="Arial" w:eastAsia="Arial" w:hAnsi="Arial"/>
          <w:sz w:val="19"/>
          <w:szCs w:val="19"/>
          <w:color w:val="auto"/>
        </w:rPr>
        <w:t>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pacing w:after="0" w:line="203" w:lineRule="exact"/>
        <w:rPr>
          <w:sz w:val="20"/>
          <w:szCs w:val="20"/>
          <w:color w:val="auto"/>
        </w:rPr>
      </w:pPr>
    </w:p>
    <w:p>
      <w:pPr>
        <w:ind w:left="9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w:t>
      </w:r>
    </w:p>
    <w:p>
      <w:pPr>
        <w:spacing w:after="0" w:line="238" w:lineRule="exact"/>
        <w:rPr>
          <w:sz w:val="20"/>
          <w:szCs w:val="20"/>
          <w:color w:val="auto"/>
        </w:rPr>
      </w:pPr>
    </w:p>
    <w:p>
      <w:pPr>
        <w:ind w:left="94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committee created and appointed by the Board to administer this Plan, or if no committee is created and appointed,</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9"/>
          <w:szCs w:val="19"/>
          <w:color w:val="auto"/>
        </w:rPr>
        <w:t>the Board.</w:t>
      </w:r>
    </w:p>
    <w:p>
      <w:pPr>
        <w:spacing w:after="0" w:line="225" w:lineRule="exact"/>
        <w:rPr>
          <w:sz w:val="20"/>
          <w:szCs w:val="20"/>
          <w:color w:val="auto"/>
        </w:rPr>
      </w:pPr>
    </w:p>
    <w:p>
      <w:pPr>
        <w:ind w:left="9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means JN Projects, Inc., or any successor corporation.</w:t>
      </w:r>
    </w:p>
    <w:p>
      <w:pPr>
        <w:spacing w:after="0" w:line="238" w:lineRule="exact"/>
        <w:rPr>
          <w:sz w:val="20"/>
          <w:szCs w:val="20"/>
          <w:color w:val="auto"/>
        </w:rPr>
      </w:pPr>
    </w:p>
    <w:p>
      <w:pPr>
        <w:jc w:val="both"/>
        <w:ind w:left="1" w:right="460" w:firstLine="931"/>
        <w:spacing w:after="0" w:line="33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37" w:lineRule="exact"/>
        <w:rPr>
          <w:sz w:val="20"/>
          <w:szCs w:val="20"/>
          <w:color w:val="auto"/>
        </w:rPr>
      </w:pPr>
    </w:p>
    <w:p>
      <w:pPr>
        <w:ind w:left="9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w:t>
      </w:r>
    </w:p>
    <w:p>
      <w:pPr>
        <w:spacing w:after="0" w:line="238" w:lineRule="exact"/>
        <w:rPr>
          <w:sz w:val="20"/>
          <w:szCs w:val="20"/>
          <w:color w:val="auto"/>
        </w:rPr>
      </w:pPr>
    </w:p>
    <w:p>
      <w:pPr>
        <w:ind w:left="94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means the price per Share at which a holder of an Option may purchase Shares issuable upon exercise of the Option.</w:t>
      </w:r>
    </w:p>
    <w:p>
      <w:pPr>
        <w:spacing w:after="0" w:line="261" w:lineRule="exact"/>
        <w:rPr>
          <w:sz w:val="20"/>
          <w:szCs w:val="20"/>
          <w:color w:val="auto"/>
        </w:rPr>
      </w:pPr>
    </w:p>
    <w:p>
      <w:pPr>
        <w:ind w:left="941"/>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as of any date, the value of a share of the Company’s Common Stock determined as follows:</w:t>
      </w:r>
    </w:p>
    <w:p>
      <w:pPr>
        <w:spacing w:after="0" w:line="124" w:lineRule="exact"/>
        <w:rPr>
          <w:sz w:val="20"/>
          <w:szCs w:val="20"/>
          <w:color w:val="auto"/>
        </w:rPr>
      </w:pPr>
    </w:p>
    <w:p>
      <w:pPr>
        <w:ind w:left="1" w:right="40" w:firstLine="1512"/>
        <w:spacing w:after="0" w:line="336" w:lineRule="auto"/>
        <w:tabs>
          <w:tab w:leader="none" w:pos="1772"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if such Common Stock is then publicly traded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w:t>
      </w:r>
    </w:p>
    <w:p>
      <w:pPr>
        <w:spacing w:after="0" w:line="137" w:lineRule="exact"/>
        <w:rPr>
          <w:rFonts w:ascii="Arial" w:cs="Arial" w:eastAsia="Arial" w:hAnsi="Arial"/>
          <w:sz w:val="17"/>
          <w:szCs w:val="17"/>
          <w:color w:val="auto"/>
        </w:rPr>
      </w:pPr>
    </w:p>
    <w:p>
      <w:pPr>
        <w:jc w:val="both"/>
        <w:ind w:left="1" w:right="40" w:firstLine="1512"/>
        <w:spacing w:after="0" w:line="263" w:lineRule="auto"/>
        <w:tabs>
          <w:tab w:leader="none" w:pos="1783"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if such Common Stock is publicly traded but is not listed or admitted to trading on a national securities exchange, the average of the closing bid and asked prices on the date of determination as reported by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(or, if not so reported, as otherwise reported by any newspaper or other source as the Committee may determine); or</w:t>
      </w:r>
    </w:p>
    <w:p>
      <w:pPr>
        <w:spacing w:after="0" w:line="12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11581"/>
          </w:cols>
          <w:pgMar w:left="299" w:top="142" w:right="360" w:bottom="1440" w:gutter="0" w:footer="0" w:header="0"/>
        </w:sectPr>
      </w:pPr>
    </w:p>
    <w:bookmarkStart w:id="23" w:name="page24"/>
    <w:bookmarkEnd w:id="23"/>
    <w:p>
      <w:pPr>
        <w:ind w:left="940" w:right="2360" w:firstLine="572"/>
        <w:spacing w:after="0" w:line="529" w:lineRule="auto"/>
        <w:tabs>
          <w:tab w:leader="none" w:pos="1781"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if none of the foregoing is applicable to the valuation in question, by the Committee in good faith.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award of an option to purchase Shares pursuant to Section 4 of this Plan.</w:t>
      </w:r>
    </w:p>
    <w:p>
      <w:pPr>
        <w:ind w:firstLine="931"/>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Other Combination</w:t>
      </w:r>
      <w:r>
        <w:rPr>
          <w:rFonts w:ascii="Arial" w:cs="Arial" w:eastAsia="Arial" w:hAnsi="Arial"/>
          <w:sz w:val="19"/>
          <w:szCs w:val="19"/>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such consolidation, merger or conversion does not constitute an Acquisition.</w:t>
      </w:r>
    </w:p>
    <w:p>
      <w:pPr>
        <w:spacing w:after="0" w:line="194" w:lineRule="exact"/>
        <w:rPr>
          <w:sz w:val="20"/>
          <w:szCs w:val="20"/>
          <w:color w:val="auto"/>
        </w:rPr>
      </w:pPr>
    </w:p>
    <w:p>
      <w:pPr>
        <w:ind w:firstLine="931"/>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of a specified entity means, any entity that, either directly or indirectly, owns or controls such specified entity, where for this purpose,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94"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means a person who receives an Award under this Plan.</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means this 2011 Equity Incentive Plan, as amended from time to time.</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Purchase Price</w:t>
      </w:r>
      <w:r>
        <w:rPr>
          <w:rFonts w:ascii="Arial" w:cs="Arial" w:eastAsia="Arial" w:hAnsi="Arial"/>
          <w:sz w:val="19"/>
          <w:szCs w:val="19"/>
          <w:color w:val="auto"/>
        </w:rPr>
        <w:t>” means the price at which a Participant may purchase Restricted Stock pursuant to this Plan.</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w:t>
      </w:r>
      <w:r>
        <w:rPr>
          <w:rFonts w:ascii="Arial" w:cs="Arial" w:eastAsia="Arial" w:hAnsi="Arial"/>
          <w:sz w:val="19"/>
          <w:szCs w:val="19"/>
          <w:color w:val="auto"/>
        </w:rPr>
        <w:t>” means Shares purchased pursuant to a Restricted Stock Award under this Plan.</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Award</w:t>
      </w:r>
      <w:r>
        <w:rPr>
          <w:rFonts w:ascii="Arial" w:cs="Arial" w:eastAsia="Arial" w:hAnsi="Arial"/>
          <w:sz w:val="19"/>
          <w:szCs w:val="19"/>
          <w:color w:val="auto"/>
        </w:rPr>
        <w:t>” means an award of Shares pursuant to Section 5 hereof.</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Unit</w:t>
      </w:r>
      <w:r>
        <w:rPr>
          <w:rFonts w:ascii="Arial" w:cs="Arial" w:eastAsia="Arial" w:hAnsi="Arial"/>
          <w:sz w:val="19"/>
          <w:szCs w:val="19"/>
          <w:color w:val="auto"/>
        </w:rPr>
        <w:t>” or “</w:t>
      </w:r>
      <w:r>
        <w:rPr>
          <w:rFonts w:ascii="Arial" w:cs="Arial" w:eastAsia="Arial" w:hAnsi="Arial"/>
          <w:sz w:val="19"/>
          <w:szCs w:val="19"/>
          <w:b w:val="1"/>
          <w:bCs w:val="1"/>
          <w:i w:val="1"/>
          <w:iCs w:val="1"/>
          <w:color w:val="auto"/>
        </w:rPr>
        <w:t>RSU</w:t>
      </w:r>
      <w:r>
        <w:rPr>
          <w:rFonts w:ascii="Arial" w:cs="Arial" w:eastAsia="Arial" w:hAnsi="Arial"/>
          <w:sz w:val="19"/>
          <w:szCs w:val="19"/>
          <w:color w:val="auto"/>
        </w:rPr>
        <w:t>” means an award made pursuant to Section 6 hereof.</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Rule 701</w:t>
      </w:r>
      <w:r>
        <w:rPr>
          <w:rFonts w:ascii="Arial" w:cs="Arial" w:eastAsia="Arial" w:hAnsi="Arial"/>
          <w:sz w:val="19"/>
          <w:szCs w:val="19"/>
          <w:color w:val="auto"/>
        </w:rPr>
        <w:t xml:space="preserve">” means Rule 701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promulgated by the Commission under the Securities Act.</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w:t>
      </w:r>
      <w:r>
        <w:rPr>
          <w:rFonts w:ascii="Arial" w:cs="Arial" w:eastAsia="Arial" w:hAnsi="Arial"/>
          <w:sz w:val="19"/>
          <w:szCs w:val="19"/>
          <w:color w:val="auto"/>
        </w:rPr>
        <w:t>” means the Securities and Exchange Commission.</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Section 25102(o)</w:t>
      </w:r>
      <w:r>
        <w:rPr>
          <w:rFonts w:ascii="Arial" w:cs="Arial" w:eastAsia="Arial" w:hAnsi="Arial"/>
          <w:sz w:val="19"/>
          <w:szCs w:val="19"/>
          <w:color w:val="auto"/>
        </w:rPr>
        <w:t>” means Section 25102(o) of the California Corporations Code.</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Securities Act of 1933, as amended.</w:t>
      </w:r>
    </w:p>
    <w:p>
      <w:pPr>
        <w:spacing w:after="0" w:line="238" w:lineRule="exact"/>
        <w:rPr>
          <w:sz w:val="20"/>
          <w:szCs w:val="20"/>
          <w:color w:val="auto"/>
        </w:rPr>
      </w:pPr>
    </w:p>
    <w:p>
      <w:pPr>
        <w:ind w:right="60" w:firstLine="931"/>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means shares of the Company’s Common Stock reserved for issuance under this Plan, as adjusted pursuant to Sections 2.2 and 11 hereof, and any successor security.</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 Appreciation Right</w:t>
      </w:r>
      <w:r>
        <w:rPr>
          <w:rFonts w:ascii="Arial" w:cs="Arial" w:eastAsia="Arial" w:hAnsi="Arial"/>
          <w:sz w:val="19"/>
          <w:szCs w:val="19"/>
          <w:color w:val="auto"/>
        </w:rPr>
        <w:t>” or “</w:t>
      </w:r>
      <w:r>
        <w:rPr>
          <w:rFonts w:ascii="Arial" w:cs="Arial" w:eastAsia="Arial" w:hAnsi="Arial"/>
          <w:sz w:val="19"/>
          <w:szCs w:val="19"/>
          <w:b w:val="1"/>
          <w:bCs w:val="1"/>
          <w:i w:val="1"/>
          <w:iCs w:val="1"/>
          <w:color w:val="auto"/>
        </w:rPr>
        <w:t>SAR</w:t>
      </w:r>
      <w:r>
        <w:rPr>
          <w:rFonts w:ascii="Arial" w:cs="Arial" w:eastAsia="Arial" w:hAnsi="Arial"/>
          <w:sz w:val="19"/>
          <w:szCs w:val="19"/>
          <w:color w:val="auto"/>
        </w:rPr>
        <w:t>” means an award granted pursuant to Section 7 hereof.</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11580"/>
          </w:cols>
          <w:pgMar w:left="300" w:top="142" w:right="360" w:bottom="1440" w:gutter="0" w:footer="0" w:header="0"/>
        </w:sectPr>
      </w:pPr>
    </w:p>
    <w:bookmarkStart w:id="24" w:name="page25"/>
    <w:bookmarkEnd w:id="24"/>
    <w:p>
      <w:pPr>
        <w:ind w:right="20" w:firstLine="931"/>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94" w:lineRule="exact"/>
        <w:rPr>
          <w:sz w:val="20"/>
          <w:szCs w:val="20"/>
          <w:color w:val="auto"/>
        </w:rPr>
      </w:pPr>
    </w:p>
    <w:p>
      <w:pPr>
        <w:ind w:firstLine="931"/>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w:t>
      </w:r>
    </w:p>
    <w:p>
      <w:pPr>
        <w:spacing w:after="0" w:line="204"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Unvested Shares</w:t>
      </w:r>
      <w:r>
        <w:rPr>
          <w:rFonts w:ascii="Arial" w:cs="Arial" w:eastAsia="Arial" w:hAnsi="Arial"/>
          <w:sz w:val="19"/>
          <w:szCs w:val="19"/>
          <w:color w:val="auto"/>
        </w:rPr>
        <w:t>” means “</w:t>
      </w:r>
      <w:r>
        <w:rPr>
          <w:rFonts w:ascii="Arial" w:cs="Arial" w:eastAsia="Arial" w:hAnsi="Arial"/>
          <w:sz w:val="19"/>
          <w:szCs w:val="19"/>
          <w:b w:val="1"/>
          <w:bCs w:val="1"/>
          <w:i w:val="1"/>
          <w:iCs w:val="1"/>
          <w:color w:val="auto"/>
        </w:rPr>
        <w:t>Unvested Shares</w:t>
      </w:r>
      <w:r>
        <w:rPr>
          <w:rFonts w:ascii="Arial" w:cs="Arial" w:eastAsia="Arial" w:hAnsi="Arial"/>
          <w:sz w:val="19"/>
          <w:szCs w:val="19"/>
          <w:color w:val="auto"/>
        </w:rPr>
        <w:t>” as defined in the Award Agreement for an Award.</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Vested Shares</w:t>
      </w:r>
      <w:r>
        <w:rPr>
          <w:rFonts w:ascii="Arial" w:cs="Arial" w:eastAsia="Arial" w:hAnsi="Arial"/>
          <w:sz w:val="19"/>
          <w:szCs w:val="19"/>
          <w:color w:val="auto"/>
        </w:rPr>
        <w:t>” means “</w:t>
      </w:r>
      <w:r>
        <w:rPr>
          <w:rFonts w:ascii="Arial" w:cs="Arial" w:eastAsia="Arial" w:hAnsi="Arial"/>
          <w:sz w:val="19"/>
          <w:szCs w:val="19"/>
          <w:b w:val="1"/>
          <w:bCs w:val="1"/>
          <w:i w:val="1"/>
          <w:iCs w:val="1"/>
          <w:color w:val="auto"/>
        </w:rPr>
        <w:t>Vested Shares</w:t>
      </w:r>
      <w:r>
        <w:rPr>
          <w:rFonts w:ascii="Arial" w:cs="Arial" w:eastAsia="Arial" w:hAnsi="Arial"/>
          <w:sz w:val="19"/>
          <w:szCs w:val="19"/>
          <w:color w:val="auto"/>
        </w:rPr>
        <w:t>” as defined in the Award Agreement.</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18</w:t>
      </w:r>
    </w:p>
    <w:p>
      <w:pPr>
        <w:sectPr>
          <w:pgSz w:w="12240" w:h="15840" w:orient="portrait"/>
          <w:cols w:equalWidth="0" w:num="1">
            <w:col w:w="11640"/>
          </w:cols>
          <w:pgMar w:left="300" w:top="142" w:right="300" w:bottom="1440" w:gutter="0" w:footer="0" w:header="0"/>
        </w:sectPr>
      </w:pPr>
    </w:p>
    <w:bookmarkStart w:id="25" w:name="page26"/>
    <w:bookmarkEnd w:id="25"/>
    <w:p>
      <w:pPr>
        <w:jc w:val="center"/>
        <w:ind w:right="-139"/>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NOTICE OF STOCK OPTION GRANT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JN P</w:t>
      </w:r>
      <w:r>
        <w:rPr>
          <w:rFonts w:ascii="Arial" w:cs="Arial" w:eastAsia="Arial" w:hAnsi="Arial"/>
          <w:sz w:val="15"/>
          <w:szCs w:val="15"/>
          <w:b w:val="1"/>
          <w:bCs w:val="1"/>
          <w:color w:val="auto"/>
        </w:rPr>
        <w:t>ROJECTS</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2011 E</w:t>
      </w:r>
      <w:r>
        <w:rPr>
          <w:rFonts w:ascii="Arial" w:cs="Arial" w:eastAsia="Arial" w:hAnsi="Arial"/>
          <w:sz w:val="15"/>
          <w:szCs w:val="15"/>
          <w:b w:val="1"/>
          <w:bCs w:val="1"/>
          <w:color w:val="auto"/>
        </w:rPr>
        <w:t>QUITY</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p>
    <w:p>
      <w:pPr>
        <w:spacing w:after="0" w:line="244" w:lineRule="exact"/>
        <w:rPr>
          <w:sz w:val="20"/>
          <w:szCs w:val="20"/>
          <w:color w:val="auto"/>
        </w:rPr>
      </w:pPr>
    </w:p>
    <w:p>
      <w:pPr>
        <w:ind w:right="140" w:firstLine="931"/>
        <w:spacing w:after="0" w:line="277" w:lineRule="auto"/>
        <w:rPr>
          <w:sz w:val="20"/>
          <w:szCs w:val="20"/>
          <w:color w:val="auto"/>
        </w:rPr>
      </w:pPr>
      <w:r>
        <w:rPr>
          <w:rFonts w:ascii="Arial" w:cs="Arial" w:eastAsia="Arial" w:hAnsi="Arial"/>
          <w:sz w:val="18"/>
          <w:szCs w:val="18"/>
          <w:color w:val="auto"/>
        </w:rPr>
        <w:t>The Optionee named below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has been granted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shares of Common Stock, $0.00001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JN Projects,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the Company’s 2011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on the terms, and subject to the conditions, described below and in the Stock Option Agreement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including its annexes (the “</w:t>
      </w:r>
      <w:r>
        <w:rPr>
          <w:rFonts w:ascii="Arial" w:cs="Arial" w:eastAsia="Arial" w:hAnsi="Arial"/>
          <w:sz w:val="18"/>
          <w:szCs w:val="18"/>
          <w:b w:val="1"/>
          <w:bCs w:val="1"/>
          <w:i w:val="1"/>
          <w:iCs w:val="1"/>
          <w:color w:val="auto"/>
        </w:rPr>
        <w:t>Stock Option Agreement</w:t>
      </w:r>
      <w:r>
        <w:rPr>
          <w:rFonts w:ascii="Arial" w:cs="Arial" w:eastAsia="Arial" w:hAnsi="Arial"/>
          <w:sz w:val="18"/>
          <w:szCs w:val="18"/>
          <w:color w:val="auto"/>
        </w:rPr>
        <w:t>”).</w:t>
      </w:r>
    </w:p>
    <w:p>
      <w:pPr>
        <w:sectPr>
          <w:pgSz w:w="12240" w:h="15840" w:orient="portrait"/>
          <w:cols w:equalWidth="0" w:num="1">
            <w:col w:w="11500"/>
          </w:cols>
          <w:pgMar w:left="300" w:top="136" w:right="440"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Optionee: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Maximum Number of Shares Subject to this Option (the “</w:t>
      </w:r>
      <w:r>
        <w:rPr>
          <w:rFonts w:ascii="Arial" w:cs="Arial" w:eastAsia="Arial" w:hAnsi="Arial"/>
          <w:sz w:val="17"/>
          <w:szCs w:val="17"/>
          <w:b w:val="1"/>
          <w:bCs w:val="1"/>
          <w:i w:val="1"/>
          <w:iCs w:val="1"/>
          <w:color w:val="auto"/>
        </w:rPr>
        <w:t>Shares</w:t>
      </w:r>
      <w:r>
        <w:rPr>
          <w:rFonts w:ascii="Arial" w:cs="Arial" w:eastAsia="Arial" w:hAnsi="Arial"/>
          <w:sz w:val="17"/>
          <w:szCs w:val="17"/>
          <w:b w:val="1"/>
          <w:bCs w:val="1"/>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Price Per Share: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Grant: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Start Date: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Schedule: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Expiration Date: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Status of Option:</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eShares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eShares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eShares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eShares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eShares</w:t>
      </w:r>
    </w:p>
    <w:p>
      <w:pPr>
        <w:spacing w:after="0" w:line="124" w:lineRule="exact"/>
        <w:rPr>
          <w:sz w:val="20"/>
          <w:szCs w:val="20"/>
          <w:color w:val="auto"/>
        </w:rPr>
      </w:pPr>
    </w:p>
    <w:p>
      <w:pPr>
        <w:jc w:val="both"/>
        <w:ind w:right="200"/>
        <w:spacing w:after="0" w:line="263" w:lineRule="auto"/>
        <w:rPr>
          <w:sz w:val="20"/>
          <w:szCs w:val="20"/>
          <w:color w:val="auto"/>
        </w:rPr>
      </w:pPr>
      <w:r>
        <w:rPr>
          <w:rFonts w:ascii="Arial" w:cs="Arial" w:eastAsia="Arial" w:hAnsi="Arial"/>
          <w:sz w:val="19"/>
          <w:szCs w:val="19"/>
          <w:color w:val="auto"/>
        </w:rPr>
        <w:t>This Option will become exercisable during its term with respect to portions of the Shares in accordance with the Vesting Schedule set forth below.</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date ten (10) years after the Date of Grant set forth above, subject to earlier expiration in the event of Termination as provided in Section 3 of the Stock Option Agreement.</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eShares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eShares.</w:t>
      </w:r>
    </w:p>
    <w:p>
      <w:pPr>
        <w:spacing w:after="0" w:line="200" w:lineRule="exact"/>
        <w:rPr>
          <w:sz w:val="20"/>
          <w:szCs w:val="20"/>
          <w:color w:val="auto"/>
        </w:rPr>
      </w:pPr>
    </w:p>
    <w:p>
      <w:pPr>
        <w:sectPr>
          <w:pgSz w:w="12240" w:h="15840" w:orient="portrait"/>
          <w:cols w:equalWidth="0" w:num="2">
            <w:col w:w="5460" w:space="720"/>
            <w:col w:w="5320"/>
          </w:cols>
          <w:pgMar w:left="300" w:top="136" w:right="440" w:bottom="1440" w:gutter="0" w:footer="0" w:header="0"/>
          <w:type w:val="continuous"/>
        </w:sectPr>
      </w:pPr>
    </w:p>
    <w:p>
      <w:pPr>
        <w:spacing w:after="0" w:line="32" w:lineRule="exact"/>
        <w:rPr>
          <w:sz w:val="20"/>
          <w:szCs w:val="20"/>
          <w:color w:val="auto"/>
        </w:rPr>
      </w:pPr>
    </w:p>
    <w:p>
      <w:pPr>
        <w:ind w:right="20" w:firstLine="931"/>
        <w:spacing w:after="0" w:line="288" w:lineRule="auto"/>
        <w:rPr>
          <w:sz w:val="20"/>
          <w:szCs w:val="20"/>
          <w:color w:val="auto"/>
        </w:rPr>
      </w:pPr>
      <w:r>
        <w:rPr>
          <w:rFonts w:ascii="Arial" w:cs="Arial" w:eastAsia="Arial" w:hAnsi="Arial"/>
          <w:sz w:val="17"/>
          <w:szCs w:val="17"/>
          <w:b w:val="1"/>
          <w:bCs w:val="1"/>
          <w:color w:val="auto"/>
        </w:rPr>
        <w:t xml:space="preserve">General; Agreement: </w:t>
      </w:r>
      <w:r>
        <w:rPr>
          <w:rFonts w:ascii="Arial" w:cs="Arial" w:eastAsia="Arial" w:hAnsi="Arial"/>
          <w:sz w:val="17"/>
          <w:szCs w:val="17"/>
          <w:color w:val="auto"/>
        </w:rPr>
        <w:t>By Optionee’s acceptance of this Option, Optionee and the Company agree that this Option is granted under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this Notice of Stock Option Grant (this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color w:val="auto"/>
        </w:rPr>
        <w:t xml:space="preserve">Execution and Delivery: </w:t>
      </w:r>
      <w:r>
        <w:rPr>
          <w:rFonts w:ascii="Arial" w:cs="Arial" w:eastAsia="Arial" w:hAnsi="Arial"/>
          <w:sz w:val="18"/>
          <w:szCs w:val="18"/>
          <w:color w:val="auto"/>
        </w:rPr>
        <w:t>This Grant Notice may be executed and delivered electronically whether via the Company’s intranet or the Internet site of a</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Arial" w:cs="Arial" w:eastAsia="Arial" w:hAnsi="Arial"/>
          <w:sz w:val="18"/>
          <w:szCs w:val="18"/>
          <w:b w:val="1"/>
          <w:bCs w:val="1"/>
          <w:i w:val="1"/>
          <w:iCs w:val="1"/>
          <w:color w:val="auto"/>
        </w:rPr>
        <w:t>701 Disclosures</w:t>
      </w:r>
      <w:r>
        <w:rPr>
          <w:rFonts w:ascii="Arial" w:cs="Arial" w:eastAsia="Arial" w:hAnsi="Arial"/>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TTACHMENT</w:t>
      </w:r>
      <w:r>
        <w:rPr>
          <w:rFonts w:ascii="Arial" w:cs="Arial" w:eastAsia="Arial" w:hAnsi="Arial"/>
          <w:sz w:val="19"/>
          <w:szCs w:val="19"/>
          <w:color w:val="auto"/>
        </w:rPr>
        <w:t>: Exhibit A – Stock Option Agreement</w:t>
      </w:r>
    </w:p>
    <w:p>
      <w:pPr>
        <w:sectPr>
          <w:pgSz w:w="12240" w:h="15840" w:orient="portrait"/>
          <w:cols w:equalWidth="0" w:num="1">
            <w:col w:w="11500"/>
          </w:cols>
          <w:pgMar w:left="300" w:top="136" w:right="440"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t>Exhibit 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Option Agreement</w:t>
      </w:r>
    </w:p>
    <w:p>
      <w:pPr>
        <w:sectPr>
          <w:pgSz w:w="12240" w:h="15840" w:orient="portrait"/>
          <w:cols w:equalWidth="0" w:num="1">
            <w:col w:w="9360"/>
          </w:cols>
          <w:pgMar w:left="1440" w:top="136"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t>EXHIBIT A</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STOCK OPTION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JN P</w:t>
      </w:r>
      <w:r>
        <w:rPr>
          <w:rFonts w:ascii="Arial" w:cs="Arial" w:eastAsia="Arial" w:hAnsi="Arial"/>
          <w:sz w:val="15"/>
          <w:szCs w:val="15"/>
          <w:b w:val="1"/>
          <w:bCs w:val="1"/>
          <w:color w:val="auto"/>
        </w:rPr>
        <w:t>ROJECTS</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2011 E</w:t>
      </w:r>
      <w:r>
        <w:rPr>
          <w:rFonts w:ascii="Arial" w:cs="Arial" w:eastAsia="Arial" w:hAnsi="Arial"/>
          <w:sz w:val="15"/>
          <w:szCs w:val="15"/>
          <w:b w:val="1"/>
          <w:bCs w:val="1"/>
          <w:color w:val="auto"/>
        </w:rPr>
        <w:t>QUITY</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p>
    <w:p>
      <w:pPr>
        <w:spacing w:after="0" w:line="244" w:lineRule="exact"/>
        <w:rPr>
          <w:sz w:val="20"/>
          <w:szCs w:val="20"/>
          <w:color w:val="auto"/>
        </w:rPr>
      </w:pPr>
    </w:p>
    <w:p>
      <w:pPr>
        <w:ind w:right="100" w:firstLine="465"/>
        <w:spacing w:after="0" w:line="298" w:lineRule="auto"/>
        <w:rPr>
          <w:sz w:val="20"/>
          <w:szCs w:val="20"/>
          <w:color w:val="auto"/>
        </w:rPr>
      </w:pPr>
      <w:r>
        <w:rPr>
          <w:rFonts w:ascii="Arial" w:cs="Arial" w:eastAsia="Arial" w:hAnsi="Arial"/>
          <w:sz w:val="17"/>
          <w:szCs w:val="17"/>
          <w:color w:val="auto"/>
        </w:rPr>
        <w:t>This Stock Option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the date of grant (the “</w:t>
      </w:r>
      <w:r>
        <w:rPr>
          <w:rFonts w:ascii="Arial" w:cs="Arial" w:eastAsia="Arial" w:hAnsi="Arial"/>
          <w:sz w:val="17"/>
          <w:szCs w:val="17"/>
          <w:b w:val="1"/>
          <w:bCs w:val="1"/>
          <w:i w:val="1"/>
          <w:iCs w:val="1"/>
          <w:color w:val="auto"/>
        </w:rPr>
        <w:t>Date of Grant</w:t>
      </w:r>
      <w:r>
        <w:rPr>
          <w:rFonts w:ascii="Arial" w:cs="Arial" w:eastAsia="Arial" w:hAnsi="Arial"/>
          <w:sz w:val="17"/>
          <w:szCs w:val="17"/>
          <w:color w:val="auto"/>
        </w:rPr>
        <w:t>”) set forth on the Notice of Stock Option Grant attached as the facing page to this Agreement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by and between JN Projects,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optionee named on the Grant Notice (“</w:t>
      </w:r>
      <w:r>
        <w:rPr>
          <w:rFonts w:ascii="Arial" w:cs="Arial" w:eastAsia="Arial" w:hAnsi="Arial"/>
          <w:sz w:val="17"/>
          <w:szCs w:val="17"/>
          <w:b w:val="1"/>
          <w:bCs w:val="1"/>
          <w:i w:val="1"/>
          <w:iCs w:val="1"/>
          <w:color w:val="auto"/>
        </w:rPr>
        <w:t>Optionee</w:t>
      </w:r>
      <w:r>
        <w:rPr>
          <w:rFonts w:ascii="Arial" w:cs="Arial" w:eastAsia="Arial" w:hAnsi="Arial"/>
          <w:sz w:val="17"/>
          <w:szCs w:val="17"/>
          <w:color w:val="auto"/>
        </w:rPr>
        <w:t>”). Capitalized terms not defined in this Agreement shall have the meaning ascribed to them in the Company’s 2011 Equity Incentive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or in the Grant Notice, as applicable.</w:t>
      </w:r>
    </w:p>
    <w:p>
      <w:pPr>
        <w:spacing w:after="0" w:line="164" w:lineRule="exact"/>
        <w:rPr>
          <w:sz w:val="20"/>
          <w:szCs w:val="20"/>
          <w:color w:val="auto"/>
        </w:rPr>
      </w:pPr>
    </w:p>
    <w:p>
      <w:pPr>
        <w:ind w:right="180" w:firstLine="465"/>
        <w:spacing w:after="0" w:line="273" w:lineRule="auto"/>
        <w:tabs>
          <w:tab w:leader="none" w:pos="75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The Company hereby grants to Optionee an option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up to the total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of the Company, $0.00001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set forth in the Grant Notice as the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at the Exercise Price Per Share set forth in the Grant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Arial" w:cs="Arial" w:eastAsia="Arial" w:hAnsi="Arial"/>
          <w:sz w:val="18"/>
          <w:szCs w:val="18"/>
          <w:b w:val="1"/>
          <w:bCs w:val="1"/>
          <w:i w:val="1"/>
          <w:iCs w:val="1"/>
          <w:color w:val="auto"/>
        </w:rPr>
        <w:t>ISO</w:t>
      </w:r>
      <w:r>
        <w:rPr>
          <w:rFonts w:ascii="Arial" w:cs="Arial" w:eastAsia="Arial" w:hAnsi="Arial"/>
          <w:sz w:val="18"/>
          <w:szCs w:val="18"/>
          <w:color w:val="auto"/>
        </w:rPr>
        <w:t>”) within the meaning of Section 422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except that if on the Date of Grant Optionee is not subject to U.S. income tax, then this Option shall be a NQSO.</w:t>
      </w:r>
    </w:p>
    <w:p>
      <w:pPr>
        <w:spacing w:after="0" w:line="184" w:lineRule="exact"/>
        <w:rPr>
          <w:rFonts w:ascii="Arial" w:cs="Arial" w:eastAsia="Arial" w:hAnsi="Arial"/>
          <w:sz w:val="18"/>
          <w:szCs w:val="18"/>
          <w:b w:val="1"/>
          <w:bCs w:val="1"/>
          <w:color w:val="auto"/>
        </w:rPr>
      </w:pPr>
    </w:p>
    <w:p>
      <w:pPr>
        <w:ind w:left="740" w:hanging="275"/>
        <w:spacing w:after="0"/>
        <w:tabs>
          <w:tab w:leader="none" w:pos="74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EXERCISE PERIOD.</w:t>
      </w:r>
    </w:p>
    <w:p>
      <w:pPr>
        <w:spacing w:after="0" w:line="238" w:lineRule="exact"/>
        <w:rPr>
          <w:sz w:val="20"/>
          <w:szCs w:val="20"/>
          <w:color w:val="auto"/>
        </w:rPr>
      </w:pPr>
    </w:p>
    <w:p>
      <w:pPr>
        <w:ind w:right="160" w:firstLine="931"/>
        <w:spacing w:after="0" w:line="301" w:lineRule="auto"/>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7"/>
          <w:szCs w:val="17"/>
          <w:b w:val="1"/>
          <w:bCs w:val="1"/>
          <w:u w:val="single" w:color="auto"/>
          <w:color w:val="auto"/>
        </w:rPr>
        <w:t>Exercise Period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considered to be “vested” with respect to any particular Shares when this Option is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60" w:lineRule="exact"/>
        <w:rPr>
          <w:sz w:val="20"/>
          <w:szCs w:val="20"/>
          <w:color w:val="auto"/>
        </w:rPr>
      </w:pPr>
    </w:p>
    <w:p>
      <w:pPr>
        <w:ind w:right="240" w:firstLine="931"/>
        <w:spacing w:after="0" w:line="266"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b w:val="1"/>
          <w:bCs w:val="1"/>
          <w:u w:val="single" w:color="auto"/>
          <w:color w:val="auto"/>
        </w:rPr>
        <w:t>Vesting of Option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Shares with respect to which this Option is vested and exercisable at a given time pursuant to the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 set forth in the Grant Notice are “</w:t>
      </w:r>
      <w:r>
        <w:rPr>
          <w:rFonts w:ascii="Arial" w:cs="Arial" w:eastAsia="Arial" w:hAnsi="Arial"/>
          <w:sz w:val="19"/>
          <w:szCs w:val="19"/>
          <w:b w:val="1"/>
          <w:bCs w:val="1"/>
          <w:i w:val="1"/>
          <w:iCs w:val="1"/>
          <w:color w:val="auto"/>
        </w:rPr>
        <w:t>Vested Shares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Shares with respect to which this Option is not vested and exercisable at a given time pursuant to the Vesting Schedule set forth in the Grant Notice are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Unvested Shares</w:t>
      </w:r>
      <w:r>
        <w:rPr>
          <w:rFonts w:ascii="Arial" w:cs="Arial" w:eastAsia="Arial" w:hAnsi="Arial"/>
          <w:sz w:val="19"/>
          <w:szCs w:val="19"/>
          <w:color w:val="auto"/>
        </w:rPr>
        <w:t>.</w:t>
      </w:r>
      <w:r>
        <w:rPr>
          <w:rFonts w:ascii="Arial" w:cs="Arial" w:eastAsia="Arial" w:hAnsi="Arial"/>
          <w:sz w:val="19"/>
          <w:szCs w:val="19"/>
          <w:i w:val="1"/>
          <w:iCs w:val="1"/>
          <w:color w:val="auto"/>
        </w:rPr>
        <w:t>”</w:t>
      </w:r>
    </w:p>
    <w:p>
      <w:pPr>
        <w:spacing w:after="0" w:line="18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b w:val="1"/>
          <w:bCs w:val="1"/>
          <w:u w:val="single" w:color="auto"/>
          <w:color w:val="auto"/>
        </w:rPr>
        <w:t>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expire on the Expiration Date set forth in the Grant Notice or earlier as provided in Section 3 below.</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17. TERMINATION.</w:t>
      </w:r>
    </w:p>
    <w:p>
      <w:pPr>
        <w:spacing w:after="0" w:line="238" w:lineRule="exact"/>
        <w:rPr>
          <w:sz w:val="20"/>
          <w:szCs w:val="20"/>
          <w:color w:val="auto"/>
        </w:rPr>
      </w:pPr>
    </w:p>
    <w:p>
      <w:pPr>
        <w:ind w:right="100" w:firstLine="931"/>
        <w:spacing w:after="0" w:line="292" w:lineRule="auto"/>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7"/>
          <w:szCs w:val="17"/>
          <w:b w:val="1"/>
          <w:bCs w:val="1"/>
          <w:u w:val="single" w:color="auto"/>
          <w:color w:val="auto"/>
        </w:rPr>
        <w:t>Termination for Any Reason Except Death, Disability 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provided in subsection 3.2 in a case in which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three (3) months after Optionee’s Termination Date (but in no event may this Option be exercised after the Expiration Date).</w:t>
      </w:r>
    </w:p>
    <w:p>
      <w:pPr>
        <w:sectPr>
          <w:pgSz w:w="12240" w:h="15840" w:orient="portrait"/>
          <w:cols w:equalWidth="0" w:num="1">
            <w:col w:w="11640"/>
          </w:cols>
          <w:pgMar w:left="300" w:top="142" w:right="300" w:bottom="1440" w:gutter="0" w:footer="0" w:header="0"/>
        </w:sectPr>
      </w:pPr>
    </w:p>
    <w:bookmarkStart w:id="28" w:name="page29"/>
    <w:bookmarkEnd w:id="28"/>
    <w:p>
      <w:pPr>
        <w:ind w:firstLine="931"/>
        <w:spacing w:after="0" w:line="28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17.2 </w:t>
      </w:r>
      <w:r>
        <w:rPr>
          <w:rFonts w:ascii="Arial" w:cs="Arial" w:eastAsia="Arial" w:hAnsi="Arial"/>
          <w:sz w:val="17"/>
          <w:szCs w:val="17"/>
          <w:b w:val="1"/>
          <w:bCs w:val="1"/>
          <w:u w:val="single" w:color="auto"/>
          <w:color w:val="auto"/>
        </w:rPr>
        <w:t>Termination Because of Death or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is Terminated because of Optionee’s death or Disability (or if Optionee dies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71" w:lineRule="exact"/>
        <w:rPr>
          <w:sz w:val="20"/>
          <w:szCs w:val="20"/>
          <w:color w:val="auto"/>
        </w:rPr>
      </w:pPr>
    </w:p>
    <w:p>
      <w:pPr>
        <w:ind w:right="20" w:firstLine="931"/>
        <w:spacing w:after="0" w:line="258"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b w:val="1"/>
          <w:bCs w:val="1"/>
          <w:u w:val="single" w:color="auto"/>
          <w:color w:val="auto"/>
        </w:rPr>
        <w:t>Termination for Cause</w:t>
      </w:r>
      <w:r>
        <w:rPr>
          <w:rFonts w:ascii="Arial" w:cs="Arial" w:eastAsia="Arial" w:hAnsi="Arial"/>
          <w:sz w:val="19"/>
          <w:szCs w:val="19"/>
          <w:b w:val="1"/>
          <w:bCs w:val="1"/>
          <w:color w:val="auto"/>
        </w:rPr>
        <w:t xml:space="preserve">. </w:t>
      </w:r>
      <w:r>
        <w:rPr>
          <w:rFonts w:ascii="Arial" w:cs="Arial" w:eastAsia="Arial" w:hAnsi="Arial"/>
          <w:sz w:val="19"/>
          <w:szCs w:val="19"/>
          <w:color w:val="auto"/>
        </w:rPr>
        <w:t>If Optionee is Terminated for Cause, then Optionee may exercise this Option, but only with respect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195" w:lineRule="exact"/>
        <w:rPr>
          <w:sz w:val="20"/>
          <w:szCs w:val="20"/>
          <w:color w:val="auto"/>
        </w:rPr>
      </w:pPr>
    </w:p>
    <w:p>
      <w:pPr>
        <w:ind w:right="140" w:firstLine="931"/>
        <w:spacing w:after="0" w:line="287"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b w:val="1"/>
          <w:bCs w:val="1"/>
          <w:u w:val="single" w:color="auto"/>
          <w:color w:val="auto"/>
        </w:rPr>
        <w:t>No Obligation to Employ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the Plan or this Agreement shall confer on Optionee any right to continue in the employ of,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18. MANNER OF EXERCISE.</w:t>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b w:val="1"/>
          <w:bCs w:val="1"/>
          <w:u w:val="single" w:color="auto"/>
          <w:color w:val="auto"/>
        </w:rPr>
        <w:t>Stock Option Exercise Notice and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exercise this Option, Optionee (or in the case of exercise after Optionee’s death or</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incapacity, Optionee’s executor, administrator, heir or legatee, as the case may be) must deliver to the Company an executed Stock Option Exercise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Notice and Agreement in the form attached hereto as </w:t>
      </w:r>
      <w:r>
        <w:rPr>
          <w:rFonts w:ascii="Arial" w:cs="Arial" w:eastAsia="Arial" w:hAnsi="Arial"/>
          <w:sz w:val="17"/>
          <w:szCs w:val="17"/>
          <w:b w:val="1"/>
          <w:bCs w:val="1"/>
          <w:u w:val="single" w:color="auto"/>
          <w:color w:val="auto"/>
        </w:rPr>
        <w:t>Annex A</w:t>
      </w:r>
      <w:r>
        <w:rPr>
          <w:rFonts w:ascii="Arial" w:cs="Arial" w:eastAsia="Arial" w:hAnsi="Arial"/>
          <w:sz w:val="17"/>
          <w:szCs w:val="17"/>
          <w:color w:val="auto"/>
        </w:rPr>
        <w:t>, or in such other form as may be approved by the Committee from time to time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Exercise Agreement</w:t>
      </w:r>
      <w:r>
        <w:rPr>
          <w:rFonts w:ascii="Arial" w:cs="Arial" w:eastAsia="Arial" w:hAnsi="Arial"/>
          <w:sz w:val="17"/>
          <w:szCs w:val="17"/>
          <w:color w:val="auto"/>
        </w:rPr>
        <w:t>”) and payment for the shares being purchased in accordance with this Agreement. The Exercise Agreement shall set forth, among</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other things, (i) Optionee’s election to exercise this Option, (ii) the number of Shares being purchased, (iii) any representations, warranties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agreements regarding Optionee’s investment intent and access to information as may be required by the Company to comply with applicable securities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laws in connection with any exercise of this Option and (iv) any other agreements required by the Company. If someone other than Optionee exercises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this Option, then such person must submit documentation reasonably acceptable to the Company verifying that such person has the legal right to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exercise this Option and such person shall be subject to all of the restrictions contained herein as if such person were Optionee.</w:t>
      </w:r>
    </w:p>
    <w:p>
      <w:pPr>
        <w:spacing w:after="0" w:line="219" w:lineRule="exact"/>
        <w:rPr>
          <w:sz w:val="20"/>
          <w:szCs w:val="20"/>
          <w:color w:val="auto"/>
        </w:rPr>
      </w:pPr>
    </w:p>
    <w:p>
      <w:pPr>
        <w:ind w:right="60" w:firstLine="931"/>
        <w:spacing w:after="0" w:line="282" w:lineRule="auto"/>
        <w:rPr>
          <w:sz w:val="20"/>
          <w:szCs w:val="20"/>
          <w:color w:val="auto"/>
        </w:rPr>
      </w:pPr>
      <w:r>
        <w:rPr>
          <w:rFonts w:ascii="Arial" w:cs="Arial" w:eastAsia="Arial" w:hAnsi="Arial"/>
          <w:sz w:val="19"/>
          <w:szCs w:val="19"/>
          <w:b w:val="1"/>
          <w:bCs w:val="1"/>
          <w:color w:val="auto"/>
        </w:rPr>
        <w:t xml:space="preserve">18.2 </w:t>
      </w:r>
      <w:r>
        <w:rPr>
          <w:rFonts w:ascii="Arial" w:cs="Arial" w:eastAsia="Arial" w:hAnsi="Arial"/>
          <w:sz w:val="19"/>
          <w:szCs w:val="19"/>
          <w:b w:val="1"/>
          <w:bCs w:val="1"/>
          <w:u w:val="single" w:color="auto"/>
          <w:color w:val="auto"/>
        </w:rPr>
        <w:t>Limitations on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This Option may not be exercised unless such exercise is in compliance with all applicable federal and state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laws, as they are in effect on the date of exercise.</w:t>
      </w:r>
    </w:p>
    <w:p>
      <w:pPr>
        <w:spacing w:after="0" w:line="171" w:lineRule="exact"/>
        <w:rPr>
          <w:sz w:val="20"/>
          <w:szCs w:val="20"/>
          <w:color w:val="auto"/>
        </w:rPr>
      </w:pPr>
    </w:p>
    <w:p>
      <w:pPr>
        <w:ind w:right="60" w:firstLine="931"/>
        <w:spacing w:after="0" w:line="282" w:lineRule="auto"/>
        <w:rPr>
          <w:sz w:val="20"/>
          <w:szCs w:val="20"/>
          <w:color w:val="auto"/>
        </w:rPr>
      </w:pPr>
      <w:r>
        <w:rPr>
          <w:rFonts w:ascii="Arial" w:cs="Arial" w:eastAsia="Arial" w:hAnsi="Arial"/>
          <w:sz w:val="19"/>
          <w:szCs w:val="19"/>
          <w:b w:val="1"/>
          <w:bCs w:val="1"/>
          <w:color w:val="auto"/>
        </w:rPr>
        <w:t xml:space="preserve">18.3 </w:t>
      </w: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Exercise Agreement shall be accompanied by full payment of the Exercise Price for the shares being purchased in cash</w:t>
      </w:r>
      <w:r>
        <w:rPr>
          <w:rFonts w:ascii="Arial" w:cs="Arial" w:eastAsia="Arial" w:hAnsi="Arial"/>
          <w:sz w:val="19"/>
          <w:szCs w:val="19"/>
          <w:b w:val="1"/>
          <w:bCs w:val="1"/>
          <w:color w:val="auto"/>
        </w:rPr>
        <w:t xml:space="preserve"> </w:t>
      </w:r>
      <w:r>
        <w:rPr>
          <w:rFonts w:ascii="Arial" w:cs="Arial" w:eastAsia="Arial" w:hAnsi="Arial"/>
          <w:sz w:val="19"/>
          <w:szCs w:val="19"/>
          <w:color w:val="auto"/>
        </w:rPr>
        <w:t>(by check or wire transfer), or where permitted by law:</w:t>
      </w:r>
    </w:p>
    <w:p>
      <w:pPr>
        <w:spacing w:after="0" w:line="63" w:lineRule="exact"/>
        <w:rPr>
          <w:sz w:val="20"/>
          <w:szCs w:val="20"/>
          <w:color w:val="auto"/>
        </w:rPr>
      </w:pPr>
    </w:p>
    <w:p>
      <w:pPr>
        <w:ind w:left="5780" w:right="4700" w:hanging="4268"/>
        <w:spacing w:after="0" w:line="448" w:lineRule="auto"/>
        <w:tabs>
          <w:tab w:leader="none" w:pos="1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by cancellation of indebtedness of the Company owed to Optionee; 3</w:t>
      </w:r>
    </w:p>
    <w:p>
      <w:pPr>
        <w:sectPr>
          <w:pgSz w:w="12240" w:h="15840" w:orient="portrait"/>
          <w:cols w:equalWidth="0" w:num="1">
            <w:col w:w="11580"/>
          </w:cols>
          <w:pgMar w:left="300" w:top="136" w:right="360" w:bottom="1440" w:gutter="0" w:footer="0" w:header="0"/>
        </w:sectPr>
      </w:pPr>
    </w:p>
    <w:bookmarkStart w:id="29" w:name="page30"/>
    <w:bookmarkEnd w:id="29"/>
    <w:p>
      <w:pPr>
        <w:ind w:right="360" w:firstLine="1512"/>
        <w:spacing w:after="0" w:line="259" w:lineRule="auto"/>
        <w:tabs>
          <w:tab w:leader="none" w:pos="1782" w:val="left"/>
        </w:tabs>
        <w:numPr>
          <w:ilvl w:val="0"/>
          <w:numId w:val="3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197" w:lineRule="exact"/>
        <w:rPr>
          <w:rFonts w:ascii="Arial" w:cs="Arial" w:eastAsia="Arial" w:hAnsi="Arial"/>
          <w:sz w:val="19"/>
          <w:szCs w:val="19"/>
          <w:color w:val="auto"/>
        </w:rPr>
      </w:pPr>
    </w:p>
    <w:p>
      <w:pPr>
        <w:ind w:left="1780" w:hanging="268"/>
        <w:spacing w:after="0"/>
        <w:tabs>
          <w:tab w:leader="none" w:pos="1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by participating in a formal cashless exercise program implemented by the Committee in connection with the Plan;</w:t>
      </w:r>
    </w:p>
    <w:p>
      <w:pPr>
        <w:spacing w:after="0" w:line="237" w:lineRule="exact"/>
        <w:rPr>
          <w:rFonts w:ascii="Arial" w:cs="Arial" w:eastAsia="Arial" w:hAnsi="Arial"/>
          <w:sz w:val="19"/>
          <w:szCs w:val="19"/>
          <w:color w:val="auto"/>
        </w:rPr>
      </w:pPr>
    </w:p>
    <w:p>
      <w:pPr>
        <w:ind w:right="40" w:firstLine="1512"/>
        <w:spacing w:after="0" w:line="259" w:lineRule="auto"/>
        <w:tabs>
          <w:tab w:leader="none" w:pos="1782" w:val="left"/>
        </w:tabs>
        <w:numPr>
          <w:ilvl w:val="0"/>
          <w:numId w:val="34"/>
        </w:numPr>
        <w:rPr>
          <w:rFonts w:ascii="Arial" w:cs="Arial" w:eastAsia="Arial" w:hAnsi="Arial"/>
          <w:sz w:val="19"/>
          <w:szCs w:val="19"/>
          <w:color w:val="auto"/>
        </w:rPr>
      </w:pPr>
      <w:r>
        <w:rPr>
          <w:rFonts w:ascii="Arial" w:cs="Arial" w:eastAsia="Arial" w:hAnsi="Arial"/>
          <w:sz w:val="19"/>
          <w:szCs w:val="19"/>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97" w:lineRule="exact"/>
        <w:rPr>
          <w:rFonts w:ascii="Arial" w:cs="Arial" w:eastAsia="Arial" w:hAnsi="Arial"/>
          <w:sz w:val="19"/>
          <w:szCs w:val="19"/>
          <w:color w:val="auto"/>
        </w:rPr>
      </w:pPr>
    </w:p>
    <w:p>
      <w:pPr>
        <w:ind w:right="800" w:firstLine="1512"/>
        <w:spacing w:after="0" w:line="275" w:lineRule="auto"/>
        <w:tabs>
          <w:tab w:leader="none" w:pos="1771" w:val="left"/>
        </w:tabs>
        <w:numPr>
          <w:ilvl w:val="0"/>
          <w:numId w:val="34"/>
        </w:numPr>
        <w:rPr>
          <w:rFonts w:ascii="Arial" w:cs="Arial" w:eastAsia="Arial" w:hAnsi="Arial"/>
          <w:sz w:val="19"/>
          <w:szCs w:val="19"/>
          <w:color w:val="auto"/>
        </w:rPr>
      </w:pPr>
      <w:r>
        <w:rPr>
          <w:rFonts w:ascii="Arial" w:cs="Arial" w:eastAsia="Arial" w:hAnsi="Arial"/>
          <w:sz w:val="19"/>
          <w:szCs w:val="19"/>
          <w:color w:val="auto"/>
        </w:rPr>
        <w:t>by any combination of the foregoing or any other method of payment approved by the Committee that constitutes legal consideration for the issuance of Shares.</w:t>
      </w:r>
    </w:p>
    <w:p>
      <w:pPr>
        <w:spacing w:after="0" w:line="178" w:lineRule="exact"/>
        <w:rPr>
          <w:sz w:val="20"/>
          <w:szCs w:val="20"/>
          <w:color w:val="auto"/>
        </w:rPr>
      </w:pPr>
    </w:p>
    <w:p>
      <w:pPr>
        <w:ind w:right="20" w:firstLine="931"/>
        <w:spacing w:after="0" w:line="255" w:lineRule="auto"/>
        <w:rPr>
          <w:sz w:val="20"/>
          <w:szCs w:val="20"/>
          <w:color w:val="auto"/>
        </w:rPr>
      </w:pPr>
      <w:r>
        <w:rPr>
          <w:rFonts w:ascii="Arial" w:cs="Arial" w:eastAsia="Arial" w:hAnsi="Arial"/>
          <w:sz w:val="19"/>
          <w:szCs w:val="19"/>
          <w:b w:val="1"/>
          <w:bCs w:val="1"/>
          <w:color w:val="auto"/>
        </w:rPr>
        <w:t xml:space="preserve">18.4 </w:t>
      </w:r>
      <w:r>
        <w:rPr>
          <w:rFonts w:ascii="Arial" w:cs="Arial" w:eastAsia="Arial" w:hAnsi="Arial"/>
          <w:sz w:val="19"/>
          <w:szCs w:val="19"/>
          <w:b w:val="1"/>
          <w:bCs w:val="1"/>
          <w:u w:val="single" w:color="auto"/>
          <w:color w:val="auto"/>
        </w:rPr>
        <w:t>Tax 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issuance of the Shares upon exercise of the Option, Optionee must pay or provide for any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state 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200" w:lineRule="exact"/>
        <w:rPr>
          <w:sz w:val="20"/>
          <w:szCs w:val="20"/>
          <w:color w:val="auto"/>
        </w:rPr>
      </w:pPr>
    </w:p>
    <w:p>
      <w:pPr>
        <w:ind w:right="240" w:firstLine="931"/>
        <w:spacing w:after="0" w:line="312" w:lineRule="auto"/>
        <w:rPr>
          <w:sz w:val="20"/>
          <w:szCs w:val="20"/>
          <w:color w:val="auto"/>
        </w:rPr>
      </w:pPr>
      <w:r>
        <w:rPr>
          <w:rFonts w:ascii="Arial" w:cs="Arial" w:eastAsia="Arial" w:hAnsi="Arial"/>
          <w:sz w:val="17"/>
          <w:szCs w:val="17"/>
          <w:b w:val="1"/>
          <w:bCs w:val="1"/>
          <w:color w:val="auto"/>
        </w:rPr>
        <w:t xml:space="preserve">18.5 </w:t>
      </w:r>
      <w:r>
        <w:rPr>
          <w:rFonts w:ascii="Arial" w:cs="Arial" w:eastAsia="Arial" w:hAnsi="Arial"/>
          <w:sz w:val="17"/>
          <w:szCs w:val="17"/>
          <w:b w:val="1"/>
          <w:bCs w:val="1"/>
          <w:u w:val="single" w:color="auto"/>
          <w:color w:val="auto"/>
        </w:rPr>
        <w:t>Issuance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the Exercise Agreement and payment are in form and substance satisfactory to counsel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50" w:lineRule="exact"/>
        <w:rPr>
          <w:sz w:val="20"/>
          <w:szCs w:val="20"/>
          <w:color w:val="auto"/>
        </w:rPr>
      </w:pPr>
    </w:p>
    <w:p>
      <w:pPr>
        <w:ind w:firstLine="465"/>
        <w:spacing w:after="0" w:line="255" w:lineRule="auto"/>
        <w:tabs>
          <w:tab w:leader="none" w:pos="75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LAWS AND REGULATIONS. </w:t>
      </w:r>
      <w:r>
        <w:rPr>
          <w:rFonts w:ascii="Arial" w:cs="Arial" w:eastAsia="Arial" w:hAnsi="Arial"/>
          <w:sz w:val="19"/>
          <w:szCs w:val="19"/>
          <w:color w:val="auto"/>
        </w:rPr>
        <w:t>The Plan and this Agreement are intended to comply with Section 25102(o) and</w:t>
      </w:r>
      <w:r>
        <w:rPr>
          <w:rFonts w:ascii="Arial" w:cs="Arial" w:eastAsia="Arial" w:hAnsi="Arial"/>
          <w:sz w:val="19"/>
          <w:szCs w:val="19"/>
          <w:b w:val="1"/>
          <w:bCs w:val="1"/>
          <w:color w:val="auto"/>
        </w:rPr>
        <w:t xml:space="preserve"> </w:t>
      </w:r>
      <w:r>
        <w:rPr>
          <w:rFonts w:ascii="Arial" w:cs="Arial" w:eastAsia="Arial" w:hAnsi="Arial"/>
          <w:sz w:val="19"/>
          <w:szCs w:val="19"/>
          <w:color w:val="auto"/>
        </w:rPr>
        <w:t>Rule 701. 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200" w:lineRule="exact"/>
        <w:rPr>
          <w:rFonts w:ascii="Arial" w:cs="Arial" w:eastAsia="Arial" w:hAnsi="Arial"/>
          <w:sz w:val="19"/>
          <w:szCs w:val="19"/>
          <w:b w:val="1"/>
          <w:bCs w:val="1"/>
          <w:color w:val="auto"/>
        </w:rPr>
      </w:pPr>
    </w:p>
    <w:p>
      <w:pPr>
        <w:ind w:right="100" w:firstLine="465"/>
        <w:spacing w:after="0" w:line="276" w:lineRule="auto"/>
        <w:tabs>
          <w:tab w:leader="none" w:pos="75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OPTION. </w:t>
      </w:r>
      <w:r>
        <w:rPr>
          <w:rFonts w:ascii="Arial" w:cs="Arial" w:eastAsia="Arial" w:hAnsi="Arial"/>
          <w:sz w:val="18"/>
          <w:szCs w:val="18"/>
          <w:color w:val="auto"/>
        </w:rPr>
        <w:t>This Option may not be transferred in any manner other than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1620"/>
          </w:cols>
          <w:pgMar w:left="300" w:top="142" w:right="320" w:bottom="1440" w:gutter="0" w:footer="0" w:header="0"/>
        </w:sectPr>
      </w:pPr>
    </w:p>
    <w:bookmarkStart w:id="30" w:name="page31"/>
    <w:bookmarkEnd w:id="30"/>
    <w:p>
      <w:pPr>
        <w:ind w:left="4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t>21. RESTRICTIONS ON TRANSFER.</w:t>
      </w:r>
    </w:p>
    <w:p>
      <w:pPr>
        <w:spacing w:after="0" w:line="238" w:lineRule="exact"/>
        <w:rPr>
          <w:sz w:val="20"/>
          <w:szCs w:val="20"/>
          <w:color w:val="auto"/>
        </w:rPr>
      </w:pPr>
    </w:p>
    <w:p>
      <w:pPr>
        <w:ind w:firstLine="931"/>
        <w:spacing w:after="0" w:line="282"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b w:val="1"/>
          <w:bCs w:val="1"/>
          <w:u w:val="single" w:color="auto"/>
          <w:color w:val="auto"/>
        </w:rPr>
        <w:t>Disposition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hereby agrees that Optionee shall make no disposition of any of the Shares (other than as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unless and until:</w:t>
      </w:r>
    </w:p>
    <w:p>
      <w:pPr>
        <w:spacing w:after="0" w:line="63" w:lineRule="exact"/>
        <w:rPr>
          <w:sz w:val="20"/>
          <w:szCs w:val="20"/>
          <w:color w:val="auto"/>
        </w:rPr>
      </w:pPr>
    </w:p>
    <w:p>
      <w:pPr>
        <w:ind w:right="740" w:firstLine="1512"/>
        <w:spacing w:after="0" w:line="275" w:lineRule="auto"/>
        <w:tabs>
          <w:tab w:leader="none" w:pos="1771" w:val="left"/>
        </w:tabs>
        <w:numPr>
          <w:ilvl w:val="0"/>
          <w:numId w:val="36"/>
        </w:numPr>
        <w:rPr>
          <w:rFonts w:ascii="Arial" w:cs="Arial" w:eastAsia="Arial" w:hAnsi="Arial"/>
          <w:sz w:val="19"/>
          <w:szCs w:val="19"/>
          <w:color w:val="auto"/>
        </w:rPr>
      </w:pPr>
      <w:r>
        <w:rPr>
          <w:rFonts w:ascii="Arial" w:cs="Arial" w:eastAsia="Arial" w:hAnsi="Arial"/>
          <w:sz w:val="19"/>
          <w:szCs w:val="19"/>
          <w:color w:val="auto"/>
        </w:rPr>
        <w:t>Optionee shall have notified the Company of the proposed disposition and provided a written summary of the terms and conditions of the proposed disposition;</w:t>
      </w:r>
    </w:p>
    <w:p>
      <w:pPr>
        <w:spacing w:after="0" w:line="183" w:lineRule="exact"/>
        <w:rPr>
          <w:rFonts w:ascii="Arial" w:cs="Arial" w:eastAsia="Arial" w:hAnsi="Arial"/>
          <w:sz w:val="19"/>
          <w:szCs w:val="19"/>
          <w:color w:val="auto"/>
        </w:rPr>
      </w:pPr>
    </w:p>
    <w:p>
      <w:pPr>
        <w:ind w:right="680" w:firstLine="1512"/>
        <w:spacing w:after="0" w:line="275" w:lineRule="auto"/>
        <w:tabs>
          <w:tab w:leader="none" w:pos="1782" w:val="left"/>
        </w:tabs>
        <w:numPr>
          <w:ilvl w:val="0"/>
          <w:numId w:val="36"/>
        </w:numPr>
        <w:rPr>
          <w:rFonts w:ascii="Arial" w:cs="Arial" w:eastAsia="Arial" w:hAnsi="Arial"/>
          <w:sz w:val="19"/>
          <w:szCs w:val="19"/>
          <w:color w:val="auto"/>
        </w:rPr>
      </w:pPr>
      <w:r>
        <w:rPr>
          <w:rFonts w:ascii="Arial" w:cs="Arial" w:eastAsia="Arial" w:hAnsi="Arial"/>
          <w:sz w:val="19"/>
          <w:szCs w:val="19"/>
          <w:color w:val="auto"/>
        </w:rPr>
        <w:t>Optionee shall have complied with all requirements of this Agreement applicable to the disposition of the Shares and the restrictions on transfer set forth in the Bylaws (as defined below);</w:t>
      </w:r>
    </w:p>
    <w:p>
      <w:pPr>
        <w:spacing w:after="0" w:line="183" w:lineRule="exact"/>
        <w:rPr>
          <w:rFonts w:ascii="Arial" w:cs="Arial" w:eastAsia="Arial" w:hAnsi="Arial"/>
          <w:sz w:val="19"/>
          <w:szCs w:val="19"/>
          <w:color w:val="auto"/>
        </w:rPr>
      </w:pPr>
    </w:p>
    <w:p>
      <w:pPr>
        <w:ind w:right="300" w:firstLine="1512"/>
        <w:spacing w:after="0" w:line="277" w:lineRule="auto"/>
        <w:tabs>
          <w:tab w:leader="none" w:pos="17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85" w:lineRule="exact"/>
        <w:rPr>
          <w:rFonts w:ascii="Arial" w:cs="Arial" w:eastAsia="Arial" w:hAnsi="Arial"/>
          <w:sz w:val="18"/>
          <w:szCs w:val="18"/>
          <w:color w:val="auto"/>
        </w:rPr>
      </w:pPr>
    </w:p>
    <w:p>
      <w:pPr>
        <w:ind w:right="100" w:firstLine="1512"/>
        <w:spacing w:after="0" w:line="256" w:lineRule="auto"/>
        <w:tabs>
          <w:tab w:leader="none" w:pos="1782" w:val="left"/>
        </w:tabs>
        <w:numPr>
          <w:ilvl w:val="0"/>
          <w:numId w:val="36"/>
        </w:numPr>
        <w:rPr>
          <w:rFonts w:ascii="Arial" w:cs="Arial" w:eastAsia="Arial" w:hAnsi="Arial"/>
          <w:sz w:val="19"/>
          <w:szCs w:val="19"/>
          <w:color w:val="auto"/>
        </w:rPr>
      </w:pPr>
      <w:r>
        <w:rPr>
          <w:rFonts w:ascii="Arial" w:cs="Arial" w:eastAsia="Arial" w:hAnsi="Arial"/>
          <w:sz w:val="19"/>
          <w:szCs w:val="19"/>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98" w:lineRule="exact"/>
        <w:rPr>
          <w:sz w:val="20"/>
          <w:szCs w:val="20"/>
          <w:color w:val="auto"/>
        </w:rPr>
      </w:pPr>
    </w:p>
    <w:p>
      <w:pPr>
        <w:ind w:right="480" w:firstLine="931"/>
        <w:spacing w:after="0" w:line="266" w:lineRule="auto"/>
        <w:rPr>
          <w:sz w:val="20"/>
          <w:szCs w:val="20"/>
          <w:color w:val="auto"/>
        </w:rPr>
      </w:pPr>
      <w:r>
        <w:rPr>
          <w:rFonts w:ascii="Arial" w:cs="Arial" w:eastAsia="Arial" w:hAnsi="Arial"/>
          <w:sz w:val="19"/>
          <w:szCs w:val="19"/>
          <w:b w:val="1"/>
          <w:bCs w:val="1"/>
          <w:color w:val="auto"/>
        </w:rPr>
        <w:t xml:space="preserve">21.2 </w:t>
      </w:r>
      <w:r>
        <w:rPr>
          <w:rFonts w:ascii="Arial" w:cs="Arial" w:eastAsia="Arial" w:hAnsi="Arial"/>
          <w:sz w:val="19"/>
          <w:szCs w:val="19"/>
          <w:b w:val="1"/>
          <w:bCs w:val="1"/>
          <w:u w:val="single" w:color="auto"/>
          <w:color w:val="auto"/>
        </w:rPr>
        <w:t>Restriction on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shall not transfer, assign, grant a lien or security interest in, pledge, hypothecate, encumber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dispose of any of the Shares which are subject to the Company’s Right of First Refusal described below, except as permitted by this Agreement.</w:t>
      </w:r>
    </w:p>
    <w:p>
      <w:pPr>
        <w:spacing w:after="0" w:line="186" w:lineRule="exact"/>
        <w:rPr>
          <w:sz w:val="20"/>
          <w:szCs w:val="20"/>
          <w:color w:val="auto"/>
        </w:rPr>
      </w:pPr>
    </w:p>
    <w:p>
      <w:pPr>
        <w:ind w:right="180" w:firstLine="931"/>
        <w:spacing w:after="0" w:line="292" w:lineRule="auto"/>
        <w:rPr>
          <w:sz w:val="20"/>
          <w:szCs w:val="20"/>
          <w:color w:val="auto"/>
        </w:rPr>
      </w:pPr>
      <w:r>
        <w:rPr>
          <w:rFonts w:ascii="Arial" w:cs="Arial" w:eastAsia="Arial" w:hAnsi="Arial"/>
          <w:sz w:val="17"/>
          <w:szCs w:val="17"/>
          <w:b w:val="1"/>
          <w:bCs w:val="1"/>
          <w:color w:val="auto"/>
        </w:rPr>
        <w:t xml:space="preserve">21.3 </w:t>
      </w:r>
      <w:r>
        <w:rPr>
          <w:rFonts w:ascii="Arial" w:cs="Arial" w:eastAsia="Arial" w:hAnsi="Arial"/>
          <w:sz w:val="17"/>
          <w:szCs w:val="17"/>
          <w:b w:val="1"/>
          <w:bCs w:val="1"/>
          <w:u w:val="single" w:color="auto"/>
          <w:color w:val="auto"/>
        </w:rPr>
        <w:t>Transferee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(other than the Company) to whom the Shares are transferred by means of one of the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8 below, (iii) the Company Co-Sale Agreement (as defined below), (iv) the Company Voting Agreement (as defined below), and (v) and the restrictions on transfer set forth in the Bylaws (as defined below), as each of the foregoing documents may be amended from time to time, to the same extent such Shares would be so subject if retained by Optionee.</w:t>
      </w:r>
    </w:p>
    <w:p>
      <w:pPr>
        <w:spacing w:after="0" w:line="170" w:lineRule="exact"/>
        <w:rPr>
          <w:sz w:val="20"/>
          <w:szCs w:val="20"/>
          <w:color w:val="auto"/>
        </w:rPr>
      </w:pPr>
    </w:p>
    <w:p>
      <w:pPr>
        <w:ind w:right="40" w:firstLine="465"/>
        <w:spacing w:after="0" w:line="288" w:lineRule="auto"/>
        <w:tabs>
          <w:tab w:leader="none" w:pos="75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MARKET STANDOFF AGREEMENT. </w:t>
      </w:r>
      <w:r>
        <w:rPr>
          <w:rFonts w:ascii="Arial" w:cs="Arial" w:eastAsia="Arial" w:hAnsi="Arial"/>
          <w:sz w:val="17"/>
          <w:szCs w:val="17"/>
          <w:color w:val="auto"/>
        </w:rPr>
        <w:t>Optionee agrees that, subject to any early release provisions that apply pro rata to stockholders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xml:space="preserve">”), directly or indirectly sell, offer to sell, grant any option for the sale of, or otherwise dispose of any Common Stock or securities convertible into Common Stock, </w:t>
      </w:r>
      <w:r>
        <w:rPr>
          <w:rFonts w:ascii="Arial" w:cs="Arial" w:eastAsia="Arial" w:hAnsi="Arial"/>
          <w:sz w:val="17"/>
          <w:szCs w:val="17"/>
          <w:u w:val="single" w:color="auto"/>
          <w:color w:val="auto"/>
        </w:rPr>
        <w:t>except for:</w:t>
      </w:r>
      <w:r>
        <w:rPr>
          <w:rFonts w:ascii="Arial" w:cs="Arial" w:eastAsia="Arial" w:hAnsi="Arial"/>
          <w:sz w:val="17"/>
          <w:szCs w:val="17"/>
          <w:color w:val="auto"/>
        </w:rPr>
        <w:t xml:space="preserve"> (i) transfers of Shares permitted under Section 9.6 hereof so long as such transferee furnishes to the Company and the managing underwriter their written consent to be bound by this Section 8 as a condition precedent to such transfer; and (ii) sales of any securities to be included in the registration statement for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640"/>
          </w:cols>
          <w:pgMar w:left="300" w:top="136" w:right="300" w:bottom="1440" w:gutter="0" w:footer="0" w:header="0"/>
        </w:sectPr>
      </w:pPr>
    </w:p>
    <w:bookmarkStart w:id="31" w:name="page32"/>
    <w:bookmarkEnd w:id="31"/>
    <w:p>
      <w:pPr>
        <w:ind w:left="1"/>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the IPO. For the avoidance of doubt, the provisions of this Section shall only apply to the IPO. The restricted period shall in any event terminate two</w:t>
      </w:r>
    </w:p>
    <w:p>
      <w:pPr>
        <w:spacing w:after="0" w:line="46" w:lineRule="exact"/>
        <w:rPr>
          <w:sz w:val="20"/>
          <w:szCs w:val="20"/>
          <w:color w:val="auto"/>
        </w:rPr>
      </w:pPr>
    </w:p>
    <w:p>
      <w:pPr>
        <w:ind w:left="1" w:right="120" w:hanging="1"/>
        <w:spacing w:after="0" w:line="270"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85" w:lineRule="exact"/>
        <w:rPr>
          <w:rFonts w:ascii="Arial" w:cs="Arial" w:eastAsia="Arial" w:hAnsi="Arial"/>
          <w:sz w:val="18"/>
          <w:szCs w:val="18"/>
          <w:color w:val="auto"/>
        </w:rPr>
      </w:pPr>
    </w:p>
    <w:p>
      <w:pPr>
        <w:ind w:left="1" w:right="80" w:firstLine="465"/>
        <w:spacing w:after="0" w:line="261" w:lineRule="auto"/>
        <w:tabs>
          <w:tab w:leader="none" w:pos="751" w:val="left"/>
        </w:tabs>
        <w:numPr>
          <w:ilvl w:val="1"/>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COMPANY’S RIGHT OF FIRST REFUSAL. </w:t>
      </w:r>
      <w:r>
        <w:rPr>
          <w:rFonts w:ascii="Arial" w:cs="Arial" w:eastAsia="Arial" w:hAnsi="Arial"/>
          <w:sz w:val="19"/>
          <w:szCs w:val="19"/>
          <w:color w:val="auto"/>
        </w:rPr>
        <w:t>Before any Shares held by Optionee or any transferee of such Shares (either sometimes</w:t>
      </w:r>
      <w:r>
        <w:rPr>
          <w:rFonts w:ascii="Arial" w:cs="Arial" w:eastAsia="Arial" w:hAnsi="Arial"/>
          <w:sz w:val="19"/>
          <w:szCs w:val="19"/>
          <w:b w:val="1"/>
          <w:bCs w:val="1"/>
          <w:color w:val="auto"/>
        </w:rPr>
        <w:t xml:space="preserve"> </w:t>
      </w:r>
      <w:r>
        <w:rPr>
          <w:rFonts w:ascii="Arial" w:cs="Arial" w:eastAsia="Arial" w:hAnsi="Arial"/>
          <w:sz w:val="19"/>
          <w:szCs w:val="19"/>
          <w:color w:val="auto"/>
        </w:rPr>
        <w:t>referred to herein as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may be sold or otherwise transferred (including, without limitation, a transfer by gift or operation of law), the Company and/or its assignee(s) will have a right of first refusal to purchase the Shares to be sold or transferred (the “</w:t>
      </w:r>
      <w:r>
        <w:rPr>
          <w:rFonts w:ascii="Arial" w:cs="Arial" w:eastAsia="Arial" w:hAnsi="Arial"/>
          <w:sz w:val="19"/>
          <w:szCs w:val="19"/>
          <w:b w:val="1"/>
          <w:bCs w:val="1"/>
          <w:i w:val="1"/>
          <w:iCs w:val="1"/>
          <w:color w:val="auto"/>
        </w:rPr>
        <w:t>Offered Shares</w:t>
      </w:r>
      <w:r>
        <w:rPr>
          <w:rFonts w:ascii="Arial" w:cs="Arial" w:eastAsia="Arial" w:hAnsi="Arial"/>
          <w:sz w:val="19"/>
          <w:szCs w:val="19"/>
          <w:color w:val="auto"/>
        </w:rPr>
        <w:t>”) on the terms and conditions set forth in this Section (the “</w:t>
      </w:r>
      <w:r>
        <w:rPr>
          <w:rFonts w:ascii="Arial" w:cs="Arial" w:eastAsia="Arial" w:hAnsi="Arial"/>
          <w:sz w:val="19"/>
          <w:szCs w:val="19"/>
          <w:b w:val="1"/>
          <w:bCs w:val="1"/>
          <w:i w:val="1"/>
          <w:iCs w:val="1"/>
          <w:color w:val="auto"/>
        </w:rPr>
        <w:t>Right of First Refusal</w:t>
      </w:r>
      <w:r>
        <w:rPr>
          <w:rFonts w:ascii="Arial" w:cs="Arial" w:eastAsia="Arial" w:hAnsi="Arial"/>
          <w:sz w:val="19"/>
          <w:szCs w:val="19"/>
          <w:color w:val="auto"/>
        </w:rPr>
        <w:t>”).</w:t>
      </w:r>
    </w:p>
    <w:p>
      <w:pPr>
        <w:spacing w:after="0" w:line="190" w:lineRule="exact"/>
        <w:rPr>
          <w:sz w:val="20"/>
          <w:szCs w:val="20"/>
          <w:color w:val="auto"/>
        </w:rPr>
      </w:pPr>
    </w:p>
    <w:p>
      <w:pPr>
        <w:ind w:left="941"/>
        <w:spacing w:after="0"/>
        <w:rPr>
          <w:sz w:val="20"/>
          <w:szCs w:val="20"/>
          <w:color w:val="auto"/>
        </w:rPr>
      </w:pPr>
      <w:r>
        <w:rPr>
          <w:rFonts w:ascii="Arial" w:cs="Arial" w:eastAsia="Arial" w:hAnsi="Arial"/>
          <w:sz w:val="17"/>
          <w:szCs w:val="17"/>
          <w:b w:val="1"/>
          <w:bCs w:val="1"/>
          <w:color w:val="auto"/>
        </w:rPr>
        <w:t xml:space="preserve">23.1 </w:t>
      </w:r>
      <w:r>
        <w:rPr>
          <w:rFonts w:ascii="Arial" w:cs="Arial" w:eastAsia="Arial" w:hAnsi="Arial"/>
          <w:sz w:val="17"/>
          <w:szCs w:val="17"/>
          <w:b w:val="1"/>
          <w:bCs w:val="1"/>
          <w:u w:val="single" w:color="auto"/>
          <w:color w:val="auto"/>
        </w:rPr>
        <w:t>Notice of Proposed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the Offered Shares will deliver to the Company a written notice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stating:</w:t>
      </w:r>
    </w:p>
    <w:p>
      <w:pPr>
        <w:spacing w:after="0" w:line="52" w:lineRule="exact"/>
        <w:rPr>
          <w:sz w:val="20"/>
          <w:szCs w:val="20"/>
          <w:color w:val="auto"/>
        </w:rPr>
      </w:pPr>
    </w:p>
    <w:p>
      <w:pPr>
        <w:ind w:left="1" w:hanging="1"/>
        <w:spacing w:after="0" w:line="253" w:lineRule="auto"/>
        <w:tabs>
          <w:tab w:leader="none" w:pos="22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Holder’s bona fide intention to sell or otherwise transfer the Offered Shares; (ii) the name and address of each proposed purchaser or other transferee (the “</w:t>
      </w:r>
      <w:r>
        <w:rPr>
          <w:rFonts w:ascii="Arial" w:cs="Arial" w:eastAsia="Arial" w:hAnsi="Arial"/>
          <w:sz w:val="19"/>
          <w:szCs w:val="19"/>
          <w:b w:val="1"/>
          <w:bCs w:val="1"/>
          <w:i w:val="1"/>
          <w:iCs w:val="1"/>
          <w:color w:val="auto"/>
        </w:rPr>
        <w:t>Proposed Transferee</w:t>
      </w:r>
      <w:r>
        <w:rPr>
          <w:rFonts w:ascii="Arial" w:cs="Arial" w:eastAsia="Arial" w:hAnsi="Arial"/>
          <w:sz w:val="19"/>
          <w:szCs w:val="19"/>
          <w:color w:val="auto"/>
        </w:rPr>
        <w:t>”); (iii) the number of Offered Shares to be transferred to each Proposed Transferee; (iv) the bona fide cash price or other consideration for which the Holder proposes to transfer the Offered Shares (the “</w:t>
      </w:r>
      <w:r>
        <w:rPr>
          <w:rFonts w:ascii="Arial" w:cs="Arial" w:eastAsia="Arial" w:hAnsi="Arial"/>
          <w:sz w:val="19"/>
          <w:szCs w:val="19"/>
          <w:b w:val="1"/>
          <w:bCs w:val="1"/>
          <w:i w:val="1"/>
          <w:iCs w:val="1"/>
          <w:color w:val="auto"/>
        </w:rPr>
        <w:t>Offered Price</w:t>
      </w:r>
      <w:r>
        <w:rPr>
          <w:rFonts w:ascii="Arial" w:cs="Arial" w:eastAsia="Arial" w:hAnsi="Arial"/>
          <w:sz w:val="19"/>
          <w:szCs w:val="19"/>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198" w:lineRule="exact"/>
        <w:rPr>
          <w:sz w:val="20"/>
          <w:szCs w:val="20"/>
          <w:color w:val="auto"/>
        </w:rPr>
      </w:pPr>
    </w:p>
    <w:p>
      <w:pPr>
        <w:ind w:left="1" w:right="20" w:firstLine="931"/>
        <w:spacing w:after="0" w:line="312" w:lineRule="auto"/>
        <w:rPr>
          <w:sz w:val="20"/>
          <w:szCs w:val="20"/>
          <w:color w:val="auto"/>
        </w:rPr>
      </w:pPr>
      <w:r>
        <w:rPr>
          <w:rFonts w:ascii="Arial" w:cs="Arial" w:eastAsia="Arial" w:hAnsi="Arial"/>
          <w:sz w:val="17"/>
          <w:szCs w:val="17"/>
          <w:b w:val="1"/>
          <w:bCs w:val="1"/>
          <w:color w:val="auto"/>
        </w:rPr>
        <w:t xml:space="preserve">23.2 </w:t>
      </w:r>
      <w:r>
        <w:rPr>
          <w:rFonts w:ascii="Arial" w:cs="Arial" w:eastAsia="Arial" w:hAnsi="Arial"/>
          <w:sz w:val="17"/>
          <w:szCs w:val="17"/>
          <w:b w:val="1"/>
          <w:bCs w:val="1"/>
          <w:u w:val="single" w:color="auto"/>
          <w:color w:val="auto"/>
        </w:rPr>
        <w:t>Exercise of Right of First Refusal</w:t>
      </w:r>
      <w:r>
        <w:rPr>
          <w:rFonts w:ascii="Arial" w:cs="Arial" w:eastAsia="Arial" w:hAnsi="Arial"/>
          <w:sz w:val="17"/>
          <w:szCs w:val="17"/>
          <w:b w:val="1"/>
          <w:bCs w:val="1"/>
          <w:color w:val="auto"/>
        </w:rPr>
        <w:t xml:space="preserve">. </w:t>
      </w:r>
      <w:r>
        <w:rPr>
          <w:rFonts w:ascii="Arial" w:cs="Arial" w:eastAsia="Arial" w:hAnsi="Arial"/>
          <w:sz w:val="17"/>
          <w:szCs w:val="17"/>
          <w:color w:val="auto"/>
        </w:rPr>
        <w:t>At any time within thirty (30) days after the date of the Notice, the Company and/or its assignee(s)</w:t>
      </w:r>
      <w:r>
        <w:rPr>
          <w:rFonts w:ascii="Arial" w:cs="Arial" w:eastAsia="Arial" w:hAnsi="Arial"/>
          <w:sz w:val="17"/>
          <w:szCs w:val="17"/>
          <w:b w:val="1"/>
          <w:bCs w:val="1"/>
          <w:color w:val="auto"/>
        </w:rPr>
        <w:t xml:space="preserve"> </w:t>
      </w:r>
      <w:r>
        <w:rPr>
          <w:rFonts w:ascii="Arial" w:cs="Arial" w:eastAsia="Arial" w:hAnsi="Arial"/>
          <w:sz w:val="17"/>
          <w:szCs w:val="17"/>
          <w:color w:val="auto"/>
        </w:rPr>
        <w:t>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50" w:lineRule="exact"/>
        <w:rPr>
          <w:sz w:val="20"/>
          <w:szCs w:val="20"/>
          <w:color w:val="auto"/>
        </w:rPr>
      </w:pPr>
    </w:p>
    <w:p>
      <w:pPr>
        <w:ind w:left="1" w:right="60" w:firstLine="931"/>
        <w:spacing w:after="0" w:line="258" w:lineRule="auto"/>
        <w:rPr>
          <w:sz w:val="20"/>
          <w:szCs w:val="20"/>
          <w:color w:val="auto"/>
        </w:rPr>
      </w:pPr>
      <w:r>
        <w:rPr>
          <w:rFonts w:ascii="Arial" w:cs="Arial" w:eastAsia="Arial" w:hAnsi="Arial"/>
          <w:sz w:val="19"/>
          <w:szCs w:val="19"/>
          <w:b w:val="1"/>
          <w:bCs w:val="1"/>
          <w:color w:val="auto"/>
        </w:rPr>
        <w:t xml:space="preserve">23.3 </w:t>
      </w:r>
      <w:r>
        <w:rPr>
          <w:rFonts w:ascii="Arial" w:cs="Arial" w:eastAsia="Arial" w:hAnsi="Arial"/>
          <w:sz w:val="19"/>
          <w:szCs w:val="19"/>
          <w:b w:val="1"/>
          <w:bCs w:val="1"/>
          <w:u w:val="single" w:color="auto"/>
          <w:color w:val="auto"/>
        </w:rPr>
        <w:t>Purchase Price</w:t>
      </w:r>
      <w:r>
        <w:rPr>
          <w:rFonts w:ascii="Arial" w:cs="Arial" w:eastAsia="Arial" w:hAnsi="Arial"/>
          <w:sz w:val="19"/>
          <w:szCs w:val="19"/>
          <w:b w:val="1"/>
          <w:bCs w:val="1"/>
          <w:color w:val="auto"/>
        </w:rPr>
        <w:t xml:space="preserve">. </w:t>
      </w:r>
      <w:r>
        <w:rPr>
          <w:rFonts w:ascii="Arial" w:cs="Arial" w:eastAsia="Arial" w:hAnsi="Arial"/>
          <w:sz w:val="19"/>
          <w:szCs w:val="19"/>
          <w:color w:val="auto"/>
        </w:rPr>
        <w:t>The purchase price for the Offered Shares purchased under this Section will be the Offered Price,</w:t>
      </w:r>
      <w:r>
        <w:rPr>
          <w:rFonts w:ascii="Arial" w:cs="Arial" w:eastAsia="Arial" w:hAnsi="Arial"/>
          <w:sz w:val="19"/>
          <w:szCs w:val="19"/>
          <w:b w:val="1"/>
          <w:bCs w:val="1"/>
          <w:color w:val="auto"/>
        </w:rPr>
        <w:t xml:space="preserve"> </w:t>
      </w:r>
      <w:r>
        <w:rPr>
          <w:rFonts w:ascii="Arial" w:cs="Arial" w:eastAsia="Arial" w:hAnsi="Arial"/>
          <w:sz w:val="19"/>
          <w:szCs w:val="19"/>
          <w:i w:val="1"/>
          <w:iCs w:val="1"/>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if the</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95" w:lineRule="exact"/>
        <w:rPr>
          <w:sz w:val="20"/>
          <w:szCs w:val="20"/>
          <w:color w:val="auto"/>
        </w:rPr>
      </w:pPr>
    </w:p>
    <w:p>
      <w:pPr>
        <w:ind w:left="1" w:right="20" w:firstLine="931"/>
        <w:spacing w:after="0" w:line="258" w:lineRule="auto"/>
        <w:rPr>
          <w:sz w:val="20"/>
          <w:szCs w:val="20"/>
          <w:color w:val="auto"/>
        </w:rPr>
      </w:pPr>
      <w:r>
        <w:rPr>
          <w:rFonts w:ascii="Arial" w:cs="Arial" w:eastAsia="Arial" w:hAnsi="Arial"/>
          <w:sz w:val="19"/>
          <w:szCs w:val="19"/>
          <w:b w:val="1"/>
          <w:bCs w:val="1"/>
          <w:color w:val="auto"/>
        </w:rPr>
        <w:t xml:space="preserve">23.4 </w:t>
      </w:r>
      <w:r>
        <w:rPr>
          <w:rFonts w:ascii="Arial" w:cs="Arial" w:eastAsia="Arial" w:hAnsi="Arial"/>
          <w:sz w:val="19"/>
          <w:szCs w:val="19"/>
          <w:b w:val="1"/>
          <w:bCs w:val="1"/>
          <w:u w:val="single" w:color="auto"/>
          <w:color w:val="auto"/>
        </w:rPr>
        <w:t>Payment</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of the purchase price for the Offered Shares will be payable, at the option of the Company and/or its assignee(s)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95" w:lineRule="exact"/>
        <w:rPr>
          <w:sz w:val="20"/>
          <w:szCs w:val="20"/>
          <w:color w:val="auto"/>
        </w:rPr>
      </w:pPr>
    </w:p>
    <w:p>
      <w:pPr>
        <w:ind w:left="1" w:right="120" w:firstLine="931"/>
        <w:spacing w:after="0" w:line="255" w:lineRule="auto"/>
        <w:rPr>
          <w:sz w:val="20"/>
          <w:szCs w:val="20"/>
          <w:color w:val="auto"/>
        </w:rPr>
      </w:pPr>
      <w:r>
        <w:rPr>
          <w:rFonts w:ascii="Arial" w:cs="Arial" w:eastAsia="Arial" w:hAnsi="Arial"/>
          <w:sz w:val="19"/>
          <w:szCs w:val="19"/>
          <w:b w:val="1"/>
          <w:bCs w:val="1"/>
          <w:color w:val="auto"/>
        </w:rPr>
        <w:t xml:space="preserve">23.5 </w:t>
      </w:r>
      <w:r>
        <w:rPr>
          <w:rFonts w:ascii="Arial" w:cs="Arial" w:eastAsia="Arial" w:hAnsi="Arial"/>
          <w:sz w:val="19"/>
          <w:szCs w:val="19"/>
          <w:b w:val="1"/>
          <w:bCs w:val="1"/>
          <w:u w:val="single" w:color="auto"/>
          <w:color w:val="auto"/>
        </w:rPr>
        <w:t>Holder’s Right to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If all of the Offered Shares proposed in the Notice to be transferred to a given Proposed Transferee 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purchased by the Company and/or its assignee(s) as provided in this Section, then the Holder may sell or otherwise transfer such Offered Shares to each Proposed Transferee at the Offered Price or at a higher price,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1621"/>
          </w:cols>
          <w:pgMar w:left="299" w:top="142" w:right="320" w:bottom="1440" w:gutter="0" w:footer="0" w:header="0"/>
        </w:sectPr>
      </w:pPr>
    </w:p>
    <w:bookmarkStart w:id="32" w:name="page33"/>
    <w:bookmarkEnd w:id="32"/>
    <w:p>
      <w:pPr>
        <w:ind w:left="1" w:firstLine="931"/>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23.6 </w:t>
      </w:r>
      <w:r>
        <w:rPr>
          <w:rFonts w:ascii="Arial" w:cs="Arial" w:eastAsia="Arial" w:hAnsi="Arial"/>
          <w:sz w:val="17"/>
          <w:szCs w:val="17"/>
          <w:b w:val="1"/>
          <w:bCs w:val="1"/>
          <w:u w:val="single" w:color="auto"/>
          <w:color w:val="auto"/>
        </w:rPr>
        <w:t>Exempt Transfers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in this Section, the following transfers of Shares will be exempt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Arial" w:cs="Arial" w:eastAsia="Arial" w:hAnsi="Arial"/>
          <w:sz w:val="17"/>
          <w:szCs w:val="17"/>
          <w:b w:val="1"/>
          <w:bCs w:val="1"/>
          <w:i w:val="1"/>
          <w:iCs w:val="1"/>
          <w:color w:val="auto"/>
        </w:rPr>
        <w:t>Immediate Family”</w:t>
      </w:r>
      <w:r>
        <w:rPr>
          <w:rFonts w:ascii="Arial" w:cs="Arial" w:eastAsia="Arial" w:hAnsi="Arial"/>
          <w:sz w:val="17"/>
          <w:szCs w:val="17"/>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Arial" w:cs="Arial" w:eastAsia="Arial" w:hAnsi="Arial"/>
          <w:sz w:val="17"/>
          <w:szCs w:val="17"/>
          <w:b w:val="1"/>
          <w:bCs w:val="1"/>
          <w:i w:val="1"/>
          <w:iCs w:val="1"/>
          <w:color w:val="auto"/>
        </w:rPr>
        <w:t>Spousal Equivalent”</w:t>
      </w:r>
      <w:r>
        <w:rPr>
          <w:rFonts w:ascii="Arial" w:cs="Arial" w:eastAsia="Arial" w:hAnsi="Arial"/>
          <w:sz w:val="17"/>
          <w:szCs w:val="17"/>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w:t>
      </w:r>
    </w:p>
    <w:p>
      <w:pPr>
        <w:spacing w:after="0" w:line="9" w:lineRule="exact"/>
        <w:rPr>
          <w:sz w:val="20"/>
          <w:szCs w:val="20"/>
          <w:color w:val="auto"/>
        </w:rPr>
      </w:pPr>
    </w:p>
    <w:p>
      <w:pPr>
        <w:ind w:left="1" w:right="180" w:hanging="1"/>
        <w:spacing w:after="0" w:line="261" w:lineRule="auto"/>
        <w:tabs>
          <w:tab w:leader="none" w:pos="32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they are jointly responsible for each other’s common welfare and financial obligations, and (vii) they reside together in the same residence for the last twelve (12) months and intend to do so indefinitely.</w:t>
      </w:r>
    </w:p>
    <w:p>
      <w:pPr>
        <w:spacing w:after="0" w:line="190" w:lineRule="exact"/>
        <w:rPr>
          <w:sz w:val="20"/>
          <w:szCs w:val="20"/>
          <w:color w:val="auto"/>
        </w:rPr>
      </w:pPr>
    </w:p>
    <w:p>
      <w:pPr>
        <w:ind w:left="1" w:firstLine="931"/>
        <w:spacing w:after="0" w:line="290" w:lineRule="auto"/>
        <w:rPr>
          <w:sz w:val="20"/>
          <w:szCs w:val="20"/>
          <w:color w:val="auto"/>
        </w:rPr>
      </w:pPr>
      <w:r>
        <w:rPr>
          <w:rFonts w:ascii="Arial" w:cs="Arial" w:eastAsia="Arial" w:hAnsi="Arial"/>
          <w:sz w:val="17"/>
          <w:szCs w:val="17"/>
          <w:b w:val="1"/>
          <w:bCs w:val="1"/>
          <w:color w:val="auto"/>
        </w:rPr>
        <w:t xml:space="preserve">23.7 </w:t>
      </w:r>
      <w:r>
        <w:rPr>
          <w:rFonts w:ascii="Arial" w:cs="Arial" w:eastAsia="Arial" w:hAnsi="Arial"/>
          <w:sz w:val="17"/>
          <w:szCs w:val="17"/>
          <w:b w:val="1"/>
          <w:bCs w:val="1"/>
          <w:u w:val="single" w:color="auto"/>
          <w:color w:val="auto"/>
        </w:rPr>
        <w:t>Termination of Right of First Refusal</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of First Refusal will terminate as to all Shares: (i) on the effective date of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172" w:lineRule="exact"/>
        <w:rPr>
          <w:sz w:val="20"/>
          <w:szCs w:val="20"/>
          <w:color w:val="auto"/>
        </w:rPr>
      </w:pPr>
    </w:p>
    <w:p>
      <w:pPr>
        <w:ind w:left="1" w:right="160" w:firstLine="931"/>
        <w:spacing w:after="0" w:line="256" w:lineRule="auto"/>
        <w:rPr>
          <w:sz w:val="20"/>
          <w:szCs w:val="20"/>
          <w:color w:val="auto"/>
        </w:rPr>
      </w:pPr>
      <w:r>
        <w:rPr>
          <w:rFonts w:ascii="Arial" w:cs="Arial" w:eastAsia="Arial" w:hAnsi="Arial"/>
          <w:sz w:val="19"/>
          <w:szCs w:val="19"/>
          <w:b w:val="1"/>
          <w:bCs w:val="1"/>
          <w:color w:val="auto"/>
        </w:rPr>
        <w:t xml:space="preserve">23.8 </w:t>
      </w:r>
      <w:r>
        <w:rPr>
          <w:rFonts w:ascii="Arial" w:cs="Arial" w:eastAsia="Arial" w:hAnsi="Arial"/>
          <w:sz w:val="19"/>
          <w:szCs w:val="19"/>
          <w:b w:val="1"/>
          <w:bCs w:val="1"/>
          <w:u w:val="single" w:color="auto"/>
          <w:color w:val="auto"/>
        </w:rPr>
        <w:t>Encumbrances on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may grant a lien or security interest in, or pledge, hypothecate or encumber Shares only if each</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99" w:lineRule="exact"/>
        <w:rPr>
          <w:sz w:val="20"/>
          <w:szCs w:val="20"/>
          <w:color w:val="auto"/>
        </w:rPr>
      </w:pPr>
    </w:p>
    <w:p>
      <w:pPr>
        <w:jc w:val="both"/>
        <w:ind w:left="1" w:right="220" w:firstLine="931"/>
        <w:spacing w:after="0" w:line="287"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b w:val="1"/>
          <w:bCs w:val="1"/>
          <w:u w:val="single" w:color="auto"/>
          <w:color w:val="auto"/>
        </w:rPr>
        <w:t>Effect of Company Co-Sale Agreement</w:t>
      </w:r>
      <w:r>
        <w:rPr>
          <w:rFonts w:ascii="Arial" w:cs="Arial" w:eastAsia="Arial" w:hAnsi="Arial"/>
          <w:sz w:val="18"/>
          <w:szCs w:val="18"/>
          <w:color w:val="auto"/>
        </w:rPr>
        <w:t>. If Optionee is, or at any time hereafter becomes, a party to or otherwise bound by (i)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Second Amended and Restated Right of First Refusal and Co-Sale Agreement dated as of May 26, 2017 among the Company and certain stockholders and other investors in the Company, as such may be amended and/or restated from time to</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7</w:t>
      </w:r>
    </w:p>
    <w:p>
      <w:pPr>
        <w:sectPr>
          <w:pgSz w:w="12240" w:h="15840" w:orient="portrait"/>
          <w:cols w:equalWidth="0" w:num="1">
            <w:col w:w="11581"/>
          </w:cols>
          <w:pgMar w:left="299" w:top="136" w:right="360" w:bottom="1440" w:gutter="0" w:footer="0" w:header="0"/>
        </w:sectPr>
      </w:pPr>
    </w:p>
    <w:bookmarkStart w:id="33" w:name="page34"/>
    <w:bookmarkEnd w:id="33"/>
    <w:p>
      <w:pPr>
        <w:ind w:right="80"/>
        <w:spacing w:after="0" w:line="28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time and/or (ii) any other agreement that is a successor to or replacement of such agreement (collectively, the “</w:t>
      </w:r>
      <w:r>
        <w:rPr>
          <w:rFonts w:ascii="Arial" w:cs="Arial" w:eastAsia="Arial" w:hAnsi="Arial"/>
          <w:sz w:val="17"/>
          <w:szCs w:val="17"/>
          <w:b w:val="1"/>
          <w:bCs w:val="1"/>
          <w:i w:val="1"/>
          <w:iCs w:val="1"/>
          <w:color w:val="auto"/>
        </w:rPr>
        <w:t>Company Co-Sale Agreement</w:t>
      </w:r>
      <w:r>
        <w:rPr>
          <w:rFonts w:ascii="Arial" w:cs="Arial" w:eastAsia="Arial" w:hAnsi="Arial"/>
          <w:sz w:val="17"/>
          <w:szCs w:val="17"/>
          <w:color w:val="auto"/>
        </w:rPr>
        <w:t>”), then, in the event of any conflict or inconsistency between the provisions of Section 8 hereof and/or this Section 9 and any provisions in the Company Co-Sale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Co-Sale Agreement shall apply, govern, supersede and prevail over (and in lieu of) the provisions of Section 8 hereof and/or of this Section 9 (as applicable) so long as the Company Co-Sale Agreement is in effect and Optionee is a party to or bound thereby. If the Company Co-Sale Agreement is no longer in effect or if Optionee is not a party to or bound thereby, then the provisions of this Section 9 shall apply in full force and effect until termination of the Right of First Refusal and the provisions of Section 8 hereof shall apply in full force and effect in accordance with its terms.</w:t>
      </w:r>
    </w:p>
    <w:p>
      <w:pPr>
        <w:spacing w:after="0" w:line="171" w:lineRule="exact"/>
        <w:rPr>
          <w:sz w:val="20"/>
          <w:szCs w:val="20"/>
          <w:color w:val="auto"/>
        </w:rPr>
      </w:pPr>
    </w:p>
    <w:p>
      <w:pPr>
        <w:ind w:firstLine="465"/>
        <w:spacing w:after="0" w:line="272" w:lineRule="auto"/>
        <w:tabs>
          <w:tab w:leader="none" w:pos="75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Optionee shall not have any of the rights of a stockholder with respect to any Shares unless and until such</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83" w:lineRule="exact"/>
        <w:rPr>
          <w:rFonts w:ascii="Arial" w:cs="Arial" w:eastAsia="Arial" w:hAnsi="Arial"/>
          <w:sz w:val="18"/>
          <w:szCs w:val="18"/>
          <w:b w:val="1"/>
          <w:bCs w:val="1"/>
          <w:color w:val="auto"/>
        </w:rPr>
      </w:pPr>
    </w:p>
    <w:p>
      <w:pPr>
        <w:ind w:right="140" w:firstLine="465"/>
        <w:spacing w:after="0" w:line="266" w:lineRule="auto"/>
        <w:tabs>
          <w:tab w:leader="none" w:pos="750"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BYLAWS RESTRICTIONS</w:t>
      </w:r>
      <w:r>
        <w:rPr>
          <w:rFonts w:ascii="Arial" w:cs="Arial" w:eastAsia="Arial" w:hAnsi="Arial"/>
          <w:sz w:val="19"/>
          <w:szCs w:val="19"/>
          <w:color w:val="auto"/>
        </w:rPr>
        <w:t>. Optionee and any transferee of the Shares agree that the Shares and any interest therein are subject to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of first refusal and any and all restrictions on transfer set forth in the Company’s Amended and Restated Bylaws, as it may be amended from time to time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w:t>
      </w:r>
    </w:p>
    <w:p>
      <w:pPr>
        <w:spacing w:after="0" w:line="186" w:lineRule="exact"/>
        <w:rPr>
          <w:rFonts w:ascii="Arial" w:cs="Arial" w:eastAsia="Arial" w:hAnsi="Arial"/>
          <w:sz w:val="19"/>
          <w:szCs w:val="19"/>
          <w:b w:val="1"/>
          <w:bCs w:val="1"/>
          <w:color w:val="auto"/>
        </w:rPr>
      </w:pPr>
    </w:p>
    <w:p>
      <w:pPr>
        <w:ind w:right="180" w:firstLine="465"/>
        <w:spacing w:after="0" w:line="288" w:lineRule="auto"/>
        <w:tabs>
          <w:tab w:leader="none" w:pos="75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ESCROW. </w:t>
      </w:r>
      <w:r>
        <w:rPr>
          <w:rFonts w:ascii="Arial" w:cs="Arial" w:eastAsia="Arial" w:hAnsi="Arial"/>
          <w:sz w:val="17"/>
          <w:szCs w:val="17"/>
          <w:color w:val="auto"/>
        </w:rPr>
        <w:t>As security for Optionee’s faithful performance of this Agreement, Optionee agrees, immediately upon issuance of the stock</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evidencing the Shares, to consent to the delivery of such certificate(s) to the Secretary of the Company or other designee of the Company (the “</w:t>
      </w:r>
      <w:r>
        <w:rPr>
          <w:rFonts w:ascii="Arial" w:cs="Arial" w:eastAsia="Arial" w:hAnsi="Arial"/>
          <w:sz w:val="17"/>
          <w:szCs w:val="17"/>
          <w:b w:val="1"/>
          <w:bCs w:val="1"/>
          <w:i w:val="1"/>
          <w:iCs w:val="1"/>
          <w:color w:val="auto"/>
        </w:rPr>
        <w:t>Escrow Holder</w:t>
      </w:r>
      <w:r>
        <w:rPr>
          <w:rFonts w:ascii="Arial" w:cs="Arial" w:eastAsia="Arial" w:hAnsi="Arial"/>
          <w:sz w:val="17"/>
          <w:szCs w:val="17"/>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70" w:lineRule="exact"/>
        <w:rPr>
          <w:rFonts w:ascii="Arial" w:cs="Arial" w:eastAsia="Arial" w:hAnsi="Arial"/>
          <w:sz w:val="17"/>
          <w:szCs w:val="17"/>
          <w:b w:val="1"/>
          <w:bCs w:val="1"/>
          <w:color w:val="auto"/>
        </w:rPr>
      </w:pPr>
    </w:p>
    <w:p>
      <w:pPr>
        <w:ind w:right="60" w:firstLine="465"/>
        <w:spacing w:after="0" w:line="296" w:lineRule="auto"/>
        <w:tabs>
          <w:tab w:leader="none" w:pos="75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COMPANY CO-SALE AGREEMENT</w:t>
      </w:r>
      <w:r>
        <w:rPr>
          <w:rFonts w:ascii="Arial" w:cs="Arial" w:eastAsia="Arial" w:hAnsi="Arial"/>
          <w:sz w:val="17"/>
          <w:szCs w:val="17"/>
          <w:color w:val="auto"/>
        </w:rPr>
        <w:t>. As a material inducement and consideration for the Company to enter into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hereby agrees that if, the Company requests Optionee to enter into and become a party to the Company Co-Sale Agreement (and to subject the Shares to the rights of first refusal held by the Company and other Company investors thereunder and the co-sale rights of other investors thereunder), then Optionee will enter into such agreement and execute and deliver signature pages thereto (as requested by the Company) in such capacity as the Company requests, at the time of exercising this Option and as a condition to such exercise or at any later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1640"/>
          </w:cols>
          <w:pgMar w:left="300" w:top="142" w:right="300" w:bottom="1440" w:gutter="0" w:footer="0" w:header="0"/>
        </w:sectPr>
      </w:pPr>
    </w:p>
    <w:bookmarkStart w:id="34" w:name="page35"/>
    <w:bookmarkEnd w:id="34"/>
    <w:p>
      <w:pPr>
        <w:ind w:left="740" w:hanging="275"/>
        <w:spacing w:after="0"/>
        <w:tabs>
          <w:tab w:leader="none" w:pos="74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EXECUTION OF ADOPTION AGREEMENT TO VOTING AGREEMENT</w:t>
      </w:r>
      <w:r>
        <w:rPr>
          <w:rFonts w:ascii="Arial" w:cs="Arial" w:eastAsia="Arial" w:hAnsi="Arial"/>
          <w:sz w:val="19"/>
          <w:szCs w:val="19"/>
          <w:b w:val="1"/>
          <w:bCs w:val="1"/>
          <w:color w:val="auto"/>
        </w:rPr>
        <w:t>.</w:t>
      </w:r>
    </w:p>
    <w:p>
      <w:pPr>
        <w:spacing w:after="0" w:line="238" w:lineRule="exact"/>
        <w:rPr>
          <w:sz w:val="20"/>
          <w:szCs w:val="20"/>
          <w:color w:val="auto"/>
        </w:rPr>
      </w:pPr>
    </w:p>
    <w:p>
      <w:pPr>
        <w:ind w:right="40" w:firstLine="931"/>
        <w:spacing w:after="0" w:line="292"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Optionee agrees, as a condition to receipt of the Shares upon exercise of the Option, to become a party to the Company’s Voting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Drag-Along Agreement dated as of May 26, 2017 among the Company and certain stockholders and other investors in the Company, as such may be amended and/or restated from time to time (the “</w:t>
      </w:r>
      <w:r>
        <w:rPr>
          <w:rFonts w:ascii="Arial" w:cs="Arial" w:eastAsia="Arial" w:hAnsi="Arial"/>
          <w:sz w:val="17"/>
          <w:szCs w:val="17"/>
          <w:b w:val="1"/>
          <w:bCs w:val="1"/>
          <w:i w:val="1"/>
          <w:iCs w:val="1"/>
          <w:color w:val="auto"/>
        </w:rPr>
        <w:t>Company Voting Agreement</w:t>
      </w:r>
      <w:r>
        <w:rPr>
          <w:rFonts w:ascii="Arial" w:cs="Arial" w:eastAsia="Arial" w:hAnsi="Arial"/>
          <w:sz w:val="17"/>
          <w:szCs w:val="17"/>
          <w:color w:val="auto"/>
        </w:rPr>
        <w:t>”) (pursuant to which Optionee would agree to vote all shares of Company stock held by Optionee for the election of directors and in favor of certain material transactions (such as mergers or sales of the Company), as a Key Holder therein, by executing and delivering the Adoption Agreement to the Company Voting Agreement, in the form attached hereto as Annex B (the “</w:t>
      </w:r>
      <w:r>
        <w:rPr>
          <w:rFonts w:ascii="Arial" w:cs="Arial" w:eastAsia="Arial" w:hAnsi="Arial"/>
          <w:sz w:val="17"/>
          <w:szCs w:val="17"/>
          <w:b w:val="1"/>
          <w:bCs w:val="1"/>
          <w:i w:val="1"/>
          <w:iCs w:val="1"/>
          <w:color w:val="auto"/>
        </w:rPr>
        <w:t>Adoption Agreement</w:t>
      </w:r>
      <w:r>
        <w:rPr>
          <w:rFonts w:ascii="Arial" w:cs="Arial" w:eastAsia="Arial" w:hAnsi="Arial"/>
          <w:sz w:val="17"/>
          <w:szCs w:val="17"/>
          <w:color w:val="auto"/>
        </w:rPr>
        <w:t>”), provided that such Company Voting Agreement will automatically terminate in accordance with its terms.</w:t>
      </w:r>
    </w:p>
    <w:p>
      <w:pPr>
        <w:spacing w:after="0" w:line="170" w:lineRule="exact"/>
        <w:rPr>
          <w:sz w:val="20"/>
          <w:szCs w:val="20"/>
          <w:color w:val="auto"/>
        </w:rPr>
      </w:pPr>
    </w:p>
    <w:p>
      <w:pPr>
        <w:ind w:right="460" w:firstLine="931"/>
        <w:spacing w:after="0" w:line="282" w:lineRule="auto"/>
        <w:rPr>
          <w:sz w:val="20"/>
          <w:szCs w:val="20"/>
          <w:color w:val="auto"/>
        </w:rPr>
      </w:pPr>
      <w:r>
        <w:rPr>
          <w:rFonts w:ascii="Arial" w:cs="Arial" w:eastAsia="Arial" w:hAnsi="Arial"/>
          <w:sz w:val="19"/>
          <w:szCs w:val="19"/>
          <w:b w:val="1"/>
          <w:bCs w:val="1"/>
          <w:color w:val="auto"/>
        </w:rPr>
        <w:t xml:space="preserve">28.2 </w:t>
      </w:r>
      <w:r>
        <w:rPr>
          <w:rFonts w:ascii="Arial" w:cs="Arial" w:eastAsia="Arial" w:hAnsi="Arial"/>
          <w:sz w:val="19"/>
          <w:szCs w:val="19"/>
          <w:color w:val="auto"/>
        </w:rPr>
        <w:t>Any transferee of Optionee’s Shares also agrees to become a party to the Company Voting Agreement as a Key Holder therein by</w:t>
      </w:r>
      <w:r>
        <w:rPr>
          <w:rFonts w:ascii="Arial" w:cs="Arial" w:eastAsia="Arial" w:hAnsi="Arial"/>
          <w:sz w:val="19"/>
          <w:szCs w:val="19"/>
          <w:b w:val="1"/>
          <w:bCs w:val="1"/>
          <w:color w:val="auto"/>
        </w:rPr>
        <w:t xml:space="preserve"> </w:t>
      </w:r>
      <w:r>
        <w:rPr>
          <w:rFonts w:ascii="Arial" w:cs="Arial" w:eastAsia="Arial" w:hAnsi="Arial"/>
          <w:sz w:val="19"/>
          <w:szCs w:val="19"/>
          <w:color w:val="auto"/>
        </w:rPr>
        <w:t>executing the Adoption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29. RESTRICTIVE LEGENDS AND STOP-TRANSFER ORDERS.</w:t>
      </w:r>
    </w:p>
    <w:p>
      <w:pPr>
        <w:spacing w:after="0" w:line="238" w:lineRule="exact"/>
        <w:rPr>
          <w:sz w:val="20"/>
          <w:szCs w:val="20"/>
          <w:color w:val="auto"/>
        </w:rPr>
      </w:pPr>
    </w:p>
    <w:p>
      <w:pPr>
        <w:ind w:right="80" w:firstLine="931"/>
        <w:spacing w:after="0" w:line="276" w:lineRule="auto"/>
        <w:rPr>
          <w:sz w:val="20"/>
          <w:szCs w:val="20"/>
          <w:color w:val="auto"/>
        </w:rPr>
      </w:pPr>
      <w:r>
        <w:rPr>
          <w:rFonts w:ascii="Arial" w:cs="Arial" w:eastAsia="Arial" w:hAnsi="Arial"/>
          <w:sz w:val="18"/>
          <w:szCs w:val="18"/>
          <w:b w:val="1"/>
          <w:bCs w:val="1"/>
          <w:color w:val="auto"/>
        </w:rPr>
        <w:t xml:space="preserve">29.1 </w:t>
      </w: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understands and agrees that the Company will place the legends set forth below or similar legends on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85" w:lineRule="exact"/>
        <w:rPr>
          <w:sz w:val="20"/>
          <w:szCs w:val="20"/>
          <w:color w:val="auto"/>
        </w:rPr>
      </w:pPr>
    </w:p>
    <w:p>
      <w:pPr>
        <w:ind w:firstLine="1512"/>
        <w:spacing w:after="0" w:line="270" w:lineRule="auto"/>
        <w:tabs>
          <w:tab w:leader="none" w:pos="17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90" w:lineRule="exact"/>
        <w:rPr>
          <w:rFonts w:ascii="Arial" w:cs="Arial" w:eastAsia="Arial" w:hAnsi="Arial"/>
          <w:sz w:val="18"/>
          <w:szCs w:val="18"/>
          <w:color w:val="auto"/>
        </w:rPr>
      </w:pPr>
    </w:p>
    <w:p>
      <w:pPr>
        <w:ind w:right="60" w:firstLine="1512"/>
        <w:spacing w:after="0" w:line="256" w:lineRule="auto"/>
        <w:tabs>
          <w:tab w:leader="none" w:pos="1782"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203" w:lineRule="exact"/>
        <w:rPr>
          <w:rFonts w:ascii="Arial" w:cs="Arial" w:eastAsia="Arial" w:hAnsi="Arial"/>
          <w:sz w:val="19"/>
          <w:szCs w:val="19"/>
          <w:color w:val="auto"/>
        </w:rPr>
      </w:pPr>
    </w:p>
    <w:p>
      <w:pPr>
        <w:ind w:right="40" w:firstLine="1512"/>
        <w:spacing w:after="0" w:line="255" w:lineRule="auto"/>
        <w:tabs>
          <w:tab w:leader="none" w:pos="1771"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(AND POSSIBLY LONGER) AFTER THE EFFECTIVE DATE OF CERTAIN PUBLIC OFFERINGS OF THE COMMON STOCK OF THE ISSUER HEREOF. SUCH RESTRICTION IS BINDING ON TRANSFEREES OF THESE SHARES.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ectPr>
          <w:pgSz w:w="12240" w:h="15840" w:orient="portrait"/>
          <w:cols w:equalWidth="0" w:num="1">
            <w:col w:w="11620"/>
          </w:cols>
          <w:pgMar w:left="300" w:top="136" w:right="320" w:bottom="1440" w:gutter="0" w:footer="0" w:header="0"/>
        </w:sectPr>
      </w:pPr>
    </w:p>
    <w:bookmarkStart w:id="35" w:name="page36"/>
    <w:bookmarkEnd w:id="35"/>
    <w:p>
      <w:pPr>
        <w:ind w:right="240" w:firstLine="1512"/>
        <w:spacing w:after="0" w:line="256" w:lineRule="auto"/>
        <w:tabs>
          <w:tab w:leader="none" w:pos="1782" w:val="left"/>
        </w:tabs>
        <w:numPr>
          <w:ilvl w:val="0"/>
          <w:numId w:val="4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THE SHARES EVIDENCED HEREBY ARE SUBJECT TO A VOTING AGREEMENT, AS MAY BE AMENDED FROM TIME TO TIME, (A COPY OF WHICH MAY BE OBTAINED UPON WRITTEN REQUEST FROM THE COMPANY), AND BY ACCEPTING ANY INTEREST IN SUCH SHARES THE PERSON ACCEPTING SUCH INTEREST SHALL BE DEEMED TO AGREE TO AND SHALL BECOME BOUND BY ALL THE PROVISIONS OF THAT VOTING AGREEMENT, INCLUDING CERTAIN RESTRICTIONS ON TRANSFER AND OWNERSHIP SET FORTH THEREIN.</w:t>
      </w:r>
    </w:p>
    <w:p>
      <w:pPr>
        <w:spacing w:after="0" w:line="203" w:lineRule="exact"/>
        <w:rPr>
          <w:rFonts w:ascii="Arial" w:cs="Arial" w:eastAsia="Arial" w:hAnsi="Arial"/>
          <w:sz w:val="19"/>
          <w:szCs w:val="19"/>
          <w:color w:val="auto"/>
        </w:rPr>
      </w:pPr>
    </w:p>
    <w:p>
      <w:pPr>
        <w:ind w:right="700" w:firstLine="1512"/>
        <w:spacing w:after="0" w:line="275" w:lineRule="auto"/>
        <w:tabs>
          <w:tab w:leader="none" w:pos="1771"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SHARES REPRESENTED BY THIS CERTIFICATE ARE SUBJECT TO RESTRICTIONS ON TRANSFER AS PROVIDED IN THE BYLAWS OF THE CORPORATION.</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auto"/>
        </w:rPr>
        <w:t>Optionee agrees that if Optionee becomes a party to the Company Co-Sale Agreement then Optionee agrees that the stock certificate(s) evidencing the Shares shall, in addition, bear any legends required under the Company Co-Sale Agreement, as applicable.</w:t>
      </w:r>
    </w:p>
    <w:p>
      <w:pPr>
        <w:spacing w:after="0" w:line="178" w:lineRule="exact"/>
        <w:rPr>
          <w:sz w:val="20"/>
          <w:szCs w:val="20"/>
          <w:color w:val="auto"/>
        </w:rPr>
      </w:pPr>
    </w:p>
    <w:p>
      <w:pPr>
        <w:ind w:right="300" w:firstLine="931"/>
        <w:spacing w:after="0" w:line="266" w:lineRule="auto"/>
        <w:rPr>
          <w:sz w:val="20"/>
          <w:szCs w:val="20"/>
          <w:color w:val="auto"/>
        </w:rPr>
      </w:pPr>
      <w:r>
        <w:rPr>
          <w:rFonts w:ascii="Arial" w:cs="Arial" w:eastAsia="Arial" w:hAnsi="Arial"/>
          <w:sz w:val="19"/>
          <w:szCs w:val="19"/>
          <w:b w:val="1"/>
          <w:bCs w:val="1"/>
          <w:color w:val="auto"/>
        </w:rPr>
        <w:t xml:space="preserve">29.2 </w:t>
      </w:r>
      <w:r>
        <w:rPr>
          <w:rFonts w:ascii="Arial" w:cs="Arial" w:eastAsia="Arial" w:hAnsi="Arial"/>
          <w:sz w:val="19"/>
          <w:szCs w:val="19"/>
          <w:b w:val="1"/>
          <w:bCs w:val="1"/>
          <w:u w:val="single" w:color="auto"/>
          <w:color w:val="auto"/>
        </w:rPr>
        <w:t>Stop-Transfer Instructions</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agrees that, to ensure compliance with the restrictions imposed by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issue appropriate “stop-transfer” instructions to its transfer agent, if any, and if the Company transfers its own securities, it may make appropriate notations to the same effect in its own records.</w:t>
      </w:r>
    </w:p>
    <w:p>
      <w:pPr>
        <w:spacing w:after="0" w:line="186" w:lineRule="exact"/>
        <w:rPr>
          <w:sz w:val="20"/>
          <w:szCs w:val="20"/>
          <w:color w:val="auto"/>
        </w:rPr>
      </w:pPr>
    </w:p>
    <w:p>
      <w:pPr>
        <w:ind w:right="60" w:firstLine="931"/>
        <w:spacing w:after="0" w:line="266" w:lineRule="auto"/>
        <w:rPr>
          <w:sz w:val="20"/>
          <w:szCs w:val="20"/>
          <w:color w:val="auto"/>
        </w:rPr>
      </w:pPr>
      <w:r>
        <w:rPr>
          <w:rFonts w:ascii="Arial" w:cs="Arial" w:eastAsia="Arial" w:hAnsi="Arial"/>
          <w:sz w:val="19"/>
          <w:szCs w:val="19"/>
          <w:b w:val="1"/>
          <w:bCs w:val="1"/>
          <w:color w:val="auto"/>
        </w:rPr>
        <w:t xml:space="preserve">29.3 </w:t>
      </w:r>
      <w:r>
        <w:rPr>
          <w:rFonts w:ascii="Arial" w:cs="Arial" w:eastAsia="Arial" w:hAnsi="Arial"/>
          <w:sz w:val="19"/>
          <w:szCs w:val="19"/>
          <w:b w:val="1"/>
          <w:bCs w:val="1"/>
          <w:u w:val="single" w:color="auto"/>
          <w:color w:val="auto"/>
        </w:rPr>
        <w:t>Refusal to Transfer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will not be required (i) to transfer on its books any Shares that have been sold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86" w:lineRule="exact"/>
        <w:rPr>
          <w:sz w:val="20"/>
          <w:szCs w:val="20"/>
          <w:color w:val="auto"/>
        </w:rPr>
      </w:pPr>
    </w:p>
    <w:p>
      <w:pPr>
        <w:ind w:right="80" w:firstLine="465"/>
        <w:spacing w:after="0" w:line="261" w:lineRule="auto"/>
        <w:tabs>
          <w:tab w:leader="none" w:pos="750"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CERTAIN TAX CONSEQUENCES. </w:t>
      </w:r>
      <w:r>
        <w:rPr>
          <w:rFonts w:ascii="Arial" w:cs="Arial" w:eastAsia="Arial" w:hAnsi="Arial"/>
          <w:sz w:val="19"/>
          <w:szCs w:val="19"/>
          <w:color w:val="auto"/>
        </w:rPr>
        <w:t>Set forth below is a brief summary as of the Effective Date of the Plan of some of the federal tax</w:t>
      </w:r>
      <w:r>
        <w:rPr>
          <w:rFonts w:ascii="Arial" w:cs="Arial" w:eastAsia="Arial" w:hAnsi="Arial"/>
          <w:sz w:val="19"/>
          <w:szCs w:val="19"/>
          <w:b w:val="1"/>
          <w:bCs w:val="1"/>
          <w:color w:val="auto"/>
        </w:rPr>
        <w:t xml:space="preserve"> </w:t>
      </w:r>
      <w:r>
        <w:rPr>
          <w:rFonts w:ascii="Arial" w:cs="Arial" w:eastAsia="Arial" w:hAnsi="Arial"/>
          <w:sz w:val="19"/>
          <w:szCs w:val="19"/>
          <w:color w:val="auto"/>
        </w:rPr>
        <w:t>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76" w:lineRule="exact"/>
        <w:rPr>
          <w:sz w:val="20"/>
          <w:szCs w:val="20"/>
          <w:color w:val="auto"/>
        </w:rPr>
      </w:pPr>
    </w:p>
    <w:p>
      <w:pPr>
        <w:ind w:left="940"/>
        <w:spacing w:after="0" w:line="261" w:lineRule="auto"/>
        <w:rPr>
          <w:sz w:val="20"/>
          <w:szCs w:val="20"/>
          <w:color w:val="auto"/>
        </w:rPr>
      </w:pPr>
      <w:r>
        <w:rPr>
          <w:rFonts w:ascii="Arial" w:cs="Arial" w:eastAsia="Arial" w:hAnsi="Arial"/>
          <w:sz w:val="19"/>
          <w:szCs w:val="19"/>
          <w:b w:val="1"/>
          <w:bCs w:val="1"/>
          <w:color w:val="auto"/>
        </w:rPr>
        <w:t xml:space="preserve">30.1 </w:t>
      </w:r>
      <w:r>
        <w:rPr>
          <w:rFonts w:ascii="Arial" w:cs="Arial" w:eastAsia="Arial" w:hAnsi="Arial"/>
          <w:sz w:val="19"/>
          <w:szCs w:val="19"/>
          <w:b w:val="1"/>
          <w:bCs w:val="1"/>
          <w:u w:val="single" w:color="auto"/>
          <w:color w:val="auto"/>
        </w:rPr>
        <w:t>Exercise of ISO</w:t>
      </w:r>
      <w:r>
        <w:rPr>
          <w:rFonts w:ascii="Arial" w:cs="Arial" w:eastAsia="Arial" w:hAnsi="Arial"/>
          <w:sz w:val="19"/>
          <w:szCs w:val="19"/>
          <w:b w:val="1"/>
          <w:bCs w:val="1"/>
          <w:color w:val="auto"/>
        </w:rPr>
        <w:t xml:space="preserve">. </w:t>
      </w:r>
      <w:r>
        <w:rPr>
          <w:rFonts w:ascii="Arial" w:cs="Arial" w:eastAsia="Arial" w:hAnsi="Arial"/>
          <w:sz w:val="19"/>
          <w:szCs w:val="19"/>
          <w:color w:val="auto"/>
        </w:rPr>
        <w:t>If the Option qualifies as an ISO, there will be no regular federal income tax liability upon the exercise of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76" w:lineRule="exact"/>
        <w:rPr>
          <w:sz w:val="20"/>
          <w:szCs w:val="20"/>
          <w:color w:val="auto"/>
        </w:rPr>
      </w:pPr>
    </w:p>
    <w:p>
      <w:pPr>
        <w:ind w:left="940" w:right="80"/>
        <w:spacing w:after="0" w:line="296" w:lineRule="auto"/>
        <w:rPr>
          <w:sz w:val="20"/>
          <w:szCs w:val="20"/>
          <w:color w:val="auto"/>
        </w:rPr>
      </w:pPr>
      <w:r>
        <w:rPr>
          <w:rFonts w:ascii="Arial" w:cs="Arial" w:eastAsia="Arial" w:hAnsi="Arial"/>
          <w:sz w:val="17"/>
          <w:szCs w:val="17"/>
          <w:b w:val="1"/>
          <w:bCs w:val="1"/>
          <w:color w:val="auto"/>
        </w:rPr>
        <w:t xml:space="preserve">30.2 </w:t>
      </w:r>
      <w:r>
        <w:rPr>
          <w:rFonts w:ascii="Arial" w:cs="Arial" w:eastAsia="Arial" w:hAnsi="Arial"/>
          <w:sz w:val="17"/>
          <w:szCs w:val="17"/>
          <w:b w:val="1"/>
          <w:bCs w:val="1"/>
          <w:u w:val="single" w:color="auto"/>
          <w:color w:val="auto"/>
        </w:rPr>
        <w:t>Exercise of Nonqualified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does not qualify as an ISO, there may be a regular federal income tax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50"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 xml:space="preserve">30.3 </w:t>
      </w:r>
      <w:r>
        <w:rPr>
          <w:rFonts w:ascii="Arial" w:cs="Arial" w:eastAsia="Arial" w:hAnsi="Arial"/>
          <w:sz w:val="19"/>
          <w:szCs w:val="19"/>
          <w:b w:val="1"/>
          <w:bCs w:val="1"/>
          <w:u w:val="single" w:color="auto"/>
          <w:color w:val="auto"/>
        </w:rPr>
        <w:t>Disposition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tax consequences may apply upon disposition of the Shares.</w:t>
      </w:r>
    </w:p>
    <w:p>
      <w:pPr>
        <w:spacing w:after="0" w:line="130" w:lineRule="exact"/>
        <w:rPr>
          <w:sz w:val="20"/>
          <w:szCs w:val="20"/>
          <w:color w:val="auto"/>
        </w:rPr>
      </w:pPr>
    </w:p>
    <w:p>
      <w:pPr>
        <w:ind w:left="1520" w:right="260" w:firstLine="397"/>
        <w:spacing w:after="0" w:line="263" w:lineRule="auto"/>
        <w:tabs>
          <w:tab w:leader="none" w:pos="2183"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rPr>
        <w:t>. If the Shares are held for more than twelve (12) months after the date of purchase of the Shares pursuant to the exercise of an ISO and are disposed of more than two (2) years after the Date of Grant, any gain realized on disposition of the Shares will be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ectPr>
          <w:pgSz w:w="12240" w:h="15840" w:orient="portrait"/>
          <w:cols w:equalWidth="0" w:num="1">
            <w:col w:w="11600"/>
          </w:cols>
          <w:pgMar w:left="300" w:top="142" w:right="340" w:bottom="1440" w:gutter="0" w:footer="0" w:header="0"/>
        </w:sectPr>
      </w:pPr>
    </w:p>
    <w:bookmarkStart w:id="36" w:name="page37"/>
    <w:bookmarkEnd w:id="36"/>
    <w:p>
      <w:pPr>
        <w:ind w:left="1520" w:right="40"/>
        <w:spacing w:after="0" w:line="25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treated as long term capital gain for federal income tax purposes. If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84" w:lineRule="exact"/>
        <w:rPr>
          <w:sz w:val="20"/>
          <w:szCs w:val="20"/>
          <w:color w:val="auto"/>
        </w:rPr>
      </w:pPr>
    </w:p>
    <w:p>
      <w:pPr>
        <w:ind w:left="1520" w:right="120" w:firstLine="397"/>
        <w:spacing w:after="0" w:line="336" w:lineRule="auto"/>
        <w:tabs>
          <w:tab w:leader="none" w:pos="2194"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Nonqualified Stock Options</w:t>
      </w:r>
      <w:r>
        <w:rPr>
          <w:rFonts w:ascii="Arial" w:cs="Arial" w:eastAsia="Arial" w:hAnsi="Arial"/>
          <w:sz w:val="17"/>
          <w:szCs w:val="17"/>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31" w:lineRule="exact"/>
        <w:rPr>
          <w:rFonts w:ascii="Arial" w:cs="Arial" w:eastAsia="Arial" w:hAnsi="Arial"/>
          <w:sz w:val="17"/>
          <w:szCs w:val="17"/>
          <w:color w:val="auto"/>
        </w:rPr>
      </w:pPr>
    </w:p>
    <w:p>
      <w:pPr>
        <w:ind w:left="740" w:hanging="275"/>
        <w:spacing w:after="0"/>
        <w:tabs>
          <w:tab w:leader="none" w:pos="740"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GENERAL PROVISIONS.</w:t>
      </w:r>
    </w:p>
    <w:p>
      <w:pPr>
        <w:spacing w:after="0" w:line="238" w:lineRule="exact"/>
        <w:rPr>
          <w:sz w:val="20"/>
          <w:szCs w:val="20"/>
          <w:color w:val="auto"/>
        </w:rPr>
      </w:pPr>
    </w:p>
    <w:p>
      <w:pPr>
        <w:ind w:right="440" w:firstLine="931"/>
        <w:spacing w:after="0" w:line="311"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regarding the interpretation of this Agreement shall be submitted by Optionee or the Company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for review. The resolution of such a dispute by the Committee shall be final and binding on the Company and Optionee.</w:t>
      </w:r>
    </w:p>
    <w:p>
      <w:pPr>
        <w:spacing w:after="0" w:line="148" w:lineRule="exact"/>
        <w:rPr>
          <w:sz w:val="20"/>
          <w:szCs w:val="20"/>
          <w:color w:val="auto"/>
        </w:rPr>
      </w:pPr>
    </w:p>
    <w:p>
      <w:pPr>
        <w:ind w:firstLine="931"/>
        <w:spacing w:after="0" w:line="266" w:lineRule="auto"/>
        <w:rPr>
          <w:sz w:val="20"/>
          <w:szCs w:val="20"/>
          <w:color w:val="auto"/>
        </w:rPr>
      </w:pPr>
      <w:r>
        <w:rPr>
          <w:rFonts w:ascii="Arial" w:cs="Arial" w:eastAsia="Arial" w:hAnsi="Arial"/>
          <w:sz w:val="19"/>
          <w:szCs w:val="19"/>
          <w:b w:val="1"/>
          <w:bCs w:val="1"/>
          <w:color w:val="auto"/>
        </w:rPr>
        <w:t xml:space="preserve">31.2 </w:t>
      </w: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Grant Notice and the Exercise Agreement are each incorporated herein by reference.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Grant Notice, the Plan and the Exercise Agreement constitute the entire agreement of the parties with respect to the subject matter hereof and supersede all prior undertakings and agreements with respect to such subject matter.</w:t>
      </w:r>
    </w:p>
    <w:p>
      <w:pPr>
        <w:spacing w:after="0" w:line="186" w:lineRule="exact"/>
        <w:rPr>
          <w:sz w:val="20"/>
          <w:szCs w:val="20"/>
          <w:color w:val="auto"/>
        </w:rPr>
      </w:pPr>
    </w:p>
    <w:p>
      <w:pPr>
        <w:ind w:right="20" w:firstLine="465"/>
        <w:spacing w:after="0" w:line="285" w:lineRule="auto"/>
        <w:tabs>
          <w:tab w:leader="none" w:pos="75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and all notices required or permitted to be given to a party pursuant to the provisions of this Agreement will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80" w:lineRule="exact"/>
        <w:rPr>
          <w:rFonts w:ascii="Arial" w:cs="Arial" w:eastAsia="Arial" w:hAnsi="Arial"/>
          <w:sz w:val="17"/>
          <w:szCs w:val="17"/>
          <w:b w:val="1"/>
          <w:bCs w:val="1"/>
          <w:color w:val="auto"/>
        </w:rPr>
      </w:pPr>
    </w:p>
    <w:p>
      <w:pPr>
        <w:ind w:right="20" w:firstLine="465"/>
        <w:spacing w:after="0" w:line="261" w:lineRule="auto"/>
        <w:tabs>
          <w:tab w:leader="none" w:pos="75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SUCCESSORS AND ASSIGNS. </w:t>
      </w:r>
      <w:r>
        <w:rPr>
          <w:rFonts w:ascii="Arial" w:cs="Arial" w:eastAsia="Arial" w:hAnsi="Arial"/>
          <w:sz w:val="19"/>
          <w:szCs w:val="19"/>
          <w:color w:val="auto"/>
        </w:rPr>
        <w:t>The Company may assign any of its rights under this Agreement including its rights to purchase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90" w:lineRule="exact"/>
        <w:rPr>
          <w:rFonts w:ascii="Arial" w:cs="Arial" w:eastAsia="Arial" w:hAnsi="Arial"/>
          <w:sz w:val="19"/>
          <w:szCs w:val="19"/>
          <w:b w:val="1"/>
          <w:bCs w:val="1"/>
          <w:color w:val="auto"/>
        </w:rPr>
      </w:pPr>
    </w:p>
    <w:p>
      <w:pPr>
        <w:ind w:right="160" w:firstLine="465"/>
        <w:spacing w:after="0" w:line="261" w:lineRule="auto"/>
        <w:tabs>
          <w:tab w:leader="none" w:pos="75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shall be governed by and construed in accordance with the internal laws of the State of California as</w:t>
      </w:r>
      <w:r>
        <w:rPr>
          <w:rFonts w:ascii="Arial" w:cs="Arial" w:eastAsia="Arial" w:hAnsi="Arial"/>
          <w:sz w:val="19"/>
          <w:szCs w:val="19"/>
          <w:b w:val="1"/>
          <w:bCs w:val="1"/>
          <w:color w:val="auto"/>
        </w:rPr>
        <w:t xml:space="preserve"> </w:t>
      </w:r>
      <w:r>
        <w:rPr>
          <w:rFonts w:ascii="Arial" w:cs="Arial" w:eastAsia="Arial" w:hAnsi="Arial"/>
          <w:sz w:val="19"/>
          <w:szCs w:val="19"/>
          <w:color w:val="auto"/>
        </w:rPr>
        <w:t>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1640"/>
          </w:cols>
          <w:pgMar w:left="300" w:top="142" w:right="300" w:bottom="1440" w:gutter="0" w:footer="0" w:header="0"/>
        </w:sectPr>
      </w:pPr>
    </w:p>
    <w:bookmarkStart w:id="37" w:name="page38"/>
    <w:bookmarkEnd w:id="37"/>
    <w:p>
      <w:pPr>
        <w:ind w:left="-100" w:firstLine="465"/>
        <w:spacing w:after="0" w:line="282" w:lineRule="auto"/>
        <w:tabs>
          <w:tab w:leader="none" w:pos="65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FURTHER ASSURANCES. </w:t>
      </w:r>
      <w:r>
        <w:rPr>
          <w:rFonts w:ascii="Arial" w:cs="Arial" w:eastAsia="Arial" w:hAnsi="Arial"/>
          <w:sz w:val="19"/>
          <w:szCs w:val="19"/>
          <w:color w:val="auto"/>
        </w:rPr>
        <w:t>The parties agree to execute such further documents and instruments and to take such further actions as may be</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necessary to carry out the purposes and intent of this Agreement.</w:t>
      </w:r>
    </w:p>
    <w:p>
      <w:pPr>
        <w:spacing w:after="0" w:line="171" w:lineRule="exact"/>
        <w:rPr>
          <w:rFonts w:ascii="Arial" w:cs="Arial" w:eastAsia="Arial" w:hAnsi="Arial"/>
          <w:sz w:val="19"/>
          <w:szCs w:val="19"/>
          <w:b w:val="1"/>
          <w:bCs w:val="1"/>
          <w:color w:val="auto"/>
        </w:rPr>
      </w:pPr>
    </w:p>
    <w:p>
      <w:pPr>
        <w:ind w:left="-100" w:right="300" w:firstLine="465"/>
        <w:spacing w:after="0" w:line="266" w:lineRule="auto"/>
        <w:tabs>
          <w:tab w:leader="none" w:pos="65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TITLES AND HEADINGS. </w:t>
      </w:r>
      <w:r>
        <w:rPr>
          <w:rFonts w:ascii="Arial" w:cs="Arial" w:eastAsia="Arial" w:hAnsi="Arial"/>
          <w:sz w:val="19"/>
          <w:szCs w:val="19"/>
          <w:color w:val="auto"/>
        </w:rPr>
        <w:t>The titles, captions and headings of this Agreement are included for ease of reference only and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disregarded in interpreting or construing this Agreement. Unless otherwise specifically stated, all references herein to “sections” and “exhibits” will mean “sections” and “exhibits” to this Agreement.</w:t>
      </w:r>
    </w:p>
    <w:p>
      <w:pPr>
        <w:spacing w:after="0" w:line="186" w:lineRule="exact"/>
        <w:rPr>
          <w:rFonts w:ascii="Arial" w:cs="Arial" w:eastAsia="Arial" w:hAnsi="Arial"/>
          <w:sz w:val="19"/>
          <w:szCs w:val="19"/>
          <w:b w:val="1"/>
          <w:bCs w:val="1"/>
          <w:color w:val="auto"/>
        </w:rPr>
      </w:pPr>
    </w:p>
    <w:p>
      <w:pPr>
        <w:ind w:left="-100" w:right="40" w:firstLine="465"/>
        <w:spacing w:after="0" w:line="282" w:lineRule="auto"/>
        <w:tabs>
          <w:tab w:leader="none" w:pos="65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may be executed in any number of counterparts, each of which when so executed and delivered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an original, and all of which together shall constitute one and the same agreement.</w:t>
      </w:r>
    </w:p>
    <w:p>
      <w:pPr>
        <w:spacing w:after="0" w:line="171" w:lineRule="exact"/>
        <w:rPr>
          <w:rFonts w:ascii="Arial" w:cs="Arial" w:eastAsia="Arial" w:hAnsi="Arial"/>
          <w:sz w:val="19"/>
          <w:szCs w:val="19"/>
          <w:b w:val="1"/>
          <w:bCs w:val="1"/>
          <w:color w:val="auto"/>
        </w:rPr>
      </w:pPr>
    </w:p>
    <w:p>
      <w:pPr>
        <w:ind w:left="-100" w:right="20" w:firstLine="465"/>
        <w:spacing w:after="0" w:line="255" w:lineRule="auto"/>
        <w:tabs>
          <w:tab w:leader="none" w:pos="65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If any provision of this Agreement is determined by any court or arbitrator of competent jurisdiction to be invalid, illegal</w:t>
      </w:r>
      <w:r>
        <w:rPr>
          <w:rFonts w:ascii="Arial" w:cs="Arial" w:eastAsia="Arial" w:hAnsi="Arial"/>
          <w:sz w:val="19"/>
          <w:szCs w:val="19"/>
          <w:b w:val="1"/>
          <w:bCs w:val="1"/>
          <w:color w:val="auto"/>
        </w:rPr>
        <w:t xml:space="preserve"> </w:t>
      </w:r>
      <w:r>
        <w:rPr>
          <w:rFonts w:ascii="Arial" w:cs="Arial" w:eastAsia="Arial" w:hAnsi="Arial"/>
          <w:sz w:val="19"/>
          <w:szCs w:val="19"/>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206" w:lineRule="exact"/>
        <w:rPr>
          <w:rFonts w:ascii="Arial" w:cs="Arial" w:eastAsia="Arial" w:hAnsi="Arial"/>
          <w:sz w:val="19"/>
          <w:szCs w:val="19"/>
          <w:b w:val="1"/>
          <w:bCs w:val="1"/>
          <w:color w:val="auto"/>
        </w:rPr>
      </w:pPr>
    </w:p>
    <w:p>
      <w:pPr>
        <w:ind w:left="5100"/>
        <w:spacing w:after="0"/>
        <w:rPr>
          <w:rFonts w:ascii="Arial" w:cs="Arial" w:eastAsia="Arial" w:hAnsi="Arial"/>
          <w:sz w:val="19"/>
          <w:szCs w:val="19"/>
          <w:b w:val="1"/>
          <w:bCs w:val="1"/>
          <w:color w:val="auto"/>
        </w:rPr>
      </w:pPr>
      <w:r>
        <w:rPr>
          <w:rFonts w:ascii="Arial" w:cs="Arial" w:eastAsia="Arial" w:hAnsi="Arial"/>
          <w:sz w:val="19"/>
          <w:szCs w:val="19"/>
          <w:color w:val="auto"/>
        </w:rPr>
        <w:t>*  *  *  *  *</w:t>
      </w:r>
    </w:p>
    <w:p>
      <w:pPr>
        <w:spacing w:after="0" w:line="232"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auto"/>
        </w:rPr>
        <w:t>Attachments:</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Annex A</w:t>
      </w:r>
      <w:r>
        <w:rPr>
          <w:rFonts w:ascii="Arial" w:cs="Arial" w:eastAsia="Arial" w:hAnsi="Arial"/>
          <w:sz w:val="19"/>
          <w:szCs w:val="19"/>
          <w:color w:val="auto"/>
        </w:rPr>
        <w:t>: Form of Stock Option Exercise Notice and Agreement</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Annex B</w:t>
      </w:r>
      <w:r>
        <w:rPr>
          <w:rFonts w:ascii="Arial" w:cs="Arial" w:eastAsia="Arial" w:hAnsi="Arial"/>
          <w:sz w:val="19"/>
          <w:szCs w:val="19"/>
          <w:color w:val="auto"/>
        </w:rPr>
        <w:t>: Adoption Agreement to Company Voting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2240" w:h="15840" w:orient="portrait"/>
          <w:cols w:equalWidth="0" w:num="1">
            <w:col w:w="11440"/>
          </w:cols>
          <w:pgMar w:left="400" w:top="136" w:right="400" w:bottom="1440" w:gutter="0" w:footer="0" w:header="0"/>
        </w:sectPr>
      </w:pPr>
    </w:p>
    <w:bookmarkStart w:id="38" w:name="page39"/>
    <w:bookmarkEnd w:id="38"/>
    <w:p>
      <w:pPr>
        <w:jc w:val="center"/>
        <w:ind w:right="-14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t>ANNEX A</w:t>
      </w:r>
    </w:p>
    <w:p>
      <w:pPr>
        <w:spacing w:after="0" w:line="238"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FORM OF STOCK OPTION EXERCISE NOTICE AND AGREEMENT</w:t>
      </w:r>
    </w:p>
    <w:p>
      <w:pPr>
        <w:spacing w:after="0" w:line="238"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JN P</w:t>
      </w:r>
      <w:r>
        <w:rPr>
          <w:rFonts w:ascii="Arial" w:cs="Arial" w:eastAsia="Arial" w:hAnsi="Arial"/>
          <w:sz w:val="15"/>
          <w:szCs w:val="15"/>
          <w:b w:val="1"/>
          <w:bCs w:val="1"/>
          <w:color w:val="auto"/>
        </w:rPr>
        <w:t>ROJECTS</w:t>
      </w:r>
      <w:r>
        <w:rPr>
          <w:rFonts w:ascii="Arial" w:cs="Arial" w:eastAsia="Arial" w:hAnsi="Arial"/>
          <w:sz w:val="19"/>
          <w:szCs w:val="19"/>
          <w:b w:val="1"/>
          <w:bCs w:val="1"/>
          <w:color w:val="auto"/>
        </w:rPr>
        <w:t>, I</w:t>
      </w:r>
      <w:r>
        <w:rPr>
          <w:rFonts w:ascii="Arial" w:cs="Arial" w:eastAsia="Arial" w:hAnsi="Arial"/>
          <w:sz w:val="15"/>
          <w:szCs w:val="15"/>
          <w:b w:val="1"/>
          <w:bCs w:val="1"/>
          <w:color w:val="auto"/>
        </w:rPr>
        <w:t>NC</w:t>
      </w:r>
      <w:r>
        <w:rPr>
          <w:rFonts w:ascii="Arial" w:cs="Arial" w:eastAsia="Arial" w:hAnsi="Arial"/>
          <w:sz w:val="19"/>
          <w:szCs w:val="19"/>
          <w:b w:val="1"/>
          <w:bCs w:val="1"/>
          <w:color w:val="auto"/>
        </w:rPr>
        <w:t>.</w:t>
      </w:r>
    </w:p>
    <w:p>
      <w:pPr>
        <w:spacing w:after="0" w:line="124"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2011 E</w:t>
      </w:r>
      <w:r>
        <w:rPr>
          <w:rFonts w:ascii="Arial" w:cs="Arial" w:eastAsia="Arial" w:hAnsi="Arial"/>
          <w:sz w:val="15"/>
          <w:szCs w:val="15"/>
          <w:b w:val="1"/>
          <w:bCs w:val="1"/>
          <w:color w:val="auto"/>
        </w:rPr>
        <w:t>QUITY</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LAN</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O</w:t>
      </w:r>
      <w:r>
        <w:rPr>
          <w:rFonts w:ascii="Arial" w:cs="Arial" w:eastAsia="Arial" w:hAnsi="Arial"/>
          <w:sz w:val="15"/>
          <w:szCs w:val="15"/>
          <w:b w:val="1"/>
          <w:bCs w:val="1"/>
          <w:color w:val="auto"/>
        </w:rPr>
        <w:t>PTIONEE</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Please provide the following information about yourself (“</w:t>
      </w:r>
      <w:r>
        <w:rPr>
          <w:rFonts w:ascii="Arial" w:cs="Arial" w:eastAsia="Arial" w:hAnsi="Arial"/>
          <w:sz w:val="19"/>
          <w:szCs w:val="19"/>
          <w:b w:val="1"/>
          <w:bCs w:val="1"/>
          <w:i w:val="1"/>
          <w:iCs w:val="1"/>
          <w:color w:val="auto"/>
        </w:rPr>
        <w:t>Optionee</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44" w:lineRule="exact"/>
        <w:rPr>
          <w:sz w:val="20"/>
          <w:szCs w:val="20"/>
          <w:color w:val="auto"/>
        </w:rPr>
      </w:pPr>
    </w:p>
    <w:tbl>
      <w:tblPr>
        <w:tblLayout w:type="fixed"/>
        <w:tblInd w:w="1" w:type="dxa"/>
        <w:tblCellMar>
          <w:top w:w="0" w:type="dxa"/>
          <w:left w:w="0" w:type="dxa"/>
          <w:bottom w:w="0" w:type="dxa"/>
          <w:right w:w="0" w:type="dxa"/>
        </w:tblCellMar>
      </w:tblPr>
      <w:tr>
        <w:trPr>
          <w:trHeight w:val="242"/>
        </w:trPr>
        <w:tc>
          <w:tcPr>
            <w:tcW w:w="940" w:type="dxa"/>
            <w:vAlign w:val="bottom"/>
          </w:tcPr>
          <w:p>
            <w:pPr>
              <w:spacing w:after="0"/>
              <w:rPr>
                <w:sz w:val="20"/>
                <w:szCs w:val="20"/>
                <w:color w:val="auto"/>
              </w:rPr>
            </w:pPr>
            <w:r>
              <w:rPr>
                <w:rFonts w:ascii="Arial" w:cs="Arial" w:eastAsia="Arial" w:hAnsi="Arial"/>
                <w:sz w:val="19"/>
                <w:szCs w:val="19"/>
                <w:color w:val="auto"/>
              </w:rPr>
              <w:t>Name:</w:t>
            </w:r>
          </w:p>
        </w:tc>
        <w:tc>
          <w:tcPr>
            <w:tcW w:w="3740" w:type="dxa"/>
            <w:vAlign w:val="bottom"/>
            <w:tcBorders>
              <w:bottom w:val="single" w:sz="8" w:color="auto"/>
            </w:tcBorders>
          </w:tcPr>
          <w:p>
            <w:pPr>
              <w:spacing w:after="0"/>
              <w:rPr>
                <w:sz w:val="20"/>
                <w:szCs w:val="20"/>
                <w:color w:val="auto"/>
              </w:rPr>
            </w:pPr>
            <w:r>
              <w:rPr>
                <w:rFonts w:ascii="Arial" w:cs="Arial" w:eastAsia="Arial" w:hAnsi="Arial"/>
                <w:sz w:val="19"/>
                <w:szCs w:val="19"/>
                <w:i w:val="1"/>
                <w:iCs w:val="1"/>
                <w:color w:val="auto"/>
              </w:rPr>
              <w:t>See eShares</w:t>
            </w:r>
          </w:p>
        </w:tc>
        <w:tc>
          <w:tcPr>
            <w:tcW w:w="2220" w:type="dxa"/>
            <w:vAlign w:val="bottom"/>
          </w:tcPr>
          <w:p>
            <w:pPr>
              <w:ind w:left="220"/>
              <w:spacing w:after="0"/>
              <w:rPr>
                <w:sz w:val="20"/>
                <w:szCs w:val="20"/>
                <w:color w:val="auto"/>
              </w:rPr>
            </w:pPr>
            <w:r>
              <w:rPr>
                <w:rFonts w:ascii="Arial" w:cs="Arial" w:eastAsia="Arial" w:hAnsi="Arial"/>
                <w:sz w:val="19"/>
                <w:szCs w:val="19"/>
                <w:color w:val="auto"/>
                <w:w w:val="97"/>
              </w:rPr>
              <w:t>Social Security Number:</w:t>
            </w:r>
          </w:p>
        </w:tc>
        <w:tc>
          <w:tcPr>
            <w:tcW w:w="1040" w:type="dxa"/>
            <w:vAlign w:val="bottom"/>
          </w:tcPr>
          <w:p>
            <w:pPr>
              <w:jc w:val="right"/>
              <w:spacing w:after="0"/>
              <w:rPr>
                <w:sz w:val="20"/>
                <w:szCs w:val="20"/>
                <w:color w:val="auto"/>
              </w:rPr>
            </w:pPr>
            <w:r>
              <w:rPr>
                <w:rFonts w:ascii="Arial" w:cs="Arial" w:eastAsia="Arial" w:hAnsi="Arial"/>
                <w:sz w:val="19"/>
                <w:szCs w:val="19"/>
                <w:color w:val="auto"/>
                <w:w w:val="92"/>
              </w:rPr>
              <w:t>See eShares</w:t>
            </w:r>
          </w:p>
        </w:tc>
      </w:tr>
      <w:tr>
        <w:trPr>
          <w:trHeight w:val="350"/>
        </w:trPr>
        <w:tc>
          <w:tcPr>
            <w:tcW w:w="940" w:type="dxa"/>
            <w:vAlign w:val="bottom"/>
          </w:tcPr>
          <w:p>
            <w:pPr>
              <w:spacing w:after="0"/>
              <w:rPr>
                <w:sz w:val="20"/>
                <w:szCs w:val="20"/>
                <w:color w:val="auto"/>
              </w:rPr>
            </w:pPr>
            <w:r>
              <w:rPr>
                <w:rFonts w:ascii="Arial" w:cs="Arial" w:eastAsia="Arial" w:hAnsi="Arial"/>
                <w:sz w:val="19"/>
                <w:szCs w:val="19"/>
                <w:color w:val="auto"/>
              </w:rPr>
              <w:t>Address:</w:t>
            </w:r>
          </w:p>
        </w:tc>
        <w:tc>
          <w:tcPr>
            <w:tcW w:w="3740" w:type="dxa"/>
            <w:vAlign w:val="bottom"/>
          </w:tcPr>
          <w:p>
            <w:pPr>
              <w:spacing w:after="0"/>
              <w:rPr>
                <w:sz w:val="20"/>
                <w:szCs w:val="20"/>
                <w:color w:val="auto"/>
              </w:rPr>
            </w:pPr>
            <w:r>
              <w:rPr>
                <w:rFonts w:ascii="Arial" w:cs="Arial" w:eastAsia="Arial" w:hAnsi="Arial"/>
                <w:sz w:val="19"/>
                <w:szCs w:val="19"/>
                <w:i w:val="1"/>
                <w:iCs w:val="1"/>
                <w:color w:val="auto"/>
              </w:rPr>
              <w:t>See eShares</w:t>
            </w:r>
          </w:p>
        </w:tc>
        <w:tc>
          <w:tcPr>
            <w:tcW w:w="2220" w:type="dxa"/>
            <w:vAlign w:val="bottom"/>
          </w:tcPr>
          <w:p>
            <w:pPr>
              <w:ind w:left="220"/>
              <w:spacing w:after="0"/>
              <w:rPr>
                <w:sz w:val="20"/>
                <w:szCs w:val="20"/>
                <w:color w:val="auto"/>
              </w:rPr>
            </w:pPr>
            <w:r>
              <w:rPr>
                <w:rFonts w:ascii="Arial" w:cs="Arial" w:eastAsia="Arial" w:hAnsi="Arial"/>
                <w:sz w:val="19"/>
                <w:szCs w:val="19"/>
                <w:color w:val="auto"/>
              </w:rPr>
              <w:t>Employee Number:</w:t>
            </w:r>
          </w:p>
        </w:tc>
        <w:tc>
          <w:tcPr>
            <w:tcW w:w="1040" w:type="dxa"/>
            <w:vAlign w:val="bottom"/>
          </w:tcPr>
          <w:p>
            <w:pPr>
              <w:jc w:val="right"/>
              <w:spacing w:after="0"/>
              <w:rPr>
                <w:sz w:val="20"/>
                <w:szCs w:val="20"/>
                <w:color w:val="auto"/>
              </w:rPr>
            </w:pPr>
            <w:r>
              <w:rPr>
                <w:rFonts w:ascii="Arial" w:cs="Arial" w:eastAsia="Arial" w:hAnsi="Arial"/>
                <w:sz w:val="19"/>
                <w:szCs w:val="19"/>
                <w:color w:val="auto"/>
                <w:w w:val="90"/>
              </w:rPr>
              <w:t>See eShares</w:t>
            </w:r>
          </w:p>
        </w:tc>
      </w:tr>
      <w:tr>
        <w:trPr>
          <w:trHeight w:val="343"/>
        </w:trPr>
        <w:tc>
          <w:tcPr>
            <w:tcW w:w="94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9"/>
                <w:szCs w:val="19"/>
                <w:color w:val="auto"/>
              </w:rPr>
              <w:t>Email Address:</w:t>
            </w:r>
          </w:p>
        </w:tc>
        <w:tc>
          <w:tcPr>
            <w:tcW w:w="1040" w:type="dxa"/>
            <w:vAlign w:val="bottom"/>
          </w:tcPr>
          <w:p>
            <w:pPr>
              <w:jc w:val="right"/>
              <w:spacing w:after="0"/>
              <w:rPr>
                <w:sz w:val="20"/>
                <w:szCs w:val="20"/>
                <w:color w:val="auto"/>
              </w:rPr>
            </w:pPr>
            <w:r>
              <w:rPr>
                <w:rFonts w:ascii="Arial" w:cs="Arial" w:eastAsia="Arial" w:hAnsi="Arial"/>
                <w:sz w:val="19"/>
                <w:szCs w:val="19"/>
                <w:color w:val="auto"/>
                <w:w w:val="92"/>
              </w:rPr>
              <w:t>See eShares</w:t>
            </w:r>
          </w:p>
        </w:tc>
      </w:tr>
    </w:tbl>
    <w:p>
      <w:pPr>
        <w:spacing w:after="0" w:line="22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O</w:t>
      </w:r>
      <w:r>
        <w:rPr>
          <w:rFonts w:ascii="Arial" w:cs="Arial" w:eastAsia="Arial" w:hAnsi="Arial"/>
          <w:sz w:val="15"/>
          <w:szCs w:val="15"/>
          <w:b w:val="1"/>
          <w:bCs w:val="1"/>
          <w:color w:val="auto"/>
        </w:rPr>
        <w:t>PTION</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Please provide this information on the option being exercised</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the “</w:t>
      </w:r>
      <w:r>
        <w:rPr>
          <w:rFonts w:ascii="Arial" w:cs="Arial" w:eastAsia="Arial" w:hAnsi="Arial"/>
          <w:sz w:val="19"/>
          <w:szCs w:val="19"/>
          <w:b w:val="1"/>
          <w:bCs w:val="1"/>
          <w:i w:val="1"/>
          <w:iCs w:val="1"/>
          <w:color w:val="auto"/>
        </w:rPr>
        <w:t>Option</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44" w:lineRule="exact"/>
        <w:rPr>
          <w:sz w:val="20"/>
          <w:szCs w:val="20"/>
          <w:color w:val="auto"/>
        </w:rPr>
      </w:pPr>
    </w:p>
    <w:p>
      <w:pPr>
        <w:ind w:left="1"/>
        <w:spacing w:after="0"/>
        <w:rPr>
          <w:sz w:val="20"/>
          <w:szCs w:val="20"/>
          <w:color w:val="auto"/>
        </w:rPr>
      </w:pPr>
      <w:r>
        <w:rPr>
          <w:rFonts w:ascii="Arial" w:cs="Arial" w:eastAsia="Arial" w:hAnsi="Arial"/>
          <w:sz w:val="19"/>
          <w:szCs w:val="19"/>
          <w:color w:val="auto"/>
        </w:rPr>
        <w:t xml:space="preserve">Grant No. </w:t>
      </w:r>
      <w:r>
        <w:rPr>
          <w:rFonts w:ascii="Arial" w:cs="Arial" w:eastAsia="Arial" w:hAnsi="Arial"/>
          <w:sz w:val="19"/>
          <w:szCs w:val="19"/>
          <w:i w:val="1"/>
          <w:iCs w:val="1"/>
          <w:color w:val="auto"/>
        </w:rPr>
        <w:t>See eShares</w:t>
      </w:r>
    </w:p>
    <w:p>
      <w:pPr>
        <w:sectPr>
          <w:pgSz w:w="12240" w:h="15840" w:orient="portrait"/>
          <w:cols w:equalWidth="0" w:num="1">
            <w:col w:w="11501"/>
          </w:cols>
          <w:pgMar w:left="299" w:top="136" w:right="440" w:bottom="1440" w:gutter="0" w:footer="0" w:header="0"/>
        </w:sectPr>
      </w:pPr>
    </w:p>
    <w:p>
      <w:pPr>
        <w:spacing w:after="0" w:line="238"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Date of Grant: </w:t>
      </w:r>
      <w:r>
        <w:rPr>
          <w:rFonts w:ascii="Arial" w:cs="Arial" w:eastAsia="Arial" w:hAnsi="Arial"/>
          <w:sz w:val="16"/>
          <w:szCs w:val="16"/>
          <w:i w:val="1"/>
          <w:iCs w:val="1"/>
          <w:color w:val="auto"/>
        </w:rPr>
        <w:t>See eShares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Type of Stock Option:</w:t>
      </w:r>
    </w:p>
    <w:p>
      <w:pPr>
        <w:spacing w:after="0" w:line="200" w:lineRule="exact"/>
        <w:rPr>
          <w:sz w:val="20"/>
          <w:szCs w:val="20"/>
          <w:color w:val="auto"/>
        </w:rPr>
      </w:pPr>
    </w:p>
    <w:p>
      <w:pPr>
        <w:sectPr>
          <w:pgSz w:w="12240" w:h="15840" w:orient="portrait"/>
          <w:cols w:equalWidth="0" w:num="2">
            <w:col w:w="6501" w:space="720"/>
            <w:col w:w="4280"/>
          </w:cols>
          <w:pgMar w:left="299" w:top="136" w:right="440" w:bottom="1440" w:gutter="0" w:footer="0" w:header="0"/>
          <w:type w:val="continuous"/>
        </w:sectPr>
      </w:pPr>
    </w:p>
    <w:p>
      <w:pPr>
        <w:spacing w:after="0" w:line="61"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Option Price per Share: $ </w:t>
      </w:r>
      <w:r>
        <w:rPr>
          <w:rFonts w:ascii="Arial" w:cs="Arial" w:eastAsia="Arial" w:hAnsi="Arial"/>
          <w:sz w:val="16"/>
          <w:szCs w:val="16"/>
          <w:i w:val="1"/>
          <w:iCs w:val="1"/>
          <w:color w:val="auto"/>
        </w:rPr>
        <w:t>See eShares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eShares</w:t>
      </w:r>
    </w:p>
    <w:p>
      <w:pPr>
        <w:spacing w:after="0" w:line="211" w:lineRule="exact"/>
        <w:rPr>
          <w:sz w:val="20"/>
          <w:szCs w:val="20"/>
          <w:color w:val="auto"/>
        </w:rPr>
      </w:pPr>
    </w:p>
    <w:p>
      <w:pPr>
        <w:sectPr>
          <w:pgSz w:w="12240" w:h="15840" w:orient="portrait"/>
          <w:cols w:equalWidth="0" w:num="2">
            <w:col w:w="6501" w:space="720"/>
            <w:col w:w="4280"/>
          </w:cols>
          <w:pgMar w:left="299" w:top="136" w:right="440" w:bottom="1440" w:gutter="0" w:footer="0" w:header="0"/>
          <w:type w:val="continuous"/>
        </w:sectPr>
      </w:pPr>
    </w:p>
    <w:p>
      <w:pPr>
        <w:spacing w:after="0" w:line="72" w:lineRule="exact"/>
        <w:rPr>
          <w:sz w:val="20"/>
          <w:szCs w:val="20"/>
          <w:color w:val="auto"/>
        </w:rPr>
      </w:pPr>
    </w:p>
    <w:p>
      <w:pPr>
        <w:ind w:left="1"/>
        <w:spacing w:after="0"/>
        <w:rPr>
          <w:sz w:val="20"/>
          <w:szCs w:val="20"/>
          <w:color w:val="auto"/>
        </w:rPr>
      </w:pPr>
      <w:r>
        <w:rPr>
          <w:rFonts w:ascii="Arial" w:cs="Arial" w:eastAsia="Arial" w:hAnsi="Arial"/>
          <w:sz w:val="17"/>
          <w:szCs w:val="17"/>
          <w:color w:val="auto"/>
        </w:rPr>
        <w:t>Total number of shares of Common Stock of JN Projects, Inc.</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subject to the Option: </w:t>
      </w:r>
      <w:r>
        <w:rPr>
          <w:rFonts w:ascii="Arial" w:cs="Arial" w:eastAsia="Arial" w:hAnsi="Arial"/>
          <w:sz w:val="19"/>
          <w:szCs w:val="19"/>
          <w:i w:val="1"/>
          <w:iCs w:val="1"/>
          <w:color w:val="auto"/>
        </w:rPr>
        <w:t>See eShares</w:t>
      </w:r>
    </w:p>
    <w:p>
      <w:pPr>
        <w:sectPr>
          <w:pgSz w:w="12240" w:h="15840" w:orient="portrait"/>
          <w:cols w:equalWidth="0" w:num="1">
            <w:col w:w="11501"/>
          </w:cols>
          <w:pgMar w:left="299" w:top="136" w:right="440" w:bottom="1440" w:gutter="0" w:footer="0" w:header="0"/>
          <w:type w:val="continuous"/>
        </w:sectPr>
      </w:pPr>
    </w:p>
    <w:p>
      <w:pPr>
        <w:spacing w:after="0" w:line="233"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5"/>
          <w:szCs w:val="15"/>
          <w:b w:val="1"/>
          <w:bCs w:val="1"/>
          <w:color w:val="auto"/>
        </w:rPr>
        <w:t>XERCISE</w:t>
      </w:r>
      <w:r>
        <w:rPr>
          <w:rFonts w:ascii="Arial" w:cs="Arial" w:eastAsia="Arial" w:hAnsi="Arial"/>
          <w:sz w:val="19"/>
          <w:szCs w:val="19"/>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9"/>
          <w:szCs w:val="19"/>
          <w:b w:val="1"/>
          <w:bCs w:val="1"/>
          <w:color w:val="auto"/>
        </w:rPr>
        <w:t>:</w:t>
      </w:r>
    </w:p>
    <w:p>
      <w:pPr>
        <w:spacing w:after="0" w:line="130" w:lineRule="exact"/>
        <w:rPr>
          <w:sz w:val="20"/>
          <w:szCs w:val="20"/>
          <w:color w:val="auto"/>
        </w:rPr>
      </w:pPr>
    </w:p>
    <w:p>
      <w:pPr>
        <w:ind w:left="1" w:right="40"/>
        <w:spacing w:after="0" w:line="275" w:lineRule="auto"/>
        <w:rPr>
          <w:sz w:val="20"/>
          <w:szCs w:val="20"/>
          <w:color w:val="auto"/>
        </w:rPr>
      </w:pPr>
      <w:r>
        <w:rPr>
          <w:rFonts w:ascii="Arial" w:cs="Arial" w:eastAsia="Arial" w:hAnsi="Arial"/>
          <w:sz w:val="19"/>
          <w:szCs w:val="19"/>
          <w:color w:val="auto"/>
        </w:rPr>
        <w:t xml:space="preserve">Number of shares of Common Stock of the Company for which the Option is now being exercised: </w:t>
      </w:r>
      <w:r>
        <w:rPr>
          <w:rFonts w:ascii="Arial" w:cs="Arial" w:eastAsia="Arial" w:hAnsi="Arial"/>
          <w:sz w:val="19"/>
          <w:szCs w:val="19"/>
          <w:i w:val="1"/>
          <w:iCs w:val="1"/>
          <w:u w:val="single" w:color="auto"/>
          <w:color w:val="auto"/>
        </w:rPr>
        <w:t>See eShares</w:t>
      </w:r>
      <w:r>
        <w:rPr>
          <w:rFonts w:ascii="Arial" w:cs="Arial" w:eastAsia="Arial" w:hAnsi="Arial"/>
          <w:sz w:val="19"/>
          <w:szCs w:val="19"/>
          <w:color w:val="auto"/>
        </w:rPr>
        <w:t>. (These shares are referred to below as the “</w:t>
      </w:r>
      <w:r>
        <w:rPr>
          <w:rFonts w:ascii="Arial" w:cs="Arial" w:eastAsia="Arial" w:hAnsi="Arial"/>
          <w:sz w:val="19"/>
          <w:szCs w:val="19"/>
          <w:b w:val="1"/>
          <w:bCs w:val="1"/>
          <w:i w:val="1"/>
          <w:iCs w:val="1"/>
          <w:color w:val="auto"/>
        </w:rPr>
        <w:t>Purchased Shares</w:t>
      </w:r>
      <w:r>
        <w:rPr>
          <w:rFonts w:ascii="Arial" w:cs="Arial" w:eastAsia="Arial" w:hAnsi="Arial"/>
          <w:sz w:val="19"/>
          <w:szCs w:val="19"/>
          <w:color w:val="auto"/>
        </w:rPr>
        <w:t>.”)</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9"/>
          <w:szCs w:val="19"/>
          <w:color w:val="auto"/>
        </w:rPr>
        <w:t xml:space="preserve">Total Exercise Price Being Paid for the Purchased Shares: $ </w:t>
      </w:r>
      <w:r>
        <w:rPr>
          <w:rFonts w:ascii="Arial" w:cs="Arial" w:eastAsia="Arial" w:hAnsi="Arial"/>
          <w:sz w:val="19"/>
          <w:szCs w:val="19"/>
          <w:i w:val="1"/>
          <w:iCs w:val="1"/>
          <w:color w:val="auto"/>
        </w:rPr>
        <w:t>See eShares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2884170</wp:posOffset>
            </wp:positionH>
            <wp:positionV relativeFrom="paragraph">
              <wp:posOffset>-11430</wp:posOffset>
            </wp:positionV>
            <wp:extent cx="605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155" cy="8890"/>
                    </a:xfrm>
                    <a:prstGeom prst="rect">
                      <a:avLst/>
                    </a:prstGeom>
                    <a:noFill/>
                  </pic:spPr>
                </pic:pic>
              </a:graphicData>
            </a:graphic>
          </wp:anchor>
        </w:drawing>
      </w:r>
    </w:p>
    <w:p>
      <w:pPr>
        <w:spacing w:after="0" w:line="217" w:lineRule="exact"/>
        <w:rPr>
          <w:sz w:val="20"/>
          <w:szCs w:val="20"/>
          <w:color w:val="auto"/>
        </w:rPr>
      </w:pPr>
    </w:p>
    <w:p>
      <w:pPr>
        <w:ind w:left="1"/>
        <w:spacing w:after="0"/>
        <w:rPr>
          <w:sz w:val="20"/>
          <w:szCs w:val="20"/>
          <w:color w:val="auto"/>
        </w:rPr>
      </w:pPr>
      <w:r>
        <w:rPr>
          <w:rFonts w:ascii="Arial" w:cs="Arial" w:eastAsia="Arial" w:hAnsi="Arial"/>
          <w:sz w:val="19"/>
          <w:szCs w:val="19"/>
          <w:color w:val="auto"/>
        </w:rPr>
        <w:t xml:space="preserve">Form of payment </w:t>
      </w:r>
      <w:r>
        <w:rPr>
          <w:rFonts w:ascii="Arial" w:cs="Arial" w:eastAsia="Arial" w:hAnsi="Arial"/>
          <w:sz w:val="19"/>
          <w:szCs w:val="19"/>
          <w:b w:val="1"/>
          <w:bCs w:val="1"/>
          <w:i w:val="1"/>
          <w:iCs w:val="1"/>
          <w:color w:val="auto"/>
        </w:rPr>
        <w:t>[select all that apply</w:t>
      </w:r>
      <w:r>
        <w:rPr>
          <w:rFonts w:ascii="Arial" w:cs="Arial" w:eastAsia="Arial" w:hAnsi="Arial"/>
          <w:sz w:val="16"/>
          <w:szCs w:val="16"/>
          <w:b w:val="1"/>
          <w:bCs w:val="1"/>
          <w:i w:val="1"/>
          <w:iCs w:val="1"/>
          <w:color w:val="auto"/>
        </w:rPr>
        <w:t>1</w:t>
      </w:r>
      <w:r>
        <w:rPr>
          <w:rFonts w:ascii="Arial" w:cs="Arial" w:eastAsia="Arial" w:hAnsi="Arial"/>
          <w:sz w:val="19"/>
          <w:szCs w:val="19"/>
          <w:b w:val="1"/>
          <w:bCs w:val="1"/>
          <w:i w:val="1"/>
          <w:iCs w:val="1"/>
          <w:color w:val="auto"/>
        </w:rPr>
        <w:t>]</w:t>
      </w:r>
      <w:r>
        <w:rPr>
          <w:rFonts w:ascii="Arial" w:cs="Arial" w:eastAsia="Arial" w:hAnsi="Arial"/>
          <w:sz w:val="19"/>
          <w:szCs w:val="19"/>
          <w:color w:val="auto"/>
        </w:rPr>
        <w:t>:</w:t>
      </w:r>
    </w:p>
    <w:p>
      <w:pPr>
        <w:spacing w:after="0" w:line="120" w:lineRule="exact"/>
        <w:rPr>
          <w:sz w:val="20"/>
          <w:szCs w:val="20"/>
          <w:color w:val="auto"/>
        </w:rPr>
      </w:pPr>
    </w:p>
    <w:tbl>
      <w:tblPr>
        <w:tblLayout w:type="fixed"/>
        <w:tblInd w:w="581" w:type="dxa"/>
        <w:tblCellMar>
          <w:top w:w="0" w:type="dxa"/>
          <w:left w:w="0" w:type="dxa"/>
          <w:bottom w:w="0" w:type="dxa"/>
          <w:right w:w="0" w:type="dxa"/>
        </w:tblCellMar>
      </w:tblPr>
      <w:tr>
        <w:trPr>
          <w:trHeight w:val="218"/>
        </w:trPr>
        <w:tc>
          <w:tcPr>
            <w:tcW w:w="200" w:type="dxa"/>
            <w:vAlign w:val="bottom"/>
          </w:tcPr>
          <w:p>
            <w:pPr>
              <w:spacing w:after="0"/>
              <w:rPr>
                <w:sz w:val="20"/>
                <w:szCs w:val="20"/>
                <w:color w:val="auto"/>
              </w:rPr>
            </w:pPr>
            <w:r>
              <w:rPr>
                <w:rFonts w:ascii="Arial" w:cs="Arial" w:eastAsia="Arial" w:hAnsi="Arial"/>
                <w:sz w:val="19"/>
                <w:szCs w:val="19"/>
                <w:color w:val="auto"/>
              </w:rPr>
              <w:t>•</w:t>
            </w:r>
          </w:p>
        </w:tc>
        <w:tc>
          <w:tcPr>
            <w:tcW w:w="1460" w:type="dxa"/>
            <w:vAlign w:val="bottom"/>
            <w:gridSpan w:val="2"/>
          </w:tcPr>
          <w:p>
            <w:pPr>
              <w:ind w:left="140"/>
              <w:spacing w:after="0"/>
              <w:rPr>
                <w:sz w:val="20"/>
                <w:szCs w:val="20"/>
                <w:color w:val="auto"/>
              </w:rPr>
            </w:pPr>
            <w:r>
              <w:rPr>
                <w:rFonts w:ascii="Arial" w:cs="Arial" w:eastAsia="Arial" w:hAnsi="Arial"/>
                <w:sz w:val="19"/>
                <w:szCs w:val="19"/>
                <w:color w:val="auto"/>
              </w:rPr>
              <w:t>Check for $</w:t>
            </w:r>
          </w:p>
        </w:tc>
        <w:tc>
          <w:tcPr>
            <w:tcW w:w="9000" w:type="dxa"/>
            <w:vAlign w:val="bottom"/>
            <w:gridSpan w:val="3"/>
          </w:tcPr>
          <w:p>
            <w:pPr>
              <w:ind w:left="900"/>
              <w:spacing w:after="0"/>
              <w:rPr>
                <w:sz w:val="20"/>
                <w:szCs w:val="20"/>
                <w:color w:val="auto"/>
              </w:rPr>
            </w:pPr>
            <w:r>
              <w:rPr>
                <w:rFonts w:ascii="Arial" w:cs="Arial" w:eastAsia="Arial" w:hAnsi="Arial"/>
                <w:sz w:val="19"/>
                <w:szCs w:val="19"/>
                <w:color w:val="auto"/>
              </w:rPr>
              <w:t>, payable to “</w:t>
            </w:r>
            <w:r>
              <w:rPr>
                <w:rFonts w:ascii="Arial" w:cs="Arial" w:eastAsia="Arial" w:hAnsi="Arial"/>
                <w:sz w:val="19"/>
                <w:szCs w:val="19"/>
                <w:b w:val="1"/>
                <w:bCs w:val="1"/>
                <w:i w:val="1"/>
                <w:iCs w:val="1"/>
                <w:color w:val="auto"/>
              </w:rPr>
              <w:t>JN Projects, Inc.</w:t>
            </w:r>
            <w:r>
              <w:rPr>
                <w:rFonts w:ascii="Arial" w:cs="Arial" w:eastAsia="Arial" w:hAnsi="Arial"/>
                <w:sz w:val="19"/>
                <w:szCs w:val="19"/>
                <w:color w:val="auto"/>
              </w:rPr>
              <w:t>”</w:t>
            </w: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337"/>
        </w:trPr>
        <w:tc>
          <w:tcPr>
            <w:tcW w:w="200" w:type="dxa"/>
            <w:vAlign w:val="bottom"/>
          </w:tcPr>
          <w:p>
            <w:pPr>
              <w:spacing w:after="0"/>
              <w:rPr>
                <w:sz w:val="20"/>
                <w:szCs w:val="20"/>
                <w:color w:val="auto"/>
              </w:rPr>
            </w:pPr>
            <w:r>
              <w:rPr>
                <w:rFonts w:ascii="Arial" w:cs="Arial" w:eastAsia="Arial" w:hAnsi="Arial"/>
                <w:sz w:val="19"/>
                <w:szCs w:val="19"/>
                <w:color w:val="auto"/>
              </w:rPr>
              <w:t>•</w:t>
            </w:r>
          </w:p>
        </w:tc>
        <w:tc>
          <w:tcPr>
            <w:tcW w:w="1460" w:type="dxa"/>
            <w:vAlign w:val="bottom"/>
            <w:gridSpan w:val="2"/>
          </w:tcPr>
          <w:p>
            <w:pPr>
              <w:ind w:left="140"/>
              <w:spacing w:after="0"/>
              <w:rPr>
                <w:sz w:val="20"/>
                <w:szCs w:val="20"/>
                <w:color w:val="auto"/>
              </w:rPr>
            </w:pPr>
            <w:r>
              <w:rPr>
                <w:rFonts w:ascii="Arial" w:cs="Arial" w:eastAsia="Arial" w:hAnsi="Arial"/>
                <w:sz w:val="19"/>
                <w:szCs w:val="19"/>
                <w:color w:val="auto"/>
                <w:w w:val="96"/>
              </w:rPr>
              <w:t>Certificate(s) for</w:t>
            </w: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480" w:type="dxa"/>
            <w:vAlign w:val="bottom"/>
          </w:tcPr>
          <w:p>
            <w:pPr>
              <w:ind w:left="40"/>
              <w:spacing w:after="0"/>
              <w:rPr>
                <w:sz w:val="20"/>
                <w:szCs w:val="20"/>
                <w:color w:val="auto"/>
              </w:rPr>
            </w:pPr>
            <w:r>
              <w:rPr>
                <w:rFonts w:ascii="Arial" w:cs="Arial" w:eastAsia="Arial" w:hAnsi="Arial"/>
                <w:sz w:val="19"/>
                <w:szCs w:val="19"/>
                <w:color w:val="auto"/>
                <w:w w:val="89"/>
              </w:rPr>
              <w:t>shares of Common Stock of the Company. These shares will be valued as of the date this notice is</w:t>
            </w:r>
          </w:p>
        </w:tc>
      </w:tr>
      <w:tr>
        <w:trPr>
          <w:trHeight w:val="250"/>
        </w:trPr>
        <w:tc>
          <w:tcPr>
            <w:tcW w:w="200" w:type="dxa"/>
            <w:vAlign w:val="bottom"/>
          </w:tcPr>
          <w:p>
            <w:pPr>
              <w:spacing w:after="0"/>
              <w:rPr>
                <w:sz w:val="21"/>
                <w:szCs w:val="21"/>
                <w:color w:val="auto"/>
              </w:rPr>
            </w:pPr>
          </w:p>
        </w:tc>
        <w:tc>
          <w:tcPr>
            <w:tcW w:w="10460" w:type="dxa"/>
            <w:vAlign w:val="bottom"/>
            <w:gridSpan w:val="5"/>
          </w:tcPr>
          <w:p>
            <w:pPr>
              <w:ind w:left="140"/>
              <w:spacing w:after="0"/>
              <w:rPr>
                <w:sz w:val="20"/>
                <w:szCs w:val="20"/>
                <w:color w:val="auto"/>
              </w:rPr>
            </w:pPr>
            <w:r>
              <w:rPr>
                <w:rFonts w:ascii="Arial" w:cs="Arial" w:eastAsia="Arial" w:hAnsi="Arial"/>
                <w:sz w:val="19"/>
                <w:szCs w:val="19"/>
                <w:color w:val="auto"/>
              </w:rPr>
              <w:t xml:space="preserve">received by the Company. </w:t>
            </w:r>
            <w:r>
              <w:rPr>
                <w:rFonts w:ascii="Arial" w:cs="Arial" w:eastAsia="Arial" w:hAnsi="Arial"/>
                <w:sz w:val="19"/>
                <w:szCs w:val="19"/>
                <w:b w:val="1"/>
                <w:bCs w:val="1"/>
                <w:i w:val="1"/>
                <w:iCs w:val="1"/>
                <w:color w:val="auto"/>
              </w:rPr>
              <w:t>[Requires Company consent.]</w:t>
            </w:r>
          </w:p>
        </w:tc>
      </w:tr>
    </w:tbl>
    <w:p>
      <w:pPr>
        <w:spacing w:after="0" w:line="115" w:lineRule="exact"/>
        <w:rPr>
          <w:sz w:val="20"/>
          <w:szCs w:val="20"/>
          <w:color w:val="auto"/>
        </w:rPr>
      </w:pPr>
    </w:p>
    <w:p>
      <w:pPr>
        <w:ind w:left="921" w:hanging="350"/>
        <w:spacing w:after="0"/>
        <w:tabs>
          <w:tab w:leader="none" w:pos="921" w:val="left"/>
        </w:tabs>
        <w:numPr>
          <w:ilvl w:val="0"/>
          <w:numId w:val="51"/>
        </w:numPr>
        <w:rPr>
          <w:rFonts w:ascii="Arial" w:cs="Arial" w:eastAsia="Arial" w:hAnsi="Arial"/>
          <w:sz w:val="19"/>
          <w:szCs w:val="19"/>
          <w:color w:val="auto"/>
        </w:rPr>
      </w:pPr>
      <w:r>
        <w:rPr>
          <w:rFonts w:ascii="Arial" w:cs="Arial" w:eastAsia="Arial" w:hAnsi="Arial"/>
          <w:sz w:val="19"/>
          <w:szCs w:val="19"/>
          <w:color w:val="auto"/>
        </w:rPr>
        <w:t>ACH</w:t>
      </w:r>
    </w:p>
    <w:p>
      <w:pPr>
        <w:spacing w:after="0" w:line="232" w:lineRule="exact"/>
        <w:rPr>
          <w:sz w:val="20"/>
          <w:szCs w:val="20"/>
          <w:color w:val="auto"/>
        </w:rPr>
      </w:pPr>
    </w:p>
    <w:p>
      <w:pPr>
        <w:ind w:left="1" w:right="460"/>
        <w:spacing w:after="0" w:line="282" w:lineRule="auto"/>
        <w:rPr>
          <w:sz w:val="20"/>
          <w:szCs w:val="20"/>
          <w:color w:val="auto"/>
        </w:rPr>
      </w:pPr>
      <w:r>
        <w:rPr>
          <w:rFonts w:ascii="Arial" w:cs="Arial" w:eastAsia="Arial" w:hAnsi="Arial"/>
          <w:sz w:val="19"/>
          <w:szCs w:val="19"/>
          <w:b w:val="1"/>
          <w:bCs w:val="1"/>
          <w:color w:val="auto"/>
        </w:rPr>
        <w:t>A</w:t>
      </w:r>
      <w:r>
        <w:rPr>
          <w:rFonts w:ascii="Arial" w:cs="Arial" w:eastAsia="Arial" w:hAnsi="Arial"/>
          <w:sz w:val="15"/>
          <w:szCs w:val="15"/>
          <w:b w:val="1"/>
          <w:bCs w:val="1"/>
          <w:color w:val="auto"/>
        </w:rPr>
        <w:t>GREEMENTS</w:t>
      </w:r>
      <w:r>
        <w:rPr>
          <w:rFonts w:ascii="Arial" w:cs="Arial" w:eastAsia="Arial" w:hAnsi="Arial"/>
          <w:sz w:val="19"/>
          <w:szCs w:val="19"/>
          <w:b w:val="1"/>
          <w:bCs w:val="1"/>
          <w:color w:val="auto"/>
        </w:rPr>
        <w:t>, R</w:t>
      </w:r>
      <w:r>
        <w:rPr>
          <w:rFonts w:ascii="Arial" w:cs="Arial" w:eastAsia="Arial" w:hAnsi="Arial"/>
          <w:sz w:val="15"/>
          <w:szCs w:val="15"/>
          <w:b w:val="1"/>
          <w:bCs w:val="1"/>
          <w:color w:val="auto"/>
        </w:rPr>
        <w:t>EPRESENTATIONS AND</w:t>
      </w:r>
      <w:r>
        <w:rPr>
          <w:rFonts w:ascii="Arial" w:cs="Arial" w:eastAsia="Arial" w:hAnsi="Arial"/>
          <w:sz w:val="19"/>
          <w:szCs w:val="19"/>
          <w:b w:val="1"/>
          <w:bCs w:val="1"/>
          <w:color w:val="auto"/>
        </w:rPr>
        <w:t xml:space="preserve"> A</w:t>
      </w:r>
      <w:r>
        <w:rPr>
          <w:rFonts w:ascii="Arial" w:cs="Arial" w:eastAsia="Arial" w:hAnsi="Arial"/>
          <w:sz w:val="15"/>
          <w:szCs w:val="15"/>
          <w:b w:val="1"/>
          <w:bCs w:val="1"/>
          <w:color w:val="auto"/>
        </w:rPr>
        <w:t>CKNOWLEDGMENTS OF</w:t>
      </w:r>
      <w:r>
        <w:rPr>
          <w:rFonts w:ascii="Arial" w:cs="Arial" w:eastAsia="Arial" w:hAnsi="Arial"/>
          <w:sz w:val="19"/>
          <w:szCs w:val="19"/>
          <w:b w:val="1"/>
          <w:bCs w:val="1"/>
          <w:color w:val="auto"/>
        </w:rPr>
        <w:t xml:space="preserve"> O</w:t>
      </w:r>
      <w:r>
        <w:rPr>
          <w:rFonts w:ascii="Arial" w:cs="Arial" w:eastAsia="Arial" w:hAnsi="Arial"/>
          <w:sz w:val="15"/>
          <w:szCs w:val="15"/>
          <w:b w:val="1"/>
          <w:bCs w:val="1"/>
          <w:color w:val="auto"/>
        </w:rPr>
        <w:t>PTIONEE</w:t>
      </w:r>
      <w:r>
        <w:rPr>
          <w:rFonts w:ascii="Arial" w:cs="Arial" w:eastAsia="Arial" w:hAnsi="Arial"/>
          <w:sz w:val="19"/>
          <w:szCs w:val="19"/>
          <w:b w:val="1"/>
          <w:bCs w:val="1"/>
          <w:color w:val="auto"/>
        </w:rPr>
        <w:t xml:space="preserve">: </w:t>
      </w:r>
      <w:r>
        <w:rPr>
          <w:rFonts w:ascii="Arial" w:cs="Arial" w:eastAsia="Arial" w:hAnsi="Arial"/>
          <w:sz w:val="19"/>
          <w:szCs w:val="19"/>
          <w:color w:val="auto"/>
        </w:rPr>
        <w:t>By signing this Stock Option Exercise Notice and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hereby agrees with, and represents to, the Company as follows:</w:t>
      </w:r>
    </w:p>
    <w:p>
      <w:pPr>
        <w:spacing w:after="0" w:line="71" w:lineRule="exact"/>
        <w:rPr>
          <w:sz w:val="20"/>
          <w:szCs w:val="20"/>
          <w:color w:val="auto"/>
        </w:rPr>
      </w:pPr>
    </w:p>
    <w:p>
      <w:pPr>
        <w:ind w:left="461" w:hanging="461"/>
        <w:spacing w:after="0" w:line="266" w:lineRule="auto"/>
        <w:tabs>
          <w:tab w:leader="none" w:pos="461"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 xml:space="preserve">Terms Governing. </w:t>
      </w:r>
      <w:r>
        <w:rPr>
          <w:rFonts w:ascii="Arial" w:cs="Arial" w:eastAsia="Arial" w:hAnsi="Arial"/>
          <w:sz w:val="19"/>
          <w:szCs w:val="19"/>
          <w:color w:val="auto"/>
        </w:rPr>
        <w:t>I acknowledge and agree with the Company that I am acquiring the Purchased Shares by exercise of this Option subject to all</w:t>
      </w:r>
      <w:r>
        <w:rPr>
          <w:rFonts w:ascii="Arial" w:cs="Arial" w:eastAsia="Arial" w:hAnsi="Arial"/>
          <w:sz w:val="19"/>
          <w:szCs w:val="19"/>
          <w:b w:val="1"/>
          <w:bCs w:val="1"/>
          <w:color w:val="auto"/>
        </w:rPr>
        <w:t xml:space="preserve"> </w:t>
      </w:r>
      <w:r>
        <w:rPr>
          <w:rFonts w:ascii="Arial" w:cs="Arial" w:eastAsia="Arial" w:hAnsi="Arial"/>
          <w:sz w:val="19"/>
          <w:szCs w:val="19"/>
          <w:color w:val="auto"/>
        </w:rPr>
        <w:t>other terms and conditions of the Notice of Stock Option Grant and the Stock Option Agreement that govern the Option, including without limitation the terms of the Company’s 2011 Equity Incentive Plan, as it may be amended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423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44" w:lineRule="exact"/>
        <w:rPr>
          <w:sz w:val="20"/>
          <w:szCs w:val="20"/>
          <w:color w:val="auto"/>
        </w:rPr>
      </w:pPr>
    </w:p>
    <w:p>
      <w:pPr>
        <w:ind w:left="461" w:hanging="461"/>
        <w:spacing w:after="0"/>
        <w:tabs>
          <w:tab w:leader="none" w:pos="461" w:val="left"/>
        </w:tabs>
        <w:numPr>
          <w:ilvl w:val="0"/>
          <w:numId w:val="53"/>
        </w:numPr>
        <w:rPr>
          <w:rFonts w:ascii="Arial" w:cs="Arial" w:eastAsia="Arial" w:hAnsi="Arial"/>
          <w:sz w:val="16"/>
          <w:szCs w:val="16"/>
          <w:color w:val="auto"/>
        </w:rPr>
      </w:pPr>
      <w:r>
        <w:rPr>
          <w:rFonts w:ascii="Arial" w:cs="Arial" w:eastAsia="Arial" w:hAnsi="Arial"/>
          <w:sz w:val="19"/>
          <w:szCs w:val="19"/>
          <w:color w:val="auto"/>
        </w:rPr>
        <w:t>If you are a non-U.S. Optionee, please see the Company for permitted forms of payment.</w:t>
      </w:r>
    </w:p>
    <w:p>
      <w:pPr>
        <w:sectPr>
          <w:pgSz w:w="12240" w:h="15840" w:orient="portrait"/>
          <w:cols w:equalWidth="0" w:num="1">
            <w:col w:w="11501"/>
          </w:cols>
          <w:pgMar w:left="299" w:top="136" w:right="440" w:bottom="1440" w:gutter="0" w:footer="0" w:header="0"/>
          <w:type w:val="continuous"/>
        </w:sectPr>
      </w:pPr>
    </w:p>
    <w:bookmarkStart w:id="39" w:name="page40"/>
    <w:bookmarkEnd w:id="39"/>
    <w:p>
      <w:pPr>
        <w:ind w:left="461" w:right="60" w:hanging="461"/>
        <w:spacing w:after="0" w:line="272" w:lineRule="auto"/>
        <w:tabs>
          <w:tab w:leader="none" w:pos="461"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 xml:space="preserve">Investment Intent; Securities Law Restrictions. </w:t>
      </w:r>
      <w:r>
        <w:rPr>
          <w:rFonts w:ascii="Arial" w:cs="Arial" w:eastAsia="Arial" w:hAnsi="Arial"/>
          <w:sz w:val="18"/>
          <w:szCs w:val="18"/>
          <w:color w:val="auto"/>
        </w:rPr>
        <w:t>I represent and warrant to the Company that I am acquiring and will hold the Purchased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for investment for my account only, and not with a view to, or for resale in connection with, any “distribution” of the Purchased Shares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3" w:lineRule="exact"/>
        <w:rPr>
          <w:rFonts w:ascii="Arial" w:cs="Arial" w:eastAsia="Arial" w:hAnsi="Arial"/>
          <w:sz w:val="18"/>
          <w:szCs w:val="18"/>
          <w:color w:val="auto"/>
        </w:rPr>
      </w:pPr>
    </w:p>
    <w:p>
      <w:pPr>
        <w:ind w:left="461" w:hanging="461"/>
        <w:spacing w:after="0" w:line="255" w:lineRule="auto"/>
        <w:tabs>
          <w:tab w:leader="none" w:pos="46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Restrictions on Transfer: Rule 144. </w:t>
      </w:r>
      <w:r>
        <w:rPr>
          <w:rFonts w:ascii="Arial" w:cs="Arial" w:eastAsia="Arial" w:hAnsi="Arial"/>
          <w:sz w:val="19"/>
          <w:szCs w:val="19"/>
          <w:color w:val="auto"/>
        </w:rPr>
        <w:t>I will not sell, transfer or otherwise dispose of the Purchased Shares in violation of the Securities Act,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Exchange Act of 1934, or the rules promulgated thereunder (including Rule 144 under the Securities Act described below (“</w:t>
      </w:r>
      <w:r>
        <w:rPr>
          <w:rFonts w:ascii="Arial" w:cs="Arial" w:eastAsia="Arial" w:hAnsi="Arial"/>
          <w:sz w:val="19"/>
          <w:szCs w:val="19"/>
          <w:b w:val="1"/>
          <w:bCs w:val="1"/>
          <w:i w:val="1"/>
          <w:iCs w:val="1"/>
          <w:color w:val="auto"/>
        </w:rPr>
        <w:t>Rule 144</w:t>
      </w:r>
      <w:r>
        <w:rPr>
          <w:rFonts w:ascii="Arial" w:cs="Arial" w:eastAsia="Arial" w:hAnsi="Arial"/>
          <w:sz w:val="19"/>
          <w:szCs w:val="19"/>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6" w:lineRule="exact"/>
        <w:rPr>
          <w:rFonts w:ascii="Arial" w:cs="Arial" w:eastAsia="Arial" w:hAnsi="Arial"/>
          <w:sz w:val="19"/>
          <w:szCs w:val="19"/>
          <w:color w:val="auto"/>
        </w:rPr>
      </w:pPr>
    </w:p>
    <w:p>
      <w:pPr>
        <w:ind w:left="461" w:hanging="461"/>
        <w:spacing w:after="0" w:line="296" w:lineRule="auto"/>
        <w:tabs>
          <w:tab w:leader="none" w:pos="461"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Access to Information; Understanding of Risk in Investment. </w:t>
      </w:r>
      <w:r>
        <w:rPr>
          <w:rFonts w:ascii="Arial" w:cs="Arial" w:eastAsia="Arial" w:hAnsi="Arial"/>
          <w:sz w:val="17"/>
          <w:szCs w:val="17"/>
          <w:color w:val="auto"/>
        </w:rPr>
        <w:t>I acknowledge that I have received and had access to such information as I</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63" w:lineRule="exact"/>
        <w:rPr>
          <w:rFonts w:ascii="Arial" w:cs="Arial" w:eastAsia="Arial" w:hAnsi="Arial"/>
          <w:sz w:val="17"/>
          <w:szCs w:val="17"/>
          <w:color w:val="auto"/>
        </w:rPr>
      </w:pPr>
    </w:p>
    <w:p>
      <w:pPr>
        <w:ind w:left="461" w:right="20" w:hanging="461"/>
        <w:spacing w:after="0" w:line="266" w:lineRule="auto"/>
        <w:tabs>
          <w:tab w:leader="none" w:pos="46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Rights of First Refusal; Market Stand-off. </w:t>
      </w:r>
      <w:r>
        <w:rPr>
          <w:rFonts w:ascii="Arial" w:cs="Arial" w:eastAsia="Arial" w:hAnsi="Arial"/>
          <w:sz w:val="19"/>
          <w:szCs w:val="19"/>
          <w:color w:val="auto"/>
        </w:rPr>
        <w:t>I acknowledge that the Purchased Shares remain subject to the Company’s Right of First Refusal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market stand-off covenants (sometimes referred to as the “lock-up”), all in accordance with the applicable Notice of Stock Option Grant and the Stock Option Agreement that govern the Option.</w:t>
      </w:r>
    </w:p>
    <w:p>
      <w:pPr>
        <w:spacing w:after="0" w:line="86" w:lineRule="exact"/>
        <w:rPr>
          <w:rFonts w:ascii="Arial" w:cs="Arial" w:eastAsia="Arial" w:hAnsi="Arial"/>
          <w:sz w:val="19"/>
          <w:szCs w:val="19"/>
          <w:color w:val="auto"/>
        </w:rPr>
      </w:pPr>
    </w:p>
    <w:p>
      <w:pPr>
        <w:ind w:left="461" w:right="120" w:hanging="461"/>
        <w:spacing w:after="0" w:line="258" w:lineRule="auto"/>
        <w:tabs>
          <w:tab w:leader="none" w:pos="46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Form of Ownership. </w:t>
      </w:r>
      <w:r>
        <w:rPr>
          <w:rFonts w:ascii="Arial" w:cs="Arial" w:eastAsia="Arial" w:hAnsi="Arial"/>
          <w:sz w:val="19"/>
          <w:szCs w:val="19"/>
          <w:color w:val="auto"/>
        </w:rPr>
        <w:t>I acknowledge that the Company has encouraged me to consult my own adviser to determine the form of ownership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94" w:lineRule="exact"/>
        <w:rPr>
          <w:rFonts w:ascii="Arial" w:cs="Arial" w:eastAsia="Arial" w:hAnsi="Arial"/>
          <w:sz w:val="19"/>
          <w:szCs w:val="19"/>
          <w:color w:val="auto"/>
        </w:rPr>
      </w:pPr>
    </w:p>
    <w:p>
      <w:pPr>
        <w:ind w:left="461" w:right="640" w:hanging="461"/>
        <w:spacing w:after="0" w:line="282" w:lineRule="auto"/>
        <w:tabs>
          <w:tab w:leader="none" w:pos="46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Investigation of Tax Consequences. </w:t>
      </w:r>
      <w:r>
        <w:rPr>
          <w:rFonts w:ascii="Arial" w:cs="Arial" w:eastAsia="Arial" w:hAnsi="Arial"/>
          <w:sz w:val="19"/>
          <w:szCs w:val="19"/>
          <w:color w:val="auto"/>
        </w:rPr>
        <w:t>I acknowledge that the Company has encouraged me to consult my own adviser to determine the tax</w:t>
      </w:r>
      <w:r>
        <w:rPr>
          <w:rFonts w:ascii="Arial" w:cs="Arial" w:eastAsia="Arial" w:hAnsi="Arial"/>
          <w:sz w:val="19"/>
          <w:szCs w:val="19"/>
          <w:b w:val="1"/>
          <w:bCs w:val="1"/>
          <w:color w:val="auto"/>
        </w:rPr>
        <w:t xml:space="preserve"> </w:t>
      </w:r>
      <w:r>
        <w:rPr>
          <w:rFonts w:ascii="Arial" w:cs="Arial" w:eastAsia="Arial" w:hAnsi="Arial"/>
          <w:sz w:val="19"/>
          <w:szCs w:val="19"/>
          <w:color w:val="auto"/>
        </w:rPr>
        <w:t>consequences of acquiring the Purchased Shares at this time.</w:t>
      </w:r>
    </w:p>
    <w:p>
      <w:pPr>
        <w:spacing w:after="0" w:line="71" w:lineRule="exact"/>
        <w:rPr>
          <w:rFonts w:ascii="Arial" w:cs="Arial" w:eastAsia="Arial" w:hAnsi="Arial"/>
          <w:sz w:val="19"/>
          <w:szCs w:val="19"/>
          <w:color w:val="auto"/>
        </w:rPr>
      </w:pPr>
    </w:p>
    <w:p>
      <w:pPr>
        <w:ind w:left="461" w:hanging="461"/>
        <w:spacing w:after="0" w:line="258" w:lineRule="auto"/>
        <w:tabs>
          <w:tab w:leader="none" w:pos="461"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Other Tax Matters. </w:t>
      </w:r>
      <w:r>
        <w:rPr>
          <w:rFonts w:ascii="Arial" w:cs="Arial" w:eastAsia="Arial" w:hAnsi="Arial"/>
          <w:sz w:val="19"/>
          <w:szCs w:val="19"/>
          <w:color w:val="auto"/>
        </w:rPr>
        <w:t>I agree that the Company does not have a duty to design or administer the Plan or its other compensation programs in a</w:t>
      </w:r>
      <w:r>
        <w:rPr>
          <w:rFonts w:ascii="Arial" w:cs="Arial" w:eastAsia="Arial" w:hAnsi="Arial"/>
          <w:sz w:val="19"/>
          <w:szCs w:val="19"/>
          <w:b w:val="1"/>
          <w:bCs w:val="1"/>
          <w:color w:val="auto"/>
        </w:rPr>
        <w:t xml:space="preserve"> </w:t>
      </w:r>
      <w:r>
        <w:rPr>
          <w:rFonts w:ascii="Arial" w:cs="Arial" w:eastAsia="Arial" w:hAnsi="Arial"/>
          <w:sz w:val="19"/>
          <w:szCs w:val="19"/>
          <w:color w:val="auto"/>
        </w:rPr>
        <w:t>manner that minimizes my tax liabilities. I will not make any claim against the Company or its Board of Directors,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621"/>
          </w:cols>
          <w:pgMar w:left="299" w:top="136" w:right="320" w:bottom="1440" w:gutter="0" w:footer="0" w:header="0"/>
        </w:sectPr>
      </w:pPr>
    </w:p>
    <w:bookmarkStart w:id="40" w:name="page41"/>
    <w:bookmarkEnd w:id="40"/>
    <w:p>
      <w:pPr>
        <w:ind w:left="461"/>
        <w:spacing w:after="0" w:line="29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64" w:lineRule="exact"/>
        <w:rPr>
          <w:sz w:val="20"/>
          <w:szCs w:val="20"/>
          <w:color w:val="auto"/>
        </w:rPr>
      </w:pPr>
    </w:p>
    <w:p>
      <w:pPr>
        <w:ind w:left="461" w:hanging="461"/>
        <w:spacing w:after="0"/>
        <w:tabs>
          <w:tab w:leader="none" w:pos="461"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Spouse Consent. </w:t>
      </w:r>
      <w:r>
        <w:rPr>
          <w:rFonts w:ascii="Arial" w:cs="Arial" w:eastAsia="Arial" w:hAnsi="Arial"/>
          <w:sz w:val="19"/>
          <w:szCs w:val="19"/>
          <w:color w:val="auto"/>
        </w:rPr>
        <w:t>I agree to seek the consent of my spouse to the extent required by the Company to enforce the foregoing.</w:t>
      </w:r>
    </w:p>
    <w:p>
      <w:pPr>
        <w:spacing w:after="0" w:line="138" w:lineRule="exact"/>
        <w:rPr>
          <w:rFonts w:ascii="Arial" w:cs="Arial" w:eastAsia="Arial" w:hAnsi="Arial"/>
          <w:sz w:val="19"/>
          <w:szCs w:val="19"/>
          <w:color w:val="auto"/>
        </w:rPr>
      </w:pPr>
    </w:p>
    <w:p>
      <w:pPr>
        <w:ind w:left="461" w:right="20" w:hanging="461"/>
        <w:spacing w:after="0" w:line="258" w:lineRule="auto"/>
        <w:tabs>
          <w:tab w:leader="none" w:pos="461"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Agreement to Enter into Co-Sale Agreement. </w:t>
      </w:r>
      <w:r>
        <w:rPr>
          <w:rFonts w:ascii="Arial" w:cs="Arial" w:eastAsia="Arial" w:hAnsi="Arial"/>
          <w:sz w:val="19"/>
          <w:szCs w:val="19"/>
          <w:color w:val="auto"/>
        </w:rPr>
        <w:t>Pursuant to the Stock Option Agreement, if requested to do so by the Company, I agree to enter</w:t>
      </w:r>
      <w:r>
        <w:rPr>
          <w:rFonts w:ascii="Arial" w:cs="Arial" w:eastAsia="Arial" w:hAnsi="Arial"/>
          <w:sz w:val="19"/>
          <w:szCs w:val="19"/>
          <w:b w:val="1"/>
          <w:bCs w:val="1"/>
          <w:color w:val="auto"/>
        </w:rPr>
        <w:t xml:space="preserve"> </w:t>
      </w:r>
      <w:r>
        <w:rPr>
          <w:rFonts w:ascii="Arial" w:cs="Arial" w:eastAsia="Arial" w:hAnsi="Arial"/>
          <w:sz w:val="19"/>
          <w:szCs w:val="19"/>
          <w:color w:val="auto"/>
        </w:rPr>
        <w:t>into and execute the then-current Company Co-Sale Agreement concurrently with my exercise of the Option or at any other time I am requested to do so by the Company. I acknowledge that by entering into the Company Co-Sale Agreement I will be subjecting the Purchased Shares to the rights of first refusal, co-sale rights and all the other provisions of the Company Co-Sale Agreement, in addition to the right of first refusal, repurchase option and market stand-off provisions described above.</w:t>
      </w:r>
    </w:p>
    <w:p>
      <w:pPr>
        <w:spacing w:after="0" w:line="94" w:lineRule="exact"/>
        <w:rPr>
          <w:rFonts w:ascii="Arial" w:cs="Arial" w:eastAsia="Arial" w:hAnsi="Arial"/>
          <w:sz w:val="19"/>
          <w:szCs w:val="19"/>
          <w:color w:val="auto"/>
        </w:rPr>
      </w:pPr>
    </w:p>
    <w:p>
      <w:pPr>
        <w:ind w:left="461" w:right="200" w:hanging="461"/>
        <w:spacing w:after="0" w:line="292" w:lineRule="auto"/>
        <w:tabs>
          <w:tab w:leader="none" w:pos="461"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Execution of Adoption Agreement to Voting Agreement</w:t>
      </w:r>
      <w:r>
        <w:rPr>
          <w:rFonts w:ascii="Arial" w:cs="Arial" w:eastAsia="Arial" w:hAnsi="Arial"/>
          <w:sz w:val="17"/>
          <w:szCs w:val="17"/>
          <w:color w:val="auto"/>
        </w:rPr>
        <w:t>. Pursuant to the Stock Option Agreement, I agree, as a condition to receipt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upon exercise of the Option, to enter into and execute the Company’s then-current Company Voting Agreement concurrently with my exercise of the Option, as a Key Holder therein, by executing and delivering the Adoption Agreement to the Company Voting Agreement, in the form attached hereto as Exhibit 1 (the “Adoption Agreement”). I acknowledge that by entering into the Voting Agreement I will be subjected to voting and other obligations and covenants regarding all Company shares I own and all other provisions of the Company Voting Agreement, in addition to the right of first refusal, repurchase option and market stand-off provisions described above.</w:t>
      </w:r>
    </w:p>
    <w:p>
      <w:pPr>
        <w:spacing w:after="0" w:line="70" w:lineRule="exact"/>
        <w:rPr>
          <w:rFonts w:ascii="Arial" w:cs="Arial" w:eastAsia="Arial" w:hAnsi="Arial"/>
          <w:sz w:val="17"/>
          <w:szCs w:val="17"/>
          <w:color w:val="auto"/>
        </w:rPr>
      </w:pPr>
    </w:p>
    <w:p>
      <w:pPr>
        <w:ind w:left="461" w:right="160" w:hanging="461"/>
        <w:spacing w:after="0" w:line="282" w:lineRule="auto"/>
        <w:tabs>
          <w:tab w:leader="none" w:pos="461"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Bylaws Restrictions. </w:t>
      </w:r>
      <w:r>
        <w:rPr>
          <w:rFonts w:ascii="Arial" w:cs="Arial" w:eastAsia="Arial" w:hAnsi="Arial"/>
          <w:sz w:val="19"/>
          <w:szCs w:val="19"/>
          <w:color w:val="auto"/>
        </w:rPr>
        <w:t>I acknowledge that the Shares and any interest therein are subject to the right of first refusal and any and all restrictions on</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set forth in the Company’s Amended and Restated Bylaws, as it may be amended from time to time.</w:t>
      </w:r>
    </w:p>
    <w:p>
      <w:pPr>
        <w:spacing w:after="0" w:line="71" w:lineRule="exact"/>
        <w:rPr>
          <w:rFonts w:ascii="Arial" w:cs="Arial" w:eastAsia="Arial" w:hAnsi="Arial"/>
          <w:sz w:val="19"/>
          <w:szCs w:val="19"/>
          <w:color w:val="auto"/>
        </w:rPr>
      </w:pPr>
    </w:p>
    <w:p>
      <w:pPr>
        <w:jc w:val="both"/>
        <w:ind w:left="461" w:right="80" w:hanging="461"/>
        <w:spacing w:after="0" w:line="266" w:lineRule="auto"/>
        <w:tabs>
          <w:tab w:leader="none" w:pos="461"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Tax Withholding</w:t>
      </w:r>
      <w:r>
        <w:rPr>
          <w:rFonts w:ascii="Arial" w:cs="Arial" w:eastAsia="Arial" w:hAnsi="Arial"/>
          <w:sz w:val="19"/>
          <w:szCs w:val="19"/>
          <w:color w:val="auto"/>
        </w:rPr>
        <w:t>. As a condition of exercising this Option, I agree to make adequate provision for foreign, federal, state or other tax 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if any, which arise upon the grant, vesting or exercise of this Option, or disposition of the Purchased Shares, whether by withholding, direct payment to the Company, or otherwise.</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9"/>
          <w:szCs w:val="19"/>
          <w:color w:val="auto"/>
        </w:rPr>
        <w:t>The undersigned hereby executes and delivers this Stock Option Exercise Notice and Agreement and agrees to be bound by its terms</w:t>
      </w:r>
    </w:p>
    <w:p>
      <w:pPr>
        <w:spacing w:after="0" w:line="260" w:lineRule="exact"/>
        <w:rPr>
          <w:sz w:val="20"/>
          <w:szCs w:val="20"/>
          <w:color w:val="auto"/>
        </w:rPr>
      </w:pPr>
    </w:p>
    <w:p>
      <w:pPr>
        <w:ind w:left="1"/>
        <w:spacing w:after="0"/>
        <w:tabs>
          <w:tab w:leader="none" w:pos="6160" w:val="left"/>
        </w:tabs>
        <w:rPr>
          <w:sz w:val="20"/>
          <w:szCs w:val="20"/>
          <w:color w:val="auto"/>
        </w:rPr>
      </w:pPr>
      <w:r>
        <w:rPr>
          <w:rFonts w:ascii="Arial" w:cs="Arial" w:eastAsia="Arial" w:hAnsi="Arial"/>
          <w:sz w:val="19"/>
          <w:szCs w:val="19"/>
          <w:b w:val="1"/>
          <w:bCs w:val="1"/>
          <w:color w:val="auto"/>
        </w:rPr>
        <w:t>S</w:t>
      </w:r>
      <w:r>
        <w:rPr>
          <w:rFonts w:ascii="Arial" w:cs="Arial" w:eastAsia="Arial" w:hAnsi="Arial"/>
          <w:sz w:val="15"/>
          <w:szCs w:val="15"/>
          <w:b w:val="1"/>
          <w:bCs w:val="1"/>
          <w:color w:val="auto"/>
        </w:rPr>
        <w:t>IGNATURE</w:t>
      </w:r>
      <w:r>
        <w:rPr>
          <w:rFonts w:ascii="Arial" w:cs="Arial" w:eastAsia="Arial" w:hAnsi="Arial"/>
          <w:sz w:val="19"/>
          <w:szCs w:val="19"/>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73894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
        <w:spacing w:after="0"/>
        <w:rPr>
          <w:sz w:val="20"/>
          <w:szCs w:val="20"/>
          <w:color w:val="auto"/>
        </w:rPr>
      </w:pPr>
      <w:r>
        <w:rPr>
          <w:rFonts w:ascii="Arial" w:cs="Arial" w:eastAsia="Arial" w:hAnsi="Arial"/>
          <w:sz w:val="19"/>
          <w:szCs w:val="19"/>
          <w:color w:val="auto"/>
        </w:rPr>
        <w:t>Optionee’s Name:</w:t>
      </w:r>
    </w:p>
    <w:p>
      <w:pPr>
        <w:spacing w:after="0" w:line="232"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Attachments:</w:t>
      </w:r>
    </w:p>
    <w:p>
      <w:pPr>
        <w:spacing w:after="0" w:line="238"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 xml:space="preserve">Exhibit 1 </w:t>
      </w:r>
      <w:r>
        <w:rPr>
          <w:rFonts w:ascii="Arial" w:cs="Arial" w:eastAsia="Arial" w:hAnsi="Arial"/>
          <w:sz w:val="19"/>
          <w:szCs w:val="19"/>
          <w:color w:val="auto"/>
        </w:rPr>
        <w:t>– Adoption Agreement to Company Voting Agreement</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[Signature Page to Stock Option Exercise Notice and Agreement]</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1621"/>
          </w:cols>
          <w:pgMar w:left="299" w:top="142" w:right="320" w:bottom="1440" w:gutter="0" w:footer="0" w:header="0"/>
        </w:sectPr>
      </w:pPr>
    </w:p>
    <w:bookmarkStart w:id="41" w:name="page42"/>
    <w:bookmarkEnd w:id="41"/>
    <w:p>
      <w:pPr>
        <w:jc w:val="center"/>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ANNEX B</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ADOPTION AGREEMENT</w:t>
      </w:r>
    </w:p>
    <w:p>
      <w:pPr>
        <w:spacing w:after="0" w:line="244" w:lineRule="exact"/>
        <w:rPr>
          <w:sz w:val="20"/>
          <w:szCs w:val="20"/>
          <w:color w:val="auto"/>
        </w:rPr>
      </w:pPr>
    </w:p>
    <w:p>
      <w:pPr>
        <w:ind w:left="460"/>
        <w:spacing w:after="0"/>
        <w:tabs>
          <w:tab w:leader="none" w:pos="7100" w:val="left"/>
          <w:tab w:leader="none" w:pos="7780" w:val="left"/>
        </w:tabs>
        <w:rPr>
          <w:sz w:val="20"/>
          <w:szCs w:val="20"/>
          <w:color w:val="auto"/>
        </w:rPr>
      </w:pPr>
      <w:r>
        <w:rPr>
          <w:rFonts w:ascii="Arial" w:cs="Arial" w:eastAsia="Arial" w:hAnsi="Arial"/>
          <w:sz w:val="19"/>
          <w:szCs w:val="19"/>
          <w:color w:val="auto"/>
        </w:rPr>
        <w:t>This Adoption Agreement (“</w:t>
      </w:r>
      <w:r>
        <w:rPr>
          <w:rFonts w:ascii="Arial" w:cs="Arial" w:eastAsia="Arial" w:hAnsi="Arial"/>
          <w:sz w:val="19"/>
          <w:szCs w:val="19"/>
          <w:b w:val="1"/>
          <w:bCs w:val="1"/>
          <w:i w:val="1"/>
          <w:iCs w:val="1"/>
          <w:color w:val="auto"/>
        </w:rPr>
        <w:t>Adoption Agreement</w:t>
      </w:r>
      <w:r>
        <w:rPr>
          <w:rFonts w:ascii="Arial" w:cs="Arial" w:eastAsia="Arial" w:hAnsi="Arial"/>
          <w:sz w:val="19"/>
          <w:szCs w:val="19"/>
          <w:color w:val="auto"/>
        </w:rPr>
        <w:t>”) is executed on</w:t>
      </w:r>
      <w:r>
        <w:rPr>
          <w:sz w:val="20"/>
          <w:szCs w:val="20"/>
          <w:color w:val="auto"/>
        </w:rPr>
        <w:tab/>
      </w:r>
      <w:r>
        <w:rPr>
          <w:rFonts w:ascii="Arial" w:cs="Arial" w:eastAsia="Arial" w:hAnsi="Arial"/>
          <w:sz w:val="19"/>
          <w:szCs w:val="19"/>
          <w:color w:val="auto"/>
        </w:rPr>
        <w:t>, 20</w:t>
      </w:r>
      <w:r>
        <w:rPr>
          <w:sz w:val="20"/>
          <w:szCs w:val="20"/>
          <w:color w:val="auto"/>
        </w:rPr>
        <w:tab/>
      </w:r>
      <w:r>
        <w:rPr>
          <w:rFonts w:ascii="Arial" w:cs="Arial" w:eastAsia="Arial" w:hAnsi="Arial"/>
          <w:sz w:val="17"/>
          <w:szCs w:val="17"/>
          <w:color w:val="auto"/>
        </w:rPr>
        <w:t>, by the undersigned (the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-11430</wp:posOffset>
            </wp:positionV>
            <wp:extent cx="13881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8110" cy="8890"/>
                    </a:xfrm>
                    <a:prstGeom prst="rect">
                      <a:avLst/>
                    </a:prstGeom>
                    <a:noFill/>
                  </pic:spPr>
                </pic:pic>
              </a:graphicData>
            </a:graphic>
          </wp:anchor>
        </w:drawing>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the terms of that certain Voting and Drag-Along Agreement dated as of May 26, 2017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by and among the Company and certain of its Stockholders, as such Agreement may be amended or amended and restated hereafter. Capitalized terms used but not defined in this Adoption Agreement shall have the respective meanings ascribed to such terms in the Agreement. By the execution of this Adoption Agreement, the Holder agrees as follows.</w:t>
      </w:r>
    </w:p>
    <w:p>
      <w:pPr>
        <w:spacing w:after="0" w:line="197" w:lineRule="exact"/>
        <w:rPr>
          <w:sz w:val="20"/>
          <w:szCs w:val="20"/>
          <w:color w:val="auto"/>
        </w:rPr>
      </w:pPr>
    </w:p>
    <w:p>
      <w:pPr>
        <w:ind w:right="220" w:firstLine="931"/>
        <w:spacing w:after="0" w:line="31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acknowledges that Holder is acquiring certain shares of the capital stock of the Company (the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warrants or other rights to purchase such Stock (the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for one of the following reasons (Check the correct box):</w:t>
      </w:r>
    </w:p>
    <w:p>
      <w:pPr>
        <w:spacing w:after="0" w:line="54" w:lineRule="exact"/>
        <w:rPr>
          <w:sz w:val="20"/>
          <w:szCs w:val="20"/>
          <w:color w:val="auto"/>
        </w:rPr>
      </w:pPr>
    </w:p>
    <w:p>
      <w:pPr>
        <w:ind w:left="920" w:right="400" w:hanging="464"/>
        <w:spacing w:after="0" w:line="275" w:lineRule="auto"/>
        <w:tabs>
          <w:tab w:leader="none" w:pos="920" w:val="left"/>
        </w:tabs>
        <w:numPr>
          <w:ilvl w:val="0"/>
          <w:numId w:val="56"/>
        </w:numPr>
        <w:rPr>
          <w:rFonts w:ascii="MS PGothic" w:cs="MS PGothic" w:eastAsia="MS PGothic" w:hAnsi="MS PGothic"/>
          <w:sz w:val="19"/>
          <w:szCs w:val="19"/>
          <w:color w:val="auto"/>
        </w:rPr>
      </w:pPr>
      <w:r>
        <w:rPr>
          <w:rFonts w:ascii="Arial" w:cs="Arial" w:eastAsia="Arial" w:hAnsi="Arial"/>
          <w:sz w:val="19"/>
          <w:szCs w:val="19"/>
          <w:color w:val="auto"/>
        </w:rPr>
        <w:t>As a transferee of Shares from a party in such party’s capacity as an “Investor” bound by the Agreement, and after such transfer, Holder shall be considered an “Investor” and a “Stockholder” for all purposes of the Agreement.</w:t>
      </w:r>
    </w:p>
    <w:p>
      <w:pPr>
        <w:spacing w:after="0" w:line="84" w:lineRule="exact"/>
        <w:rPr>
          <w:rFonts w:ascii="MS PGothic" w:cs="MS PGothic" w:eastAsia="MS PGothic" w:hAnsi="MS PGothic"/>
          <w:sz w:val="19"/>
          <w:szCs w:val="19"/>
          <w:color w:val="auto"/>
        </w:rPr>
      </w:pPr>
    </w:p>
    <w:p>
      <w:pPr>
        <w:ind w:left="920" w:right="240" w:hanging="464"/>
        <w:spacing w:after="0" w:line="275" w:lineRule="auto"/>
        <w:tabs>
          <w:tab w:leader="none" w:pos="920" w:val="left"/>
        </w:tabs>
        <w:numPr>
          <w:ilvl w:val="0"/>
          <w:numId w:val="56"/>
        </w:numPr>
        <w:rPr>
          <w:rFonts w:ascii="MS PGothic" w:cs="MS PGothic" w:eastAsia="MS PGothic" w:hAnsi="MS PGothic"/>
          <w:sz w:val="19"/>
          <w:szCs w:val="19"/>
          <w:color w:val="auto"/>
        </w:rPr>
      </w:pPr>
      <w:r>
        <w:rPr>
          <w:rFonts w:ascii="Arial" w:cs="Arial" w:eastAsia="Arial" w:hAnsi="Arial"/>
          <w:sz w:val="19"/>
          <w:szCs w:val="19"/>
          <w:color w:val="auto"/>
        </w:rPr>
        <w:t>As a transferee of Shares from a party in such party’s capacity as a “Key Holder” bound by the Agreement, and after such transfer, Holder shall be considered a “Key Holder” and a “Stockholder” for all purposes of the Agreement.</w:t>
      </w:r>
    </w:p>
    <w:p>
      <w:pPr>
        <w:spacing w:after="0" w:line="84" w:lineRule="exact"/>
        <w:rPr>
          <w:rFonts w:ascii="MS PGothic" w:cs="MS PGothic" w:eastAsia="MS PGothic" w:hAnsi="MS PGothic"/>
          <w:sz w:val="19"/>
          <w:szCs w:val="19"/>
          <w:color w:val="auto"/>
        </w:rPr>
      </w:pPr>
    </w:p>
    <w:p>
      <w:pPr>
        <w:ind w:left="920" w:right="500" w:hanging="464"/>
        <w:spacing w:after="0" w:line="304" w:lineRule="auto"/>
        <w:tabs>
          <w:tab w:leader="none" w:pos="920" w:val="left"/>
        </w:tabs>
        <w:numPr>
          <w:ilvl w:val="0"/>
          <w:numId w:val="56"/>
        </w:numPr>
        <w:rPr>
          <w:rFonts w:ascii="MS PGothic" w:cs="MS PGothic" w:eastAsia="MS PGothic" w:hAnsi="MS PGothic"/>
          <w:sz w:val="18"/>
          <w:szCs w:val="18"/>
          <w:color w:val="auto"/>
        </w:rPr>
      </w:pPr>
      <w:r>
        <w:rPr>
          <w:rFonts w:ascii="Arial" w:cs="Arial" w:eastAsia="Arial" w:hAnsi="Arial"/>
          <w:sz w:val="18"/>
          <w:szCs w:val="18"/>
          <w:color w:val="auto"/>
        </w:rPr>
        <w:t>As a purchaser of Shares pursuant to the Company’s 2011 Equity Incentive Plan, as may be amended from time to time, and after such purchase, Holder shall be considered a “Key Holder” and a “Stockholder” for all purposes of the Agreement.</w:t>
      </w:r>
    </w:p>
    <w:p>
      <w:pPr>
        <w:spacing w:after="0" w:line="154" w:lineRule="exact"/>
        <w:rPr>
          <w:sz w:val="20"/>
          <w:szCs w:val="20"/>
          <w:color w:val="auto"/>
        </w:rPr>
      </w:pPr>
    </w:p>
    <w:p>
      <w:pPr>
        <w:ind w:right="120" w:firstLine="931"/>
        <w:spacing w:after="0" w:line="266"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Holder hereby (a) agrees that the Stock, and any other shares of capital stock or securities required by the Agreement to be</w:t>
      </w:r>
      <w:r>
        <w:rPr>
          <w:rFonts w:ascii="Arial" w:cs="Arial" w:eastAsia="Arial" w:hAnsi="Arial"/>
          <w:sz w:val="19"/>
          <w:szCs w:val="19"/>
          <w:b w:val="1"/>
          <w:bCs w:val="1"/>
          <w:color w:val="auto"/>
        </w:rPr>
        <w:t xml:space="preserve"> </w:t>
      </w:r>
      <w:r>
        <w:rPr>
          <w:rFonts w:ascii="Arial" w:cs="Arial" w:eastAsia="Arial" w:hAnsi="Arial"/>
          <w:sz w:val="19"/>
          <w:szCs w:val="19"/>
          <w:color w:val="auto"/>
        </w:rPr>
        <w:t>bound thereby, shall be bound by and subject to the terms of the Agreement and (b) adopts the Agreement with the same force and effect as if Holder were originally a party thereto.</w:t>
      </w:r>
    </w:p>
    <w:p>
      <w:pPr>
        <w:spacing w:after="0" w:line="186" w:lineRule="exact"/>
        <w:rPr>
          <w:sz w:val="20"/>
          <w:szCs w:val="20"/>
          <w:color w:val="auto"/>
        </w:rPr>
      </w:pPr>
    </w:p>
    <w:p>
      <w:pPr>
        <w:ind w:right="400" w:firstLine="931"/>
        <w:spacing w:after="0" w:line="282"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 xml:space="preserve">. </w:t>
      </w:r>
      <w:r>
        <w:rPr>
          <w:rFonts w:ascii="Arial" w:cs="Arial" w:eastAsia="Arial" w:hAnsi="Arial"/>
          <w:sz w:val="19"/>
          <w:szCs w:val="19"/>
          <w:color w:val="auto"/>
        </w:rPr>
        <w:t>Any notice required or permitted by the Agreement shall be given to Holder at the address or facsimile number listed below</w:t>
      </w:r>
      <w:r>
        <w:rPr>
          <w:rFonts w:ascii="Arial" w:cs="Arial" w:eastAsia="Arial" w:hAnsi="Arial"/>
          <w:sz w:val="19"/>
          <w:szCs w:val="19"/>
          <w:b w:val="1"/>
          <w:bCs w:val="1"/>
          <w:color w:val="auto"/>
        </w:rPr>
        <w:t xml:space="preserve"> </w:t>
      </w:r>
      <w:r>
        <w:rPr>
          <w:rFonts w:ascii="Arial" w:cs="Arial" w:eastAsia="Arial" w:hAnsi="Arial"/>
          <w:sz w:val="19"/>
          <w:szCs w:val="19"/>
          <w:color w:val="auto"/>
        </w:rPr>
        <w:t>Holder’s signature hereto.</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spacing w:after="0"/>
              <w:rPr>
                <w:sz w:val="20"/>
                <w:szCs w:val="20"/>
                <w:color w:val="auto"/>
              </w:rPr>
            </w:pPr>
            <w:r>
              <w:rPr>
                <w:rFonts w:ascii="Arial" w:cs="Arial" w:eastAsia="Arial" w:hAnsi="Arial"/>
                <w:sz w:val="19"/>
                <w:szCs w:val="19"/>
                <w:color w:val="auto"/>
              </w:rPr>
              <w:t>HOLDER:</w:t>
            </w:r>
          </w:p>
        </w:tc>
        <w:tc>
          <w:tcPr>
            <w:tcW w:w="4760" w:type="dxa"/>
            <w:vAlign w:val="bottom"/>
            <w:tcBorders>
              <w:bottom w:val="single" w:sz="8" w:color="auto"/>
            </w:tcBorders>
          </w:tcPr>
          <w:p>
            <w:pPr>
              <w:spacing w:after="0"/>
              <w:rPr>
                <w:sz w:val="21"/>
                <w:szCs w:val="21"/>
                <w:color w:val="auto"/>
              </w:rPr>
            </w:pPr>
          </w:p>
        </w:tc>
        <w:tc>
          <w:tcPr>
            <w:tcW w:w="5960" w:type="dxa"/>
            <w:vAlign w:val="bottom"/>
            <w:gridSpan w:val="2"/>
          </w:tcPr>
          <w:p>
            <w:pPr>
              <w:ind w:left="740"/>
              <w:spacing w:after="0"/>
              <w:rPr>
                <w:sz w:val="20"/>
                <w:szCs w:val="20"/>
                <w:color w:val="auto"/>
              </w:rPr>
            </w:pPr>
            <w:r>
              <w:rPr>
                <w:rFonts w:ascii="Arial" w:cs="Arial" w:eastAsia="Arial" w:hAnsi="Arial"/>
                <w:sz w:val="19"/>
                <w:szCs w:val="19"/>
                <w:b w:val="1"/>
                <w:bCs w:val="1"/>
                <w:color w:val="auto"/>
              </w:rPr>
              <w:t>ACCEPTED AND AGREED:</w:t>
            </w:r>
          </w:p>
        </w:tc>
      </w:tr>
      <w:tr>
        <w:trPr>
          <w:trHeight w:val="437"/>
        </w:trPr>
        <w:tc>
          <w:tcPr>
            <w:tcW w:w="920" w:type="dxa"/>
            <w:vAlign w:val="bottom"/>
          </w:tcPr>
          <w:p>
            <w:pPr>
              <w:spacing w:after="0"/>
              <w:rPr>
                <w:sz w:val="20"/>
                <w:szCs w:val="20"/>
                <w:color w:val="auto"/>
              </w:rPr>
            </w:pPr>
            <w:r>
              <w:rPr>
                <w:rFonts w:ascii="Arial" w:cs="Arial" w:eastAsia="Arial" w:hAnsi="Arial"/>
                <w:sz w:val="19"/>
                <w:szCs w:val="19"/>
                <w:color w:val="auto"/>
              </w:rPr>
              <w:t>By:</w:t>
            </w:r>
          </w:p>
        </w:tc>
        <w:tc>
          <w:tcPr>
            <w:tcW w:w="4760" w:type="dxa"/>
            <w:vAlign w:val="bottom"/>
            <w:tcBorders>
              <w:bottom w:val="single" w:sz="8" w:color="auto"/>
            </w:tcBorders>
          </w:tcPr>
          <w:p>
            <w:pPr>
              <w:spacing w:after="0"/>
              <w:rPr>
                <w:sz w:val="24"/>
                <w:szCs w:val="24"/>
                <w:color w:val="auto"/>
              </w:rPr>
            </w:pPr>
          </w:p>
        </w:tc>
        <w:tc>
          <w:tcPr>
            <w:tcW w:w="5960" w:type="dxa"/>
            <w:vAlign w:val="bottom"/>
            <w:gridSpan w:val="2"/>
          </w:tcPr>
          <w:p>
            <w:pPr>
              <w:ind w:left="740"/>
              <w:spacing w:after="0"/>
              <w:rPr>
                <w:sz w:val="20"/>
                <w:szCs w:val="20"/>
                <w:color w:val="auto"/>
              </w:rPr>
            </w:pPr>
            <w:r>
              <w:rPr>
                <w:rFonts w:ascii="Arial" w:cs="Arial" w:eastAsia="Arial" w:hAnsi="Arial"/>
                <w:sz w:val="19"/>
                <w:szCs w:val="19"/>
                <w:b w:val="1"/>
                <w:bCs w:val="1"/>
                <w:color w:val="auto"/>
              </w:rPr>
              <w:t>JN PROJECTS, INC.</w:t>
            </w:r>
          </w:p>
        </w:tc>
      </w:tr>
      <w:tr>
        <w:trPr>
          <w:trHeight w:val="436"/>
        </w:trPr>
        <w:tc>
          <w:tcPr>
            <w:tcW w:w="5680" w:type="dxa"/>
            <w:vAlign w:val="bottom"/>
            <w:gridSpan w:val="2"/>
          </w:tcPr>
          <w:p>
            <w:pPr>
              <w:spacing w:after="0"/>
              <w:rPr>
                <w:sz w:val="20"/>
                <w:szCs w:val="20"/>
                <w:color w:val="auto"/>
              </w:rPr>
            </w:pPr>
            <w:r>
              <w:rPr>
                <w:rFonts w:ascii="Arial" w:cs="Arial" w:eastAsia="Arial" w:hAnsi="Arial"/>
                <w:sz w:val="19"/>
                <w:szCs w:val="19"/>
                <w:color w:val="auto"/>
              </w:rPr>
              <w:t>Name and Title of Signatory</w:t>
            </w:r>
          </w:p>
        </w:tc>
        <w:tc>
          <w:tcPr>
            <w:tcW w:w="1200" w:type="dxa"/>
            <w:vAlign w:val="bottom"/>
          </w:tcPr>
          <w:p>
            <w:pPr>
              <w:ind w:left="740"/>
              <w:spacing w:after="0"/>
              <w:rPr>
                <w:sz w:val="20"/>
                <w:szCs w:val="20"/>
                <w:color w:val="auto"/>
              </w:rPr>
            </w:pPr>
            <w:r>
              <w:rPr>
                <w:rFonts w:ascii="Arial" w:cs="Arial" w:eastAsia="Arial" w:hAnsi="Arial"/>
                <w:sz w:val="19"/>
                <w:szCs w:val="19"/>
                <w:color w:val="auto"/>
              </w:rPr>
              <w:t>By:</w:t>
            </w:r>
          </w:p>
        </w:tc>
        <w:tc>
          <w:tcPr>
            <w:tcW w:w="4760" w:type="dxa"/>
            <w:vAlign w:val="bottom"/>
            <w:tcBorders>
              <w:bottom w:val="single" w:sz="8" w:color="auto"/>
            </w:tcBorders>
          </w:tcPr>
          <w:p>
            <w:pPr>
              <w:spacing w:after="0"/>
              <w:rPr>
                <w:sz w:val="24"/>
                <w:szCs w:val="24"/>
                <w:color w:val="auto"/>
              </w:rPr>
            </w:pPr>
          </w:p>
        </w:tc>
      </w:tr>
      <w:tr>
        <w:trPr>
          <w:trHeight w:val="436"/>
        </w:trPr>
        <w:tc>
          <w:tcPr>
            <w:tcW w:w="5680" w:type="dxa"/>
            <w:vAlign w:val="bottom"/>
            <w:gridSpan w:val="2"/>
          </w:tcPr>
          <w:p>
            <w:pPr>
              <w:spacing w:after="0"/>
              <w:rPr>
                <w:sz w:val="20"/>
                <w:szCs w:val="20"/>
                <w:color w:val="auto"/>
              </w:rPr>
            </w:pPr>
            <w:r>
              <w:rPr>
                <w:rFonts w:ascii="Arial" w:cs="Arial" w:eastAsia="Arial" w:hAnsi="Arial"/>
                <w:sz w:val="19"/>
                <w:szCs w:val="19"/>
                <w:color w:val="auto"/>
              </w:rPr>
              <w:t>Address:</w:t>
            </w:r>
          </w:p>
        </w:tc>
        <w:tc>
          <w:tcPr>
            <w:tcW w:w="5960" w:type="dxa"/>
            <w:vAlign w:val="bottom"/>
            <w:gridSpan w:val="2"/>
          </w:tcPr>
          <w:p>
            <w:pPr>
              <w:ind w:left="740"/>
              <w:spacing w:after="0"/>
              <w:rPr>
                <w:sz w:val="20"/>
                <w:szCs w:val="20"/>
                <w:color w:val="auto"/>
              </w:rPr>
            </w:pPr>
            <w:r>
              <w:rPr>
                <w:rFonts w:ascii="Arial" w:cs="Arial" w:eastAsia="Arial" w:hAnsi="Arial"/>
                <w:sz w:val="19"/>
                <w:szCs w:val="19"/>
                <w:color w:val="auto"/>
              </w:rPr>
              <w:t>Title:</w:t>
            </w:r>
          </w:p>
        </w:tc>
      </w:tr>
      <w:tr>
        <w:trPr>
          <w:trHeight w:val="437"/>
        </w:trPr>
        <w:tc>
          <w:tcPr>
            <w:tcW w:w="920" w:type="dxa"/>
            <w:vAlign w:val="bottom"/>
            <w:tcBorders>
              <w:bottom w:val="single" w:sz="8" w:color="auto"/>
            </w:tcBorders>
          </w:tcPr>
          <w:p>
            <w:pPr>
              <w:spacing w:after="0"/>
              <w:rPr>
                <w:sz w:val="24"/>
                <w:szCs w:val="24"/>
                <w:color w:val="auto"/>
              </w:rPr>
            </w:pPr>
          </w:p>
        </w:tc>
        <w:tc>
          <w:tcPr>
            <w:tcW w:w="4760" w:type="dxa"/>
            <w:vAlign w:val="bottom"/>
            <w:tcBorders>
              <w:top w:val="single" w:sz="8" w:color="auto"/>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760" w:type="dxa"/>
            <w:vAlign w:val="bottom"/>
            <w:tcBorders>
              <w:top w:val="single" w:sz="8" w:color="auto"/>
            </w:tcBorders>
          </w:tcPr>
          <w:p>
            <w:pPr>
              <w:spacing w:after="0"/>
              <w:rPr>
                <w:sz w:val="24"/>
                <w:szCs w:val="24"/>
                <w:color w:val="auto"/>
              </w:rPr>
            </w:pPr>
          </w:p>
        </w:tc>
      </w:tr>
    </w:tbl>
    <w:p>
      <w:pPr>
        <w:sectPr>
          <w:pgSz w:w="12240" w:h="15840" w:orient="portrait"/>
          <w:cols w:equalWidth="0" w:num="1">
            <w:col w:w="11640"/>
          </w:cols>
          <w:pgMar w:left="300" w:top="136" w:right="300" w:bottom="1440" w:gutter="0" w:footer="0" w:header="0"/>
        </w:sectPr>
      </w:pPr>
    </w:p>
    <w:bookmarkStart w:id="42" w:name="page43"/>
    <w:bookmarkEnd w:id="42"/>
    <w:p>
      <w:pPr>
        <w:jc w:val="right"/>
        <w:spacing w:after="0"/>
        <w:rPr>
          <w:sz w:val="20"/>
          <w:szCs w:val="20"/>
          <w:color w:val="auto"/>
        </w:rPr>
      </w:pPr>
      <w:r>
        <w:rPr>
          <w:rFonts w:ascii="Arial" w:cs="Arial" w:eastAsia="Arial" w:hAnsi="Arial"/>
          <w:sz w:val="19"/>
          <w:szCs w:val="19"/>
          <w:b w:val="1"/>
          <w:bCs w:val="1"/>
          <w:color w:val="auto"/>
        </w:rPr>
        <w:t>Exhibit 5.1</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650 Page Mill Road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Palo Alto, CA 94304-1050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3006725" cy="371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6725" cy="371475"/>
                    </a:xfrm>
                    <a:prstGeom prst="rect">
                      <a:avLst/>
                    </a:prstGeom>
                    <a:noFill/>
                  </pic:spPr>
                </pic:pic>
              </a:graphicData>
            </a:graphic>
          </wp:anchor>
        </w:drawing>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PHONE 650.493.9300</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FAX 650.493.6811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www.wsgr.com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February 27, 2019</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Dropbox, Inc.</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333 Brannan Street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 94107</w:t>
      </w:r>
    </w:p>
    <w:p>
      <w:pPr>
        <w:spacing w:after="0" w:line="119"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9"/>
          <w:szCs w:val="19"/>
          <w:b w:val="1"/>
          <w:bCs w:val="1"/>
          <w:color w:val="auto"/>
        </w:rPr>
        <w:t>Re:</w:t>
      </w:r>
      <w:r>
        <w:rPr>
          <w:sz w:val="20"/>
          <w:szCs w:val="20"/>
          <w:color w:val="auto"/>
        </w:rPr>
        <w:tab/>
      </w:r>
      <w:r>
        <w:rPr>
          <w:rFonts w:ascii="Arial" w:cs="Arial" w:eastAsia="Arial" w:hAnsi="Arial"/>
          <w:sz w:val="17"/>
          <w:szCs w:val="17"/>
          <w:b w:val="1"/>
          <w:bCs w:val="1"/>
          <w:color w:val="auto"/>
        </w:rPr>
        <w:t>Registration Statement on Form S-8</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18" w:lineRule="exact"/>
        <w:rPr>
          <w:sz w:val="20"/>
          <w:szCs w:val="20"/>
          <w:color w:val="auto"/>
        </w:rPr>
      </w:pPr>
    </w:p>
    <w:p>
      <w:pPr>
        <w:ind w:right="120" w:firstLine="465"/>
        <w:spacing w:after="0" w:line="261" w:lineRule="auto"/>
        <w:rPr>
          <w:sz w:val="20"/>
          <w:szCs w:val="20"/>
          <w:color w:val="auto"/>
        </w:rPr>
      </w:pPr>
      <w:r>
        <w:rPr>
          <w:rFonts w:ascii="Arial" w:cs="Arial" w:eastAsia="Arial" w:hAnsi="Arial"/>
          <w:sz w:val="19"/>
          <w:szCs w:val="19"/>
          <w:color w:val="auto"/>
        </w:rPr>
        <w:t>We have examined the Registration Statement on Form S-8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to be filed by Dropbox,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with the Securities and Exchange Commission on or about the date hereof, relating to the registration under the Securities Act of 1933, as amended, of 899,193 shares of the Company’s Class A common stock, par value $0.00001 per share (the “</w:t>
      </w:r>
      <w:r>
        <w:rPr>
          <w:rFonts w:ascii="Arial" w:cs="Arial" w:eastAsia="Arial" w:hAnsi="Arial"/>
          <w:sz w:val="19"/>
          <w:szCs w:val="19"/>
          <w:b w:val="1"/>
          <w:bCs w:val="1"/>
          <w:color w:val="auto"/>
        </w:rPr>
        <w:t>Shares</w:t>
      </w:r>
      <w:r>
        <w:rPr>
          <w:rFonts w:ascii="Arial" w:cs="Arial" w:eastAsia="Arial" w:hAnsi="Arial"/>
          <w:sz w:val="19"/>
          <w:szCs w:val="19"/>
          <w:color w:val="auto"/>
        </w:rPr>
        <w:t>”), reserved for issuance pursuant to the JN Projects, Inc. 2011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96" w:lineRule="exact"/>
        <w:rPr>
          <w:sz w:val="20"/>
          <w:szCs w:val="20"/>
          <w:color w:val="auto"/>
        </w:rPr>
      </w:pPr>
    </w:p>
    <w:p>
      <w:pPr>
        <w:ind w:right="180" w:firstLine="465"/>
        <w:spacing w:after="0" w:line="263" w:lineRule="auto"/>
        <w:rPr>
          <w:sz w:val="20"/>
          <w:szCs w:val="20"/>
          <w:color w:val="auto"/>
        </w:rPr>
      </w:pPr>
      <w:r>
        <w:rPr>
          <w:rFonts w:ascii="Arial" w:cs="Arial" w:eastAsia="Arial" w:hAnsi="Arial"/>
          <w:sz w:val="19"/>
          <w:szCs w:val="19"/>
          <w:color w:val="auto"/>
        </w:rPr>
        <w:t>On the basis of the foregoing, and in reliance thereon, we are of the opinion that the Shares, when issued and sold in compliance with the prospectus delivery requirements and in the manner referred to in the Plan and pursuant to the agreements that accompany the Plan, will be legally and validly issued, fully paid, and nonassessable.</w:t>
      </w:r>
    </w:p>
    <w:p>
      <w:pPr>
        <w:spacing w:after="0" w:line="194" w:lineRule="exact"/>
        <w:rPr>
          <w:sz w:val="20"/>
          <w:szCs w:val="20"/>
          <w:color w:val="auto"/>
        </w:rPr>
      </w:pPr>
    </w:p>
    <w:p>
      <w:pPr>
        <w:ind w:right="40" w:firstLine="465"/>
        <w:spacing w:after="0" w:line="275" w:lineRule="auto"/>
        <w:rPr>
          <w:sz w:val="20"/>
          <w:szCs w:val="20"/>
          <w:color w:val="auto"/>
        </w:rPr>
      </w:pPr>
      <w:r>
        <w:rPr>
          <w:rFonts w:ascii="Arial" w:cs="Arial" w:eastAsia="Arial" w:hAnsi="Arial"/>
          <w:sz w:val="19"/>
          <w:szCs w:val="19"/>
          <w:color w:val="auto"/>
        </w:rPr>
        <w:t>We consent to the use of this opinion as an exhibit to the Registration Statement, and further consent to the use of our name wherever appearing in the Registration Statement and any amendments thereto.</w:t>
      </w:r>
    </w:p>
    <w:p>
      <w:pPr>
        <w:spacing w:after="0" w:line="212"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/s/ Wilson Sonsini Goodrich &amp; Rosati</w:t>
      </w:r>
    </w:p>
    <w:p>
      <w:pPr>
        <w:spacing w:after="0" w:line="23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WILSON SONSINI GOODRICH &amp; ROSATI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Professional Corporation</w:t>
      </w:r>
    </w:p>
    <w:p>
      <w:pPr>
        <w:sectPr>
          <w:pgSz w:w="12240" w:h="15840" w:orient="portrait"/>
          <w:cols w:equalWidth="0" w:num="1">
            <w:col w:w="11640"/>
          </w:cols>
          <w:pgMar w:left="300" w:top="0" w:right="300" w:bottom="1440" w:gutter="0" w:footer="0" w:header="0"/>
        </w:sectPr>
      </w:pPr>
    </w:p>
    <w:bookmarkStart w:id="43" w:name="page44"/>
    <w:bookmarkEnd w:id="43"/>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44"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We consent to the incorporation by reference in the Registration Statement (Form S-8) pertaining to the JN Projects, Inc. 2011 Equity Incentive Plan of our report dated February 22, 2019, with respect to the consolidated financial statements of Dropbox, Inc. included in its Annual Report (Form 10-K) for the year ended December 31, 2018, filed with the Securities and Exchange Commission.</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February 22, 2019</w:t>
      </w:r>
    </w:p>
    <w:sectPr>
      <w:pgSz w:w="12240" w:h="15840" w:orient="portrait"/>
      <w:cols w:equalWidth="0" w:num="1">
        <w:col w:w="11640"/>
      </w:cols>
      <w:pgMar w:left="300" w:top="0"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8138641"/>
    <w:multiLevelType w:val="hybridMultilevel"/>
    <w:lvl w:ilvl="0">
      <w:lvlJc w:val="left"/>
      <w:lvlText w:val="%1"/>
      <w:numFmt w:val="upperLetter"/>
      <w:start w:val="1"/>
    </w:lvl>
    <w:lvl w:ilvl="1">
      <w:lvlJc w:val="left"/>
      <w:lvlText w:val="(%2)"/>
      <w:numFmt w:val="decimal"/>
      <w:start w:val="2"/>
    </w:lvl>
  </w:abstractNum>
  <w:abstractNum w:abstractNumId="4">
    <w:nsid w:val="1E7FF521"/>
    <w:multiLevelType w:val="hybridMultilevel"/>
    <w:lvl w:ilvl="0">
      <w:lvlJc w:val="left"/>
      <w:lvlText w:val="%1."/>
      <w:numFmt w:val="upperLetter"/>
      <w:start w:val="2"/>
    </w:lvl>
    <w:lvl w:ilvl="1">
      <w:lvlJc w:val="left"/>
      <w:lvlText w:val="%2"/>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3"/>
    </w:lvl>
  </w:abstractNum>
  <w:abstractNum w:abstractNumId="7">
    <w:nsid w:val="6CEAF087"/>
    <w:multiLevelType w:val="hybridMultilevel"/>
    <w:lvl w:ilvl="0">
      <w:lvlJc w:val="left"/>
      <w:lvlText w:val="%1."/>
      <w:numFmt w:val="decimal"/>
      <w:start w:val="4"/>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decimal"/>
      <w:start w:val="5"/>
    </w:lvl>
  </w:abstractNum>
  <w:abstractNum w:abstractNumId="10">
    <w:nsid w:val="3006C83E"/>
    <w:multiLevelType w:val="hybridMultilevel"/>
    <w:lvl w:ilvl="0">
      <w:lvlJc w:val="left"/>
      <w:lvlText w:val="%1."/>
      <w:numFmt w:val="decimal"/>
      <w:start w:val="6"/>
    </w:lvl>
  </w:abstractNum>
  <w:abstractNum w:abstractNumId="11">
    <w:nsid w:val="614FD4A1"/>
    <w:multiLevelType w:val="hybridMultilevel"/>
    <w:lvl w:ilvl="0">
      <w:lvlJc w:val="left"/>
      <w:lvlText w:val="%1."/>
      <w:numFmt w:val="decimal"/>
      <w:start w:val="7"/>
    </w:lvl>
  </w:abstractNum>
  <w:abstractNum w:abstractNumId="12">
    <w:nsid w:val="419AC241"/>
    <w:multiLevelType w:val="hybridMultilevel"/>
    <w:lvl w:ilvl="0">
      <w:lvlJc w:val="left"/>
      <w:lvlText w:val="(%1)"/>
      <w:numFmt w:val="decimal"/>
      <w:start w:val="6"/>
    </w:lvl>
  </w:abstractNum>
  <w:abstractNum w:abstractNumId="13">
    <w:nsid w:val="5577F8E1"/>
    <w:multiLevelType w:val="hybridMultilevel"/>
    <w:lvl w:ilvl="0">
      <w:lvlJc w:val="left"/>
      <w:lvlText w:val="%1."/>
      <w:numFmt w:val="decimal"/>
      <w:start w:val="8"/>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3"/>
    </w:lvl>
  </w:abstractNum>
  <w:abstractNum w:abstractNumId="16">
    <w:nsid w:val="3804823E"/>
    <w:multiLevelType w:val="hybridMultilevel"/>
    <w:lvl w:ilvl="0">
      <w:lvlJc w:val="left"/>
      <w:lvlText w:val="%1."/>
      <w:numFmt w:val="decimal"/>
      <w:start w:val="9"/>
    </w:lvl>
  </w:abstractNum>
  <w:abstractNum w:abstractNumId="17">
    <w:nsid w:val="77465F01"/>
    <w:multiLevelType w:val="hybridMultilevel"/>
    <w:lvl w:ilvl="0">
      <w:lvlJc w:val="left"/>
      <w:lvlText w:val="(%1)"/>
      <w:numFmt w:val="lowerLetter"/>
      <w:start w:val="2"/>
    </w:lvl>
  </w:abstractNum>
  <w:abstractNum w:abstractNumId="18">
    <w:nsid w:val="7724C67E"/>
    <w:multiLevelType w:val="hybridMultilevel"/>
    <w:lvl w:ilvl="0">
      <w:lvlJc w:val="left"/>
      <w:lvlText w:val="%1."/>
      <w:numFmt w:val="decimal"/>
      <w:start w:val="10"/>
    </w:lvl>
  </w:abstractNum>
  <w:abstractNum w:abstractNumId="19">
    <w:nsid w:val="5C482A97"/>
    <w:multiLevelType w:val="hybridMultilevel"/>
    <w:lvl w:ilvl="0">
      <w:lvlJc w:val="left"/>
      <w:lvlText w:val="%1."/>
      <w:numFmt w:val="decimal"/>
      <w:start w:val="1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4"/>
    </w:lvl>
  </w:abstractNum>
  <w:abstractNum w:abstractNumId="22">
    <w:nsid w:val="51EAD36B"/>
    <w:multiLevelType w:val="hybridMultilevel"/>
    <w:lvl w:ilvl="0">
      <w:lvlJc w:val="left"/>
      <w:lvlText w:val="%1."/>
      <w:numFmt w:val="decimal"/>
      <w:start w:val="12"/>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decimal"/>
      <w:start w:val="13"/>
    </w:lvl>
  </w:abstractNum>
  <w:abstractNum w:abstractNumId="25">
    <w:nsid w:val="153EA438"/>
    <w:multiLevelType w:val="hybridMultilevel"/>
    <w:lvl w:ilvl="0">
      <w:lvlJc w:val="left"/>
      <w:lvlText w:val="(%1)"/>
      <w:numFmt w:val="lowerRoman"/>
      <w:start w:val="1"/>
    </w:lvl>
  </w:abstractNum>
  <w:abstractNum w:abstractNumId="26">
    <w:nsid w:val="3855585C"/>
    <w:multiLevelType w:val="hybridMultilevel"/>
    <w:lvl w:ilvl="0">
      <w:lvlJc w:val="left"/>
      <w:lvlText w:val="%1."/>
      <w:numFmt w:val="decimal"/>
      <w:start w:val="14"/>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3"/>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3"/>
    </w:lvl>
  </w:abstractNum>
  <w:abstractNum w:abstractNumId="31">
    <w:nsid w:val="725A06FB"/>
    <w:multiLevelType w:val="hybridMultilevel"/>
    <w:lvl w:ilvl="0">
      <w:lvlJc w:val="left"/>
      <w:lvlText w:val="%1."/>
      <w:numFmt w:val="decimal"/>
      <w:start w:val="15"/>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2"/>
    </w:lvl>
  </w:abstractNum>
  <w:abstractNum w:abstractNumId="34">
    <w:nsid w:val="7A6D8D3C"/>
    <w:multiLevelType w:val="hybridMultilevel"/>
    <w:lvl w:ilvl="0">
      <w:lvlJc w:val="left"/>
      <w:lvlText w:val="%1."/>
      <w:numFmt w:val="decimal"/>
      <w:start w:val="19"/>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decimal"/>
      <w:start w:val="22"/>
    </w:lvl>
  </w:abstractNum>
  <w:abstractNum w:abstractNumId="37">
    <w:nsid w:val="6DE91B18"/>
    <w:multiLevelType w:val="hybridMultilevel"/>
    <w:lvl w:ilvl="0">
      <w:lvlJc w:val="left"/>
      <w:lvlText w:val="(%1)"/>
      <w:numFmt w:val="decimal"/>
      <w:start w:val="2"/>
    </w:lvl>
    <w:lvl w:ilvl="1">
      <w:lvlJc w:val="left"/>
      <w:lvlText w:val="%2."/>
      <w:numFmt w:val="decimal"/>
      <w:start w:val="23"/>
    </w:lvl>
  </w:abstractNum>
  <w:abstractNum w:abstractNumId="38">
    <w:nsid w:val="38437FDB"/>
    <w:multiLevelType w:val="hybridMultilevel"/>
    <w:lvl w:ilvl="0">
      <w:lvlJc w:val="left"/>
      <w:lvlText w:val="(%1)"/>
      <w:numFmt w:val="lowerRoman"/>
      <w:start w:val="1"/>
    </w:lvl>
  </w:abstractNum>
  <w:abstractNum w:abstractNumId="39">
    <w:nsid w:val="7644A45C"/>
    <w:multiLevelType w:val="hybridMultilevel"/>
    <w:lvl w:ilvl="0">
      <w:lvlJc w:val="left"/>
      <w:lvlText w:val="(%1)"/>
      <w:numFmt w:val="lowerRoman"/>
      <w:start w:val="6"/>
    </w:lvl>
  </w:abstractNum>
  <w:abstractNum w:abstractNumId="40">
    <w:nsid w:val="32FFF902"/>
    <w:multiLevelType w:val="hybridMultilevel"/>
    <w:lvl w:ilvl="0">
      <w:lvlJc w:val="left"/>
      <w:lvlText w:val="%1."/>
      <w:numFmt w:val="decimal"/>
      <w:start w:val="24"/>
    </w:lvl>
  </w:abstractNum>
  <w:abstractNum w:abstractNumId="41">
    <w:nsid w:val="684A481A"/>
    <w:multiLevelType w:val="hybridMultilevel"/>
    <w:lvl w:ilvl="0">
      <w:lvlJc w:val="left"/>
      <w:lvlText w:val="%1."/>
      <w:numFmt w:val="decimal"/>
      <w:start w:val="28"/>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4"/>
    </w:lvl>
  </w:abstractNum>
  <w:abstractNum w:abstractNumId="44">
    <w:nsid w:val="3DC240FB"/>
    <w:multiLevelType w:val="hybridMultilevel"/>
    <w:lvl w:ilvl="0">
      <w:lvlJc w:val="left"/>
      <w:lvlText w:val="%1."/>
      <w:numFmt w:val="decimal"/>
      <w:start w:val="30"/>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
    </w:lvl>
    <w:lvl w:ilvl="1">
      <w:lvlJc w:val="left"/>
      <w:lvlText w:val="(%2)"/>
      <w:numFmt w:val="lowerLetter"/>
      <w:start w:val="2"/>
    </w:lvl>
  </w:abstractNum>
  <w:abstractNum w:abstractNumId="47">
    <w:nsid w:val="75C6C33A"/>
    <w:multiLevelType w:val="hybridMultilevel"/>
    <w:lvl w:ilvl="0">
      <w:lvlJc w:val="left"/>
      <w:lvlText w:val="%1."/>
      <w:numFmt w:val="decimal"/>
      <w:start w:val="31"/>
    </w:lvl>
    <w:lvl w:ilvl="1">
      <w:lvlJc w:val="left"/>
      <w:lvlText w:val="%2"/>
      <w:numFmt w:val="lowerLetter"/>
      <w:start w:val="1"/>
    </w:lvl>
  </w:abstractNum>
  <w:abstractNum w:abstractNumId="48">
    <w:nsid w:val="12E685FB"/>
    <w:multiLevelType w:val="hybridMultilevel"/>
    <w:lvl w:ilvl="0">
      <w:lvlJc w:val="left"/>
      <w:lvlText w:val="%1."/>
      <w:numFmt w:val="decimal"/>
      <w:start w:val="32"/>
    </w:lvl>
  </w:abstractNum>
  <w:abstractNum w:abstractNumId="49">
    <w:nsid w:val="70C6A529"/>
    <w:multiLevelType w:val="hybridMultilevel"/>
    <w:lvl w:ilvl="0">
      <w:lvlJc w:val="left"/>
      <w:lvlText w:val="%1."/>
      <w:numFmt w:val="decimal"/>
      <w:start w:val="35"/>
    </w:lvl>
    <w:lvl w:ilvl="1">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bullet"/>
      <w:start w:val="1"/>
    </w:lvl>
  </w:abstractNum>
  <w:abstractNum w:abstractNumId="53">
    <w:nsid w:val="23F9C13C"/>
    <w:multiLevelType w:val="hybridMultilevel"/>
    <w:lvl w:ilvl="0">
      <w:lvlJc w:val="left"/>
      <w:lvlText w:val="%1."/>
      <w:numFmt w:val="decimal"/>
      <w:start w:val="2"/>
    </w:lvl>
  </w:abstractNum>
  <w:abstractNum w:abstractNumId="54">
    <w:nsid w:val="649BB77C"/>
    <w:multiLevelType w:val="hybridMultilevel"/>
    <w:lvl w:ilvl="0">
      <w:lvlJc w:val="left"/>
      <w:lvlText w:val="%1."/>
      <w:numFmt w:val="decimal"/>
      <w:start w:val="9"/>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2019-12-15T16:52:54Z</dcterms:created>
  <dcterms:modified xsi:type="dcterms:W3CDTF">2019-12-15T16:52:54Z</dcterms:modified>
</cp:coreProperties>
</file>