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2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Form 8-K</w:t>
      </w:r>
    </w:p>
    <w:p>
      <w:pPr>
        <w:spacing w:after="0" w:line="270"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CURRENT REPORT</w:t>
      </w:r>
    </w:p>
    <w:p>
      <w:pPr>
        <w:spacing w:after="0" w:line="3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25"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November 3, 2022</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1"/>
          <w:szCs w:val="21"/>
          <w:b w:val="1"/>
          <w:bCs w:val="1"/>
          <w:color w:val="auto"/>
        </w:rPr>
        <w:t>Date of Report (date of earliest event reported)</w:t>
      </w:r>
    </w:p>
    <w:p>
      <w:pPr>
        <w:spacing w:after="0" w:line="228"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DROPBOX, INC.</w:t>
      </w:r>
    </w:p>
    <w:p>
      <w:pPr>
        <w:spacing w:after="0" w:line="4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40"/>
          </w:cols>
          <w:pgMar w:left="320" w:top="974" w:right="239" w:bottom="1440" w:gutter="0" w:footer="0" w:header="0"/>
        </w:sectPr>
      </w:pPr>
    </w:p>
    <w:p>
      <w:pPr>
        <w:spacing w:after="0" w:line="25" w:lineRule="exact"/>
        <w:rPr>
          <w:sz w:val="24"/>
          <w:szCs w:val="24"/>
          <w:color w:val="auto"/>
        </w:rPr>
      </w:pPr>
    </w:p>
    <w:p>
      <w:pPr>
        <w:jc w:val="center"/>
        <w:ind w:left="80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left="800"/>
        <w:spacing w:after="0"/>
        <w:rPr>
          <w:sz w:val="20"/>
          <w:szCs w:val="20"/>
          <w:color w:val="auto"/>
        </w:rPr>
      </w:pPr>
      <w:r>
        <w:rPr>
          <w:rFonts w:ascii="Arial" w:cs="Arial" w:eastAsia="Arial" w:hAnsi="Arial"/>
          <w:sz w:val="15"/>
          <w:szCs w:val="15"/>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001-38434</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5"/>
          <w:szCs w:val="15"/>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26-0138832</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5"/>
          <w:szCs w:val="15"/>
          <w:b w:val="1"/>
          <w:bCs w:val="1"/>
          <w:color w:val="auto"/>
        </w:rPr>
        <w:t>(I. R. S. Employer Identification No.)</w:t>
      </w:r>
    </w:p>
    <w:p>
      <w:pPr>
        <w:spacing w:after="0" w:line="53" w:lineRule="exact"/>
        <w:rPr>
          <w:sz w:val="24"/>
          <w:szCs w:val="24"/>
          <w:color w:val="auto"/>
        </w:rPr>
      </w:pPr>
    </w:p>
    <w:p>
      <w:pPr>
        <w:sectPr>
          <w:pgSz w:w="11900" w:h="16838" w:orient="portrait"/>
          <w:cols w:equalWidth="0" w:num="3">
            <w:col w:w="3860" w:space="720"/>
            <w:col w:w="2200" w:space="720"/>
            <w:col w:w="3840"/>
          </w:cols>
          <w:pgMar w:left="320" w:top="974"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incorporation)</w:t>
      </w:r>
    </w:p>
    <w:p>
      <w:pPr>
        <w:sectPr>
          <w:pgSz w:w="11900" w:h="16838" w:orient="portrait"/>
          <w:cols w:equalWidth="0" w:num="1">
            <w:col w:w="11340"/>
          </w:cols>
          <w:pgMar w:left="320" w:top="974" w:right="239" w:bottom="1440" w:gutter="0" w:footer="0" w:header="0"/>
          <w:type w:val="continuous"/>
        </w:sectPr>
      </w:pPr>
    </w:p>
    <w:p>
      <w:pPr>
        <w:spacing w:after="0" w:line="31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240"/>
        <w:spacing w:after="0" w:line="26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6"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85"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86995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55"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2180" w:type="dxa"/>
            <w:vAlign w:val="bottom"/>
          </w:tcPr>
          <w:p>
            <w:pPr>
              <w:spacing w:after="0"/>
              <w:rPr>
                <w:sz w:val="14"/>
                <w:szCs w:val="14"/>
                <w:color w:val="auto"/>
              </w:rPr>
            </w:pPr>
          </w:p>
        </w:tc>
        <w:tc>
          <w:tcPr>
            <w:tcW w:w="19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Trading Symbol(s)</w:t>
            </w:r>
          </w:p>
        </w:tc>
        <w:tc>
          <w:tcPr>
            <w:tcW w:w="3100" w:type="dxa"/>
            <w:vAlign w:val="bottom"/>
            <w:gridSpan w:val="2"/>
          </w:tcPr>
          <w:p>
            <w:pPr>
              <w:jc w:val="center"/>
              <w:ind w:left="709"/>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Arial" w:cs="Arial" w:eastAsia="Arial" w:hAnsi="Arial"/>
                <w:sz w:val="14"/>
                <w:szCs w:val="14"/>
                <w:color w:val="auto"/>
                <w:w w:val="90"/>
              </w:rPr>
              <w:t>Class A Common Stock, par value $0.00001 per share</w:t>
            </w:r>
          </w:p>
        </w:tc>
        <w:tc>
          <w:tcPr>
            <w:tcW w:w="1900" w:type="dxa"/>
            <w:vAlign w:val="bottom"/>
            <w:gridSpan w:val="2"/>
          </w:tcPr>
          <w:p>
            <w:pPr>
              <w:jc w:val="center"/>
              <w:ind w:right="760"/>
              <w:spacing w:after="0"/>
              <w:rPr>
                <w:sz w:val="20"/>
                <w:szCs w:val="20"/>
                <w:color w:val="auto"/>
              </w:rPr>
            </w:pPr>
            <w:r>
              <w:rPr>
                <w:rFonts w:ascii="Arial" w:cs="Arial" w:eastAsia="Arial" w:hAnsi="Arial"/>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4"/>
                <w:szCs w:val="14"/>
                <w:color w:val="auto"/>
                <w:w w:val="91"/>
              </w:rPr>
              <w:t>(Nasdaq Global Select Market)</w:t>
            </w:r>
          </w:p>
        </w:tc>
      </w:tr>
    </w:tbl>
    <w:p>
      <w:pPr>
        <w:spacing w:after="0" w:line="383"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98" w:lineRule="exact"/>
        <w:rPr>
          <w:sz w:val="24"/>
          <w:szCs w:val="24"/>
          <w:color w:val="auto"/>
        </w:rPr>
      </w:pPr>
    </w:p>
    <w:p>
      <w:pPr>
        <w:ind w:right="260"/>
        <w:spacing w:after="0" w:line="25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666115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7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3, 2022, Dropbox, Inc. (“Dropbox” or the "Company") issued a press release and will hold a conference call announcing its financial results for the quarter ended September 30, 2022. A copy of the press release is attached as Exhibit 99.1 to this current report on Form 8-K and is incorporated by reference herein.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3, 2022,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16" w:lineRule="exact"/>
        <w:rPr>
          <w:sz w:val="20"/>
          <w:szCs w:val="20"/>
          <w:color w:val="auto"/>
        </w:rPr>
      </w:pPr>
    </w:p>
    <w:p>
      <w:pPr>
        <w:ind w:right="260"/>
        <w:spacing w:after="0" w:line="330" w:lineRule="auto"/>
        <w:rPr>
          <w:sz w:val="20"/>
          <w:szCs w:val="20"/>
          <w:color w:val="auto"/>
        </w:rPr>
      </w:pPr>
      <w:r>
        <w:rPr>
          <w:rFonts w:ascii="Arial" w:cs="Arial" w:eastAsia="Arial" w:hAnsi="Arial"/>
          <w:sz w:val="15"/>
          <w:szCs w:val="15"/>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3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5"/>
        </w:trPr>
        <w:tc>
          <w:tcPr>
            <w:tcW w:w="2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Description</w:t>
            </w:r>
          </w:p>
        </w:tc>
        <w:tc>
          <w:tcPr>
            <w:tcW w:w="20" w:type="dxa"/>
            <w:vAlign w:val="bottom"/>
          </w:tcPr>
          <w:p>
            <w:pPr>
              <w:spacing w:after="0"/>
              <w:rPr>
                <w:sz w:val="24"/>
                <w:szCs w:val="24"/>
                <w:color w:val="auto"/>
              </w:rPr>
            </w:pPr>
          </w:p>
        </w:tc>
      </w:tr>
      <w:tr>
        <w:trPr>
          <w:trHeight w:val="180"/>
        </w:trPr>
        <w:tc>
          <w:tcPr>
            <w:tcW w:w="1100" w:type="dxa"/>
            <w:vAlign w:val="bottom"/>
            <w:gridSpan w:val="2"/>
          </w:tcPr>
          <w:p>
            <w:pPr>
              <w:jc w:val="right"/>
              <w:ind w:right="292"/>
              <w:spacing w:after="0" w:line="180"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3"/>
          </w:tcPr>
          <w:p>
            <w:pPr>
              <w:spacing w:after="0" w:line="180" w:lineRule="exact"/>
              <w:rPr>
                <w:sz w:val="20"/>
                <w:szCs w:val="20"/>
                <w:color w:val="auto"/>
              </w:rPr>
            </w:pPr>
            <w:r>
              <w:rPr>
                <w:rFonts w:ascii="Arial" w:cs="Arial" w:eastAsia="Arial" w:hAnsi="Arial"/>
                <w:sz w:val="18"/>
                <w:szCs w:val="18"/>
                <w:color w:val="0000FF"/>
              </w:rPr>
              <w:t>Press Release entitled "Dropbox Announces Third Quarter Fiscal 2022 Results" dated November 3, 2022</w:t>
            </w:r>
          </w:p>
        </w:tc>
      </w:tr>
      <w:tr>
        <w:trPr>
          <w:trHeight w:val="1207"/>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40" w:type="dxa"/>
            <w:vAlign w:val="bottom"/>
            <w:tcBorders>
              <w:top w:val="single" w:sz="8" w:color="0000FF"/>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3, 2022</w:t>
      </w:r>
    </w:p>
    <w:p>
      <w:pPr>
        <w:spacing w:after="0" w:line="34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Dropbox, Inc.</w:t>
      </w:r>
    </w:p>
    <w:p>
      <w:pPr>
        <w:spacing w:after="0" w:line="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Timothy J. Regan</w:t>
      </w:r>
    </w:p>
    <w:p>
      <w:pPr>
        <w:spacing w:after="0" w:line="1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80"/>
          </w:cols>
          <w:pgMar w:left="320" w:top="877" w:right="499" w:bottom="1440" w:gutter="0" w:footer="0" w:header="0"/>
        </w:sectPr>
      </w:pPr>
    </w:p>
    <w:bookmarkStart w:id="3" w:name="page4"/>
    <w:bookmarkEnd w:id="3"/>
    <w:p>
      <w:pPr>
        <w:ind w:left="3860"/>
        <w:spacing w:after="0"/>
        <w:rPr>
          <w:sz w:val="20"/>
          <w:szCs w:val="20"/>
          <w:color w:val="auto"/>
        </w:rPr>
      </w:pPr>
      <w:r>
        <w:rPr>
          <w:rFonts w:ascii="Arial" w:cs="Arial" w:eastAsia="Arial" w:hAnsi="Arial"/>
          <w:sz w:val="18"/>
          <w:szCs w:val="18"/>
          <w:b w:val="1"/>
          <w:bCs w:val="1"/>
          <w:color w:val="auto"/>
        </w:rPr>
        <w:t>Dropbox Announces Third Quarter Fiscal 2022 Results</w:t>
      </w:r>
    </w:p>
    <w:p>
      <w:pPr>
        <w:spacing w:after="0" w:line="250" w:lineRule="exact"/>
        <w:rPr>
          <w:sz w:val="20"/>
          <w:szCs w:val="20"/>
          <w:color w:val="auto"/>
        </w:rPr>
      </w:pPr>
    </w:p>
    <w:p>
      <w:pPr>
        <w:jc w:val="center"/>
        <w:ind w:left="360" w:right="1260"/>
        <w:spacing w:after="0" w:line="277" w:lineRule="auto"/>
        <w:rPr>
          <w:sz w:val="20"/>
          <w:szCs w:val="20"/>
          <w:color w:val="auto"/>
        </w:rPr>
      </w:pPr>
      <w:r>
        <w:rPr>
          <w:rFonts w:ascii="Arial" w:cs="Arial" w:eastAsia="Arial" w:hAnsi="Arial"/>
          <w:sz w:val="17"/>
          <w:szCs w:val="17"/>
          <w:color w:val="auto"/>
        </w:rPr>
        <w:t>Third Quarter Revenue of $591.0 Million, Up 7.4% Year-over-year; on a constant currency basis, Up 9.7% Year-over-year ARR of $2.431 billion, Up 9.6% Year-over-year; on a constant currency basis, Up 10.2% Year-over-year GAAP and Non-GAAP Operating Income of $89.3 Million and $186.7 Million, Up 15.5% and 16.0% Year-over-year</w:t>
      </w:r>
    </w:p>
    <w:p>
      <w:pPr>
        <w:spacing w:after="0" w:line="193" w:lineRule="exact"/>
        <w:rPr>
          <w:sz w:val="20"/>
          <w:szCs w:val="20"/>
          <w:color w:val="auto"/>
        </w:rPr>
      </w:pPr>
    </w:p>
    <w:p>
      <w:pPr>
        <w:ind w:right="980"/>
        <w:spacing w:after="0" w:line="272" w:lineRule="auto"/>
        <w:rPr>
          <w:sz w:val="20"/>
          <w:szCs w:val="20"/>
          <w:color w:val="auto"/>
        </w:rPr>
      </w:pPr>
      <w:r>
        <w:rPr>
          <w:rFonts w:ascii="Arial" w:cs="Arial" w:eastAsia="Arial" w:hAnsi="Arial"/>
          <w:sz w:val="18"/>
          <w:szCs w:val="18"/>
          <w:b w:val="1"/>
          <w:bCs w:val="1"/>
          <w:color w:val="auto"/>
        </w:rPr>
        <w:t xml:space="preserve">SAN FRANCISCO, Calif. </w:t>
      </w:r>
      <w:r>
        <w:rPr>
          <w:rFonts w:ascii="Arial" w:cs="Arial" w:eastAsia="Arial" w:hAnsi="Arial"/>
          <w:sz w:val="18"/>
          <w:szCs w:val="18"/>
          <w:color w:val="auto"/>
        </w:rPr>
        <w:t>- November 3, 2022 - Dropbox, Inc. (NASDAQ: DBX), today announced financial results for its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2022.</w:t>
      </w:r>
    </w:p>
    <w:p>
      <w:pPr>
        <w:spacing w:after="0" w:line="200"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"We delivered another strong quarter amidst an increasingly challenging macroeconomic backdrop," said Dropbox Co-Founder and Chief Executive Officer Drew Houston. “In particular, we’re pleased with the results of the changes to our Teams plans, and excited about our progress innovating around new products and driving multi product adoption, including the release of Capture to all Dropbox users and the introduction of the rebranded Dropbox Sign. As we look towards 2023 and beyond, I’m proud of our team’s execution towards our strategy while maintaining a healthy balance of growth and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2022 Results</w:t>
      </w:r>
    </w:p>
    <w:p>
      <w:pPr>
        <w:spacing w:after="0" w:line="250" w:lineRule="exact"/>
        <w:rPr>
          <w:sz w:val="20"/>
          <w:szCs w:val="20"/>
          <w:color w:val="auto"/>
        </w:rPr>
      </w:pPr>
    </w:p>
    <w:p>
      <w:pPr>
        <w:ind w:left="640" w:right="280" w:hanging="316"/>
        <w:spacing w:after="0" w:line="282"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revenue was $591.0 million, an increase of 7.4% from the same period last year. On a constant currency basis, year-over-year growth would have been 9.7%.</w:t>
      </w:r>
      <w:r>
        <w:rPr>
          <w:rFonts w:ascii="Arial" w:cs="Arial" w:eastAsia="Arial" w:hAnsi="Arial"/>
          <w:sz w:val="22"/>
          <w:szCs w:val="22"/>
          <w:color w:val="auto"/>
          <w:vertAlign w:val="superscript"/>
        </w:rPr>
        <w:t>(1)</w:t>
      </w:r>
    </w:p>
    <w:p>
      <w:pPr>
        <w:spacing w:after="0" w:line="122" w:lineRule="exact"/>
        <w:rPr>
          <w:rFonts w:ascii="Arial" w:cs="Arial" w:eastAsia="Arial" w:hAnsi="Arial"/>
          <w:sz w:val="18"/>
          <w:szCs w:val="18"/>
          <w:color w:val="auto"/>
        </w:rPr>
      </w:pPr>
    </w:p>
    <w:p>
      <w:pPr>
        <w:ind w:left="640" w:right="80" w:hanging="316"/>
        <w:spacing w:after="0" w:line="282"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ARR ended at $2.431 billion, an increase of $98.0 million quarter-over quarter and an increase of 9.6% year-over-year. On a constant currency basis, year-over-year growth would have been 10.2%.</w:t>
      </w:r>
      <w:r>
        <w:rPr>
          <w:rFonts w:ascii="Arial" w:cs="Arial" w:eastAsia="Arial" w:hAnsi="Arial"/>
          <w:sz w:val="22"/>
          <w:szCs w:val="22"/>
          <w:color w:val="auto"/>
          <w:vertAlign w:val="superscript"/>
        </w:rPr>
        <w:t>(2)</w:t>
      </w:r>
    </w:p>
    <w:p>
      <w:pPr>
        <w:spacing w:after="0" w:line="122" w:lineRule="exact"/>
        <w:rPr>
          <w:rFonts w:ascii="Arial" w:cs="Arial" w:eastAsia="Arial" w:hAnsi="Arial"/>
          <w:sz w:val="18"/>
          <w:szCs w:val="18"/>
          <w:color w:val="auto"/>
        </w:rPr>
      </w:pPr>
    </w:p>
    <w:p>
      <w:pPr>
        <w:ind w:left="640" w:right="26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Paying users ended at 17.55 million, as compared to 16.49 million for the same period last year. Average revenue per paying user was $134.31, as compared to $133.79 for the same period last year.</w:t>
      </w:r>
    </w:p>
    <w:p>
      <w:pPr>
        <w:spacing w:after="0" w:line="206" w:lineRule="exact"/>
        <w:rPr>
          <w:rFonts w:ascii="Arial" w:cs="Arial" w:eastAsia="Arial" w:hAnsi="Arial"/>
          <w:sz w:val="18"/>
          <w:szCs w:val="18"/>
          <w:color w:val="auto"/>
        </w:rPr>
      </w:pPr>
    </w:p>
    <w:p>
      <w:pPr>
        <w:ind w:left="64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gross margin was 81.4%, as compared to 79.6% for the same period last year. Non-GAAP gross margin was 82.9%, as compared to 81.0% for the same period last year.</w:t>
      </w:r>
    </w:p>
    <w:p>
      <w:pPr>
        <w:spacing w:after="0" w:line="206" w:lineRule="exact"/>
        <w:rPr>
          <w:rFonts w:ascii="Arial" w:cs="Arial" w:eastAsia="Arial" w:hAnsi="Arial"/>
          <w:sz w:val="18"/>
          <w:szCs w:val="18"/>
          <w:color w:val="auto"/>
        </w:rPr>
      </w:pPr>
    </w:p>
    <w:p>
      <w:pPr>
        <w:ind w:left="640" w:right="16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operating margin was 15.1%, as compared to 14.0% for the same period last year. Non-GAAP operating margin was 31.6%, as compared to 29.3% for the same period last year.</w:t>
      </w:r>
    </w:p>
    <w:p>
      <w:pPr>
        <w:spacing w:after="0" w:line="206" w:lineRule="exact"/>
        <w:rPr>
          <w:rFonts w:ascii="Arial" w:cs="Arial" w:eastAsia="Arial" w:hAnsi="Arial"/>
          <w:sz w:val="18"/>
          <w:szCs w:val="18"/>
          <w:color w:val="auto"/>
        </w:rPr>
      </w:pPr>
    </w:p>
    <w:p>
      <w:pPr>
        <w:ind w:left="640" w:right="36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net income was $83.2 million, as compared to $75.6 million for the same period last year. Non-GAAP net income was $153.1 million, as compared to $147.1 million for the same period last year.</w:t>
      </w:r>
    </w:p>
    <w:p>
      <w:pPr>
        <w:spacing w:after="0" w:line="206" w:lineRule="exact"/>
        <w:rPr>
          <w:rFonts w:ascii="Arial" w:cs="Arial" w:eastAsia="Arial" w:hAnsi="Arial"/>
          <w:sz w:val="18"/>
          <w:szCs w:val="18"/>
          <w:color w:val="auto"/>
        </w:rPr>
      </w:pPr>
    </w:p>
    <w:p>
      <w:pPr>
        <w:ind w:left="640" w:right="20" w:hanging="316"/>
        <w:spacing w:after="0" w:line="265" w:lineRule="auto"/>
        <w:tabs>
          <w:tab w:leader="none" w:pos="635" w:val="left"/>
        </w:tabs>
        <w:numPr>
          <w:ilvl w:val="1"/>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$251.4 million, as compared to $231.5 million for the same period last year. Free cash flow was $245.2 million, as compared to $221.5 million for the same period last year.</w:t>
      </w:r>
    </w:p>
    <w:p>
      <w:pPr>
        <w:spacing w:after="0" w:line="206" w:lineRule="exact"/>
        <w:rPr>
          <w:rFonts w:ascii="Arial" w:cs="Arial" w:eastAsia="Arial" w:hAnsi="Arial"/>
          <w:sz w:val="18"/>
          <w:szCs w:val="18"/>
          <w:color w:val="auto"/>
        </w:rPr>
      </w:pPr>
    </w:p>
    <w:p>
      <w:pPr>
        <w:ind w:left="640" w:right="80" w:hanging="316"/>
        <w:spacing w:after="0" w:line="335" w:lineRule="auto"/>
        <w:tabs>
          <w:tab w:leader="none" w:pos="635" w:val="left"/>
        </w:tabs>
        <w:numPr>
          <w:ilvl w:val="1"/>
          <w:numId w:val="2"/>
        </w:numPr>
        <w:rPr>
          <w:rFonts w:ascii="Arial" w:cs="Arial" w:eastAsia="Arial" w:hAnsi="Arial"/>
          <w:sz w:val="16"/>
          <w:szCs w:val="16"/>
          <w:color w:val="auto"/>
        </w:rPr>
      </w:pPr>
      <w:r>
        <w:rPr>
          <w:rFonts w:ascii="Arial" w:cs="Arial" w:eastAsia="Arial" w:hAnsi="Arial"/>
          <w:sz w:val="16"/>
          <w:szCs w:val="16"/>
          <w:color w:val="auto"/>
        </w:rPr>
        <w:t>GAAP diluted net income per share attributable to common stockholders was $0.23, as compared to $0.19 for the same period last year. Non-GAAP diluted net income per share attributable to common stockholders was $0.43, as compared to $0.37 in the same period last year.</w:t>
      </w:r>
      <w:r>
        <w:rPr>
          <w:rFonts w:ascii="Arial" w:cs="Arial" w:eastAsia="Arial" w:hAnsi="Arial"/>
          <w:sz w:val="20"/>
          <w:szCs w:val="20"/>
          <w:color w:val="auto"/>
          <w:vertAlign w:val="superscript"/>
        </w:rPr>
        <w:t>(3)</w:t>
      </w:r>
    </w:p>
    <w:p>
      <w:pPr>
        <w:spacing w:after="0" w:line="85" w:lineRule="exact"/>
        <w:rPr>
          <w:rFonts w:ascii="Arial" w:cs="Arial" w:eastAsia="Arial" w:hAnsi="Arial"/>
          <w:sz w:val="16"/>
          <w:szCs w:val="16"/>
          <w:color w:val="auto"/>
        </w:rPr>
      </w:pPr>
    </w:p>
    <w:p>
      <w:pPr>
        <w:ind w:left="640" w:hanging="316"/>
        <w:spacing w:after="0"/>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Cash, cash equivalents and short-term investments ended at $1.453 billion.</w:t>
      </w:r>
    </w:p>
    <w:p>
      <w:pPr>
        <w:spacing w:after="0" w:line="243" w:lineRule="exact"/>
        <w:rPr>
          <w:rFonts w:ascii="Arial" w:cs="Arial" w:eastAsia="Arial" w:hAnsi="Arial"/>
          <w:sz w:val="18"/>
          <w:szCs w:val="18"/>
          <w:color w:val="auto"/>
        </w:rPr>
      </w:pPr>
    </w:p>
    <w:p>
      <w:pPr>
        <w:ind w:left="160" w:hanging="154"/>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We calculate constant currency revenue growth rates by applying the prior period weighted average exchange rates to current period results.</w:t>
      </w:r>
    </w:p>
    <w:p>
      <w:pPr>
        <w:spacing w:after="0" w:line="220" w:lineRule="exact"/>
        <w:rPr>
          <w:rFonts w:ascii="Arial" w:cs="Arial" w:eastAsia="Arial" w:hAnsi="Arial"/>
          <w:sz w:val="18"/>
          <w:szCs w:val="18"/>
          <w:color w:val="auto"/>
          <w:vertAlign w:val="superscript"/>
        </w:rPr>
      </w:pPr>
    </w:p>
    <w:p>
      <w:pPr>
        <w:ind w:right="140" w:firstLine="6"/>
        <w:spacing w:after="0" w:line="305" w:lineRule="auto"/>
        <w:tabs>
          <w:tab w:leader="none" w:pos="146"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194" w:lineRule="exact"/>
        <w:rPr>
          <w:rFonts w:ascii="Arial" w:cs="Arial" w:eastAsia="Arial" w:hAnsi="Arial"/>
          <w:sz w:val="17"/>
          <w:szCs w:val="17"/>
          <w:color w:val="auto"/>
          <w:vertAlign w:val="superscript"/>
        </w:rPr>
      </w:pPr>
    </w:p>
    <w:p>
      <w:pPr>
        <w:ind w:right="160" w:firstLine="6"/>
        <w:spacing w:after="0" w:line="274" w:lineRule="auto"/>
        <w:tabs>
          <w:tab w:leader="none" w:pos="162" w:val="left"/>
        </w:tabs>
        <w:numPr>
          <w:ilvl w:val="0"/>
          <w:numId w:val="2"/>
        </w:numPr>
        <w:rPr>
          <w:rFonts w:ascii="Arial" w:cs="Arial" w:eastAsia="Arial" w:hAnsi="Arial"/>
          <w:sz w:val="19"/>
          <w:szCs w:val="19"/>
          <w:color w:val="auto"/>
          <w:vertAlign w:val="superscript"/>
        </w:rPr>
      </w:pPr>
      <w:r>
        <w:rPr>
          <w:rFonts w:ascii="Arial" w:cs="Arial" w:eastAsia="Arial" w:hAnsi="Arial"/>
          <w:sz w:val="13"/>
          <w:szCs w:val="13"/>
          <w:color w:val="auto"/>
        </w:rPr>
        <w:t>Non-GAAP diluted net income per share attributable to common stockholders is calculated based upon 360.1 million and 398.1 million diluted weighted-average shares of common stock for the three months ended September 30, 2022 and 2021, respectively.</w:t>
      </w:r>
    </w:p>
    <w:p>
      <w:pPr>
        <w:sectPr>
          <w:pgSz w:w="11900" w:h="16838" w:orient="portrait"/>
          <w:cols w:equalWidth="0" w:num="1">
            <w:col w:w="11220"/>
          </w:cols>
          <w:pgMar w:left="320" w:top="87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Outlook</w:t>
      </w:r>
    </w:p>
    <w:p>
      <w:pPr>
        <w:spacing w:after="0" w:line="250"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 xml:space="preserve">Dropbox will provide forward-looking guidance in connection with this quarterly earnings announcement on its conference call, webcast, and on its investor relations website at </w:t>
      </w:r>
      <w:r>
        <w:rPr>
          <w:rFonts w:ascii="Arial" w:cs="Arial" w:eastAsia="Arial" w:hAnsi="Arial"/>
          <w:sz w:val="18"/>
          <w:szCs w:val="18"/>
          <w:u w:val="single" w:color="auto"/>
          <w:color w:val="auto"/>
        </w:rPr>
        <w:t>http://investors.dropbox.com</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Dropbox plans to host a conference call today to review its third quarter financial results and to discuss its financial outlook. This call is scheduled to begin at 2:00 p.m. PT / 5:00 p.m. ET and can be accessed by using the web link at http://investors.dropbox.com.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Upcoming Events</w:t>
      </w:r>
    </w:p>
    <w:p>
      <w:pPr>
        <w:spacing w:after="0" w:line="290" w:lineRule="exact"/>
        <w:rPr>
          <w:sz w:val="20"/>
          <w:szCs w:val="20"/>
          <w:color w:val="auto"/>
        </w:rPr>
      </w:pPr>
    </w:p>
    <w:p>
      <w:pPr>
        <w:ind w:left="640" w:right="840" w:hanging="316"/>
        <w:spacing w:after="0" w:line="23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Drew Houston, Co-Founder and Chief Executive Officer, will be presenting at the RBC Capital Markets, Technology, Internet, Media and Telecommunications Conference on Tuesday, November 15</w:t>
      </w:r>
      <w:r>
        <w:rPr>
          <w:rFonts w:ascii="Arial" w:cs="Arial" w:eastAsia="Arial" w:hAnsi="Arial"/>
          <w:sz w:val="22"/>
          <w:szCs w:val="22"/>
          <w:color w:val="auto"/>
          <w:vertAlign w:val="superscript"/>
        </w:rPr>
        <w:t>th</w:t>
      </w:r>
      <w:r>
        <w:rPr>
          <w:rFonts w:ascii="Arial" w:cs="Arial" w:eastAsia="Arial" w:hAnsi="Arial"/>
          <w:sz w:val="18"/>
          <w:szCs w:val="18"/>
          <w:color w:val="auto"/>
        </w:rPr>
        <w:t>.</w:t>
      </w:r>
    </w:p>
    <w:p>
      <w:pPr>
        <w:ind w:left="640" w:hanging="316"/>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Tim Regan, Chief Financial Officer, will be presenting at the Credit Suisse Technology Conference on Wednesday, November 30</w:t>
      </w:r>
      <w:r>
        <w:rPr>
          <w:rFonts w:ascii="Arial" w:cs="Arial" w:eastAsia="Arial" w:hAnsi="Arial"/>
          <w:sz w:val="22"/>
          <w:szCs w:val="22"/>
          <w:color w:val="auto"/>
          <w:vertAlign w:val="superscript"/>
        </w:rPr>
        <w:t>th</w:t>
      </w:r>
      <w:r>
        <w:rPr>
          <w:rFonts w:ascii="Arial" w:cs="Arial" w:eastAsia="Arial" w:hAnsi="Arial"/>
          <w:sz w:val="18"/>
          <w:szCs w:val="18"/>
          <w:color w:val="auto"/>
        </w:rPr>
        <w:t>.</w:t>
      </w:r>
    </w:p>
    <w:p>
      <w:pPr>
        <w:spacing w:after="0" w:line="184"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During these events, a live webcast will be accessible from the Dropbox investor relations website at http://investors.dropbox.com. Following the event, a replay will be made available at the same location.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Dropbox</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Arial" w:cs="Arial" w:eastAsia="Arial" w:hAnsi="Arial"/>
          <w:sz w:val="18"/>
          <w:szCs w:val="18"/>
          <w:u w:val="single" w:color="auto"/>
          <w:color w:val="auto"/>
        </w:rPr>
        <w:t>http://dropbox.com</w:t>
      </w:r>
      <w:r>
        <w:rPr>
          <w:rFonts w:ascii="Arial" w:cs="Arial" w:eastAsia="Arial" w:hAnsi="Arial"/>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0"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among other things, our expectations regarding distributed work trends, related market opportunities and our ability to capitalize on those opportunities. Words such as "believe," "may," "will," "estimate," "continue," "anticipate," "intend," "expect," "plans," and similar expressions are intended to identify forward-looking statements. Dropbox has based these forward-looking statements largely on its current expectations and projections about future events and financial trends that Dropbox believes may affect its business, financial condition, and results of operations. These forward-looking statements speak only as of the date of this press release and are subject to risks, uncertainties, and assumptions including, but not limited to: (i) our ability to realize anticipated benefits to our business from our shift to a Virtual First work model as well as impacts to our financial results and business operations as a result of this shift; (ii) impacts to our financial results, business operations and the business of our customers, suppliers, partners and the economy as a result of macroeconomic uncertainty, the ongoing effects of the COVID-19 pandemic, and related public health measures, as well as the potential for a more permanent global shift to remote work;</w:t>
      </w:r>
    </w:p>
    <w:p>
      <w:pPr>
        <w:ind w:right="20" w:firstLine="6"/>
        <w:spacing w:after="0" w:line="303" w:lineRule="auto"/>
        <w:tabs>
          <w:tab w:leader="none" w:pos="309"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retain and upgrade paying users, and increase our recurring revenue; (iv) our ability to attract new users or convert registered users to paying users; (v) impacts to our financial results and business operations as a result of pricing and packaging changes to our subscription plans; (vi) our future financial performance, including trends in revenue, costs of revenue, gross profit or gross margin, operating expenses, paying users, and free cash flow; (vii) our history of net losses and our ability to achieve or maintain profitability; (viii) our liability for any unauthorized access to our data or our users’ content, including through privacy and data security breaches; (ix) significant disruption of service on our platform or loss of content; (x) any decline in demand for our platform or for content collaboration solutions in general; (xi) changes in the interoperability of our platform across devices, operating systems, and third-party applications that we do not control; (xii) competition in our markets; (xiii) our ability to respond to rapid technological changes, extend our platform, develop new features or products, or gain market acceptance for such new features or products, particularly in light of potential disruptions to</w:t>
      </w:r>
    </w:p>
    <w:p>
      <w:pPr>
        <w:sectPr>
          <w:pgSz w:w="11900" w:h="16838" w:orient="portrait"/>
          <w:cols w:equalWidth="0" w:num="1">
            <w:col w:w="11240"/>
          </w:cols>
          <w:pgMar w:left="320" w:top="877" w:right="339" w:bottom="1440" w:gutter="0" w:footer="0" w:header="0"/>
        </w:sectPr>
      </w:pPr>
    </w:p>
    <w:bookmarkStart w:id="5" w:name="page6"/>
    <w:bookmarkEnd w:id="5"/>
    <w:p>
      <w:pPr>
        <w:ind w:right="20"/>
        <w:spacing w:after="0" w:line="300" w:lineRule="auto"/>
        <w:rPr>
          <w:sz w:val="20"/>
          <w:szCs w:val="20"/>
          <w:color w:val="auto"/>
        </w:rPr>
      </w:pPr>
      <w:r>
        <w:rPr>
          <w:rFonts w:ascii="Arial" w:cs="Arial" w:eastAsia="Arial" w:hAnsi="Arial"/>
          <w:sz w:val="15"/>
          <w:szCs w:val="15"/>
          <w:color w:val="auto"/>
        </w:rPr>
        <w:t>the productivity of our employees that may result from our shift to a Virtual First work model; (xiv) our ability to improve quality and ease of adoption of our new and enhanced product experiences, features, and capabilities; (xv) our ability to manage our growth or plan for future growth; (xvi) our various acquisitions of businesses and the potential of such acquisitions to require significant management attention, disrupt our business, or dilute stockholder value;</w:t>
      </w:r>
    </w:p>
    <w:p>
      <w:pPr>
        <w:spacing w:after="0" w:line="1" w:lineRule="exact"/>
        <w:rPr>
          <w:sz w:val="20"/>
          <w:szCs w:val="20"/>
          <w:color w:val="auto"/>
        </w:rPr>
      </w:pPr>
    </w:p>
    <w:p>
      <w:pPr>
        <w:ind w:firstLine="6"/>
        <w:spacing w:after="0" w:line="303" w:lineRule="auto"/>
        <w:tabs>
          <w:tab w:leader="none" w:pos="437"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attract and retain key personnel and highly qualified personnel; (xviii) our capital allocation plans with respect to our stock repurchase program and other investments; and (xix)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June 30, 2022. Additional information will be made available in our quarterly report on Form 10-Q for the quarter ended September 30, 2022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180"/>
          </w:cols>
          <w:pgMar w:left="320" w:top="883" w:right="399" w:bottom="1440" w:gutter="0" w:footer="0" w:header="0"/>
        </w:sectPr>
      </w:pPr>
    </w:p>
    <w:bookmarkStart w:id="6" w:name="page7"/>
    <w:bookmarkEnd w:id="6"/>
    <w:p>
      <w:pPr>
        <w:jc w:val="center"/>
        <w:ind w:right="-13"/>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ind w:right="-13"/>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2"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(In millions, except per share data)</w:t>
      </w:r>
    </w:p>
    <w:p>
      <w:pPr>
        <w:spacing w:after="0" w:line="3" w:lineRule="exact"/>
        <w:rPr>
          <w:sz w:val="20"/>
          <w:szCs w:val="20"/>
          <w:color w:val="auto"/>
        </w:rPr>
      </w:pPr>
    </w:p>
    <w:p>
      <w:pPr>
        <w:jc w:val="center"/>
        <w:ind w:right="-13"/>
        <w:spacing w:after="0"/>
        <w:rPr>
          <w:sz w:val="20"/>
          <w:szCs w:val="20"/>
          <w:color w:val="auto"/>
        </w:rPr>
      </w:pPr>
      <w:r>
        <w:rPr>
          <w:rFonts w:ascii="Arial" w:cs="Arial" w:eastAsia="Arial" w:hAnsi="Arial"/>
          <w:sz w:val="18"/>
          <w:szCs w:val="18"/>
          <w:i w:val="1"/>
          <w:iCs w:val="1"/>
          <w:color w:val="auto"/>
        </w:rPr>
        <w:t>(Unaudited)</w:t>
      </w:r>
    </w:p>
    <w:p>
      <w:pPr>
        <w:spacing w:after="0" w:line="91"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306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8"/>
                <w:szCs w:val="18"/>
                <w:b w:val="1"/>
                <w:bCs w:val="1"/>
                <w:color w:val="auto"/>
                <w:w w:val="95"/>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84"/>
              </w:rPr>
              <w:t>2021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1,592.4</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CEEFF"/>
            </w:tcBorders>
          </w:tcPr>
          <w:p>
            <w:pPr>
              <w:ind w:left="26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c>
          <w:tcPr>
            <w:tcW w:w="0" w:type="dxa"/>
            <w:vAlign w:val="bottom"/>
          </w:tcPr>
          <w:p>
            <w:pPr>
              <w:spacing w:after="0"/>
              <w:rPr>
                <w:sz w:val="1"/>
                <w:szCs w:val="1"/>
                <w:color w:val="auto"/>
              </w:rPr>
            </w:pPr>
          </w:p>
        </w:tc>
      </w:tr>
      <w:tr>
        <w:trPr>
          <w:trHeight w:val="226"/>
        </w:trPr>
        <w:tc>
          <w:tcPr>
            <w:tcW w:w="3740" w:type="dxa"/>
            <w:vAlign w:val="bottom"/>
          </w:tcPr>
          <w:p>
            <w:pPr>
              <w:ind w:left="20"/>
              <w:spacing w:after="0" w:line="225" w:lineRule="exact"/>
              <w:rPr>
                <w:sz w:val="20"/>
                <w:szCs w:val="20"/>
                <w:color w:val="auto"/>
              </w:rPr>
            </w:pPr>
            <w:r>
              <w:rPr>
                <w:rFonts w:ascii="Arial" w:cs="Arial" w:eastAsia="Arial" w:hAnsi="Arial"/>
                <w:sz w:val="18"/>
                <w:szCs w:val="18"/>
                <w:color w:val="auto"/>
              </w:rPr>
              <w:t>Operating expenses</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25"/>
        </w:trPr>
        <w:tc>
          <w:tcPr>
            <w:tcW w:w="37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6"/>
        </w:trPr>
        <w:tc>
          <w:tcPr>
            <w:tcW w:w="3740" w:type="dxa"/>
            <w:vAlign w:val="bottom"/>
          </w:tcPr>
          <w:p>
            <w:pPr>
              <w:ind w:left="220"/>
              <w:spacing w:after="0" w:line="225" w:lineRule="exact"/>
              <w:rPr>
                <w:sz w:val="20"/>
                <w:szCs w:val="20"/>
                <w:color w:val="auto"/>
              </w:rPr>
            </w:pPr>
            <w:r>
              <w:rPr>
                <w:rFonts w:ascii="Arial" w:cs="Arial" w:eastAsia="Arial" w:hAnsi="Arial"/>
                <w:sz w:val="18"/>
                <w:szCs w:val="18"/>
                <w:color w:val="auto"/>
              </w:rPr>
              <w:t>Impairment related to real estate assets</w:t>
            </w:r>
            <w:r>
              <w:rPr>
                <w:rFonts w:ascii="Arial" w:cs="Arial" w:eastAsia="Arial" w:hAnsi="Arial"/>
                <w:sz w:val="22"/>
                <w:szCs w:val="22"/>
                <w:color w:val="auto"/>
                <w:vertAlign w:val="superscript"/>
              </w:rPr>
              <w:t>(2)</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9"/>
        </w:trPr>
        <w:tc>
          <w:tcPr>
            <w:tcW w:w="374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1,059.8</w:t>
            </w:r>
          </w:p>
        </w:tc>
        <w:tc>
          <w:tcPr>
            <w:tcW w:w="0" w:type="dxa"/>
            <w:vAlign w:val="bottom"/>
          </w:tcPr>
          <w:p>
            <w:pPr>
              <w:spacing w:after="0"/>
              <w:rPr>
                <w:sz w:val="1"/>
                <w:szCs w:val="1"/>
                <w:color w:val="auto"/>
              </w:rPr>
            </w:pPr>
          </w:p>
        </w:tc>
      </w:tr>
      <w:tr>
        <w:trPr>
          <w:trHeight w:val="218"/>
        </w:trPr>
        <w:tc>
          <w:tcPr>
            <w:tcW w:w="3740" w:type="dxa"/>
            <w:vAlign w:val="bottom"/>
          </w:tcPr>
          <w:p>
            <w:pPr>
              <w:ind w:left="20"/>
              <w:spacing w:after="0" w:line="205" w:lineRule="exact"/>
              <w:rPr>
                <w:sz w:val="20"/>
                <w:szCs w:val="20"/>
                <w:color w:val="auto"/>
              </w:rPr>
            </w:pPr>
            <w:r>
              <w:rPr>
                <w:rFonts w:ascii="Arial" w:cs="Arial" w:eastAsia="Arial" w:hAnsi="Arial"/>
                <w:sz w:val="18"/>
                <w:szCs w:val="18"/>
                <w:color w:val="auto"/>
              </w:rPr>
              <w:t>Income from operations</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6"/>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7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72"/>
              <w:spacing w:after="0" w:line="199"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0.23</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992"/>
              <w:spacing w:after="0" w:line="199"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9"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32"/>
              <w:spacing w:after="0" w:line="199"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74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net income per share</w:t>
            </w:r>
          </w:p>
        </w:tc>
        <w:tc>
          <w:tcPr>
            <w:tcW w:w="1160" w:type="dxa"/>
            <w:vAlign w:val="bottom"/>
            <w:tcBorders>
              <w:bottom w:val="single" w:sz="8" w:color="auto"/>
            </w:tcBorders>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4"/>
          </w:cols>
          <w:pgMar w:left="326" w:top="881" w:right="359" w:bottom="1440" w:gutter="0" w:footer="0" w:header="0"/>
        </w:sectPr>
      </w:pPr>
    </w:p>
    <w:p>
      <w:pPr>
        <w:ind w:left="214" w:hanging="158"/>
        <w:spacing w:after="0" w:line="258" w:lineRule="auto"/>
        <w:rPr>
          <w:sz w:val="20"/>
          <w:szCs w:val="20"/>
          <w:color w:val="auto"/>
        </w:rPr>
      </w:pPr>
      <w:r>
        <w:rPr>
          <w:rFonts w:ascii="Arial" w:cs="Arial" w:eastAsia="Arial" w:hAnsi="Arial"/>
          <w:sz w:val="15"/>
          <w:szCs w:val="15"/>
          <w:color w:val="auto"/>
        </w:rPr>
        <w:t>Weighted-average shares used in computing net income per share attributable to common</w:t>
      </w:r>
    </w:p>
    <w:p>
      <w:pPr>
        <w:spacing w:after="0" w:line="1" w:lineRule="exact"/>
        <w:rPr>
          <w:sz w:val="20"/>
          <w:szCs w:val="20"/>
          <w:color w:val="auto"/>
        </w:rPr>
      </w:pPr>
    </w:p>
    <w:p>
      <w:pPr>
        <w:ind w:left="214"/>
        <w:spacing w:after="0"/>
        <w:rPr>
          <w:sz w:val="20"/>
          <w:szCs w:val="20"/>
          <w:color w:val="auto"/>
        </w:rPr>
      </w:pPr>
      <w:r>
        <w:rPr>
          <w:rFonts w:ascii="Arial" w:cs="Arial" w:eastAsia="Arial" w:hAnsi="Arial"/>
          <w:sz w:val="18"/>
          <w:szCs w:val="18"/>
          <w:color w:val="auto"/>
        </w:rPr>
        <w:t>stockholders, basic</w:t>
      </w:r>
    </w:p>
    <w:p>
      <w:pPr>
        <w:spacing w:after="0" w:line="5" w:lineRule="exact"/>
        <w:rPr>
          <w:sz w:val="20"/>
          <w:szCs w:val="20"/>
          <w:color w:val="auto"/>
        </w:rPr>
      </w:pPr>
    </w:p>
    <w:p>
      <w:pPr>
        <w:ind w:left="214" w:hanging="158"/>
        <w:spacing w:after="0" w:line="258" w:lineRule="auto"/>
        <w:rPr>
          <w:sz w:val="20"/>
          <w:szCs w:val="20"/>
          <w:color w:val="auto"/>
        </w:rPr>
      </w:pPr>
      <w:r>
        <w:rPr>
          <w:rFonts w:ascii="Arial" w:cs="Arial" w:eastAsia="Arial" w:hAnsi="Arial"/>
          <w:sz w:val="15"/>
          <w:szCs w:val="15"/>
          <w:color w:val="auto"/>
        </w:rPr>
        <w:t>Weighted-average shares used in computing net income per share attributable to common</w:t>
      </w:r>
    </w:p>
    <w:p>
      <w:pPr>
        <w:spacing w:after="0" w:line="1" w:lineRule="exact"/>
        <w:rPr>
          <w:sz w:val="20"/>
          <w:szCs w:val="20"/>
          <w:color w:val="auto"/>
        </w:rPr>
      </w:pPr>
    </w:p>
    <w:p>
      <w:pPr>
        <w:ind w:left="214"/>
        <w:spacing w:after="0"/>
        <w:rPr>
          <w:sz w:val="20"/>
          <w:szCs w:val="20"/>
          <w:color w:val="auto"/>
        </w:rPr>
      </w:pPr>
      <w:r>
        <w:rPr>
          <w:rFonts w:ascii="Arial" w:cs="Arial" w:eastAsia="Arial" w:hAnsi="Arial"/>
          <w:sz w:val="18"/>
          <w:szCs w:val="18"/>
          <w:color w:val="auto"/>
        </w:rPr>
        <w:t>stockholders, diluted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523"/>
        </w:trPr>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-386715</wp:posOffset>
            </wp:positionV>
            <wp:extent cx="7092315" cy="37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370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-749300</wp:posOffset>
            </wp:positionV>
            <wp:extent cx="4725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256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34" w:space="340"/>
            <w:col w:w="7440"/>
          </w:cols>
          <w:pgMar w:left="326" w:top="881" w:right="359" w:bottom="1440" w:gutter="0" w:footer="0" w:header="0"/>
          <w:type w:val="continuous"/>
        </w:sectPr>
      </w:pPr>
    </w:p>
    <w:p>
      <w:pPr>
        <w:spacing w:after="0" w:line="97" w:lineRule="exact"/>
        <w:rPr>
          <w:sz w:val="20"/>
          <w:szCs w:val="20"/>
          <w:color w:val="auto"/>
        </w:rPr>
      </w:pPr>
    </w:p>
    <w:p>
      <w:pPr>
        <w:ind w:left="174" w:hanging="174"/>
        <w:spacing w:after="0"/>
        <w:tabs>
          <w:tab w:leader="none" w:pos="174"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Includes stock-based compensation expense as follows:</w:t>
      </w:r>
    </w:p>
    <w:p>
      <w:pPr>
        <w:spacing w:after="0" w:line="85"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100" w:type="dxa"/>
            <w:vAlign w:val="bottom"/>
            <w:gridSpan w:val="4"/>
          </w:tcPr>
          <w:p>
            <w:pPr>
              <w:jc w:val="center"/>
              <w:ind w:left="452"/>
              <w:spacing w:after="0"/>
              <w:rPr>
                <w:sz w:val="20"/>
                <w:szCs w:val="20"/>
                <w:color w:val="auto"/>
              </w:rPr>
            </w:pPr>
            <w:r>
              <w:rPr>
                <w:rFonts w:ascii="Arial" w:cs="Arial" w:eastAsia="Arial" w:hAnsi="Arial"/>
                <w:sz w:val="18"/>
                <w:szCs w:val="18"/>
                <w:b w:val="1"/>
                <w:bCs w:val="1"/>
                <w:color w:val="auto"/>
                <w:w w:val="89"/>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Nine Months Ended</w:t>
            </w:r>
          </w:p>
        </w:tc>
        <w:tc>
          <w:tcPr>
            <w:tcW w:w="108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532"/>
              <w:spacing w:after="0"/>
              <w:rPr>
                <w:sz w:val="20"/>
                <w:szCs w:val="20"/>
                <w:color w:val="auto"/>
              </w:rPr>
            </w:pPr>
            <w:r>
              <w:rPr>
                <w:rFonts w:ascii="Arial" w:cs="Arial" w:eastAsia="Arial" w:hAnsi="Arial"/>
                <w:sz w:val="18"/>
                <w:szCs w:val="18"/>
                <w:b w:val="1"/>
                <w:bCs w:val="1"/>
                <w:color w:val="auto"/>
                <w:w w:val="87"/>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September 30,</w:t>
            </w:r>
          </w:p>
        </w:tc>
        <w:tc>
          <w:tcPr>
            <w:tcW w:w="1080" w:type="dxa"/>
            <w:vAlign w:val="bottom"/>
            <w:tcBorders>
              <w:bottom w:val="single" w:sz="8" w:color="auto"/>
            </w:tcBorders>
          </w:tcPr>
          <w:p>
            <w:pPr>
              <w:spacing w:after="0"/>
              <w:rPr>
                <w:sz w:val="20"/>
                <w:szCs w:val="20"/>
                <w:color w:val="auto"/>
              </w:rPr>
            </w:pPr>
          </w:p>
        </w:tc>
      </w:tr>
      <w:tr>
        <w:trPr>
          <w:trHeight w:val="219"/>
        </w:trPr>
        <w:tc>
          <w:tcPr>
            <w:tcW w:w="37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84"/>
              </w:rPr>
              <w:t>2021</w:t>
            </w:r>
          </w:p>
        </w:tc>
      </w:tr>
      <w:tr>
        <w:trPr>
          <w:trHeight w:val="219"/>
        </w:trPr>
        <w:tc>
          <w:tcPr>
            <w:tcW w:w="374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Cost of revenue</w:t>
            </w:r>
          </w:p>
        </w:tc>
        <w:tc>
          <w:tcPr>
            <w:tcW w:w="1160" w:type="dxa"/>
            <w:vAlign w:val="bottom"/>
            <w:shd w:val="clear" w:color="auto" w:fill="CCEEFF"/>
          </w:tcPr>
          <w:p>
            <w:pPr>
              <w:jc w:val="right"/>
              <w:ind w:right="97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5"/>
        </w:trPr>
        <w:tc>
          <w:tcPr>
            <w:tcW w:w="3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2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4"/>
        </w:trPr>
        <w:tc>
          <w:tcPr>
            <w:tcW w:w="37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w:t>
            </w:r>
          </w:p>
        </w:tc>
      </w:tr>
    </w:tbl>
    <w:p>
      <w:pPr>
        <w:spacing w:after="0" w:line="320" w:lineRule="exact"/>
        <w:rPr>
          <w:sz w:val="20"/>
          <w:szCs w:val="20"/>
          <w:color w:val="auto"/>
        </w:rPr>
      </w:pPr>
    </w:p>
    <w:p>
      <w:pPr>
        <w:ind w:left="154" w:hanging="154"/>
        <w:spacing w:after="0"/>
        <w:tabs>
          <w:tab w:leader="none" w:pos="154"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real estate assets as a result of our decision to shift to a Virtual First work model.</w:t>
      </w:r>
    </w:p>
    <w:p>
      <w:pPr>
        <w:sectPr>
          <w:pgSz w:w="11900" w:h="16838" w:orient="portrait"/>
          <w:cols w:equalWidth="0" w:num="1">
            <w:col w:w="11214"/>
          </w:cols>
          <w:pgMar w:left="326" w:top="881"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Pr>
          <w:p>
            <w:pPr>
              <w:spacing w:after="0"/>
              <w:rPr>
                <w:sz w:val="19"/>
                <w:szCs w:val="19"/>
                <w:color w:val="auto"/>
              </w:rPr>
            </w:pPr>
          </w:p>
        </w:tc>
        <w:tc>
          <w:tcPr>
            <w:tcW w:w="1940" w:type="dxa"/>
            <w:vAlign w:val="bottom"/>
          </w:tcPr>
          <w:p>
            <w:pPr>
              <w:jc w:val="right"/>
              <w:ind w:right="292"/>
              <w:spacing w:after="0"/>
              <w:rPr>
                <w:sz w:val="20"/>
                <w:szCs w:val="20"/>
                <w:color w:val="auto"/>
              </w:rPr>
            </w:pPr>
            <w:r>
              <w:rPr>
                <w:rFonts w:ascii="Arial" w:cs="Arial" w:eastAsia="Arial" w:hAnsi="Arial"/>
                <w:sz w:val="18"/>
                <w:szCs w:val="18"/>
                <w:b w:val="1"/>
                <w:bCs w:val="1"/>
                <w:color w:val="auto"/>
                <w:w w:val="94"/>
              </w:rPr>
              <w:t>December 31, 2021</w:t>
            </w:r>
          </w:p>
        </w:tc>
        <w:tc>
          <w:tcPr>
            <w:tcW w:w="0" w:type="dxa"/>
            <w:vAlign w:val="bottom"/>
          </w:tcPr>
          <w:p>
            <w:pPr>
              <w:spacing w:after="0"/>
              <w:rPr>
                <w:sz w:val="1"/>
                <w:szCs w:val="1"/>
                <w:color w:val="auto"/>
              </w:rPr>
            </w:pPr>
          </w:p>
        </w:tc>
      </w:tr>
      <w:tr>
        <w:trPr>
          <w:trHeight w:val="206"/>
        </w:trPr>
        <w:tc>
          <w:tcPr>
            <w:tcW w:w="66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1,081.4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and other receivables, net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1,849.8</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Finance lease obligation</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18"/>
        </w:trPr>
        <w:tc>
          <w:tcPr>
            <w:tcW w:w="6680" w:type="dxa"/>
            <w:vAlign w:val="bottom"/>
          </w:tcPr>
          <w:p>
            <w:pPr>
              <w:ind w:left="20"/>
              <w:spacing w:after="0" w:line="205" w:lineRule="exact"/>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1,156.4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 non-current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25"/>
        </w:trPr>
        <w:tc>
          <w:tcPr>
            <w:tcW w:w="6680" w:type="dxa"/>
            <w:vAlign w:val="bottom"/>
          </w:tcPr>
          <w:p>
            <w:pPr>
              <w:ind w:left="20"/>
              <w:spacing w:after="0"/>
              <w:rPr>
                <w:sz w:val="20"/>
                <w:szCs w:val="20"/>
                <w:color w:val="auto"/>
              </w:rPr>
            </w:pPr>
            <w:r>
              <w:rPr>
                <w:rFonts w:ascii="Arial" w:cs="Arial" w:eastAsia="Arial" w:hAnsi="Arial"/>
                <w:sz w:val="18"/>
                <w:szCs w:val="18"/>
                <w:color w:val="auto"/>
              </w:rPr>
              <w:t>Finance lease obligation, non-current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net, non-current</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0" w:type="dxa"/>
            <w:vAlign w:val="bottom"/>
          </w:tcPr>
          <w:p>
            <w:pPr>
              <w:spacing w:after="0"/>
              <w:rPr>
                <w:sz w:val="1"/>
                <w:szCs w:val="1"/>
                <w:color w:val="auto"/>
              </w:rPr>
            </w:pPr>
          </w:p>
        </w:tc>
      </w:tr>
      <w:tr>
        <w:trPr>
          <w:trHeight w:val="225"/>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3,385.2</w:t>
            </w:r>
          </w:p>
        </w:tc>
        <w:tc>
          <w:tcPr>
            <w:tcW w:w="0" w:type="dxa"/>
            <w:vAlign w:val="bottom"/>
          </w:tcPr>
          <w:p>
            <w:pPr>
              <w:spacing w:after="0"/>
              <w:rPr>
                <w:sz w:val="1"/>
                <w:szCs w:val="1"/>
                <w:color w:val="auto"/>
              </w:rPr>
            </w:pPr>
          </w:p>
        </w:tc>
      </w:tr>
      <w:tr>
        <w:trPr>
          <w:trHeight w:val="205"/>
        </w:trPr>
        <w:tc>
          <w:tcPr>
            <w:tcW w:w="6680" w:type="dxa"/>
            <w:vAlign w:val="bottom"/>
          </w:tcPr>
          <w:p>
            <w:pPr>
              <w:ind w:left="20"/>
              <w:spacing w:after="0" w:line="205" w:lineRule="exact"/>
              <w:rPr>
                <w:sz w:val="20"/>
                <w:szCs w:val="20"/>
                <w:color w:val="auto"/>
              </w:rPr>
            </w:pPr>
            <w:r>
              <w:rPr>
                <w:rFonts w:ascii="Arial" w:cs="Arial" w:eastAsia="Arial" w:hAnsi="Arial"/>
                <w:sz w:val="18"/>
                <w:szCs w:val="18"/>
                <w:color w:val="auto"/>
              </w:rPr>
              <w:t>Stockholders' deficit:</w:t>
            </w: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25"/>
        </w:trPr>
        <w:tc>
          <w:tcPr>
            <w:tcW w:w="66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(2,972.1)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(2,739.4)</w:t>
            </w:r>
          </w:p>
        </w:tc>
        <w:tc>
          <w:tcPr>
            <w:tcW w:w="0" w:type="dxa"/>
            <w:vAlign w:val="bottom"/>
          </w:tcPr>
          <w:p>
            <w:pPr>
              <w:spacing w:after="0"/>
              <w:rPr>
                <w:sz w:val="1"/>
                <w:szCs w:val="1"/>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6680" w:type="dxa"/>
            <w:vAlign w:val="bottom"/>
            <w:tcBorders>
              <w:bottom w:val="single" w:sz="8" w:color="CCEEFF"/>
            </w:tcBorders>
          </w:tcPr>
          <w:p>
            <w:pPr>
              <w:ind w:left="20"/>
              <w:spacing w:after="0" w:line="205" w:lineRule="exact"/>
              <w:rPr>
                <w:sz w:val="20"/>
                <w:szCs w:val="20"/>
                <w:color w:val="auto"/>
              </w:rPr>
            </w:pPr>
            <w:r>
              <w:rPr>
                <w:rFonts w:ascii="Arial" w:cs="Arial" w:eastAsia="Arial" w:hAnsi="Arial"/>
                <w:sz w:val="18"/>
                <w:szCs w:val="18"/>
                <w:color w:val="auto"/>
              </w:rPr>
              <w:t>Total stockholders' deficit</w:t>
            </w: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deficit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88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b w:val="1"/>
          <w:bCs w:val="1"/>
          <w:color w:val="auto"/>
        </w:rPr>
        <w:t>Dropbox,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2"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(In millions)</w:t>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6"/>
                <w:szCs w:val="16"/>
                <w:color w:val="auto"/>
              </w:rPr>
            </w:pPr>
          </w:p>
        </w:tc>
        <w:tc>
          <w:tcPr>
            <w:tcW w:w="182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7"/>
              </w:rPr>
              <w:t>Nine Months Ended</w:t>
            </w:r>
          </w:p>
        </w:tc>
      </w:tr>
      <w:tr>
        <w:trPr>
          <w:trHeight w:val="210"/>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September 30,</w:t>
            </w:r>
          </w:p>
        </w:tc>
      </w:tr>
      <w:tr>
        <w:trPr>
          <w:trHeight w:val="206"/>
        </w:trPr>
        <w:tc>
          <w:tcPr>
            <w:tcW w:w="7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2021</w:t>
            </w:r>
          </w:p>
        </w:tc>
      </w:tr>
      <w:tr>
        <w:trPr>
          <w:trHeight w:val="194"/>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224.9</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211.2</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110.3</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Impairment related to real estate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Net gains on equity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commissions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Trade and other receivables,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1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Tenant improvement allowance reimbursement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0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w:t>
            </w:r>
          </w:p>
        </w:tc>
      </w:tr>
      <w:tr>
        <w:trPr>
          <w:trHeight w:val="190"/>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4"/>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Business combinations, net of cash acquired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(1,060.6)</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sales of equity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(560.1)</w:t>
            </w:r>
          </w:p>
        </w:tc>
      </w:tr>
      <w:tr>
        <w:trPr>
          <w:trHeight w:val="19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issuance of convertible senior notes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1,389.1</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convertible note hedge in connection with issuance of convertible senior notes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Proceeds from sale of warrants in connection with issuance of convertible senior notes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202.9</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Payments for taxes related to net share settlement of restricted stock units and awards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net of taxes withheld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7060" w:type="dxa"/>
            <w:vAlign w:val="bottom"/>
          </w:tcPr>
          <w:p>
            <w:pPr>
              <w:ind w:left="220"/>
              <w:spacing w:after="0"/>
              <w:rPr>
                <w:sz w:val="20"/>
                <w:szCs w:val="20"/>
                <w:color w:val="auto"/>
              </w:rPr>
            </w:pPr>
            <w:r>
              <w:rPr>
                <w:rFonts w:ascii="Arial" w:cs="Arial" w:eastAsia="Arial" w:hAnsi="Arial"/>
                <w:sz w:val="16"/>
                <w:szCs w:val="16"/>
                <w:color w:val="auto"/>
              </w:rPr>
              <w:t>Principal payments on finance lease obligations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5"/>
        </w:trPr>
        <w:tc>
          <w:tcPr>
            <w:tcW w:w="7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repurchases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368.5</w:t>
            </w:r>
          </w:p>
        </w:tc>
      </w:tr>
      <w:tr>
        <w:trPr>
          <w:trHeight w:val="20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color w:val="auto"/>
              </w:rPr>
              <w:t>Change in cash and cash equivalents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374.0</w:t>
            </w: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314.9</w:t>
            </w: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 end of period</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688.9</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2"/>
        </w:trPr>
        <w:tc>
          <w:tcPr>
            <w:tcW w:w="70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Supplemental cash flow data:</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0"/>
        </w:trPr>
        <w:tc>
          <w:tcPr>
            <w:tcW w:w="7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Property and equipment acquired under finance leases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1" w:right="339" w:bottom="1440" w:gutter="0" w:footer="0" w:header="0"/>
        </w:sectPr>
      </w:pPr>
    </w:p>
    <w:bookmarkStart w:id="9" w:name="page10"/>
    <w:bookmarkEnd w:id="9"/>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Three Months Ended September 30, 2022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200" w:type="dxa"/>
            <w:vAlign w:val="bottom"/>
          </w:tcPr>
          <w:p>
            <w:pPr>
              <w:spacing w:after="0"/>
              <w:rPr>
                <w:sz w:val="17"/>
                <w:szCs w:val="17"/>
                <w:color w:val="auto"/>
              </w:rPr>
            </w:pPr>
          </w:p>
        </w:tc>
        <w:tc>
          <w:tcPr>
            <w:tcW w:w="106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8"/>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ind w:left="120"/>
              <w:spacing w:after="0" w:line="206" w:lineRule="exact"/>
              <w:rPr>
                <w:sz w:val="20"/>
                <w:szCs w:val="20"/>
                <w:color w:val="auto"/>
              </w:rPr>
            </w:pPr>
            <w:r>
              <w:rPr>
                <w:rFonts w:ascii="Arial" w:cs="Arial" w:eastAsia="Arial" w:hAnsi="Arial"/>
                <w:sz w:val="18"/>
                <w:szCs w:val="18"/>
                <w:b w:val="1"/>
                <w:bCs w:val="1"/>
                <w:color w:val="auto"/>
              </w:rPr>
              <w:t>Impairment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740" w:type="dxa"/>
            <w:vAlign w:val="bottom"/>
            <w:gridSpan w:val="5"/>
          </w:tcPr>
          <w:p>
            <w:pPr>
              <w:jc w:val="center"/>
              <w:ind w:right="280"/>
              <w:spacing w:after="0" w:line="172"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ind w:left="40"/>
              <w:spacing w:after="0" w:line="172" w:lineRule="exact"/>
              <w:rPr>
                <w:sz w:val="20"/>
                <w:szCs w:val="20"/>
                <w:color w:val="auto"/>
              </w:rPr>
            </w:pPr>
            <w:r>
              <w:rPr>
                <w:rFonts w:ascii="Arial" w:cs="Arial" w:eastAsia="Arial" w:hAnsi="Arial"/>
                <w:sz w:val="18"/>
                <w:szCs w:val="18"/>
                <w:b w:val="1"/>
                <w:bCs w:val="1"/>
                <w:color w:val="auto"/>
                <w:w w:val="89"/>
              </w:rPr>
              <w:t>related to real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compensation</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line="239" w:lineRule="exact"/>
              <w:rPr>
                <w:sz w:val="20"/>
                <w:szCs w:val="20"/>
                <w:color w:val="auto"/>
              </w:rPr>
            </w:pPr>
            <w:r>
              <w:rPr>
                <w:rFonts w:ascii="Arial" w:cs="Arial" w:eastAsia="Arial" w:hAnsi="Arial"/>
                <w:sz w:val="18"/>
                <w:szCs w:val="18"/>
                <w:b w:val="1"/>
                <w:bCs w:val="1"/>
                <w:color w:val="auto"/>
                <w:w w:val="79"/>
              </w:rPr>
              <w:t>estate assets</w:t>
            </w:r>
            <w:r>
              <w:rPr>
                <w:rFonts w:ascii="Arial" w:cs="Arial" w:eastAsia="Arial" w:hAnsi="Arial"/>
                <w:sz w:val="22"/>
                <w:szCs w:val="22"/>
                <w:b w:val="1"/>
                <w:bCs w:val="1"/>
                <w:color w:val="auto"/>
                <w:w w:val="79"/>
                <w:vertAlign w:val="superscript"/>
              </w:rPr>
              <w:t>(1)</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82.9 %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 development</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540" w:type="dxa"/>
            <w:vAlign w:val="bottom"/>
            <w:gridSpan w:val="4"/>
          </w:tcPr>
          <w:p>
            <w:pPr>
              <w:ind w:left="8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174"/>
        </w:trPr>
        <w:tc>
          <w:tcPr>
            <w:tcW w:w="23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Impairment related to real estate</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7"/>
              </w:rPr>
              <w:t>(4.0)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0"/>
              </w:rPr>
              <w:t>Impairment related to real estate</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assets margin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5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86.1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hanging="154"/>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3"/>
          <w:szCs w:val="13"/>
          <w:color w:val="auto"/>
        </w:rPr>
        <w:t>Includes impairment charges related to real estate assets as a result of our decision to shift to a Virtual First work model.</w:t>
      </w:r>
    </w:p>
    <w:p>
      <w:pPr>
        <w:sectPr>
          <w:pgSz w:w="11900" w:h="16838" w:orient="portrait"/>
          <w:cols w:equalWidth="0" w:num="1">
            <w:col w:w="11240"/>
          </w:cols>
          <w:pgMar w:left="320" w:top="873" w:right="339" w:bottom="1440" w:gutter="0" w:footer="0" w:header="0"/>
        </w:sectPr>
      </w:pPr>
    </w:p>
    <w:bookmarkStart w:id="10" w:name="page11"/>
    <w:bookmarkEnd w:id="10"/>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Three Months Ended September 30, 2021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0" w:type="dxa"/>
        <w:tblCellMar>
          <w:top w:w="0" w:type="dxa"/>
          <w:left w:w="0" w:type="dxa"/>
          <w:bottom w:w="0" w:type="dxa"/>
          <w:right w:w="0" w:type="dxa"/>
        </w:tblCellMar>
      </w:tblPr>
      <w:tr>
        <w:trPr>
          <w:trHeight w:val="205"/>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Stock-based</w:t>
            </w:r>
          </w:p>
        </w:tc>
        <w:tc>
          <w:tcPr>
            <w:tcW w:w="200" w:type="dxa"/>
            <w:vAlign w:val="bottom"/>
          </w:tcPr>
          <w:p>
            <w:pPr>
              <w:spacing w:after="0"/>
              <w:rPr>
                <w:sz w:val="17"/>
                <w:szCs w:val="17"/>
                <w:color w:val="auto"/>
              </w:rPr>
            </w:pPr>
          </w:p>
        </w:tc>
        <w:tc>
          <w:tcPr>
            <w:tcW w:w="106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8"/>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ind w:left="100"/>
              <w:spacing w:after="0" w:line="206" w:lineRule="exact"/>
              <w:rPr>
                <w:sz w:val="20"/>
                <w:szCs w:val="20"/>
                <w:color w:val="auto"/>
              </w:rPr>
            </w:pPr>
            <w:r>
              <w:rPr>
                <w:rFonts w:ascii="Arial" w:cs="Arial" w:eastAsia="Arial" w:hAnsi="Arial"/>
                <w:sz w:val="18"/>
                <w:szCs w:val="18"/>
                <w:b w:val="1"/>
                <w:bCs w:val="1"/>
                <w:color w:val="auto"/>
              </w:rPr>
              <w:t>Workforce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740" w:type="dxa"/>
            <w:vAlign w:val="bottom"/>
            <w:gridSpan w:val="5"/>
          </w:tcPr>
          <w:p>
            <w:pPr>
              <w:jc w:val="center"/>
              <w:ind w:right="280"/>
              <w:spacing w:after="0" w:line="172" w:lineRule="exact"/>
              <w:rPr>
                <w:sz w:val="20"/>
                <w:szCs w:val="20"/>
                <w:color w:val="auto"/>
              </w:rPr>
            </w:pPr>
            <w:r>
              <w:rPr>
                <w:rFonts w:ascii="Arial" w:cs="Arial" w:eastAsia="Arial" w:hAnsi="Arial"/>
                <w:sz w:val="18"/>
                <w:szCs w:val="18"/>
                <w:b w:val="1"/>
                <w:bCs w:val="1"/>
                <w:color w:val="auto"/>
                <w:w w:val="88"/>
              </w:rPr>
              <w:t>related and other</w:t>
            </w: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ind w:left="160"/>
              <w:spacing w:after="0" w:line="172" w:lineRule="exact"/>
              <w:rPr>
                <w:sz w:val="20"/>
                <w:szCs w:val="20"/>
                <w:color w:val="auto"/>
              </w:rPr>
            </w:pPr>
            <w:r>
              <w:rPr>
                <w:rFonts w:ascii="Arial" w:cs="Arial" w:eastAsia="Arial" w:hAnsi="Arial"/>
                <w:sz w:val="18"/>
                <w:szCs w:val="18"/>
                <w:b w:val="1"/>
                <w:bCs w:val="1"/>
                <w:color w:val="auto"/>
              </w:rPr>
              <w:t>reduction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GAAP</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compensation</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expenses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amortization</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line="239" w:lineRule="exact"/>
              <w:rPr>
                <w:sz w:val="20"/>
                <w:szCs w:val="20"/>
                <w:color w:val="auto"/>
              </w:rPr>
            </w:pPr>
            <w:r>
              <w:rPr>
                <w:rFonts w:ascii="Arial" w:cs="Arial" w:eastAsia="Arial" w:hAnsi="Arial"/>
                <w:sz w:val="18"/>
                <w:szCs w:val="18"/>
                <w:b w:val="1"/>
                <w:bCs w:val="1"/>
                <w:color w:val="auto"/>
                <w:w w:val="95"/>
              </w:rPr>
              <w:t>expense</w:t>
            </w:r>
            <w:r>
              <w:rPr>
                <w:rFonts w:ascii="Arial" w:cs="Arial" w:eastAsia="Arial" w:hAnsi="Arial"/>
                <w:sz w:val="22"/>
                <w:szCs w:val="22"/>
                <w:b w:val="1"/>
                <w:bCs w:val="1"/>
                <w:color w:val="auto"/>
                <w:w w:val="95"/>
                <w:vertAlign w:val="superscript"/>
              </w:rPr>
              <w:t>(1)</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6"/>
              </w:rPr>
              <w:t>Non-GAAP</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Cost of revenue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81.0 %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 development</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48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5"/>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Sales and marketing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173"/>
        </w:trPr>
        <w:tc>
          <w:tcPr>
            <w:tcW w:w="23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 administrative</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4"/>
          </w:tcPr>
          <w:p>
            <w:pPr>
              <w:jc w:val="right"/>
              <w:ind w:right="360"/>
              <w:spacing w:after="0"/>
              <w:rPr>
                <w:sz w:val="20"/>
                <w:szCs w:val="20"/>
                <w:color w:val="auto"/>
              </w:rPr>
            </w:pPr>
            <w:r>
              <w:rPr>
                <w:rFonts w:ascii="Arial" w:cs="Arial" w:eastAsia="Arial" w:hAnsi="Arial"/>
                <w:sz w:val="18"/>
                <w:szCs w:val="18"/>
                <w:color w:val="auto"/>
              </w:rPr>
              <w:t>— %</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 %</w:t>
            </w:r>
          </w:p>
        </w:tc>
        <w:tc>
          <w:tcPr>
            <w:tcW w:w="1480" w:type="dxa"/>
            <w:vAlign w:val="bottom"/>
            <w:gridSpan w:val="4"/>
          </w:tcPr>
          <w:p>
            <w:pPr>
              <w:ind w:left="7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hanging="154"/>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3"/>
          <w:szCs w:val="13"/>
          <w:color w:val="auto"/>
        </w:rPr>
        <w:t>Includes expenses related to workforce reduction such as severance, benefits and other related items.</w:t>
      </w:r>
    </w:p>
    <w:p>
      <w:pPr>
        <w:sectPr>
          <w:pgSz w:w="11900" w:h="16838" w:orient="portrait"/>
          <w:cols w:equalWidth="0" w:num="1">
            <w:col w:w="11240"/>
          </w:cols>
          <w:pgMar w:left="320" w:top="873" w:right="339" w:bottom="1440" w:gutter="0" w:footer="0" w:header="0"/>
        </w:sectPr>
      </w:pPr>
    </w:p>
    <w:bookmarkStart w:id="11" w:name="page12"/>
    <w:bookmarkEnd w:id="11"/>
    <w:p>
      <w:pPr>
        <w:ind w:left="5054"/>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54"/>
        <w:spacing w:after="0"/>
        <w:rPr>
          <w:sz w:val="20"/>
          <w:szCs w:val="20"/>
          <w:color w:val="auto"/>
        </w:rPr>
      </w:pPr>
      <w:r>
        <w:rPr>
          <w:rFonts w:ascii="Arial" w:cs="Arial" w:eastAsia="Arial" w:hAnsi="Arial"/>
          <w:sz w:val="19"/>
          <w:szCs w:val="19"/>
          <w:b w:val="1"/>
          <w:bCs w:val="1"/>
          <w:color w:val="auto"/>
        </w:rPr>
        <w:t>Nine Months Ended September 30, 2022</w:t>
      </w:r>
    </w:p>
    <w:p>
      <w:pPr>
        <w:spacing w:after="0" w:line="15" w:lineRule="exact"/>
        <w:rPr>
          <w:sz w:val="20"/>
          <w:szCs w:val="20"/>
          <w:color w:val="auto"/>
        </w:rPr>
      </w:pPr>
    </w:p>
    <w:p>
      <w:pPr>
        <w:jc w:val="center"/>
        <w:ind w:right="-653"/>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ind w:right="-653"/>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ind w:right="-653"/>
        <w:spacing w:after="0"/>
        <w:rPr>
          <w:sz w:val="20"/>
          <w:szCs w:val="20"/>
          <w:color w:val="auto"/>
        </w:rPr>
      </w:pPr>
      <w:r>
        <w:rPr>
          <w:rFonts w:ascii="Arial" w:cs="Arial" w:eastAsia="Arial" w:hAnsi="Arial"/>
          <w:sz w:val="18"/>
          <w:szCs w:val="18"/>
          <w:i w:val="1"/>
          <w:iCs w:val="1"/>
          <w:color w:val="auto"/>
        </w:rPr>
        <w:t>(Unaudited)</w:t>
      </w:r>
    </w:p>
    <w:tbl>
      <w:tblPr>
        <w:tblLayout w:type="fixed"/>
        <w:tblInd w:w="674"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Stock-based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b w:val="1"/>
                <w:bCs w:val="1"/>
                <w:color w:val="auto"/>
                <w:w w:val="90"/>
              </w:rPr>
              <w:t>Acquisition-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100"/>
              <w:spacing w:after="0" w:line="206" w:lineRule="exact"/>
              <w:rPr>
                <w:sz w:val="20"/>
                <w:szCs w:val="20"/>
                <w:color w:val="auto"/>
              </w:rPr>
            </w:pPr>
            <w:r>
              <w:rPr>
                <w:rFonts w:ascii="Arial" w:cs="Arial" w:eastAsia="Arial" w:hAnsi="Arial"/>
                <w:sz w:val="18"/>
                <w:szCs w:val="18"/>
                <w:b w:val="1"/>
                <w:bCs w:val="1"/>
                <w:color w:val="auto"/>
              </w:rPr>
              <w:t>Impairment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20"/>
              <w:spacing w:after="0" w:line="172" w:lineRule="exact"/>
              <w:rPr>
                <w:sz w:val="20"/>
                <w:szCs w:val="20"/>
                <w:color w:val="auto"/>
              </w:rPr>
            </w:pPr>
            <w:r>
              <w:rPr>
                <w:rFonts w:ascii="Arial" w:cs="Arial" w:eastAsia="Arial" w:hAnsi="Arial"/>
                <w:sz w:val="18"/>
                <w:szCs w:val="18"/>
                <w:b w:val="1"/>
                <w:bCs w:val="1"/>
                <w:color w:val="auto"/>
              </w:rPr>
              <w:t>related and other</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line="172" w:lineRule="exact"/>
              <w:rPr>
                <w:sz w:val="20"/>
                <w:szCs w:val="20"/>
                <w:color w:val="auto"/>
              </w:rPr>
            </w:pPr>
            <w:r>
              <w:rPr>
                <w:rFonts w:ascii="Arial" w:cs="Arial" w:eastAsia="Arial" w:hAnsi="Arial"/>
                <w:sz w:val="18"/>
                <w:szCs w:val="18"/>
                <w:b w:val="1"/>
                <w:bCs w:val="1"/>
                <w:color w:val="auto"/>
              </w:rPr>
              <w:t>related to real</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GAAP</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compensation</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expenses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0"/>
              <w:spacing w:after="0" w:line="239" w:lineRule="exact"/>
              <w:rPr>
                <w:sz w:val="20"/>
                <w:szCs w:val="20"/>
                <w:color w:val="auto"/>
              </w:rPr>
            </w:pPr>
            <w:r>
              <w:rPr>
                <w:rFonts w:ascii="Arial" w:cs="Arial" w:eastAsia="Arial" w:hAnsi="Arial"/>
                <w:sz w:val="18"/>
                <w:szCs w:val="18"/>
                <w:b w:val="1"/>
                <w:bCs w:val="1"/>
                <w:color w:val="auto"/>
                <w:w w:val="90"/>
              </w:rPr>
              <w:t>estate assets</w:t>
            </w:r>
            <w:r>
              <w:rPr>
                <w:rFonts w:ascii="Arial" w:cs="Arial" w:eastAsia="Arial" w:hAnsi="Arial"/>
                <w:sz w:val="22"/>
                <w:szCs w:val="22"/>
                <w:b w:val="1"/>
                <w:bCs w:val="1"/>
                <w:color w:val="auto"/>
                <w:w w:val="90"/>
                <w:vertAlign w:val="superscript"/>
              </w:rPr>
              <w:t>(1)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1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25"/>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82.4 %</w:t>
            </w: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w w:val="98"/>
              </w:rPr>
              <w:t>development 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2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7"/>
              </w:rPr>
              <w:t>Sales and marketing</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w w:val="93"/>
              </w:rPr>
              <w:t>administrative 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4"/>
              </w:rPr>
              <w:t>Impairment related to</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164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4"/>
              </w:rPr>
              <w:t>Impairment related to</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real estate assets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42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44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4"/>
        </w:trPr>
        <w:tc>
          <w:tcPr>
            <w:tcW w:w="16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24"/>
        </w:trPr>
        <w:tc>
          <w:tcPr>
            <w:tcW w:w="164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74" w:hanging="174"/>
        <w:spacing w:after="0"/>
        <w:tabs>
          <w:tab w:leader="none" w:pos="174"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w:t>
      </w:r>
    </w:p>
    <w:p>
      <w:pPr>
        <w:sectPr>
          <w:pgSz w:w="11900" w:h="16838" w:orient="portrait"/>
          <w:cols w:equalWidth="0" w:num="1">
            <w:col w:w="10574"/>
          </w:cols>
          <w:pgMar w:left="326" w:top="873" w:right="999" w:bottom="1440" w:gutter="0" w:footer="0" w:header="0"/>
        </w:sectPr>
      </w:pPr>
    </w:p>
    <w:bookmarkStart w:id="12" w:name="page13"/>
    <w:bookmarkEnd w:id="12"/>
    <w:p>
      <w:pPr>
        <w:ind w:left="5060"/>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960"/>
        <w:spacing w:after="0"/>
        <w:rPr>
          <w:sz w:val="20"/>
          <w:szCs w:val="20"/>
          <w:color w:val="auto"/>
        </w:rPr>
      </w:pPr>
      <w:r>
        <w:rPr>
          <w:rFonts w:ascii="Arial" w:cs="Arial" w:eastAsia="Arial" w:hAnsi="Arial"/>
          <w:sz w:val="19"/>
          <w:szCs w:val="19"/>
          <w:b w:val="1"/>
          <w:bCs w:val="1"/>
          <w:color w:val="auto"/>
        </w:rPr>
        <w:t>Nine Months Ended September 30, 2021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Reconciliation of GAAP to Non-GAAP results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for percentages, which may not foot due to rounding)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tbl>
      <w:tblPr>
        <w:tblLayout w:type="fixed"/>
        <w:tblInd w:w="20" w:type="dxa"/>
        <w:tblCellMar>
          <w:top w:w="0" w:type="dxa"/>
          <w:left w:w="0" w:type="dxa"/>
          <w:bottom w:w="0" w:type="dxa"/>
          <w:right w:w="0" w:type="dxa"/>
        </w:tblCellMar>
      </w:tblPr>
      <w:tr>
        <w:trPr>
          <w:trHeight w:val="205"/>
        </w:trPr>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Stock-based</w:t>
            </w:r>
          </w:p>
        </w:tc>
        <w:tc>
          <w:tcPr>
            <w:tcW w:w="100" w:type="dxa"/>
            <w:vAlign w:val="bottom"/>
          </w:tcPr>
          <w:p>
            <w:pPr>
              <w:spacing w:after="0"/>
              <w:rPr>
                <w:sz w:val="17"/>
                <w:szCs w:val="17"/>
                <w:color w:val="auto"/>
              </w:rPr>
            </w:pPr>
          </w:p>
        </w:tc>
        <w:tc>
          <w:tcPr>
            <w:tcW w:w="104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88"/>
              </w:rPr>
              <w:t>Acquisition-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spacing w:after="0" w:line="206" w:lineRule="exact"/>
              <w:rPr>
                <w:sz w:val="20"/>
                <w:szCs w:val="20"/>
                <w:color w:val="auto"/>
              </w:rPr>
            </w:pPr>
            <w:r>
              <w:rPr>
                <w:rFonts w:ascii="Arial" w:cs="Arial" w:eastAsia="Arial" w:hAnsi="Arial"/>
                <w:sz w:val="18"/>
                <w:szCs w:val="18"/>
                <w:b w:val="1"/>
                <w:bCs w:val="1"/>
                <w:color w:val="auto"/>
                <w:w w:val="94"/>
              </w:rPr>
              <w:t>Impairment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line="206" w:lineRule="exact"/>
              <w:rPr>
                <w:sz w:val="20"/>
                <w:szCs w:val="20"/>
                <w:color w:val="auto"/>
              </w:rPr>
            </w:pPr>
            <w:r>
              <w:rPr>
                <w:rFonts w:ascii="Arial" w:cs="Arial" w:eastAsia="Arial" w:hAnsi="Arial"/>
                <w:sz w:val="18"/>
                <w:szCs w:val="18"/>
                <w:b w:val="1"/>
                <w:bCs w:val="1"/>
                <w:color w:val="auto"/>
                <w:w w:val="89"/>
              </w:rPr>
              <w:t>Workforce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9"/>
              </w:rPr>
              <w:t>related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center"/>
              <w:ind w:right="380"/>
              <w:spacing w:after="0" w:line="172" w:lineRule="exact"/>
              <w:rPr>
                <w:sz w:val="20"/>
                <w:szCs w:val="20"/>
                <w:color w:val="auto"/>
              </w:rPr>
            </w:pPr>
            <w:r>
              <w:rPr>
                <w:rFonts w:ascii="Arial" w:cs="Arial" w:eastAsia="Arial" w:hAnsi="Arial"/>
                <w:sz w:val="18"/>
                <w:szCs w:val="18"/>
                <w:b w:val="1"/>
                <w:bCs w:val="1"/>
                <w:color w:val="auto"/>
                <w:w w:val="88"/>
              </w:rPr>
              <w:t>related to real</w:t>
            </w:r>
          </w:p>
        </w:tc>
        <w:tc>
          <w:tcPr>
            <w:tcW w:w="122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87"/>
              </w:rPr>
              <w:t>reduction</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GAAP</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83"/>
              </w:rPr>
              <w:t>other expenses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32"/>
              <w:spacing w:after="0" w:line="239" w:lineRule="exact"/>
              <w:rPr>
                <w:sz w:val="20"/>
                <w:szCs w:val="20"/>
                <w:color w:val="auto"/>
              </w:rPr>
            </w:pPr>
            <w:r>
              <w:rPr>
                <w:rFonts w:ascii="Arial" w:cs="Arial" w:eastAsia="Arial" w:hAnsi="Arial"/>
                <w:sz w:val="18"/>
                <w:szCs w:val="18"/>
                <w:b w:val="1"/>
                <w:bCs w:val="1"/>
                <w:color w:val="auto"/>
                <w:w w:val="79"/>
              </w:rPr>
              <w:t>estate assets</w:t>
            </w:r>
            <w:r>
              <w:rPr>
                <w:rFonts w:ascii="Arial" w:cs="Arial" w:eastAsia="Arial" w:hAnsi="Arial"/>
                <w:sz w:val="22"/>
                <w:szCs w:val="22"/>
                <w:b w:val="1"/>
                <w:bCs w:val="1"/>
                <w:color w:val="auto"/>
                <w:w w:val="79"/>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2"/>
              <w:spacing w:after="0" w:line="239" w:lineRule="exact"/>
              <w:rPr>
                <w:sz w:val="20"/>
                <w:szCs w:val="20"/>
                <w:color w:val="auto"/>
              </w:rPr>
            </w:pPr>
            <w:r>
              <w:rPr>
                <w:rFonts w:ascii="Arial" w:cs="Arial" w:eastAsia="Arial" w:hAnsi="Arial"/>
                <w:sz w:val="18"/>
                <w:szCs w:val="18"/>
                <w:b w:val="1"/>
                <w:bCs w:val="1"/>
                <w:color w:val="auto"/>
                <w:w w:val="79"/>
              </w:rPr>
              <w:t>expense</w:t>
            </w:r>
            <w:r>
              <w:rPr>
                <w:rFonts w:ascii="Arial" w:cs="Arial" w:eastAsia="Arial" w:hAnsi="Arial"/>
                <w:sz w:val="22"/>
                <w:szCs w:val="22"/>
                <w:b w:val="1"/>
                <w:bCs w:val="1"/>
                <w:color w:val="auto"/>
                <w:w w:val="79"/>
                <w:vertAlign w:val="superscript"/>
              </w:rPr>
              <w:t>(2)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2"/>
              </w:rPr>
              <w:t>Non-GAAP</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Cost of revenue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25"/>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Research and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development 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2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Sales and marketing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9"/>
              </w:rPr>
              <w:t>Sales and marketing</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General and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rPr>
              <w:t>General and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w w:val="95"/>
              </w:rPr>
              <w:t>administrative 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Impairment related to</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assets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line="173" w:lineRule="exact"/>
              <w:rPr>
                <w:sz w:val="20"/>
                <w:szCs w:val="20"/>
                <w:color w:val="auto"/>
              </w:rPr>
            </w:pPr>
            <w:r>
              <w:rPr>
                <w:rFonts w:ascii="Arial" w:cs="Arial" w:eastAsia="Arial" w:hAnsi="Arial"/>
                <w:sz w:val="18"/>
                <w:szCs w:val="18"/>
                <w:i w:val="1"/>
                <w:iCs w:val="1"/>
                <w:color w:val="auto"/>
                <w:w w:val="96"/>
              </w:rPr>
              <w:t>Impairment related to</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line="172" w:lineRule="exact"/>
              <w:rPr>
                <w:sz w:val="20"/>
                <w:szCs w:val="20"/>
                <w:color w:val="auto"/>
              </w:rPr>
            </w:pPr>
            <w:r>
              <w:rPr>
                <w:rFonts w:ascii="Arial" w:cs="Arial" w:eastAsia="Arial" w:hAnsi="Arial"/>
                <w:sz w:val="18"/>
                <w:szCs w:val="18"/>
                <w:i w:val="1"/>
                <w:iCs w:val="1"/>
                <w:color w:val="auto"/>
              </w:rPr>
              <w:t>real estate assets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margin</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p>
        </w:tc>
        <w:tc>
          <w:tcPr>
            <w:tcW w:w="146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4"/>
        </w:trPr>
        <w:tc>
          <w:tcPr>
            <w:tcW w:w="16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Income from</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24"/>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Operating margin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30.1 %</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180" w:hanging="174"/>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Includes impairment charges related to real estate assets as a result of our decision to shift to a Virtual First work model.</w:t>
      </w:r>
    </w:p>
    <w:p>
      <w:pPr>
        <w:spacing w:after="0" w:line="9" w:lineRule="exact"/>
        <w:rPr>
          <w:rFonts w:ascii="Arial" w:cs="Arial" w:eastAsia="Arial" w:hAnsi="Arial"/>
          <w:sz w:val="21"/>
          <w:szCs w:val="21"/>
          <w:color w:val="auto"/>
          <w:vertAlign w:val="superscript"/>
        </w:rPr>
      </w:pPr>
    </w:p>
    <w:p>
      <w:pPr>
        <w:ind w:left="160" w:hanging="154"/>
        <w:spacing w:after="0" w:line="220"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Includes expenses related to workforce reduction such as severance, benefits and other related items.</w:t>
      </w:r>
    </w:p>
    <w:p>
      <w:pPr>
        <w:sectPr>
          <w:pgSz w:w="11900" w:h="16838" w:orient="portrait"/>
          <w:cols w:equalWidth="0" w:num="1">
            <w:col w:w="11240"/>
          </w:cols>
          <w:pgMar w:left="320" w:top="873" w:right="339" w:bottom="1440" w:gutter="0" w:footer="0" w:header="0"/>
        </w:sectPr>
      </w:pPr>
    </w:p>
    <w:bookmarkStart w:id="13" w:name="page14"/>
    <w:bookmarkEnd w:id="13"/>
    <w:p>
      <w:pPr>
        <w:ind w:left="5054"/>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ind w:left="3094"/>
        <w:spacing w:after="0"/>
        <w:rPr>
          <w:sz w:val="20"/>
          <w:szCs w:val="20"/>
          <w:color w:val="auto"/>
        </w:rPr>
      </w:pPr>
      <w:r>
        <w:rPr>
          <w:rFonts w:ascii="Arial" w:cs="Arial" w:eastAsia="Arial" w:hAnsi="Arial"/>
          <w:sz w:val="19"/>
          <w:szCs w:val="19"/>
          <w:b w:val="1"/>
          <w:bCs w:val="1"/>
          <w:color w:val="auto"/>
        </w:rPr>
        <w:t>Three and Nine Months Ended September 30, 2022 and 2021</w:t>
      </w:r>
    </w:p>
    <w:p>
      <w:pPr>
        <w:spacing w:after="0" w:line="15"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(In millions, except per share data)</w:t>
      </w:r>
    </w:p>
    <w:p>
      <w:pPr>
        <w:spacing w:after="0" w:line="1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(Unaudited)</w:t>
      </w:r>
    </w:p>
    <w:tbl>
      <w:tblPr>
        <w:tblLayout w:type="fixed"/>
        <w:tblInd w:w="154"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2740" w:type="dxa"/>
            <w:vAlign w:val="bottom"/>
            <w:gridSpan w:val="4"/>
          </w:tcPr>
          <w:p>
            <w:pPr>
              <w:jc w:val="right"/>
              <w:ind w:right="212"/>
              <w:spacing w:after="0" w:line="206" w:lineRule="exact"/>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gridSpan w:val="4"/>
          </w:tcPr>
          <w:p>
            <w:pPr>
              <w:jc w:val="right"/>
              <w:ind w:right="272"/>
              <w:spacing w:after="0" w:line="206" w:lineRule="exact"/>
              <w:rPr>
                <w:sz w:val="20"/>
                <w:szCs w:val="20"/>
                <w:color w:val="auto"/>
              </w:rPr>
            </w:pPr>
            <w:r>
              <w:rPr>
                <w:rFonts w:ascii="Arial" w:cs="Arial" w:eastAsia="Arial" w:hAnsi="Arial"/>
                <w:sz w:val="18"/>
                <w:szCs w:val="18"/>
                <w:b w:val="1"/>
                <w:bCs w:val="1"/>
                <w:color w:val="auto"/>
              </w:rPr>
              <w:t>Nine Months Ended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w w:val="90"/>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8"/>
                <w:szCs w:val="18"/>
                <w:b w:val="1"/>
                <w:bCs w:val="1"/>
                <w:color w:val="auto"/>
                <w:w w:val="92"/>
              </w:rPr>
              <w:t>September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and other expenses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Impairment related to real estate assets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5"/>
        </w:trPr>
        <w:tc>
          <w:tcPr>
            <w:tcW w:w="4260" w:type="dxa"/>
            <w:vAlign w:val="bottom"/>
          </w:tcPr>
          <w:p>
            <w:pPr>
              <w:spacing w:after="0"/>
              <w:rPr>
                <w:sz w:val="20"/>
                <w:szCs w:val="20"/>
                <w:color w:val="auto"/>
              </w:rPr>
            </w:pPr>
            <w:r>
              <w:rPr>
                <w:rFonts w:ascii="Arial" w:cs="Arial" w:eastAsia="Arial" w:hAnsi="Arial"/>
                <w:sz w:val="18"/>
                <w:szCs w:val="18"/>
                <w:color w:val="auto"/>
              </w:rPr>
              <w:t>Workforce reduction expense</w:t>
            </w:r>
          </w:p>
        </w:tc>
        <w:tc>
          <w:tcPr>
            <w:tcW w:w="10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gains on equity investments</w:t>
            </w: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effects of non-GAAP adjustments</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60" w:type="dxa"/>
            <w:vAlign w:val="bottom"/>
          </w:tcPr>
          <w:p>
            <w:pPr>
              <w:spacing w:after="0" w:line="199" w:lineRule="exact"/>
              <w:rPr>
                <w:sz w:val="20"/>
                <w:szCs w:val="20"/>
                <w:color w:val="auto"/>
              </w:rPr>
            </w:pPr>
            <w:r>
              <w:rPr>
                <w:rFonts w:ascii="Arial" w:cs="Arial" w:eastAsia="Arial" w:hAnsi="Arial"/>
                <w:sz w:val="18"/>
                <w:szCs w:val="18"/>
                <w:color w:val="auto"/>
              </w:rPr>
              <w:t>Non-GAAP diluted net income per share</w:t>
            </w:r>
          </w:p>
        </w:tc>
        <w:tc>
          <w:tcPr>
            <w:tcW w:w="1040" w:type="dxa"/>
            <w:vAlign w:val="bottom"/>
            <w:tcBorders>
              <w:bottom w:val="single" w:sz="8" w:color="auto"/>
            </w:tcBorders>
          </w:tcPr>
          <w:p>
            <w:pPr>
              <w:jc w:val="right"/>
              <w:ind w:right="852"/>
              <w:spacing w:after="0" w:line="19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0.43</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72"/>
              <w:spacing w:after="0" w:line="199"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0.37</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52"/>
              <w:spacing w:after="0" w:line="199"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1.18</w:t>
            </w: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872"/>
              <w:spacing w:after="0" w:line="199"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60" w:type="dxa"/>
            <w:vAlign w:val="bottom"/>
            <w:shd w:val="clear" w:color="auto" w:fill="CCEEFF"/>
          </w:tcPr>
          <w:p>
            <w:pPr>
              <w:spacing w:after="0" w:line="140" w:lineRule="exact"/>
              <w:rPr>
                <w:sz w:val="20"/>
                <w:szCs w:val="20"/>
                <w:color w:val="auto"/>
              </w:rPr>
            </w:pPr>
            <w:r>
              <w:rPr>
                <w:rFonts w:ascii="Arial" w:cs="Arial" w:eastAsia="Arial" w:hAnsi="Arial"/>
                <w:sz w:val="15"/>
                <w:szCs w:val="15"/>
                <w:color w:val="auto"/>
              </w:rPr>
              <w:t>Weighted-average shares used to compute Non-GAAP</w:t>
            </w:r>
          </w:p>
        </w:tc>
        <w:tc>
          <w:tcPr>
            <w:tcW w:w="10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31"/>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0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Dropbox, Inc.</w:t>
      </w:r>
    </w:p>
    <w:p>
      <w:pPr>
        <w:spacing w:after="0" w:line="35"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Three and Nine Months Ended September 30, 2022 and 2021</w:t>
      </w:r>
    </w:p>
    <w:p>
      <w:pPr>
        <w:spacing w:after="0" w:line="20" w:lineRule="exact"/>
        <w:rPr>
          <w:sz w:val="20"/>
          <w:szCs w:val="20"/>
          <w:color w:val="auto"/>
        </w:rPr>
      </w:pPr>
    </w:p>
    <w:p>
      <w:pPr>
        <w:jc w:val="center"/>
        <w:ind w:right="-133"/>
        <w:spacing w:after="0"/>
        <w:rPr>
          <w:sz w:val="20"/>
          <w:szCs w:val="20"/>
          <w:color w:val="auto"/>
        </w:rPr>
      </w:pPr>
      <w:r>
        <w:rPr>
          <w:rFonts w:ascii="Arial" w:cs="Arial" w:eastAsia="Arial" w:hAnsi="Arial"/>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(In millions, except for percentages)</w:t>
      </w:r>
    </w:p>
    <w:p>
      <w:pPr>
        <w:spacing w:after="0" w:line="3" w:lineRule="exact"/>
        <w:rPr>
          <w:sz w:val="20"/>
          <w:szCs w:val="20"/>
          <w:color w:val="auto"/>
        </w:rPr>
      </w:pPr>
    </w:p>
    <w:p>
      <w:pPr>
        <w:jc w:val="center"/>
        <w:ind w:right="-133"/>
        <w:spacing w:after="0"/>
        <w:rPr>
          <w:sz w:val="20"/>
          <w:szCs w:val="20"/>
          <w:color w:val="auto"/>
        </w:rPr>
      </w:pPr>
      <w:r>
        <w:rPr>
          <w:rFonts w:ascii="Arial" w:cs="Arial" w:eastAsia="Arial" w:hAnsi="Arial"/>
          <w:sz w:val="18"/>
          <w:szCs w:val="18"/>
          <w:i w:val="1"/>
          <w:iCs w:val="1"/>
          <w:color w:val="auto"/>
        </w:rPr>
        <w:t>(Unaudited)</w:t>
      </w:r>
    </w:p>
    <w:p>
      <w:pPr>
        <w:spacing w:after="0" w:line="6" w:lineRule="exact"/>
        <w:rPr>
          <w:sz w:val="20"/>
          <w:szCs w:val="20"/>
          <w:color w:val="auto"/>
        </w:rPr>
      </w:pPr>
    </w:p>
    <w:tbl>
      <w:tblPr>
        <w:tblLayout w:type="fixed"/>
        <w:tblInd w:w="154"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78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872"/>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8"/>
                <w:szCs w:val="18"/>
                <w:b w:val="1"/>
                <w:bCs w:val="1"/>
                <w:color w:val="auto"/>
                <w:w w:val="97"/>
              </w:rPr>
              <w:t>September 30,</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251.4</w:t>
            </w:r>
          </w:p>
        </w:tc>
        <w:tc>
          <w:tcPr>
            <w:tcW w:w="10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231.5</w:t>
            </w:r>
          </w:p>
        </w:tc>
        <w:tc>
          <w:tcPr>
            <w:tcW w:w="8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567.1</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(10.0)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8"/>
              </w:rPr>
              <w:t>245.2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88"/>
              </w:rPr>
              <w:t>221.5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581.8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41.5 %</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8" w:lineRule="exact"/>
              <w:rPr>
                <w:sz w:val="20"/>
                <w:szCs w:val="20"/>
                <w:color w:val="auto"/>
              </w:rPr>
            </w:pPr>
            <w:r>
              <w:rPr>
                <w:rFonts w:ascii="Arial" w:cs="Arial" w:eastAsia="Arial" w:hAnsi="Arial"/>
                <w:sz w:val="18"/>
                <w:szCs w:val="18"/>
                <w:color w:val="auto"/>
              </w:rPr>
              <w:t>40.3 %</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8" w:lineRule="exact"/>
              <w:rPr>
                <w:sz w:val="20"/>
                <w:szCs w:val="20"/>
                <w:color w:val="auto"/>
              </w:rPr>
            </w:pPr>
            <w:r>
              <w:rPr>
                <w:rFonts w:ascii="Arial" w:cs="Arial" w:eastAsia="Arial" w:hAnsi="Arial"/>
                <w:sz w:val="18"/>
                <w:szCs w:val="18"/>
                <w:color w:val="auto"/>
              </w:rPr>
              <w:t>33.7 %</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2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200"/>
              <w:spacing w:after="0" w:line="180" w:lineRule="exact"/>
              <w:rPr>
                <w:sz w:val="20"/>
                <w:szCs w:val="20"/>
                <w:color w:val="auto"/>
              </w:rPr>
            </w:pPr>
            <w:r>
              <w:rPr>
                <w:rFonts w:ascii="Arial" w:cs="Arial" w:eastAsia="Arial" w:hAnsi="Arial"/>
                <w:sz w:val="18"/>
                <w:szCs w:val="18"/>
                <w:color w:val="auto"/>
              </w:rPr>
              <w:t>Key employee holdback payments related to</w:t>
            </w:r>
          </w:p>
        </w:tc>
        <w:tc>
          <w:tcPr>
            <w:tcW w:w="1020" w:type="dxa"/>
            <w:vAlign w:val="bottom"/>
            <w:vMerge w:val="restart"/>
          </w:tcPr>
          <w:p>
            <w:pPr>
              <w:jc w:val="right"/>
              <w:ind w:right="832"/>
              <w:spacing w:after="0"/>
              <w:rPr>
                <w:sz w:val="20"/>
                <w:szCs w:val="20"/>
                <w:color w:val="auto"/>
              </w:rPr>
            </w:pPr>
            <w:r>
              <w:rPr>
                <w:rFonts w:ascii="Arial" w:cs="Arial" w:eastAsia="Arial" w:hAnsi="Arial"/>
                <w:sz w:val="18"/>
                <w:szCs w:val="18"/>
                <w:color w:val="auto"/>
                <w:w w:val="79"/>
              </w:rPr>
              <w:t>$</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ind w:right="13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580" w:type="dxa"/>
            <w:vAlign w:val="bottom"/>
            <w:vMerge w:val="restart"/>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5"/>
        </w:trPr>
        <w:tc>
          <w:tcPr>
            <w:tcW w:w="4020" w:type="dxa"/>
            <w:vAlign w:val="bottom"/>
          </w:tcPr>
          <w:p>
            <w:pPr>
              <w:ind w:left="200"/>
              <w:spacing w:after="0" w:line="205" w:lineRule="exact"/>
              <w:rPr>
                <w:sz w:val="20"/>
                <w:szCs w:val="20"/>
                <w:color w:val="auto"/>
              </w:rPr>
            </w:pPr>
            <w:r>
              <w:rPr>
                <w:rFonts w:ascii="Arial" w:cs="Arial" w:eastAsia="Arial" w:hAnsi="Arial"/>
                <w:sz w:val="18"/>
                <w:szCs w:val="18"/>
                <w:color w:val="auto"/>
              </w:rPr>
              <w:t>acquisitions</w:t>
            </w:r>
            <w:r>
              <w:rPr>
                <w:rFonts w:ascii="Arial" w:cs="Arial" w:eastAsia="Arial" w:hAnsi="Arial"/>
                <w:sz w:val="22"/>
                <w:szCs w:val="22"/>
                <w:color w:val="auto"/>
                <w:vertAlign w:val="superscript"/>
              </w:rPr>
              <w:t>(1)</w:t>
            </w:r>
          </w:p>
        </w:tc>
        <w:tc>
          <w:tcPr>
            <w:tcW w:w="1020" w:type="dxa"/>
            <w:vAlign w:val="bottom"/>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020" w:type="dxa"/>
            <w:vAlign w:val="bottom"/>
            <w:shd w:val="clear" w:color="auto" w:fill="CCEEFF"/>
          </w:tcPr>
          <w:p>
            <w:pPr>
              <w:ind w:left="200"/>
              <w:spacing w:after="0" w:line="219" w:lineRule="exact"/>
              <w:rPr>
                <w:sz w:val="20"/>
                <w:szCs w:val="20"/>
                <w:color w:val="auto"/>
              </w:rPr>
            </w:pPr>
            <w:r>
              <w:rPr>
                <w:rFonts w:ascii="Arial" w:cs="Arial" w:eastAsia="Arial" w:hAnsi="Arial"/>
                <w:sz w:val="18"/>
                <w:szCs w:val="18"/>
                <w:color w:val="auto"/>
              </w:rPr>
              <w:t>Payments related to workforce reduction</w:t>
            </w:r>
            <w:r>
              <w:rPr>
                <w:rFonts w:ascii="Arial" w:cs="Arial" w:eastAsia="Arial" w:hAnsi="Arial"/>
                <w:sz w:val="22"/>
                <w:szCs w:val="22"/>
                <w:color w:val="auto"/>
                <w:vertAlign w:val="superscript"/>
              </w:rPr>
              <w:t>(2)</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6" w:right="40" w:firstLine="6"/>
        <w:spacing w:after="0" w:line="272" w:lineRule="auto"/>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We make payment installments of deal consideration employee holdbacks pertaining to our various acquisitions in accordance with the acquisition agreements. The related expenses are recognized within research and development and sales and marketing expenses over the required service period.</w:t>
      </w:r>
    </w:p>
    <w:p>
      <w:pPr>
        <w:spacing w:after="0" w:line="203" w:lineRule="exact"/>
        <w:rPr>
          <w:rFonts w:ascii="Arial" w:cs="Arial" w:eastAsia="Arial" w:hAnsi="Arial"/>
          <w:sz w:val="18"/>
          <w:szCs w:val="18"/>
          <w:color w:val="auto"/>
          <w:vertAlign w:val="superscript"/>
        </w:rPr>
      </w:pPr>
    </w:p>
    <w:p>
      <w:pPr>
        <w:ind w:left="154" w:hanging="154"/>
        <w:spacing w:after="0"/>
        <w:tabs>
          <w:tab w:leader="none" w:pos="15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payments made related to workforce reduction such as severance, benefits, and other related items.</w:t>
      </w:r>
    </w:p>
    <w:p>
      <w:pPr>
        <w:sectPr>
          <w:pgSz w:w="11900" w:h="16838" w:orient="portrait"/>
          <w:cols w:equalWidth="0" w:num="1">
            <w:col w:w="11094"/>
          </w:cols>
          <w:pgMar w:left="326" w:top="873"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About Non-GAAP Financial Measures</w:t>
      </w:r>
    </w:p>
    <w:p>
      <w:pPr>
        <w:spacing w:after="0" w:line="250"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impairment charges related to real estate assets, expenses related to our reduction in force, net gains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September 30, 2022,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39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0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16"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80"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Kern Kapoor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ir@dropbox.com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Alissa Stewart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press@dropbox.com</w:t>
      </w:r>
    </w:p>
    <w:sectPr>
      <w:pgSz w:w="11900" w:h="16838" w:orient="portrait"/>
      <w:cols w:equalWidth="0" w:num="1">
        <w:col w:w="10139"/>
      </w:cols>
      <w:pgMar w:left="32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3"/>
    </w:lvl>
  </w:abstractNum>
  <w:abstractNum w:abstractNumId="4">
    <w:nsid w:val="515F007C"/>
    <w:multiLevelType w:val="hybridMultilevel"/>
    <w:lvl w:ilvl="0">
      <w:lvlJc w:val="left"/>
      <w:lvlText w:val="(%1)"/>
      <w:numFmt w:val="lowerRoman"/>
      <w:start w:val="17"/>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2022-11-03T15:58:35Z</dcterms:created>
  <dcterms:modified xsi:type="dcterms:W3CDTF">2022-11-03T15:58:35Z</dcterms:modified>
</cp:coreProperties>
</file>