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4602.xml.htm"/>
      <w:bookmarkStart w:id="1" w:name="kswkform4_17871746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Dasdan Ali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34.42</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482,384</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11,332</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34.1274</w:t>
            </w:r>
            <w:r>
              <w:rPr>
                <w:rFonts w:ascii="Times;serif" w:hAnsi="Times;serif"/>
                <w:color w:val="008000"/>
                <w:position w:val="7"/>
                <w:sz w:val="16"/>
                <w:sz w:val="20"/>
                <w:shd w:fill="FFFFFF" w:val="clear"/>
              </w:rPr>
              <w:t>(4)</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471,052</w:t>
            </w:r>
            <w:r>
              <w:rPr>
                <w:rFonts w:ascii="Times;serif" w:hAnsi="Times;serif"/>
                <w:color w:val="008000"/>
                <w:position w:val="7"/>
                <w:sz w:val="16"/>
                <w:sz w:val="20"/>
                <w:shd w:fill="FFFFFF" w:val="clear"/>
              </w:rPr>
              <w:t>(2)</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tax withholding and remittance obligations in connection with the vesting and net settlement of restricted stock units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November 15, 2030. In the event the Reporting Person ceases to be a Service Provider, the unvested restricted stock awards and restricted stock units will be cancelled by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pursuant to a Rule 10b5-1 trading plan adopted by the Reporting Person on May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$33.56 to $34.55.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Ali Dasdan Dated: 01 / 06 / 2025 Doc ID: 678979fd358892b19e075838f99ba4fd930c6cf0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(Ali Dasdan) Section_16_Power_..._Ali_Dasdan_.docx 678979fd358892b19e075838f99ba4fd930c6cf0 MM / DD / YYYY Signed 01 / 03 / 2025 00:24:23 UTC Sent for signature to Ali Dasdan (alidasdan@gmail.com) from jlelannic@dropbox.com IP: 75.172.17.40 01 / 06 / 2025 16:42:59 UTC Viewed by Ali Dasdan (alidasdan@gmail.com) IP: 76.21.92.173 01 / 06 / 2025 16:43:35 UTC Signed by Ali Dasdan (alidasdan@gmail.com) IP: 76.21.92.173 The document has been completed.01 / 06 / 2025 16:43:35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3980"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1138</Words>
  <Characters>6190</Characters>
  <CharactersWithSpaces>7253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