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1"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Washington, D.C. 20549</w:t>
      </w:r>
    </w:p>
    <w:p>
      <w:pPr>
        <w:spacing w:after="0" w:line="224"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Form 8-K</w:t>
      </w:r>
    </w:p>
    <w:p>
      <w:pPr>
        <w:spacing w:after="0" w:line="200" w:lineRule="exact"/>
        <w:rPr>
          <w:sz w:val="24"/>
          <w:szCs w:val="24"/>
          <w:color w:val="auto"/>
        </w:rPr>
      </w:pPr>
    </w:p>
    <w:p>
      <w:pPr>
        <w:spacing w:after="0" w:line="20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Pursuant to Section 13 or 15(d)</w:t>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January 30, 2020</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DROPBOX, INC.</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520"/>
          </w:cols>
          <w:pgMar w:left="240" w:top="220" w:right="139" w:bottom="1440" w:gutter="0" w:footer="0" w:header="0"/>
        </w:sectPr>
      </w:pPr>
    </w:p>
    <w:p>
      <w:pPr>
        <w:spacing w:after="0" w:line="151" w:lineRule="exact"/>
        <w:rPr>
          <w:sz w:val="24"/>
          <w:szCs w:val="24"/>
          <w:color w:val="auto"/>
        </w:rPr>
      </w:pPr>
    </w:p>
    <w:p>
      <w:pPr>
        <w:ind w:left="20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001-38434</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26-0138832</w:t>
      </w:r>
    </w:p>
    <w:p>
      <w:pPr>
        <w:spacing w:after="0" w:line="86" w:lineRule="exact"/>
        <w:rPr>
          <w:sz w:val="24"/>
          <w:szCs w:val="24"/>
          <w:color w:val="auto"/>
        </w:rPr>
      </w:pPr>
    </w:p>
    <w:p>
      <w:pPr>
        <w:sectPr>
          <w:pgSz w:w="11900" w:h="16838" w:orient="portrait"/>
          <w:cols w:equalWidth="0" w:num="3">
            <w:col w:w="4660" w:space="720"/>
            <w:col w:w="2540" w:space="720"/>
            <w:col w:w="2880"/>
          </w:cols>
          <w:pgMar w:left="240" w:top="220" w:right="139" w:bottom="1440" w:gutter="0" w:footer="0" w:header="0"/>
          <w:type w:val="continuous"/>
        </w:sectPr>
      </w:pPr>
    </w:p>
    <w:p>
      <w:pPr>
        <w:jc w:val="center"/>
        <w:ind w:left="82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 R. S. Employer Identification No.)</w:t>
      </w:r>
    </w:p>
    <w:p>
      <w:pPr>
        <w:spacing w:after="0" w:line="50" w:lineRule="exact"/>
        <w:rPr>
          <w:sz w:val="24"/>
          <w:szCs w:val="24"/>
          <w:color w:val="auto"/>
        </w:rPr>
      </w:pPr>
    </w:p>
    <w:p>
      <w:pPr>
        <w:sectPr>
          <w:pgSz w:w="11900" w:h="16838" w:orient="portrait"/>
          <w:cols w:equalWidth="0" w:num="3">
            <w:col w:w="4020" w:space="720"/>
            <w:col w:w="2200" w:space="720"/>
            <w:col w:w="3860"/>
          </w:cols>
          <w:pgMar w:left="240" w:top="220" w:right="139" w:bottom="1440" w:gutter="0" w:footer="0" w:header="0"/>
          <w:type w:val="continuous"/>
        </w:sectPr>
      </w:pPr>
    </w:p>
    <w:p>
      <w:pPr>
        <w:ind w:left="1860"/>
        <w:spacing w:after="0"/>
        <w:rPr>
          <w:sz w:val="20"/>
          <w:szCs w:val="20"/>
          <w:color w:val="auto"/>
        </w:rPr>
      </w:pPr>
      <w:r>
        <w:rPr>
          <w:rFonts w:ascii="Arial" w:cs="Arial" w:eastAsia="Arial" w:hAnsi="Arial"/>
          <w:sz w:val="16"/>
          <w:szCs w:val="16"/>
          <w:b w:val="1"/>
          <w:bCs w:val="1"/>
          <w:color w:val="auto"/>
        </w:rPr>
        <w:t>incorporation)</w:t>
      </w:r>
    </w:p>
    <w:p>
      <w:pPr>
        <w:sectPr>
          <w:pgSz w:w="11900" w:h="16838" w:orient="portrait"/>
          <w:cols w:equalWidth="0" w:num="1">
            <w:col w:w="11520"/>
          </w:cols>
          <w:pgMar w:left="240" w:top="220" w:right="139" w:bottom="1440" w:gutter="0" w:footer="0" w:header="0"/>
          <w:type w:val="continuous"/>
        </w:sectPr>
      </w:pPr>
    </w:p>
    <w:p>
      <w:pPr>
        <w:spacing w:after="0" w:line="25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0" w:lineRule="exact"/>
        <w:rPr>
          <w:sz w:val="24"/>
          <w:szCs w:val="24"/>
          <w:color w:val="auto"/>
        </w:rPr>
      </w:pPr>
    </w:p>
    <w:p>
      <w:pPr>
        <w:ind w:right="2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Written communications pursuant to Rule 425 under the Securities Act (17 CFR 230.425)</w:t>
      </w:r>
    </w:p>
    <w:p>
      <w:pPr>
        <w:spacing w:after="0" w:line="196"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Soliciting material pursuant to Rule 14a-12 under the Exchange Act (17 CFR 240.14a-12)</w:t>
      </w:r>
    </w:p>
    <w:p>
      <w:pPr>
        <w:spacing w:after="0" w:line="244"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Pre-commencement communications pursuant to Rule 14d-2(b) under the Exchange Act (17 CFR 240.14d-2(b))</w:t>
      </w:r>
    </w:p>
    <w:p>
      <w:pPr>
        <w:spacing w:after="0" w:line="244"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Pre-commencement communications pursuant to Rule 13e-4(c) under the Exchange Act (17 CFR 240.13e-4(c))</w:t>
      </w:r>
    </w:p>
    <w:p>
      <w:pPr>
        <w:spacing w:after="0" w:line="31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467360</wp:posOffset>
            </wp:positionH>
            <wp:positionV relativeFrom="paragraph">
              <wp:posOffset>100330</wp:posOffset>
            </wp:positionV>
            <wp:extent cx="63385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8570" cy="8255"/>
                    </a:xfrm>
                    <a:prstGeom prst="rect">
                      <a:avLst/>
                    </a:prstGeom>
                    <a:noFill/>
                  </pic:spPr>
                </pic:pic>
              </a:graphicData>
            </a:graphic>
          </wp:anchor>
        </w:drawing>
      </w:r>
    </w:p>
    <w:p>
      <w:pPr>
        <w:spacing w:after="0" w:line="341" w:lineRule="exact"/>
        <w:rPr>
          <w:sz w:val="24"/>
          <w:szCs w:val="24"/>
          <w:color w:val="auto"/>
        </w:rPr>
      </w:pPr>
    </w:p>
    <w:tbl>
      <w:tblPr>
        <w:tblLayout w:type="fixed"/>
        <w:tblInd w:w="88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540" w:type="dxa"/>
            <w:vAlign w:val="bottom"/>
          </w:tcPr>
          <w:p>
            <w:pPr>
              <w:spacing w:after="0"/>
              <w:rPr>
                <w:sz w:val="14"/>
                <w:szCs w:val="14"/>
                <w:color w:val="auto"/>
              </w:rPr>
            </w:pPr>
          </w:p>
        </w:tc>
        <w:tc>
          <w:tcPr>
            <w:tcW w:w="2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0"/>
        </w:trPr>
        <w:tc>
          <w:tcPr>
            <w:tcW w:w="10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4340" w:type="dxa"/>
            <w:vAlign w:val="bottom"/>
            <w:gridSpan w:val="3"/>
          </w:tcPr>
          <w:p>
            <w:pPr>
              <w:jc w:val="center"/>
              <w:ind w:right="1220"/>
              <w:spacing w:after="0"/>
              <w:rPr>
                <w:sz w:val="20"/>
                <w:szCs w:val="20"/>
                <w:color w:val="auto"/>
              </w:rPr>
            </w:pPr>
            <w:r>
              <w:rPr>
                <w:rFonts w:ascii="Arial" w:cs="Arial" w:eastAsia="Arial" w:hAnsi="Arial"/>
                <w:sz w:val="14"/>
                <w:szCs w:val="14"/>
                <w:color w:val="auto"/>
                <w:w w:val="92"/>
              </w:rPr>
              <w:t>Class A Common Stock, par value $0.00001 per share</w:t>
            </w:r>
          </w:p>
        </w:tc>
        <w:tc>
          <w:tcPr>
            <w:tcW w:w="2680" w:type="dxa"/>
            <w:vAlign w:val="bottom"/>
            <w:gridSpan w:val="2"/>
          </w:tcPr>
          <w:p>
            <w:pPr>
              <w:jc w:val="center"/>
              <w:ind w:right="1540"/>
              <w:spacing w:after="0"/>
              <w:rPr>
                <w:sz w:val="20"/>
                <w:szCs w:val="20"/>
                <w:color w:val="auto"/>
              </w:rPr>
            </w:pPr>
            <w:r>
              <w:rPr>
                <w:rFonts w:ascii="Arial" w:cs="Arial" w:eastAsia="Arial" w:hAnsi="Arial"/>
                <w:sz w:val="14"/>
                <w:szCs w:val="14"/>
                <w:color w:val="auto"/>
              </w:rPr>
              <w:t>DBX</w:t>
            </w:r>
          </w:p>
        </w:tc>
        <w:tc>
          <w:tcPr>
            <w:tcW w:w="236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The NASDAQ Stock Market LLC</w:t>
            </w:r>
          </w:p>
        </w:tc>
      </w:tr>
      <w:tr>
        <w:trPr>
          <w:trHeight w:val="337"/>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(Nasdaq Global Select Market)</w:t>
            </w:r>
          </w:p>
        </w:tc>
      </w:tr>
    </w:tbl>
    <w:p>
      <w:pPr>
        <w:spacing w:after="0" w:line="37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6"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97" w:lineRule="exact"/>
        <w:rPr>
          <w:sz w:val="24"/>
          <w:szCs w:val="24"/>
          <w:color w:val="auto"/>
        </w:rPr>
      </w:pPr>
    </w:p>
    <w:p>
      <w:pPr>
        <w:ind w:right="260"/>
        <w:spacing w:after="0" w:line="26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ectPr>
          <w:pgSz w:w="11900" w:h="16838" w:orient="portrait"/>
          <w:cols w:equalWidth="0" w:num="1">
            <w:col w:w="11520"/>
          </w:cols>
          <w:pgMar w:left="240" w:top="220" w:right="139" w:bottom="1440" w:gutter="0" w:footer="0" w:header="0"/>
          <w:type w:val="continuous"/>
        </w:sectPr>
      </w:pPr>
    </w:p>
    <w:bookmarkStart w:id="1" w:name="page2"/>
    <w:bookmarkEnd w:id="1"/>
    <w:p>
      <w:pPr>
        <w:ind w:right="380"/>
        <w:spacing w:after="0" w:line="391"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220" w:lineRule="exact"/>
        <w:rPr>
          <w:sz w:val="20"/>
          <w:szCs w:val="20"/>
          <w:color w:val="auto"/>
        </w:rPr>
      </w:pPr>
    </w:p>
    <w:p>
      <w:pPr>
        <w:ind w:right="20"/>
        <w:spacing w:after="0" w:line="364" w:lineRule="auto"/>
        <w:rPr>
          <w:sz w:val="20"/>
          <w:szCs w:val="20"/>
          <w:color w:val="auto"/>
        </w:rPr>
      </w:pPr>
      <w:r>
        <w:rPr>
          <w:rFonts w:ascii="Arial" w:cs="Arial" w:eastAsia="Arial" w:hAnsi="Arial"/>
          <w:sz w:val="18"/>
          <w:szCs w:val="18"/>
          <w:color w:val="auto"/>
        </w:rPr>
        <w:t>Dropbox, Inc. (“Dropbox” or the “Company”) announced that, effective February 6, 2020, Olivia Nottebohm, age 42, has been appointed as the Company’s Chief Operating Officer, and as such, Ms. Nottebohm will be the Company’s principal operating officer. Prior to joining Dropbox, Ms. Nottebohm served as Vice President of SMB Sales and GTM Operations, Google Cloud at Google, a global internet software services company, from September 2016 to February 2020. From August 2014 to September 2016, she served as Senior Director, Americas Product and Sales Operations, Google Ads at Google. Prior to joining Google, she was a management consultant at McKinsey &amp; Company, where her practice focused on sales strategy and operations. Ms. Nottebohm received her Bachelor of Arts in Economics from Harvard University in 1999 and her Master of Business Administration from Stanford University Graduate School of Business in 2004.</w:t>
      </w:r>
    </w:p>
    <w:p>
      <w:pPr>
        <w:spacing w:after="0" w:line="244" w:lineRule="exact"/>
        <w:rPr>
          <w:sz w:val="20"/>
          <w:szCs w:val="20"/>
          <w:color w:val="auto"/>
        </w:rPr>
      </w:pPr>
    </w:p>
    <w:p>
      <w:pPr>
        <w:ind w:right="100"/>
        <w:spacing w:after="0" w:line="365" w:lineRule="auto"/>
        <w:rPr>
          <w:sz w:val="20"/>
          <w:szCs w:val="20"/>
          <w:color w:val="auto"/>
        </w:rPr>
      </w:pPr>
      <w:r>
        <w:rPr>
          <w:rFonts w:ascii="Arial" w:cs="Arial" w:eastAsia="Arial" w:hAnsi="Arial"/>
          <w:sz w:val="18"/>
          <w:szCs w:val="18"/>
          <w:color w:val="auto"/>
        </w:rPr>
        <w:t>There are no arrangements or understandings between Ms. Nottebohm and any other persons, pursuant to which she was appointed as Chief Operating Officer. There are no family relationships among any of the Company’s directors or executive officers and Ms. Nottebohm. Ms. Nottebohm is not a party to any transaction required to be disclosed pursuant to Item 404(a) of Regulation S-K. In connection with her appointment as the Chief Operating Officer, Ms. Nottebohm will execute the Company’s standard form of indemnification agreement. The form of indemnification agreement was filed as Exhibit 10.1 to the Company’s Registration Statement on Form S-1 (File No. 333-223182) filed with the Securities and Exchange Commission (the “SEC”) on February 23, 2018.</w:t>
      </w:r>
    </w:p>
    <w:p>
      <w:pPr>
        <w:spacing w:after="0" w:line="243" w:lineRule="exact"/>
        <w:rPr>
          <w:sz w:val="20"/>
          <w:szCs w:val="20"/>
          <w:color w:val="auto"/>
        </w:rPr>
      </w:pPr>
    </w:p>
    <w:p>
      <w:pPr>
        <w:ind w:right="180"/>
        <w:spacing w:after="0" w:line="399" w:lineRule="auto"/>
        <w:rPr>
          <w:sz w:val="20"/>
          <w:szCs w:val="20"/>
          <w:color w:val="auto"/>
        </w:rPr>
      </w:pPr>
      <w:r>
        <w:rPr>
          <w:rFonts w:ascii="Arial" w:cs="Arial" w:eastAsia="Arial" w:hAnsi="Arial"/>
          <w:sz w:val="17"/>
          <w:szCs w:val="17"/>
          <w:color w:val="auto"/>
        </w:rPr>
        <w:t>Ms. Nottebohm will receive an annual base salary of $500,000 per year and will be eligible to participate in the Company’s cash bonus plan, with an annual performance-based target of up to 100% of her base salary. In addition, Ms. Nottebohm will also be granted a restricted stock award covering shares of the Company’s Class A common stock with a value of $16,000,000 pursuant to the Company’s 2018 Equity Incentive Plan and an award agreement. The restricted stock award will vest as to 25% of the shares subject to the award on February 15, 2021 and as to 1/16</w:t>
      </w:r>
      <w:r>
        <w:rPr>
          <w:rFonts w:ascii="Arial" w:cs="Arial" w:eastAsia="Arial" w:hAnsi="Arial"/>
          <w:sz w:val="9"/>
          <w:szCs w:val="9"/>
          <w:color w:val="auto"/>
        </w:rPr>
        <w:t>th</w:t>
      </w:r>
      <w:r>
        <w:rPr>
          <w:rFonts w:ascii="Arial" w:cs="Arial" w:eastAsia="Arial" w:hAnsi="Arial"/>
          <w:sz w:val="17"/>
          <w:szCs w:val="17"/>
          <w:color w:val="auto"/>
        </w:rPr>
        <w:t xml:space="preserve"> of the shares subject to the award every three months thereafter (on the 15</w:t>
      </w:r>
      <w:r>
        <w:rPr>
          <w:rFonts w:ascii="Arial" w:cs="Arial" w:eastAsia="Arial" w:hAnsi="Arial"/>
          <w:sz w:val="9"/>
          <w:szCs w:val="9"/>
          <w:color w:val="auto"/>
        </w:rPr>
        <w:t>th</w:t>
      </w:r>
      <w:r>
        <w:rPr>
          <w:rFonts w:ascii="Arial" w:cs="Arial" w:eastAsia="Arial" w:hAnsi="Arial"/>
          <w:sz w:val="17"/>
          <w:szCs w:val="17"/>
          <w:color w:val="auto"/>
        </w:rPr>
        <w:t xml:space="preserve"> day of the month), subject to Ms. Nottebohm remaining in service.</w:t>
      </w:r>
    </w:p>
    <w:p>
      <w:pPr>
        <w:spacing w:after="0" w:line="250" w:lineRule="exact"/>
        <w:rPr>
          <w:sz w:val="20"/>
          <w:szCs w:val="20"/>
          <w:color w:val="auto"/>
        </w:rPr>
      </w:pPr>
    </w:p>
    <w:p>
      <w:pPr>
        <w:spacing w:after="0" w:line="419" w:lineRule="auto"/>
        <w:rPr>
          <w:sz w:val="20"/>
          <w:szCs w:val="20"/>
          <w:color w:val="auto"/>
        </w:rPr>
      </w:pPr>
      <w:r>
        <w:rPr>
          <w:rFonts w:ascii="Arial" w:cs="Arial" w:eastAsia="Arial" w:hAnsi="Arial"/>
          <w:sz w:val="16"/>
          <w:szCs w:val="16"/>
          <w:color w:val="auto"/>
        </w:rPr>
        <w:t>In connection with her appointment, Ms. Nottebohm will be eligible to receive the same severance and change in control terms applicable to Messrs. Volkmer and Vashee, as described in the Company’s proxy statement filed the SEC on April 9, 2019 (except for the vesting acceleration described in this sentence), and become a party to the change in control and severance agreement on substantially the form previously filed as Exhibit 10.11 to the Company’s annual report filed on Form 10-K (File Number 333-223182) with the SEC on February 25, 2019, except that in the event of a qualifying termination of employment outside of a change in control, she will be entitled to 3 months of accelerated vesting on all outstanding equity incentive awards (the “Severance Agreement”).</w:t>
      </w:r>
    </w:p>
    <w:p>
      <w:pPr>
        <w:spacing w:after="0" w:line="215" w:lineRule="exact"/>
        <w:rPr>
          <w:sz w:val="20"/>
          <w:szCs w:val="20"/>
          <w:color w:val="auto"/>
        </w:rPr>
      </w:pPr>
    </w:p>
    <w:p>
      <w:pPr>
        <w:ind w:right="800"/>
        <w:spacing w:after="0" w:line="465" w:lineRule="auto"/>
        <w:rPr>
          <w:sz w:val="20"/>
          <w:szCs w:val="20"/>
          <w:color w:val="auto"/>
        </w:rPr>
      </w:pPr>
      <w:r>
        <w:rPr>
          <w:rFonts w:ascii="Arial" w:cs="Arial" w:eastAsia="Arial" w:hAnsi="Arial"/>
          <w:sz w:val="16"/>
          <w:szCs w:val="16"/>
          <w:color w:val="auto"/>
        </w:rPr>
        <w:t>The foregoing description of the Severance Agreement does not purport to be complete and is qualified in its entirety by reference to the Severance Agreement, the form of which will be filed with the Company’s Annual Report on Form 10-K for the fiscal year ending December 31,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the blog post attached as Exhibit 99.1 to this Current Report on Form 8-K.</w:t>
      </w:r>
    </w:p>
    <w:p>
      <w:pPr>
        <w:sectPr>
          <w:pgSz w:w="11900" w:h="16838" w:orient="portrait"/>
          <w:cols w:equalWidth="0" w:num="1">
            <w:col w:w="11400"/>
          </w:cols>
          <w:pgMar w:left="240" w:top="607"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3"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9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3"/>
              </w:rPr>
              <w:t>Exhibit</w:t>
            </w:r>
          </w:p>
        </w:tc>
        <w:tc>
          <w:tcPr>
            <w:tcW w:w="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80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840" w:type="dxa"/>
            <w:vAlign w:val="bottom"/>
            <w:gridSpan w:val="2"/>
          </w:tcPr>
          <w:p>
            <w:pPr>
              <w:jc w:val="center"/>
              <w:ind w:right="480"/>
              <w:spacing w:after="0" w:line="194" w:lineRule="exact"/>
              <w:rPr>
                <w:sz w:val="20"/>
                <w:szCs w:val="20"/>
                <w:color w:val="auto"/>
              </w:rPr>
            </w:pPr>
            <w:r>
              <w:rPr>
                <w:rFonts w:ascii="Arial" w:cs="Arial" w:eastAsia="Arial" w:hAnsi="Arial"/>
                <w:sz w:val="18"/>
                <w:szCs w:val="18"/>
                <w:b w:val="1"/>
                <w:bCs w:val="1"/>
                <w:color w:val="auto"/>
                <w:w w:val="96"/>
              </w:rPr>
              <w:t>No.</w:t>
            </w:r>
          </w:p>
        </w:tc>
        <w:tc>
          <w:tcPr>
            <w:tcW w:w="40" w:type="dxa"/>
            <w:vAlign w:val="bottom"/>
          </w:tcPr>
          <w:p>
            <w:pPr>
              <w:spacing w:after="0"/>
              <w:rPr>
                <w:sz w:val="16"/>
                <w:szCs w:val="16"/>
                <w:color w:val="auto"/>
              </w:rPr>
            </w:pPr>
          </w:p>
        </w:tc>
        <w:tc>
          <w:tcPr>
            <w:tcW w:w="100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Exhibit Description</w:t>
            </w:r>
          </w:p>
        </w:tc>
      </w:tr>
      <w:tr>
        <w:trPr>
          <w:trHeight w:val="47"/>
        </w:trPr>
        <w:tc>
          <w:tcPr>
            <w:tcW w:w="12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5800" w:type="dxa"/>
            <w:vAlign w:val="bottom"/>
            <w:tcBorders>
              <w:bottom w:val="single" w:sz="8" w:color="auto"/>
            </w:tcBorders>
          </w:tcPr>
          <w:p>
            <w:pPr>
              <w:spacing w:after="0"/>
              <w:rPr>
                <w:sz w:val="4"/>
                <w:szCs w:val="4"/>
                <w:color w:val="auto"/>
              </w:rPr>
            </w:pPr>
          </w:p>
        </w:tc>
      </w:tr>
      <w:tr>
        <w:trPr>
          <w:trHeight w:val="196"/>
        </w:trPr>
        <w:tc>
          <w:tcPr>
            <w:tcW w:w="960" w:type="dxa"/>
            <w:vAlign w:val="bottom"/>
            <w:gridSpan w:val="3"/>
          </w:tcPr>
          <w:p>
            <w:pPr>
              <w:jc w:val="center"/>
              <w:ind w:right="400"/>
              <w:spacing w:after="0" w:line="196" w:lineRule="exact"/>
              <w:rPr>
                <w:sz w:val="20"/>
                <w:szCs w:val="20"/>
                <w:color w:val="auto"/>
              </w:rPr>
            </w:pPr>
            <w:r>
              <w:rPr>
                <w:rFonts w:ascii="Arial" w:cs="Arial" w:eastAsia="Arial" w:hAnsi="Arial"/>
                <w:sz w:val="18"/>
                <w:szCs w:val="18"/>
                <w:color w:val="auto"/>
                <w:w w:val="91"/>
              </w:rPr>
              <w:t>99.1</w:t>
            </w:r>
          </w:p>
        </w:tc>
        <w:tc>
          <w:tcPr>
            <w:tcW w:w="40" w:type="dxa"/>
            <w:vAlign w:val="bottom"/>
          </w:tcPr>
          <w:p>
            <w:pPr>
              <w:spacing w:after="0"/>
              <w:rPr>
                <w:sz w:val="17"/>
                <w:szCs w:val="17"/>
                <w:color w:val="auto"/>
              </w:rPr>
            </w:pPr>
          </w:p>
        </w:tc>
        <w:tc>
          <w:tcPr>
            <w:tcW w:w="10000" w:type="dxa"/>
            <w:vAlign w:val="bottom"/>
            <w:gridSpan w:val="2"/>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Blog post published by Dropbox, Inc. on January 30, 2020</w:t>
              </w:r>
            </w:hyperlink>
          </w:p>
        </w:tc>
      </w:tr>
      <w:tr>
        <w:trPr>
          <w:trHeight w:val="20"/>
        </w:trPr>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769"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30, 2020</w:t>
      </w:r>
    </w:p>
    <w:p>
      <w:pPr>
        <w:spacing w:after="0" w:line="200" w:lineRule="exact"/>
        <w:rPr>
          <w:sz w:val="20"/>
          <w:szCs w:val="20"/>
          <w:color w:val="auto"/>
        </w:rPr>
      </w:pPr>
    </w:p>
    <w:p>
      <w:pPr>
        <w:spacing w:after="0" w:line="39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Dropbox, Inc.</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31750</wp:posOffset>
            </wp:positionV>
            <wp:extent cx="2827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56"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Bart Volkmer</w:t>
      </w:r>
    </w:p>
    <w:p>
      <w:pPr>
        <w:spacing w:after="0" w:line="6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260"/>
          </w:cols>
          <w:pgMar w:left="240" w:top="553" w:right="3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Welcome Olivia, our new COO!</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We’re excited to announce that Olivia Nottebohm is joining Dropbox as our new Chief Operating Officer.</w:t>
      </w:r>
    </w:p>
    <w:p>
      <w:pPr>
        <w:spacing w:after="0" w:line="373" w:lineRule="exact"/>
        <w:rPr>
          <w:sz w:val="20"/>
          <w:szCs w:val="20"/>
          <w:color w:val="auto"/>
        </w:rPr>
      </w:pPr>
    </w:p>
    <w:p>
      <w:pPr>
        <w:ind w:right="280"/>
        <w:spacing w:after="0" w:line="373" w:lineRule="auto"/>
        <w:rPr>
          <w:sz w:val="20"/>
          <w:szCs w:val="20"/>
          <w:color w:val="auto"/>
        </w:rPr>
      </w:pPr>
      <w:r>
        <w:rPr>
          <w:rFonts w:ascii="Arial" w:cs="Arial" w:eastAsia="Arial" w:hAnsi="Arial"/>
          <w:sz w:val="18"/>
          <w:szCs w:val="18"/>
          <w:color w:val="auto"/>
        </w:rPr>
        <w:t>Olivia comes to us from Google Cloud, where she was VP of SMB Sales and GTM Operations leading go- to-market efforts and driving revenue for a portfolio of business products that included G Suite. She helped build and scale Google Cloud’s business, overseeing a cross-functional operations team of sales, customer engineering, business development, operations, and professional services.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Prior to that, Olivia was a partner at McKinsey, where she worked with companies to build and execute against successful go-to-market strategies at scale.</w:t>
      </w:r>
    </w:p>
    <w:p>
      <w:pPr>
        <w:spacing w:after="0" w:line="396" w:lineRule="exact"/>
        <w:rPr>
          <w:sz w:val="20"/>
          <w:szCs w:val="20"/>
          <w:color w:val="auto"/>
        </w:rPr>
      </w:pPr>
    </w:p>
    <w:p>
      <w:pPr>
        <w:ind w:right="240"/>
        <w:spacing w:after="0" w:line="386" w:lineRule="auto"/>
        <w:rPr>
          <w:sz w:val="20"/>
          <w:szCs w:val="20"/>
          <w:color w:val="auto"/>
        </w:rPr>
      </w:pPr>
      <w:r>
        <w:rPr>
          <w:rFonts w:ascii="Arial" w:cs="Arial" w:eastAsia="Arial" w:hAnsi="Arial"/>
          <w:sz w:val="18"/>
          <w:szCs w:val="18"/>
          <w:color w:val="auto"/>
        </w:rPr>
        <w:t>Olivia has a great mix of big picture strategic thinking and a hands-on leadership style, and we were excited to learn how much of her values align with our own. She has a reputation for setting a high bar, focusing on impact, and building trust within her organization.</w:t>
      </w:r>
    </w:p>
    <w:p>
      <w:pPr>
        <w:spacing w:after="0" w:line="225" w:lineRule="exact"/>
        <w:rPr>
          <w:sz w:val="20"/>
          <w:szCs w:val="20"/>
          <w:color w:val="auto"/>
        </w:rPr>
      </w:pPr>
    </w:p>
    <w:p>
      <w:pPr>
        <w:jc w:val="both"/>
        <w:ind w:right="140"/>
        <w:spacing w:after="0" w:line="373" w:lineRule="auto"/>
        <w:rPr>
          <w:sz w:val="20"/>
          <w:szCs w:val="20"/>
          <w:color w:val="auto"/>
        </w:rPr>
      </w:pPr>
      <w:r>
        <w:rPr>
          <w:rFonts w:ascii="Arial" w:cs="Arial" w:eastAsia="Arial" w:hAnsi="Arial"/>
          <w:sz w:val="18"/>
          <w:szCs w:val="18"/>
          <w:color w:val="auto"/>
        </w:rPr>
        <w:t>2019 was an important year for Dropbox-we launched the biggest changes to our product in our history and unveiled our vision for the smart workspace. We also welcomed Timothy Young and Bharat Mediratta who are leading our engineering, product, and design teams, as well as Tifenn Dano Kwan as our new CMO, and Jamie Perlman as our VP of Business Development.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We're thrilled to have Olivia join our leadership team to help take us into our next phase of growth. Welcome, Olivia!</w:t>
      </w:r>
    </w:p>
    <w:sectPr>
      <w:pgSz w:w="11900" w:h="16838" w:orient="portrait"/>
      <w:cols w:equalWidth="0" w:num="1">
        <w:col w:w="11420"/>
      </w:cols>
      <w:pgMar w:left="240" w:top="7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2020-01-31T13:19:03Z</dcterms:created>
  <dcterms:modified xsi:type="dcterms:W3CDTF">2020-01-31T13:19:03Z</dcterms:modified>
</cp:coreProperties>
</file>