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DROPBOX,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9"/>
        <w:gridCol w:w="7936"/>
      </w:tblGrid>
      <w:tr>
        <w:trPr/>
        <w:tc>
          <w:tcPr>
            <w:tcW w:w="2269" w:type="dxa"/>
            <w:tcBorders/>
            <w:vAlign w:val="center"/>
          </w:tcPr>
          <w:p>
            <w:pPr>
              <w:pStyle w:val="TableContents"/>
              <w:bidi w:val="0"/>
              <w:spacing w:before="0" w:after="283"/>
              <w:jc w:val="left"/>
              <w:rPr/>
            </w:pPr>
            <w:r>
              <w:rPr/>
              <w:t>1</w:t>
            </w:r>
          </w:p>
        </w:tc>
        <w:tc>
          <w:tcPr>
            <w:tcW w:w="793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LSV ASSET MANAGEMENT</w:t>
            </w:r>
          </w:p>
        </w:tc>
      </w:tr>
      <w:tr>
        <w:trPr/>
        <w:tc>
          <w:tcPr>
            <w:tcW w:w="2269" w:type="dxa"/>
            <w:tcBorders/>
            <w:vAlign w:val="center"/>
          </w:tcPr>
          <w:p>
            <w:pPr>
              <w:pStyle w:val="TableContents"/>
              <w:bidi w:val="0"/>
              <w:spacing w:before="0" w:after="283"/>
              <w:jc w:val="left"/>
              <w:rPr/>
            </w:pPr>
            <w:r>
              <w:rPr/>
              <w:t>2</w:t>
            </w:r>
          </w:p>
        </w:tc>
        <w:tc>
          <w:tcPr>
            <w:tcW w:w="793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9" w:type="dxa"/>
            <w:tcBorders/>
            <w:vAlign w:val="center"/>
          </w:tcPr>
          <w:p>
            <w:pPr>
              <w:pStyle w:val="TableContents"/>
              <w:bidi w:val="0"/>
              <w:spacing w:before="0" w:after="283"/>
              <w:jc w:val="left"/>
              <w:rPr/>
            </w:pPr>
            <w:r>
              <w:rPr/>
              <w:t>3</w:t>
            </w:r>
          </w:p>
        </w:tc>
        <w:tc>
          <w:tcPr>
            <w:tcW w:w="7936" w:type="dxa"/>
            <w:tcBorders/>
            <w:vAlign w:val="center"/>
          </w:tcPr>
          <w:p>
            <w:pPr>
              <w:pStyle w:val="TableContents"/>
              <w:bidi w:val="0"/>
              <w:spacing w:before="0" w:after="283"/>
              <w:jc w:val="left"/>
              <w:rPr/>
            </w:pPr>
            <w:r>
              <w:rPr/>
              <w:t>Sec Use Only</w:t>
            </w:r>
          </w:p>
        </w:tc>
      </w:tr>
      <w:tr>
        <w:trPr/>
        <w:tc>
          <w:tcPr>
            <w:tcW w:w="2269" w:type="dxa"/>
            <w:tcBorders/>
            <w:vAlign w:val="center"/>
          </w:tcPr>
          <w:p>
            <w:pPr>
              <w:pStyle w:val="TableContents"/>
              <w:bidi w:val="0"/>
              <w:spacing w:before="0" w:after="283"/>
              <w:jc w:val="left"/>
              <w:rPr/>
            </w:pPr>
            <w:r>
              <w:rPr/>
              <w:t>4</w:t>
            </w:r>
          </w:p>
        </w:tc>
        <w:tc>
          <w:tcPr>
            <w:tcW w:w="793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6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6,984,876.00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11,517,528.00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36" w:type="dxa"/>
            <w:tcBorders/>
            <w:vAlign w:val="center"/>
          </w:tcPr>
          <w:p>
            <w:pPr>
              <w:pStyle w:val="TableContents"/>
              <w:bidi w:val="0"/>
              <w:spacing w:before="0" w:after="283"/>
              <w:jc w:val="left"/>
              <w:rPr>
                <w:sz w:val="4"/>
                <w:szCs w:val="4"/>
              </w:rPr>
            </w:pPr>
            <w:r>
              <w:rPr>
                <w:sz w:val="4"/>
                <w:szCs w:val="4"/>
              </w:rPr>
            </w:r>
          </w:p>
        </w:tc>
      </w:tr>
      <w:tr>
        <w:trPr/>
        <w:tc>
          <w:tcPr>
            <w:tcW w:w="2269" w:type="dxa"/>
            <w:tcBorders/>
            <w:vAlign w:val="center"/>
          </w:tcPr>
          <w:p>
            <w:pPr>
              <w:pStyle w:val="TableContents"/>
              <w:bidi w:val="0"/>
              <w:spacing w:before="0" w:after="283"/>
              <w:jc w:val="left"/>
              <w:rPr/>
            </w:pPr>
            <w:r>
              <w:rPr/>
              <w:t>9</w:t>
            </w:r>
          </w:p>
        </w:tc>
        <w:tc>
          <w:tcPr>
            <w:tcW w:w="793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11,517,528.00</w:t>
            </w:r>
          </w:p>
        </w:tc>
      </w:tr>
      <w:tr>
        <w:trPr/>
        <w:tc>
          <w:tcPr>
            <w:tcW w:w="2269" w:type="dxa"/>
            <w:tcBorders/>
            <w:vAlign w:val="center"/>
          </w:tcPr>
          <w:p>
            <w:pPr>
              <w:pStyle w:val="TableContents"/>
              <w:bidi w:val="0"/>
              <w:spacing w:before="0" w:after="283"/>
              <w:jc w:val="left"/>
              <w:rPr/>
            </w:pPr>
            <w:r>
              <w:rPr/>
              <w:t>10</w:t>
            </w:r>
          </w:p>
        </w:tc>
        <w:tc>
          <w:tcPr>
            <w:tcW w:w="793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9" w:type="dxa"/>
            <w:tcBorders/>
            <w:vAlign w:val="center"/>
          </w:tcPr>
          <w:p>
            <w:pPr>
              <w:pStyle w:val="TableContents"/>
              <w:bidi w:val="0"/>
              <w:spacing w:before="0" w:after="283"/>
              <w:jc w:val="left"/>
              <w:rPr/>
            </w:pPr>
            <w:r>
              <w:rPr/>
              <w:t>11</w:t>
            </w:r>
          </w:p>
        </w:tc>
        <w:tc>
          <w:tcPr>
            <w:tcW w:w="793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269" w:type="dxa"/>
            <w:tcBorders/>
            <w:vAlign w:val="center"/>
          </w:tcPr>
          <w:p>
            <w:pPr>
              <w:pStyle w:val="TableContents"/>
              <w:bidi w:val="0"/>
              <w:spacing w:before="0" w:after="283"/>
              <w:jc w:val="left"/>
              <w:rPr/>
            </w:pPr>
            <w:r>
              <w:rPr/>
              <w:t>12</w:t>
            </w:r>
          </w:p>
        </w:tc>
        <w:tc>
          <w:tcPr>
            <w:tcW w:w="793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2"/>
        <w:gridCol w:w="8938"/>
        <w:gridCol w:w="155"/>
      </w:tblGrid>
      <w:tr>
        <w:trPr/>
        <w:tc>
          <w:tcPr>
            <w:tcW w:w="1112" w:type="dxa"/>
            <w:tcBorders/>
            <w:vAlign w:val="center"/>
          </w:tcPr>
          <w:p>
            <w:pPr>
              <w:pStyle w:val="TableContents"/>
              <w:bidi w:val="0"/>
              <w:spacing w:before="0" w:after="283"/>
              <w:jc w:val="left"/>
              <w:rPr/>
            </w:pPr>
            <w:r>
              <w:rPr/>
              <w:t>Item 1.</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issuer: </w:t>
            </w:r>
          </w:p>
          <w:p>
            <w:pPr>
              <w:pStyle w:val="TableContents"/>
              <w:bidi w:val="0"/>
              <w:spacing w:before="0" w:after="0"/>
              <w:jc w:val="left"/>
              <w:rPr/>
            </w:pPr>
            <w:r>
              <w:rPr/>
              <w:t>DROPBOX, INC.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 HAWTHORNE ST., 50 HAWTHORNE ST., SAN FRANCISCO, CALIFORNIA, 94105.</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2.</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person filing: </w:t>
            </w:r>
          </w:p>
          <w:p>
            <w:pPr>
              <w:pStyle w:val="TableContents"/>
              <w:bidi w:val="0"/>
              <w:spacing w:before="0" w:after="0"/>
              <w:jc w:val="left"/>
              <w:rPr/>
            </w:pPr>
            <w:r>
              <w:rPr/>
              <w:t>LSV Asset Management</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155 North Wacker Drive, Suite 4600, Chicago, Illinois, 60606</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jc w:val="left"/>
              <w:rPr/>
            </w:pPr>
            <w:r>
              <w:rPr/>
              <w:t xml:space="preserve">Citizenship: </w:t>
            </w:r>
          </w:p>
          <w:p>
            <w:pPr>
              <w:pStyle w:val="TableContents"/>
              <w:bidi w:val="0"/>
              <w:spacing w:before="0" w:after="0"/>
              <w:jc w:val="left"/>
              <w:rPr/>
            </w:pPr>
            <w:r>
              <w:rPr/>
              <w:t>State of Delaware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3.</w:t>
            </w:r>
          </w:p>
        </w:tc>
        <w:tc>
          <w:tcPr>
            <w:tcW w:w="893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(f)</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(g)</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(h)</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(j)</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(k)</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9093"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4.</w:t>
            </w:r>
          </w:p>
        </w:tc>
        <w:tc>
          <w:tcPr>
            <w:tcW w:w="893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11,517,528</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7.29%  %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6,984,876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11,517,528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5.</w:t>
            </w:r>
          </w:p>
        </w:tc>
        <w:tc>
          <w:tcPr>
            <w:tcW w:w="893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6.</w:t>
            </w:r>
          </w:p>
        </w:tc>
        <w:tc>
          <w:tcPr>
            <w:tcW w:w="893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clients of LSV Asset Management, including funds and/or managed accounts, have the right to receive or the power to direct the receipt of dividends from, or the proceeds from the sale of,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7.</w:t>
            </w:r>
          </w:p>
        </w:tc>
        <w:tc>
          <w:tcPr>
            <w:tcW w:w="893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8.</w:t>
            </w:r>
          </w:p>
        </w:tc>
        <w:tc>
          <w:tcPr>
            <w:tcW w:w="893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9.</w:t>
            </w:r>
          </w:p>
        </w:tc>
        <w:tc>
          <w:tcPr>
            <w:tcW w:w="893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LSV ASSET MANAGEMENT</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Josh ODonnell</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854</Words>
  <Characters>4361</Characters>
  <CharactersWithSpaces>5206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