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35"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20" w:type="dxa"/>
            <w:vAlign w:val="bottom"/>
            <w:gridSpan w:val="4"/>
          </w:tcPr>
          <w:p>
            <w:pPr>
              <w:ind w:left="160"/>
              <w:spacing w:after="0" w:line="173" w:lineRule="exact"/>
              <w:rPr>
                <w:sz w:val="20"/>
                <w:szCs w:val="20"/>
                <w:color w:val="auto"/>
              </w:rPr>
            </w:pPr>
            <w:r>
              <w:rPr>
                <w:rFonts w:ascii="Arial" w:cs="Arial" w:eastAsia="Arial" w:hAnsi="Arial"/>
                <w:sz w:val="17"/>
                <w:szCs w:val="17"/>
                <w:color w:val="0000FF"/>
              </w:rPr>
              <w:t>12/03/2020</w:t>
            </w: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gridSpan w:val="2"/>
          </w:tcPr>
          <w:p>
            <w:pPr>
              <w:jc w:val="right"/>
              <w:ind w:right="35"/>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7"/>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line="148"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195"/>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12/01/2020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1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1,588,704</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2,518,230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Form 4 is being amended to reflect the maximum number of shares that may be issued pursuant to a restricted stock award of Class A Common Stock, originally issued on December 1, 2020, upon achievement of service-based, market-based, and liquidity event-related performance vesting conditions. The previously filed Form 4 reflected the number of shares that may be issued upon achievement of the performance related vesting conditions at target.</w:t>
      </w:r>
    </w:p>
    <w:p>
      <w:pPr>
        <w:spacing w:after="0" w:line="25" w:lineRule="exact"/>
        <w:rPr>
          <w:rFonts w:ascii="Arial" w:cs="Arial" w:eastAsia="Arial" w:hAnsi="Arial"/>
          <w:sz w:val="13"/>
          <w:szCs w:val="13"/>
          <w:color w:val="008000"/>
        </w:rPr>
      </w:pPr>
    </w:p>
    <w:p>
      <w:pPr>
        <w:jc w:val="both"/>
        <w:ind w:left="40" w:right="32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Column 5 reflects shares beneficially owned as of December 1, 2020, the date of the transaction reported in the original Form 4 filing. 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or if certain restricted stock awards do not satisfy market-based or liquidity event-related performance vesting conditions, the unvested restricted stock awards will be cancelled by the Issuer.</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12/29/2021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2021-12-29T16:27:23Z</dcterms:created>
  <dcterms:modified xsi:type="dcterms:W3CDTF">2021-12-29T16:27:23Z</dcterms:modified>
</cp:coreProperties>
</file>