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201930</wp:posOffset>
            </wp:positionV>
            <wp:extent cx="1775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-130175</wp:posOffset>
            </wp:positionV>
            <wp:extent cx="1775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4"/>
          <w:szCs w:val="24"/>
          <w:color w:val="auto"/>
        </w:rPr>
      </w:pPr>
    </w:p>
    <w:p>
      <w:pPr>
        <w:ind w:left="3880" w:right="2120" w:hanging="3866"/>
        <w:spacing w:after="0" w:line="2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For the quarterly period ended September 30, 2018</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760" w:right="2040" w:hanging="3752"/>
        <w:spacing w:after="0" w:line="266"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317500</wp:posOffset>
            </wp:positionV>
            <wp:extent cx="3009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Dropbox,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167640</wp:posOffset>
            </wp:positionV>
            <wp:extent cx="3009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26-0138832</w:t>
      </w:r>
    </w:p>
    <w:p>
      <w:pPr>
        <w:spacing w:after="0" w:line="188" w:lineRule="exact"/>
        <w:rPr>
          <w:sz w:val="24"/>
          <w:szCs w:val="24"/>
          <w:color w:val="auto"/>
        </w:rPr>
      </w:pPr>
    </w:p>
    <w:p>
      <w:pPr>
        <w:sectPr>
          <w:pgSz w:w="11900" w:h="16838" w:orient="portrait"/>
          <w:cols w:equalWidth="0" w:num="2">
            <w:col w:w="8700" w:space="720"/>
            <w:col w:w="2000"/>
          </w:cols>
          <w:pgMar w:left="240" w:top="229" w:right="239" w:bottom="1440" w:gutter="0" w:footer="0" w:header="0"/>
          <w:type w:val="continuous"/>
        </w:sectPr>
      </w:pPr>
    </w:p>
    <w:p>
      <w:pPr>
        <w:ind w:left="5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7800" w:space="720"/>
            <w:col w:w="2900"/>
          </w:cols>
          <w:pgMar w:left="240" w:top="229" w:right="239" w:bottom="1440" w:gutter="0" w:footer="0" w:header="0"/>
          <w:type w:val="continuous"/>
        </w:sectPr>
      </w:pP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-127635</wp:posOffset>
            </wp:positionV>
            <wp:extent cx="3009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Brannan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09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4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28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80" w:type="dxa"/>
            <w:vAlign w:val="bottom"/>
          </w:tcPr>
          <w:p>
            <w:pPr>
              <w:jc w:val="right"/>
              <w:ind w:right="128"/>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3240" w:type="dxa"/>
            <w:vAlign w:val="bottom"/>
          </w:tcPr>
          <w:p>
            <w:pPr>
              <w:spacing w:after="0"/>
              <w:rPr>
                <w:sz w:val="20"/>
                <w:szCs w:val="20"/>
                <w:color w:val="auto"/>
              </w:rPr>
            </w:pPr>
            <w:r>
              <w:rPr>
                <w:rFonts w:ascii="Arial" w:cs="Arial" w:eastAsia="Arial" w:hAnsi="Arial"/>
                <w:sz w:val="14"/>
                <w:szCs w:val="14"/>
                <w:color w:val="auto"/>
              </w:rPr>
              <w:t>Non-accelerated filer</w:t>
            </w:r>
          </w:p>
        </w:tc>
        <w:tc>
          <w:tcPr>
            <w:tcW w:w="2280" w:type="dxa"/>
            <w:vAlign w:val="bottom"/>
          </w:tcPr>
          <w:p>
            <w:pPr>
              <w:jc w:val="right"/>
              <w:ind w:right="128"/>
              <w:spacing w:after="0"/>
              <w:rPr>
                <w:sz w:val="20"/>
                <w:szCs w:val="20"/>
                <w:color w:val="auto"/>
              </w:rPr>
            </w:pPr>
            <w:r>
              <w:rPr>
                <w:rFonts w:ascii="Arial" w:cs="Arial" w:eastAsia="Arial" w:hAnsi="Arial"/>
                <w:sz w:val="14"/>
                <w:szCs w:val="14"/>
                <w:color w:val="auto"/>
              </w:rPr>
              <w:t>x</w:t>
            </w:r>
          </w:p>
        </w:tc>
        <w:tc>
          <w:tcPr>
            <w:tcW w:w="374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32"/>
        </w:trPr>
        <w:tc>
          <w:tcPr>
            <w:tcW w:w="3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7"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As of October 31, 2018, there were 167,969,877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238,553,683 shares of the registrant’s Class B common stock outstanding, and no shares of the registrant’s Class C common stock outstanding.</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both"/>
        <w:spacing w:after="0" w:line="25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2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PART I. FINANCIAL INFORMATION</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1.</w:t>
      </w:r>
      <w:r>
        <w:rPr>
          <w:sz w:val="20"/>
          <w:szCs w:val="20"/>
          <w:color w:val="auto"/>
        </w:rPr>
        <w:tab/>
      </w:r>
      <w:hyperlink w:anchor="page6">
        <w:r>
          <w:rPr>
            <w:rFonts w:ascii="Arial" w:cs="Arial" w:eastAsia="Arial" w:hAnsi="Arial"/>
            <w:sz w:val="14"/>
            <w:szCs w:val="14"/>
            <w:u w:val="single" w:color="auto"/>
            <w:color w:val="0000EE"/>
          </w:rPr>
          <w:t>Condensed Consolidated Financial Statements (Unaudited)</w:t>
        </w:r>
      </w:hyperlink>
    </w:p>
    <w:p>
      <w:pPr>
        <w:spacing w:after="0" w:line="73" w:lineRule="exact"/>
        <w:rPr>
          <w:sz w:val="20"/>
          <w:szCs w:val="20"/>
          <w:color w:val="auto"/>
        </w:rPr>
      </w:pPr>
    </w:p>
    <w:p>
      <w:pPr>
        <w:ind w:left="108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Balance Sheets as of September 30, 2018 and December 31, 2017</w:t>
        </w:r>
      </w:hyperlink>
    </w:p>
    <w:p>
      <w:pPr>
        <w:spacing w:after="0" w:line="86" w:lineRule="exact"/>
        <w:rPr>
          <w:sz w:val="20"/>
          <w:szCs w:val="20"/>
          <w:color w:val="auto"/>
        </w:rPr>
      </w:pPr>
    </w:p>
    <w:p>
      <w:pPr>
        <w:ind w:left="108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Condensed Consolidated Statements of Operations for the Three and Nine Months Ended September 30, 2018 and 2017</w:t>
        </w:r>
      </w:hyperlink>
    </w:p>
    <w:p>
      <w:pPr>
        <w:spacing w:after="0" w:line="98" w:lineRule="exact"/>
        <w:rPr>
          <w:sz w:val="20"/>
          <w:szCs w:val="20"/>
          <w:color w:val="auto"/>
        </w:rPr>
      </w:pPr>
    </w:p>
    <w:p>
      <w:pPr>
        <w:ind w:left="10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Condensed Consolidated Statements of Comprehensive Loss for the Three and Nine Months Ended September 30, 2018 and 2017</w:t>
        </w:r>
      </w:hyperlink>
    </w:p>
    <w:p>
      <w:pPr>
        <w:spacing w:after="0" w:line="109" w:lineRule="exact"/>
        <w:rPr>
          <w:sz w:val="20"/>
          <w:szCs w:val="20"/>
          <w:color w:val="auto"/>
        </w:rPr>
      </w:pPr>
    </w:p>
    <w:p>
      <w:pPr>
        <w:ind w:left="108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Condensed Consolidated Statements of Cash Flows for the Nine Months Ended September 30, 2018 and 2017</w:t>
        </w:r>
      </w:hyperlink>
    </w:p>
    <w:p>
      <w:pPr>
        <w:spacing w:after="0" w:line="86" w:lineRule="exact"/>
        <w:rPr>
          <w:sz w:val="20"/>
          <w:szCs w:val="20"/>
          <w:color w:val="auto"/>
        </w:rPr>
      </w:pPr>
    </w:p>
    <w:p>
      <w:pPr>
        <w:ind w:left="108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Notes to Condensed Consolidated Financial Statements</w:t>
        </w:r>
      </w:hyperlink>
    </w:p>
    <w:p>
      <w:pPr>
        <w:spacing w:after="0" w:line="86"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2.</w:t>
      </w:r>
      <w:r>
        <w:rPr>
          <w:sz w:val="20"/>
          <w:szCs w:val="20"/>
          <w:color w:val="auto"/>
        </w:rPr>
        <w:tab/>
      </w:r>
      <w:hyperlink w:anchor="page30">
        <w:r>
          <w:rPr>
            <w:rFonts w:ascii="Arial" w:cs="Arial" w:eastAsia="Arial" w:hAnsi="Arial"/>
            <w:sz w:val="14"/>
            <w:szCs w:val="14"/>
            <w:u w:val="single" w:color="auto"/>
            <w:color w:val="0000EE"/>
          </w:rPr>
          <w:t>Management's Discussion and Analysis of Financial Condition and Results of Operations</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3.</w:t>
      </w:r>
      <w:r>
        <w:rPr>
          <w:sz w:val="20"/>
          <w:szCs w:val="20"/>
          <w:color w:val="auto"/>
        </w:rPr>
        <w:tab/>
      </w:r>
      <w:hyperlink w:anchor="page53">
        <w:r>
          <w:rPr>
            <w:rFonts w:ascii="Arial" w:cs="Arial" w:eastAsia="Arial" w:hAnsi="Arial"/>
            <w:sz w:val="14"/>
            <w:szCs w:val="14"/>
            <w:u w:val="single" w:color="auto"/>
            <w:color w:val="0000EE"/>
          </w:rPr>
          <w:t>Quantitative and Qualitative Disclosures About Market Risk</w:t>
        </w:r>
      </w:hyperlink>
    </w:p>
    <w:p>
      <w:pPr>
        <w:spacing w:after="0" w:line="73" w:lineRule="exact"/>
        <w:rPr>
          <w:sz w:val="20"/>
          <w:szCs w:val="20"/>
          <w:color w:val="auto"/>
        </w:rPr>
      </w:pPr>
    </w:p>
    <w:p>
      <w:pPr>
        <w:ind w:left="40"/>
        <w:spacing w:after="0"/>
        <w:tabs>
          <w:tab w:leader="none" w:pos="1060" w:val="left"/>
        </w:tabs>
        <w:rPr>
          <w:rFonts w:ascii="Arial" w:cs="Arial" w:eastAsia="Arial" w:hAnsi="Arial"/>
          <w:sz w:val="14"/>
          <w:szCs w:val="14"/>
          <w:u w:val="single" w:color="auto"/>
          <w:color w:val="0000EE"/>
        </w:rPr>
      </w:pPr>
      <w:r>
        <w:rPr>
          <w:rFonts w:ascii="Arial" w:cs="Arial" w:eastAsia="Arial" w:hAnsi="Arial"/>
          <w:sz w:val="16"/>
          <w:szCs w:val="16"/>
          <w:color w:val="auto"/>
        </w:rPr>
        <w:t>Item 4.</w:t>
      </w:r>
      <w:r>
        <w:rPr>
          <w:sz w:val="20"/>
          <w:szCs w:val="20"/>
          <w:color w:val="auto"/>
        </w:rPr>
        <w:tab/>
      </w:r>
      <w:hyperlink w:anchor="page54">
        <w:r>
          <w:rPr>
            <w:rFonts w:ascii="Arial" w:cs="Arial" w:eastAsia="Arial" w:hAnsi="Arial"/>
            <w:sz w:val="14"/>
            <w:szCs w:val="14"/>
            <w:u w:val="single" w:color="auto"/>
            <w:color w:val="0000EE"/>
          </w:rPr>
          <w:t>Controls and Procedures</w:t>
        </w:r>
      </w:hyperlink>
    </w:p>
    <w:p>
      <w:pPr>
        <w:spacing w:after="0" w:line="397" w:lineRule="exact"/>
        <w:rPr>
          <w:sz w:val="20"/>
          <w:szCs w:val="20"/>
          <w:color w:val="auto"/>
        </w:rPr>
      </w:pPr>
    </w:p>
    <w:p>
      <w:pPr>
        <w:jc w:val="center"/>
        <w:ind w:left="112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370"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8</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9</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10</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30</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53</w:t>
        </w:r>
      </w:hyperlink>
    </w:p>
    <w:p>
      <w:pPr>
        <w:spacing w:after="0" w:line="73" w:lineRule="exact"/>
        <w:rPr>
          <w:sz w:val="20"/>
          <w:szCs w:val="20"/>
          <w:color w:val="auto"/>
        </w:rPr>
      </w:pPr>
    </w:p>
    <w:p>
      <w:pPr>
        <w:jc w:val="right"/>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54</w:t>
        </w:r>
      </w:hyperlink>
    </w:p>
    <w:p>
      <w:pPr>
        <w:spacing w:after="0" w:line="654" w:lineRule="exact"/>
        <w:rPr>
          <w:sz w:val="20"/>
          <w:szCs w:val="20"/>
          <w:color w:val="auto"/>
        </w:rPr>
      </w:pPr>
    </w:p>
    <w:p>
      <w:pPr>
        <w:sectPr>
          <w:pgSz w:w="11900" w:h="16838" w:orient="portrait"/>
          <w:cols w:equalWidth="0" w:num="2">
            <w:col w:w="10340" w:space="720"/>
            <w:col w:w="340"/>
          </w:cols>
          <w:pgMar w:left="240" w:top="121" w:right="259" w:bottom="1440" w:gutter="0" w:footer="0" w:header="0"/>
        </w:sectPr>
      </w:pPr>
    </w:p>
    <w:tbl>
      <w:tblPr>
        <w:tblLayout w:type="fixed"/>
        <w:tblInd w:w="4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200" w:type="dxa"/>
            <w:vAlign w:val="bottom"/>
            <w:gridSpan w:val="5"/>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Legal Proceedings</w:t>
              </w:r>
            </w:hyperlink>
          </w:p>
        </w:tc>
        <w:tc>
          <w:tcPr>
            <w:tcW w:w="5840" w:type="dxa"/>
            <w:vAlign w:val="bottom"/>
            <w:gridSpan w:val="2"/>
          </w:tcPr>
          <w:p>
            <w:pPr>
              <w:spacing w:after="0"/>
              <w:rPr>
                <w:sz w:val="16"/>
                <w:szCs w:val="16"/>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1200" w:type="dxa"/>
            <w:vAlign w:val="bottom"/>
            <w:gridSpan w:val="5"/>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Risk Factors</w:t>
              </w:r>
            </w:hyperlink>
          </w:p>
        </w:tc>
        <w:tc>
          <w:tcPr>
            <w:tcW w:w="5840" w:type="dxa"/>
            <w:vAlign w:val="bottom"/>
            <w:gridSpan w:val="2"/>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56">
              <w:r>
                <w:rPr>
                  <w:rFonts w:ascii="Arial" w:cs="Arial" w:eastAsia="Arial" w:hAnsi="Arial"/>
                  <w:sz w:val="16"/>
                  <w:szCs w:val="16"/>
                  <w:color w:val="0000EE"/>
                </w:rPr>
                <w:t>56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3920" w:type="dxa"/>
            <w:vAlign w:val="bottom"/>
            <w:gridSpan w:val="6"/>
          </w:tcPr>
          <w:p>
            <w:pPr>
              <w:spacing w:after="0"/>
              <w:rPr>
                <w:rFonts w:ascii="Arial" w:cs="Arial" w:eastAsia="Arial" w:hAnsi="Arial"/>
                <w:sz w:val="16"/>
                <w:szCs w:val="16"/>
                <w:color w:val="0000EE"/>
                <w:w w:val="90"/>
              </w:rPr>
            </w:pPr>
            <w:hyperlink w:anchor="page79">
              <w:r>
                <w:rPr>
                  <w:rFonts w:ascii="Arial" w:cs="Arial" w:eastAsia="Arial" w:hAnsi="Arial"/>
                  <w:sz w:val="16"/>
                  <w:szCs w:val="16"/>
                  <w:color w:val="0000EE"/>
                  <w:w w:val="90"/>
                </w:rPr>
                <w:t>Unregistered Sales of Equity Securities and Use of Proceeds</w:t>
              </w:r>
            </w:hyperlink>
          </w:p>
        </w:tc>
        <w:tc>
          <w:tcPr>
            <w:tcW w:w="3120" w:type="dxa"/>
            <w:vAlign w:val="bottom"/>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79">
              <w:r>
                <w:rPr>
                  <w:rFonts w:ascii="Arial" w:cs="Arial" w:eastAsia="Arial" w:hAnsi="Arial"/>
                  <w:sz w:val="16"/>
                  <w:szCs w:val="16"/>
                  <w:color w:val="0000EE"/>
                </w:rPr>
                <w:t>79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540" w:type="dxa"/>
            <w:vAlign w:val="bottom"/>
          </w:tcPr>
          <w:p>
            <w:pPr>
              <w:spacing w:after="0"/>
              <w:rPr>
                <w:rFonts w:ascii="Arial" w:cs="Arial" w:eastAsia="Arial" w:hAnsi="Arial"/>
                <w:sz w:val="16"/>
                <w:szCs w:val="16"/>
                <w:color w:val="0000EE"/>
                <w:w w:val="92"/>
              </w:rPr>
            </w:pPr>
            <w:hyperlink w:anchor="page80">
              <w:r>
                <w:rPr>
                  <w:rFonts w:ascii="Arial" w:cs="Arial" w:eastAsia="Arial" w:hAnsi="Arial"/>
                  <w:sz w:val="16"/>
                  <w:szCs w:val="16"/>
                  <w:color w:val="0000EE"/>
                  <w:w w:val="92"/>
                </w:rPr>
                <w:t>Exhibits</w:t>
              </w:r>
            </w:hyperlink>
          </w:p>
        </w:tc>
        <w:tc>
          <w:tcPr>
            <w:tcW w:w="3380" w:type="dxa"/>
            <w:vAlign w:val="bottom"/>
            <w:gridSpan w:val="5"/>
          </w:tcPr>
          <w:p>
            <w:pPr>
              <w:spacing w:after="0"/>
              <w:rPr>
                <w:sz w:val="20"/>
                <w:szCs w:val="20"/>
                <w:color w:val="auto"/>
              </w:rPr>
            </w:pPr>
          </w:p>
        </w:tc>
        <w:tc>
          <w:tcPr>
            <w:tcW w:w="3120" w:type="dxa"/>
            <w:vAlign w:val="bottom"/>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80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7040" w:type="dxa"/>
            <w:vAlign w:val="bottom"/>
            <w:gridSpan w:val="7"/>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Exhibit Index</w:t>
              </w:r>
            </w:hyperlink>
          </w:p>
        </w:tc>
        <w:tc>
          <w:tcPr>
            <w:tcW w:w="3280" w:type="dxa"/>
            <w:vAlign w:val="bottom"/>
            <w:gridSpan w:val="2"/>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81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tcBorders>
              <w:top w:val="single" w:sz="8" w:color="0000EE"/>
            </w:tcBorders>
            <w:gridSpan w:val="2"/>
            <w:vMerge w:val="restart"/>
          </w:tcPr>
          <w:p>
            <w:pPr>
              <w:spacing w:after="0"/>
              <w:rPr>
                <w:rFonts w:ascii="Arial" w:cs="Arial" w:eastAsia="Arial" w:hAnsi="Arial"/>
                <w:sz w:val="16"/>
                <w:szCs w:val="16"/>
                <w:color w:val="0000EE"/>
                <w:w w:val="86"/>
              </w:rPr>
            </w:pPr>
            <w:hyperlink w:anchor="page82">
              <w:r>
                <w:rPr>
                  <w:rFonts w:ascii="Arial" w:cs="Arial" w:eastAsia="Arial" w:hAnsi="Arial"/>
                  <w:sz w:val="16"/>
                  <w:szCs w:val="16"/>
                  <w:color w:val="0000EE"/>
                  <w:w w:val="86"/>
                </w:rPr>
                <w:t>Signatures</w:t>
              </w:r>
            </w:hyperlink>
          </w:p>
        </w:tc>
        <w:tc>
          <w:tcPr>
            <w:tcW w:w="200" w:type="dxa"/>
            <w:vAlign w:val="bottom"/>
            <w:tcBorders>
              <w:top w:val="single" w:sz="8" w:color="0000EE"/>
            </w:tcBorders>
            <w:gridSpan w:val="2"/>
            <w:vMerge w:val="restart"/>
          </w:tcPr>
          <w:p>
            <w:pPr>
              <w:spacing w:after="0" w:line="20" w:lineRule="exact"/>
              <w:rPr>
                <w:sz w:val="1"/>
                <w:szCs w:val="1"/>
                <w:color w:val="auto"/>
              </w:rPr>
            </w:pPr>
          </w:p>
        </w:tc>
        <w:tc>
          <w:tcPr>
            <w:tcW w:w="6160" w:type="dxa"/>
            <w:vAlign w:val="bottom"/>
            <w:gridSpan w:val="3"/>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160" w:type="dxa"/>
            <w:vAlign w:val="bottom"/>
            <w:gridSpan w:val="3"/>
            <w:vMerge w:val="continue"/>
          </w:tcPr>
          <w:p>
            <w:pPr>
              <w:spacing w:after="0"/>
              <w:rPr>
                <w:sz w:val="20"/>
                <w:szCs w:val="20"/>
                <w:color w:val="auto"/>
              </w:rPr>
            </w:pPr>
          </w:p>
        </w:tc>
        <w:tc>
          <w:tcPr>
            <w:tcW w:w="3280" w:type="dxa"/>
            <w:vAlign w:val="bottom"/>
            <w:gridSpan w:val="2"/>
          </w:tcPr>
          <w:p>
            <w:pPr>
              <w:jc w:val="right"/>
              <w:spacing w:after="0"/>
              <w:rPr>
                <w:rFonts w:ascii="Arial" w:cs="Arial" w:eastAsia="Arial" w:hAnsi="Arial"/>
                <w:sz w:val="16"/>
                <w:szCs w:val="16"/>
                <w:color w:val="0000EE"/>
              </w:rPr>
            </w:pPr>
            <w:hyperlink w:anchor="page82">
              <w:r>
                <w:rPr>
                  <w:rFonts w:ascii="Arial" w:cs="Arial" w:eastAsia="Arial" w:hAnsi="Arial"/>
                  <w:sz w:val="16"/>
                  <w:szCs w:val="16"/>
                  <w:color w:val="0000EE"/>
                </w:rPr>
                <w:t>82</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FORWARD-LOOKING STATEMENTS</w:t>
      </w:r>
    </w:p>
    <w:p>
      <w:pPr>
        <w:spacing w:after="0" w:line="30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225"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 force;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 FINANCIAL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i w:val="1"/>
          <w:iCs w:val="1"/>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5"/>
        </w:trPr>
        <w:tc>
          <w:tcPr>
            <w:tcW w:w="6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and other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67"/>
        </w:trPr>
        <w:tc>
          <w:tcPr>
            <w:tcW w:w="69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r>
      <w:tr>
        <w:trPr>
          <w:trHeight w:val="231"/>
        </w:trPr>
        <w:tc>
          <w:tcPr>
            <w:tcW w:w="6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129.8</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70"/>
        </w:trPr>
        <w:tc>
          <w:tcPr>
            <w:tcW w:w="6980" w:type="dxa"/>
            <w:vAlign w:val="bottom"/>
          </w:tcPr>
          <w:p>
            <w:pPr>
              <w:ind w:left="280"/>
              <w:spacing w:after="0" w:line="270" w:lineRule="exact"/>
              <w:rPr>
                <w:sz w:val="20"/>
                <w:szCs w:val="20"/>
                <w:color w:val="auto"/>
              </w:rPr>
            </w:pPr>
            <w:r>
              <w:rPr>
                <w:rFonts w:ascii="Arial" w:cs="Arial" w:eastAsia="Arial" w:hAnsi="Arial"/>
                <w:sz w:val="18"/>
                <w:szCs w:val="18"/>
                <w:color w:val="auto"/>
              </w:rPr>
              <w:t>Capital lease obligation</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738.4</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Capital lease obligation, non-current</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rent, non-current</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917.0</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7)</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preferred stock</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1"/>
                <w:szCs w:val="21"/>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2,285.0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533.1</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1,623.1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1,019.9</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20" w:hanging="158"/>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Includes amounts attributable to related party transactions. See Note 12 for further details.</w:t>
      </w:r>
    </w:p>
    <w:p>
      <w:pPr>
        <w:sectPr>
          <w:pgSz w:w="11900" w:h="16838" w:orient="portrait"/>
          <w:cols w:equalWidth="0" w:num="1">
            <w:col w:w="11420"/>
          </w:cols>
          <w:pgMar w:left="240" w:top="121"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360" w:type="dxa"/>
            <w:vAlign w:val="bottom"/>
            <w:tcBorders>
              <w:top w:val="single" w:sz="8" w:color="0000EE"/>
            </w:tcBorders>
          </w:tcPr>
          <w:p>
            <w:pPr>
              <w:spacing w:after="0"/>
              <w:rPr>
                <w:sz w:val="24"/>
                <w:szCs w:val="24"/>
                <w:color w:val="auto"/>
              </w:rPr>
            </w:pPr>
          </w:p>
        </w:tc>
        <w:tc>
          <w:tcPr>
            <w:tcW w:w="3540" w:type="dxa"/>
            <w:vAlign w:val="bottom"/>
          </w:tcPr>
          <w:p>
            <w:pPr>
              <w:spacing w:after="0"/>
              <w:rPr>
                <w:sz w:val="24"/>
                <w:szCs w:val="24"/>
                <w:color w:val="auto"/>
              </w:rPr>
            </w:pPr>
          </w:p>
        </w:tc>
        <w:tc>
          <w:tcPr>
            <w:tcW w:w="18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DROPBOX, INC.</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360" w:type="dxa"/>
            <w:vAlign w:val="bottom"/>
          </w:tcPr>
          <w:p>
            <w:pPr>
              <w:spacing w:after="0"/>
              <w:rPr>
                <w:sz w:val="19"/>
                <w:szCs w:val="19"/>
                <w:color w:val="auto"/>
              </w:rPr>
            </w:pPr>
          </w:p>
        </w:tc>
        <w:tc>
          <w:tcPr>
            <w:tcW w:w="7340" w:type="dxa"/>
            <w:vAlign w:val="bottom"/>
            <w:gridSpan w:val="9"/>
          </w:tcPr>
          <w:p>
            <w:pPr>
              <w:jc w:val="center"/>
              <w:ind w:left="12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40" w:type="dxa"/>
            <w:vAlign w:val="bottom"/>
            <w:gridSpan w:val="6"/>
          </w:tcPr>
          <w:p>
            <w:pPr>
              <w:jc w:val="center"/>
              <w:ind w:left="2670"/>
              <w:spacing w:after="0"/>
              <w:rPr>
                <w:sz w:val="20"/>
                <w:szCs w:val="20"/>
                <w:color w:val="auto"/>
              </w:rPr>
            </w:pPr>
            <w:r>
              <w:rPr>
                <w:rFonts w:ascii="Arial" w:cs="Arial" w:eastAsia="Arial" w:hAnsi="Arial"/>
                <w:sz w:val="18"/>
                <w:szCs w:val="18"/>
                <w:i w:val="1"/>
                <w:iCs w:val="1"/>
                <w:color w:val="auto"/>
                <w:w w:val="91"/>
              </w:rPr>
              <w:t>(In millions, except per share data)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8"/>
                <w:szCs w:val="18"/>
                <w:i w:val="1"/>
                <w:iCs w:val="1"/>
                <w:color w:val="auto"/>
                <w:w w:val="93"/>
              </w:rPr>
              <w:t>(Unaudited)</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3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gridSpan w:val="2"/>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2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70"/>
        </w:trPr>
        <w:tc>
          <w:tcPr>
            <w:tcW w:w="4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43"/>
        </w:trPr>
        <w:tc>
          <w:tcPr>
            <w:tcW w:w="4900" w:type="dxa"/>
            <w:vAlign w:val="bottom"/>
            <w:gridSpan w:val="2"/>
          </w:tcPr>
          <w:p>
            <w:pPr>
              <w:ind w:left="2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90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67"/>
        </w:trPr>
        <w:tc>
          <w:tcPr>
            <w:tcW w:w="1360" w:type="dxa"/>
            <w:vAlign w:val="bottom"/>
            <w:tcBorders>
              <w:bottom w:val="single" w:sz="8" w:color="CCEEFF"/>
            </w:tcBorders>
          </w:tcPr>
          <w:p>
            <w:pPr>
              <w:spacing w:after="0"/>
              <w:rPr>
                <w:sz w:val="5"/>
                <w:szCs w:val="5"/>
                <w:color w:val="auto"/>
              </w:rPr>
            </w:pPr>
          </w:p>
        </w:tc>
        <w:tc>
          <w:tcPr>
            <w:tcW w:w="35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90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Net loss per share attributable to common stockholders, basic and</w:t>
            </w: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gridSpan w:val="2"/>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w w:val="95"/>
              </w:rPr>
              <w:t>Weighted-average shares used in computing net loss per share</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7"/>
        </w:trPr>
        <w:tc>
          <w:tcPr>
            <w:tcW w:w="4900" w:type="dxa"/>
            <w:vAlign w:val="bottom"/>
            <w:gridSpan w:val="2"/>
          </w:tcPr>
          <w:p>
            <w:pPr>
              <w:ind w:left="200"/>
              <w:spacing w:after="0"/>
              <w:rPr>
                <w:sz w:val="20"/>
                <w:szCs w:val="20"/>
                <w:color w:val="auto"/>
              </w:rPr>
            </w:pPr>
            <w:r>
              <w:rPr>
                <w:rFonts w:ascii="Arial" w:cs="Arial" w:eastAsia="Arial" w:hAnsi="Arial"/>
                <w:sz w:val="18"/>
                <w:szCs w:val="18"/>
                <w:color w:val="auto"/>
              </w:rPr>
              <w:t>attributable to common stockholders, basic and diluted</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2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8"/>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4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15"/>
        </w:trPr>
        <w:tc>
          <w:tcPr>
            <w:tcW w:w="5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w:t>
            </w:r>
          </w:p>
        </w:tc>
      </w:tr>
    </w:tbl>
    <w:p>
      <w:pPr>
        <w:spacing w:after="0" w:line="314" w:lineRule="exact"/>
        <w:rPr>
          <w:sz w:val="20"/>
          <w:szCs w:val="20"/>
          <w:color w:val="auto"/>
        </w:rPr>
      </w:pPr>
    </w:p>
    <w:p>
      <w:pPr>
        <w:jc w:val="both"/>
        <w:ind w:left="340" w:right="20" w:hanging="332"/>
        <w:spacing w:after="0" w:line="225"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General and administrative expense for the nine months ended September 30, 2017 includes $9.4 million related to a non-cash charitable contribution of common stock to the Dropbox Charitable Foundation, which is a related party of the Company. The Company made additional cash contributions to the Foundation of $0.4 million and $0.8 million during the three and nine months ended September 30, 2017, respectively. See Note 12 for further details.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61"/>
        </w:trPr>
        <w:tc>
          <w:tcPr>
            <w:tcW w:w="1360" w:type="dxa"/>
            <w:vAlign w:val="bottom"/>
            <w:tcBorders>
              <w:top w:val="single" w:sz="8" w:color="0000EE"/>
            </w:tcBorders>
          </w:tcPr>
          <w:p>
            <w:pPr>
              <w:spacing w:after="0"/>
              <w:rPr>
                <w:sz w:val="24"/>
                <w:szCs w:val="24"/>
                <w:color w:val="auto"/>
              </w:rPr>
            </w:pPr>
          </w:p>
        </w:tc>
        <w:tc>
          <w:tcPr>
            <w:tcW w:w="3400" w:type="dxa"/>
            <w:vAlign w:val="bottom"/>
          </w:tcPr>
          <w:p>
            <w:pPr>
              <w:spacing w:after="0"/>
              <w:rPr>
                <w:sz w:val="24"/>
                <w:szCs w:val="24"/>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DROPBOX, INC.</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7540" w:type="dxa"/>
            <w:vAlign w:val="bottom"/>
            <w:gridSpan w:val="9"/>
          </w:tcPr>
          <w:p>
            <w:pPr>
              <w:jc w:val="center"/>
              <w:ind w:left="1090"/>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7"/>
              </w:rPr>
              <w:t>(In millions)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8"/>
                <w:szCs w:val="18"/>
                <w:i w:val="1"/>
                <w:iCs w:val="1"/>
                <w:color w:val="auto"/>
                <w:w w:val="93"/>
              </w:rPr>
              <w:t>(Unaudited)</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1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gridSpan w:val="5"/>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24"/>
                <w:szCs w:val="24"/>
                <w:color w:val="auto"/>
              </w:rPr>
            </w:pPr>
          </w:p>
        </w:tc>
        <w:tc>
          <w:tcPr>
            <w:tcW w:w="25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1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15"/>
        </w:trPr>
        <w:tc>
          <w:tcPr>
            <w:tcW w:w="13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4760" w:type="dxa"/>
            <w:vAlign w:val="bottom"/>
            <w:gridSpan w:val="2"/>
          </w:tcPr>
          <w:p>
            <w:pPr>
              <w:ind w:left="280"/>
              <w:spacing w:after="0"/>
              <w:rPr>
                <w:sz w:val="20"/>
                <w:szCs w:val="20"/>
                <w:color w:val="auto"/>
              </w:rPr>
            </w:pPr>
            <w:r>
              <w:rPr>
                <w:rFonts w:ascii="Arial" w:cs="Arial" w:eastAsia="Arial" w:hAnsi="Arial"/>
                <w:sz w:val="18"/>
                <w:szCs w:val="18"/>
                <w:color w:val="auto"/>
                <w:w w:val="95"/>
              </w:rPr>
              <w:t>Change in net unrealized losses on short-term investments</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37"/>
        </w:trPr>
        <w:tc>
          <w:tcPr>
            <w:tcW w:w="4760" w:type="dxa"/>
            <w:vAlign w:val="bottom"/>
            <w:gridSpan w:val="2"/>
          </w:tcPr>
          <w:p>
            <w:pPr>
              <w:ind w:left="40"/>
              <w:spacing w:after="0"/>
              <w:rPr>
                <w:sz w:val="20"/>
                <w:szCs w:val="20"/>
                <w:color w:val="auto"/>
              </w:rPr>
            </w:pPr>
            <w:r>
              <w:rPr>
                <w:rFonts w:ascii="Arial" w:cs="Arial" w:eastAsia="Arial" w:hAnsi="Arial"/>
                <w:sz w:val="18"/>
                <w:szCs w:val="18"/>
                <w:color w:val="auto"/>
              </w:rPr>
              <w:t>Comprehensive loss</w:t>
            </w:r>
          </w:p>
        </w:tc>
        <w:tc>
          <w:tcPr>
            <w:tcW w:w="4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1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61"/>
        </w:trPr>
        <w:tc>
          <w:tcPr>
            <w:tcW w:w="1360" w:type="dxa"/>
            <w:vAlign w:val="bottom"/>
            <w:tcBorders>
              <w:top w:val="single" w:sz="8" w:color="0000EE"/>
            </w:tcBorders>
          </w:tcPr>
          <w:p>
            <w:pPr>
              <w:spacing w:after="0"/>
              <w:rPr>
                <w:sz w:val="24"/>
                <w:szCs w:val="24"/>
                <w:color w:val="auto"/>
              </w:rPr>
            </w:pPr>
          </w:p>
        </w:tc>
        <w:tc>
          <w:tcPr>
            <w:tcW w:w="676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DROPBOX, INC.</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360" w:type="dxa"/>
            <w:vAlign w:val="bottom"/>
          </w:tcPr>
          <w:p>
            <w:pPr>
              <w:spacing w:after="0"/>
              <w:rPr>
                <w:sz w:val="19"/>
                <w:szCs w:val="19"/>
                <w:color w:val="auto"/>
              </w:rPr>
            </w:pPr>
          </w:p>
        </w:tc>
        <w:tc>
          <w:tcPr>
            <w:tcW w:w="776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6760" w:type="dxa"/>
            <w:vAlign w:val="bottom"/>
          </w:tcPr>
          <w:p>
            <w:pPr>
              <w:jc w:val="center"/>
              <w:ind w:left="185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6760" w:type="dxa"/>
            <w:vAlign w:val="bottom"/>
          </w:tcPr>
          <w:p>
            <w:pPr>
              <w:jc w:val="center"/>
              <w:ind w:left="1870"/>
              <w:spacing w:after="0"/>
              <w:rPr>
                <w:sz w:val="20"/>
                <w:szCs w:val="20"/>
                <w:color w:val="auto"/>
              </w:rPr>
            </w:pPr>
            <w:r>
              <w:rPr>
                <w:rFonts w:ascii="Arial" w:cs="Arial" w:eastAsia="Arial" w:hAnsi="Arial"/>
                <w:sz w:val="18"/>
                <w:szCs w:val="18"/>
                <w:i w:val="1"/>
                <w:iCs w:val="1"/>
                <w:color w:val="auto"/>
                <w:w w:val="93"/>
              </w:rPr>
              <w:t>(Unaudited)</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3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3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15"/>
        </w:trPr>
        <w:tc>
          <w:tcPr>
            <w:tcW w:w="136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(475.4)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138.9</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Amortization of deferred commissions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Donation of common stock to charitable foundation</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Trade and other receivables, net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Accrued and other current liabilities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259.2</w:t>
            </w:r>
          </w:p>
        </w:tc>
      </w:tr>
      <w:tr>
        <w:trPr>
          <w:trHeight w:val="27"/>
        </w:trPr>
        <w:tc>
          <w:tcPr>
            <w:tcW w:w="13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 of intangible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Cash received from equipment rebates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Proceeds from maturities of short-term investments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sales of short-term investments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(529.0)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13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w w:val="92"/>
              </w:rPr>
              <w:t>Proceeds from initial public offering and private placement, net of underwriters' discounts and commissions</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of deferred offering costs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Shares repurchased for tax withholdings on release of restricted stock</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(326.7)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 net of repurchases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812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Principal payments against capital lease obligations</w:t>
            </w:r>
            <w:r>
              <w:rPr>
                <w:rFonts w:ascii="Arial" w:cs="Arial" w:eastAsia="Arial" w:hAnsi="Arial"/>
                <w:sz w:val="25"/>
                <w:szCs w:val="25"/>
                <w:color w:val="auto"/>
                <w:vertAlign w:val="superscript"/>
              </w:rPr>
              <w:t>(1)</w:t>
            </w:r>
          </w:p>
        </w:tc>
        <w:tc>
          <w:tcPr>
            <w:tcW w:w="10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w:t>
            </w:r>
          </w:p>
        </w:tc>
      </w:tr>
      <w:tr>
        <w:trPr>
          <w:trHeight w:val="27"/>
        </w:trPr>
        <w:tc>
          <w:tcPr>
            <w:tcW w:w="136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 in cash and cash equivalents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equivalents—end of period</w:t>
            </w: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422.7</w:t>
            </w:r>
          </w:p>
        </w:tc>
      </w:tr>
      <w:tr>
        <w:trPr>
          <w:trHeight w:val="67"/>
        </w:trPr>
        <w:tc>
          <w:tcPr>
            <w:tcW w:w="1360" w:type="dxa"/>
            <w:vAlign w:val="bottom"/>
            <w:tcBorders>
              <w:bottom w:val="single" w:sz="8" w:color="CCEEFF"/>
            </w:tcBorders>
          </w:tcPr>
          <w:p>
            <w:pPr>
              <w:spacing w:after="0"/>
              <w:rPr>
                <w:sz w:val="5"/>
                <w:szCs w:val="5"/>
                <w:color w:val="auto"/>
              </w:rPr>
            </w:pPr>
          </w:p>
        </w:tc>
        <w:tc>
          <w:tcPr>
            <w:tcW w:w="676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64"/>
        </w:trPr>
        <w:tc>
          <w:tcPr>
            <w:tcW w:w="1360" w:type="dxa"/>
            <w:vAlign w:val="bottom"/>
            <w:shd w:val="clear" w:color="auto" w:fill="CCEEFF"/>
          </w:tcPr>
          <w:p>
            <w:pPr>
              <w:spacing w:after="0"/>
              <w:rPr>
                <w:sz w:val="22"/>
                <w:szCs w:val="22"/>
                <w:color w:val="auto"/>
              </w:rPr>
            </w:pPr>
          </w:p>
        </w:tc>
        <w:tc>
          <w:tcPr>
            <w:tcW w:w="67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cash flow data:</w:t>
            </w: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3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Property and equipment acquired under capital leases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Includes amounts attributable to related party transactions. See Note 12 for further details.</w:t>
      </w:r>
    </w:p>
    <w:p>
      <w:pPr>
        <w:sectPr>
          <w:pgSz w:w="11900" w:h="16838" w:orient="portrait"/>
          <w:cols w:equalWidth="0" w:num="1">
            <w:col w:w="11420"/>
          </w:cols>
          <w:pgMar w:left="240" w:top="108"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8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condensed consolidated balance sheet as of December 31, 2017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loss and the statements of cash flows for the interim periods, but are not necessarily indicative of the results of operations to be anticipated for the full fiscal year ended December 31, 2018 or any future period.</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unaudited condensed consolidated financial statements should be read in conjunction with the audited consolidated financial statements and the related notes thereto as of and for the year ended December 31, 2017, included in the Company's prospectus filed pursuant to Rule 424(b) under the Securities Act of 1933, as amended, on March 23, 2018, referred to as the Prospectus.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1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8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28, 2018, the underwriters exercised their option to purchase an additional 5,400,000 shares of the Company's Class A common stock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$21.00 per share. This transaction closed on April 3, 2018, resulting in additional proceeds of $108.4 million, net of underwriters' discounts and commissions.</w:t>
      </w: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net proceeds from the IPO, the concurrent private placement, and underwriters' option totaled $746.6 million, before deducting offering costs of $6.9 million, net of reimbursements.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effectiveness of the registration statement for the Company's IPO, which was March 22, 2018, the liquidity event-related performance vesting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condition, referred to as the Performance Vesting Condition, associated with the Company's two-tier RSUs was satisfied. As a result, the Company recognized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unrecognized stock-based compensation related to its two-tier restricted stock units ("RSUs") using the accelerated attribution method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$418.7 million attributable to service prior to such effective date. As of September 30, 2018, the remaining unamortized stock-based compensation related to</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two-tier RSUs was $0.4 million, which will be recognized if the requisite service is provided over a weighted average period of 0.3 years.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During the first quarter of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 See “—Stock-based compensation” for further discussion regarding the Company's two-tier RSUs.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March 7, 2018, the Company effected a 1-for-1.5 reverse stock split of its capital stock. All of the share and per share information referenced throughout the condensed consolidated financial statements and notes to the condensed consolidated financial statements have been retroactively adjusted to reflect this reverse stock split.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87" w:lineRule="exact"/>
        <w:rPr>
          <w:sz w:val="20"/>
          <w:szCs w:val="20"/>
          <w:color w:val="auto"/>
        </w:rPr>
      </w:pPr>
    </w:p>
    <w:p>
      <w:pPr>
        <w:ind w:right="680" w:firstLine="432"/>
        <w:spacing w:after="0" w:line="312" w:lineRule="auto"/>
        <w:rPr>
          <w:sz w:val="20"/>
          <w:szCs w:val="20"/>
          <w:color w:val="auto"/>
        </w:rPr>
      </w:pPr>
      <w:r>
        <w:rPr>
          <w:rFonts w:ascii="Arial" w:cs="Arial" w:eastAsia="Arial" w:hAnsi="Arial"/>
          <w:sz w:val="16"/>
          <w:szCs w:val="16"/>
          <w:color w:val="auto"/>
        </w:rPr>
        <w:t>The Company’s most significant estimates and judgments involve recognition of revenue, the measurement of the Company’s stock-based compensation, including the estimation of the underlying deemed fair value of common stock in periods prior to the date of the Company's IPO, the estimation of the fair value of market-based awards, and the valuation of acquired intangible assets and goodwill from business combinations.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13, "Geographic Areas" for information regarding the Company’s long-lived assets and revenue by geography.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net foreign currency transaction losses of $1.0 million and $1.4 million during the three and nine months ended September 30, 2018, respectively, and net foreign currency transaction gains of $2.9 million and $6.9 million during the three and nine months ended September 30, 2017, respectively.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7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121"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6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recognized $213.2 million and $390.1 million of revenue during the three and nine months ended September 30, 2018, respectively, and recognized $178.0 million and $324.6 million of revenue during the three and nine months ended September 30, 2017, respectively, that was included in the deferred revenue balances at the beginning of their respective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2018, future estimated revenue related to performance obligations that were unsatisfied or partially unsatisfied was $523.3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substantial majority of the unsatisfied performance obligations will be satisfied over the next twelve months.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granted RSUs to its employees and members of the Board of Directors under the 2008 Equity Incentive Plan (“2008 Plan”), the 2017 Equity Incentive Plan (“2017 Plan”), and the 2018 Equity Incentive Plan ("2018 Plan"). The Company had two types of RSUs outstanding as of September 30, 2018:</w:t>
      </w:r>
    </w:p>
    <w:p>
      <w:pPr>
        <w:spacing w:after="0" w:line="181" w:lineRule="exact"/>
        <w:rPr>
          <w:sz w:val="20"/>
          <w:szCs w:val="20"/>
          <w:color w:val="auto"/>
        </w:rPr>
      </w:pPr>
    </w:p>
    <w:p>
      <w:pPr>
        <w:ind w:left="980" w:hanging="324"/>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71" w:lineRule="exact"/>
        <w:rPr>
          <w:rFonts w:ascii="Arial" w:cs="Arial" w:eastAsia="Arial" w:hAnsi="Arial"/>
          <w:sz w:val="17"/>
          <w:szCs w:val="17"/>
          <w:color w:val="auto"/>
        </w:rPr>
      </w:pPr>
    </w:p>
    <w:p>
      <w:pPr>
        <w:ind w:left="980" w:right="20" w:hanging="324"/>
        <w:spacing w:after="0" w:line="25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Two-tier RSUs, which have both a service-based vesting condition and a Performance Vesting Condition. The service-based vesting period for these awards is typically four years with a cliff vesting period of one year and continue to vest monthly thereafter. Upon satisfaction of the Performance Vesting Condition, these awards vest quarterly. The Performance Vesting Condition is satisfied on the earlier of (i) an acquisition or change in control of the Company or (ii) the earlier of (a) six months after the Company’s initial public offering or (b) March 15 of the year following the Company’s initial public offering. During the first quarter of 2018, the Company's Board of Directors approved the acceleration of the Performance Vesting Condition for which the service condition was satisfied, to occur upon the effectiveness of the registration statement related to the Company's IPO. Prior to August 2015, the Company granted two-tier RSUs under the 2008 Plan. The last grant date for two-tier RSUs was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95" w:lineRule="exact"/>
        <w:rPr>
          <w:sz w:val="20"/>
          <w:szCs w:val="20"/>
          <w:color w:val="auto"/>
        </w:rPr>
      </w:pPr>
    </w:p>
    <w:p>
      <w:pPr>
        <w:ind w:left="980" w:right="120"/>
        <w:spacing w:after="0" w:line="324" w:lineRule="auto"/>
        <w:rPr>
          <w:sz w:val="20"/>
          <w:szCs w:val="20"/>
          <w:color w:val="auto"/>
        </w:rPr>
      </w:pPr>
      <w:r>
        <w:rPr>
          <w:rFonts w:ascii="Arial" w:cs="Arial" w:eastAsia="Arial" w:hAnsi="Arial"/>
          <w:sz w:val="18"/>
          <w:szCs w:val="18"/>
          <w:color w:val="auto"/>
        </w:rPr>
        <w:t>in May 2015. The Company recognizes compensation expense associated with two-tier RSUs using the accelerated attribution method over the requisite service period.</w:t>
      </w:r>
    </w:p>
    <w:p>
      <w:pPr>
        <w:spacing w:after="0" w:line="143"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color w:val="auto"/>
        </w:rPr>
        <w:t>The Performance Vesting Condition for the two-tier RSUs was satisfied upon the effectiveness of the registration statement related to the Company's IPO, which was March 22, 2018. On that date, the Company recognized the cumulative unrecognized expense of the two-tier RSUs, using the accelerated attribution method, which is included in the Company's results for the nine months ended September 30, 2018. See "—Initial public offering and private placement” for further discussion. As of September 30, 2018, the remaining unamortized stock-based compensation related to the two-tier RSUs was $0.4 million, which will be recognized if the requisite service is provided over a weighted average period of 0.3 years.</w:t>
      </w:r>
    </w:p>
    <w:p>
      <w:pPr>
        <w:spacing w:after="0" w:line="15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Since August 2015, the Company has granted RSUs as the only stock-based payment awards to its employees, with the exception of awards granted to its co-founders, and has not granted any stock options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will determine the fair value of each share of underlying common stock based on the closing price of the Company's Class A common stock as reported on the Nasdaq Global Select Market on the date of the grant.</w:t>
      </w:r>
    </w:p>
    <w:p>
      <w:pPr>
        <w:spacing w:after="0" w:line="15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w:t>
      </w:r>
    </w:p>
    <w:p>
      <w:pPr>
        <w:spacing w:after="0" w:line="171"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The Co-Founder Grants comprise nine tranches that are eligible to vest based on the achievement of stock price goals, or, each, a Stock Price Target.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the Company will recognize aggregate stock-based compensation expense of $156.2 million over the requisite service period of each tranche, which ranged from 2.9 to 6.9 years, using the accelerated attribution method.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67" w:lineRule="exact"/>
        <w:rPr>
          <w:sz w:val="20"/>
          <w:szCs w:val="20"/>
          <w:color w:val="auto"/>
        </w:rPr>
      </w:pPr>
    </w:p>
    <w:p>
      <w:pPr>
        <w:ind w:right="340" w:firstLine="432"/>
        <w:spacing w:after="0" w:line="255" w:lineRule="auto"/>
        <w:rPr>
          <w:sz w:val="20"/>
          <w:szCs w:val="20"/>
          <w:color w:val="auto"/>
        </w:rPr>
      </w:pPr>
      <w:r>
        <w:rPr>
          <w:rFonts w:ascii="Arial" w:cs="Arial" w:eastAsia="Arial" w:hAnsi="Arial"/>
          <w:sz w:val="18"/>
          <w:szCs w:val="18"/>
          <w:color w:val="auto"/>
        </w:rPr>
        <w:t>The Co-Founder Grants contain an implied performance-based vesting condition because the Stock Price Targets are based on the trailing 30-day average price of the shares from an established national securities exchange or automated quotation system. Accordingly, no vesting could occur until the completion of the Company’s IPO. The relevant performance-based vesting condition for the Co-Founder Grants was satisfied on the date the Company’s shares of Class A common stock commenced trading on the Nasdaq Global Select Market, in connection with the Company’s IPO, which was March 23, 2018. The Company recognized $8.8 million and $28.1 million in stock-based compensation related to the Co-Founder Grants during the three and nine months ended September 30, 2018, respectively.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Company’s short-term investments are primarily comprised of corporate notes and obligations, U.S. treasury securities, certificates of deposits, U.S. agency obligations, and commercial paper.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condensed consolidated balance sheets until realized. Interest income is reported within interest income (expense), net in the condensed consolidated statements of operations. The Company periodically evaluates its short-term investments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(expense), net in the condensed consolidated statements of operations. If the Company determines that the decline in an investment’s fair value is other-than-temporary, the difference is recognized as an impairment loss in the condensed consolidated statements of operations.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81"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Trade accounts receivables are typically unsecured and are derived from revenue earned from customers located around the world. Two customers accounted for 13% and 40% of total trade and other receivables, net as of September 30, 2018. Two customers accounted for 18% and 27% of total trade and other receivables, net as of December 31, 2017. No customer accounted for more than 10% of the Company’s revenue in the periods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117"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The Company records non-trade receivables to reflect amounts due for activities outside of its subscription agreements. Historically, the Company’s non-trade receivables have related primarily to receivables resulting from tenant improvement allowances. Non-trade receivables totaled $44.8 million and $5.2 million, as of September 30, 2018 and December 31, 2017, respectively, and are classified within prepaid expenses and other current assets and other assets in the accompanying condensed consolidated balance sheets. The Company recognized its initial tenant improvement allowance receivable related to its new corporate headquarters once it took initial possession of the first phase in June 2018. As of September 30, 2018, $40.5 million is included in prepaid expenses and other current assets related to this tenant improvement allowance receivable. See "—Lease obligations” for further discussion on the corresponding recording of the lease incentive obligation.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$7.4 million and $24.9 million during the three and nine months ended September 30, 2018, respectively, and $6.3 million and $16.0 million during the three and nine months ended September 30, 2017, respectively.</w:t>
      </w:r>
    </w:p>
    <w:p>
      <w:pPr>
        <w:spacing w:after="0" w:line="15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Deferred commissions, net included in prepaid and other current assets were $13.0 million and $8.1 million as of September 30, 2018 and December 31, 2017, respectively. Deferred commissions, net included in other assets were $36.3 million and $24.8 million as of September 30, 2018 and December 31, 2017, respectively.</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Deferred commissions are amortized over a period of benefit of five years. The period of benefit was estimated by considering factors such as historical customer attrition rates, the useful life of the Company’s technology, and the impact of competition in its industry. Amortized costs were $3.2 million and $8.5 million for the three and nine months ended September 30, 2018, respectively, and $2.0 million and $4.6 million for the three and nine months ended September 30, 2017, respectively. Amortized costs are included in sales and marketing expense in the accompanying condensed consolidated statements of operations. There was no impairment loss in relation to the deferred costs for any period presented.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1"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In the first quarter of 2018, the Company determined that the useful lives of certain infrastructure equipment, which are depreciated through cost of revenue, should be increased from three to four years. The Company accounted for this as a change in estimate that was applied prospectively, effective as of January 1, 2018. This change in useful life resulted in a reduction in depreciation expense within cost of revenue of $2.8 million and $13.6 million during the three and nine months ended September 30, 2018, respectively.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estimated useful lives of property and equipment:</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6580" w:type="dxa"/>
            <w:vAlign w:val="bottom"/>
          </w:tcPr>
          <w:p>
            <w:pPr>
              <w:jc w:val="center"/>
              <w:ind w:left="790"/>
              <w:spacing w:after="0"/>
              <w:rPr>
                <w:sz w:val="20"/>
                <w:szCs w:val="20"/>
                <w:color w:val="auto"/>
              </w:rPr>
            </w:pPr>
            <w:r>
              <w:rPr>
                <w:rFonts w:ascii="Arial" w:cs="Arial" w:eastAsia="Arial" w:hAnsi="Arial"/>
                <w:sz w:val="18"/>
                <w:szCs w:val="18"/>
                <w:b w:val="1"/>
                <w:bCs w:val="1"/>
                <w:color w:val="auto"/>
                <w:w w:val="90"/>
              </w:rPr>
              <w:t>Useful life</w:t>
            </w:r>
          </w:p>
        </w:tc>
      </w:tr>
      <w:tr>
        <w:trPr>
          <w:trHeight w:val="27"/>
        </w:trPr>
        <w:tc>
          <w:tcPr>
            <w:tcW w:w="4820" w:type="dxa"/>
            <w:vAlign w:val="bottom"/>
            <w:tcBorders>
              <w:bottom w:val="single" w:sz="8" w:color="auto"/>
            </w:tcBorders>
          </w:tcPr>
          <w:p>
            <w:pPr>
              <w:spacing w:after="0"/>
              <w:rPr>
                <w:sz w:val="2"/>
                <w:szCs w:val="2"/>
                <w:color w:val="auto"/>
              </w:rPr>
            </w:pPr>
          </w:p>
        </w:tc>
        <w:tc>
          <w:tcPr>
            <w:tcW w:w="6580" w:type="dxa"/>
            <w:vAlign w:val="bottom"/>
            <w:tcBorders>
              <w:bottom w:val="single" w:sz="8" w:color="auto"/>
            </w:tcBorders>
          </w:tcPr>
          <w:p>
            <w:pPr>
              <w:spacing w:after="0"/>
              <w:rPr>
                <w:sz w:val="2"/>
                <w:szCs w:val="2"/>
                <w:color w:val="auto"/>
              </w:rPr>
            </w:pPr>
          </w:p>
        </w:tc>
      </w:tr>
      <w:tr>
        <w:trPr>
          <w:trHeight w:val="115"/>
        </w:trPr>
        <w:tc>
          <w:tcPr>
            <w:tcW w:w="4820" w:type="dxa"/>
            <w:vAlign w:val="bottom"/>
          </w:tcPr>
          <w:p>
            <w:pPr>
              <w:spacing w:after="0"/>
              <w:rPr>
                <w:sz w:val="10"/>
                <w:szCs w:val="10"/>
                <w:color w:val="auto"/>
              </w:rPr>
            </w:pPr>
          </w:p>
        </w:tc>
        <w:tc>
          <w:tcPr>
            <w:tcW w:w="6580" w:type="dxa"/>
            <w:vAlign w:val="bottom"/>
          </w:tcPr>
          <w:p>
            <w:pPr>
              <w:spacing w:after="0"/>
              <w:rPr>
                <w:sz w:val="10"/>
                <w:szCs w:val="10"/>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658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9"/>
              </w:rPr>
              <w:t>20 to 30 years</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6580" w:type="dxa"/>
            <w:vAlign w:val="bottom"/>
          </w:tcPr>
          <w:p>
            <w:pPr>
              <w:jc w:val="center"/>
              <w:ind w:left="790"/>
              <w:spacing w:after="0"/>
              <w:rPr>
                <w:sz w:val="20"/>
                <w:szCs w:val="20"/>
                <w:color w:val="auto"/>
              </w:rPr>
            </w:pPr>
            <w:r>
              <w:rPr>
                <w:rFonts w:ascii="Arial" w:cs="Arial" w:eastAsia="Arial" w:hAnsi="Arial"/>
                <w:sz w:val="18"/>
                <w:szCs w:val="18"/>
                <w:color w:val="auto"/>
                <w:w w:val="87"/>
              </w:rPr>
              <w:t>3 to 5 years</w:t>
            </w:r>
          </w:p>
        </w:tc>
      </w:tr>
      <w:tr>
        <w:trPr>
          <w:trHeight w:val="27"/>
        </w:trPr>
        <w:tc>
          <w:tcPr>
            <w:tcW w:w="4820" w:type="dxa"/>
            <w:vAlign w:val="bottom"/>
          </w:tcPr>
          <w:p>
            <w:pPr>
              <w:spacing w:after="0"/>
              <w:rPr>
                <w:sz w:val="2"/>
                <w:szCs w:val="2"/>
                <w:color w:val="auto"/>
              </w:rPr>
            </w:pPr>
          </w:p>
        </w:tc>
        <w:tc>
          <w:tcPr>
            <w:tcW w:w="65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equipment and other</w:t>
            </w:r>
          </w:p>
        </w:tc>
        <w:tc>
          <w:tcPr>
            <w:tcW w:w="6580" w:type="dxa"/>
            <w:vAlign w:val="bottom"/>
            <w:tcBorders>
              <w:bottom w:val="single" w:sz="8" w:color="CCEEFF"/>
            </w:tcBorders>
            <w:shd w:val="clear" w:color="auto" w:fill="CCEEFF"/>
          </w:tcPr>
          <w:p>
            <w:pPr>
              <w:jc w:val="center"/>
              <w:ind w:left="790"/>
              <w:spacing w:after="0"/>
              <w:rPr>
                <w:sz w:val="20"/>
                <w:szCs w:val="20"/>
                <w:color w:val="auto"/>
              </w:rPr>
            </w:pPr>
            <w:r>
              <w:rPr>
                <w:rFonts w:ascii="Arial" w:cs="Arial" w:eastAsia="Arial" w:hAnsi="Arial"/>
                <w:sz w:val="18"/>
                <w:szCs w:val="18"/>
                <w:color w:val="auto"/>
                <w:w w:val="87"/>
              </w:rPr>
              <w:t>3 to 7 years</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6580" w:type="dxa"/>
            <w:vAlign w:val="bottom"/>
          </w:tcPr>
          <w:p>
            <w:pPr>
              <w:jc w:val="center"/>
              <w:ind w:left="790"/>
              <w:spacing w:after="0"/>
              <w:rPr>
                <w:sz w:val="20"/>
                <w:szCs w:val="20"/>
                <w:color w:val="auto"/>
              </w:rPr>
            </w:pPr>
            <w:r>
              <w:rPr>
                <w:rFonts w:ascii="Arial" w:cs="Arial" w:eastAsia="Arial" w:hAnsi="Arial"/>
                <w:sz w:val="18"/>
                <w:szCs w:val="18"/>
                <w:color w:val="auto"/>
                <w:w w:val="90"/>
              </w:rPr>
              <w:t>Lesser of estimated useful life or remaining lease term</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leases office space, datacenters, and equipment under non-cancelable capital and operating leases with various expiration dates through 2033. Certain of the Company’s operating lease agreements contain tenant improvement allowances from its landlords. These allowances are accounted for as lease incentive obligations and are amortized as reductions to rent expense over the lease term. In June 2018, the Company took initial possession of the first phase of its new corporate headquarters and recorded a lease incentive obligation related to this phase. As of September 30, 2018, $2.6 million was included in accrued and other current liabilities and $37.0 million was included in deferred rent, non-current in the Company's condensed consolidated balance sheets.</w:t>
      </w:r>
    </w:p>
    <w:p>
      <w:pPr>
        <w:spacing w:after="0" w:line="158"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addition, certain of the operating lease agreements contain rent concession, rent escalation, and option to renew provisions. Rent concession and rent escalation provisions are considered in determining the straight-line rent expense to be recorded over the lease term. Lease expense is recognized on a straight-line basis over the lease term commencing on the date the Company has the right to use the leased property. The Company does not assume renewals in its determination of the lease term unless the renewals are deemed to be reasonably assured at lease inception.</w:t>
      </w:r>
    </w:p>
    <w:p>
      <w:pPr>
        <w:spacing w:after="0" w:line="171"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was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 building asset and an imputed financing obligation for its liability to the legal owners. In September 2018, the Company terminated its master lease for its previous corporate headquarters, the impact of which is described in Note 4, "Property and Equipment, Net".</w:t>
      </w:r>
    </w:p>
    <w:p>
      <w:pPr>
        <w:spacing w:after="0" w:line="17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leases certain equipment from various third parties, including from a related party, through equipment financing leases under capital leases. See Note 12,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capital leases. These leases are capitalized in property and equipment and the related amortization of assets under capital leases is included in depreciation and amortization expense in the Company’s condensed consolidated statements of operations. Initial asset values and lease obligations are based on the present value of future minimum lease payments.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117"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condensed consolidated financial statements.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 See "—Property and equipment, net” for further discussion regarding a change in useful life applied during the nine months ended September 30, 2018.</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87"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correspondence with tax authorities during the course of an audit, and effective settlement of audit issues.</w:t>
      </w:r>
    </w:p>
    <w:p>
      <w:pPr>
        <w:spacing w:after="0" w:line="171"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76" w:lineRule="exact"/>
        <w:rPr>
          <w:sz w:val="20"/>
          <w:szCs w:val="20"/>
          <w:color w:val="auto"/>
        </w:rPr>
      </w:pPr>
    </w:p>
    <w:p>
      <w:pPr>
        <w:jc w:val="both"/>
        <w:ind w:left="500" w:right="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00" w:right="4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The Company is required to adopt the standard using the modified retrospective approach and has elected to use the optional transition method related to comparative reporting at adoption. The new standard is effective for fiscal years beginning after December 15, 2018. Early adoption by public entities is permitted. The Company is in the process of finalizing changes to its systems, processes, disclosures and controls in order to adopt the new standard on January 1, 2019. The Company anticipates the adoption of this standard will result in a substantial increase in its non-current assets and liabilities recorded on the condensed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right-of-use assets and lease liabilities for its office space and datacenter operating leases. The Company expects its accounting for capital leases related to infrastructure equipment to remain substantially unchanged under the new standard.</w:t>
      </w:r>
    </w:p>
    <w:p>
      <w:pPr>
        <w:spacing w:after="0" w:line="18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guidance is effective for fiscal years beginning after December 15, 2018 and interim periods within those fiscal years. Early adoption in any period is permitted. The Company is currently evaluating the impact and timing of adopting ASU No. 2018-02.</w:t>
      </w:r>
    </w:p>
    <w:p>
      <w:pPr>
        <w:spacing w:after="0" w:line="16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guidance is effective for fiscal years beginning after December 15, 2018 and interim periods within those fiscal years. Early adoption in any period is permitted. The Company does not expect the impact of adoption to have a material impact on its condensed consolidated financial statements and is currently evaluating the timing of adopting ASU No. 2018-07.</w:t>
      </w:r>
    </w:p>
    <w:p>
      <w:pPr>
        <w:spacing w:after="0" w:line="19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Early adoption is permitted. The Company does not expect the adoption to have a significant impact on its disclosures and is currently evaluating the timing of adopting ASU No. 2018-13.</w:t>
      </w:r>
    </w:p>
    <w:p>
      <w:pPr>
        <w:spacing w:after="0" w:line="188"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Under existing U.S. GAAP, there is diversity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in practice in accounting for the costs of implementing 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fiscal years beginning after December 15, 2019 and interim periods within those fiscal years. Early adoption is permitted. The Company is currently evaluating the impact and timing of adopting ASU No. 2018-15.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(Subtopic 825)</w:t>
      </w:r>
      <w:r>
        <w:rPr>
          <w:rFonts w:ascii="Arial" w:cs="Arial" w:eastAsia="Arial" w:hAnsi="Arial"/>
          <w:sz w:val="17"/>
          <w:szCs w:val="17"/>
          <w:color w:val="auto"/>
        </w:rPr>
        <w:t>, which primarily affects the accounting for equity investments, financial liabilities under the fair value option and the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disclosure requirements for financial instruments. In addition, the FASB clarified guidance related to the valuation allowance assessment when recognizing deferred tax assets resulting from unrealized losses on available-for-sale debt securities. The accounting for other financial instruments, such as loans, investments in debt securities and financial liabilities is largely unchanged. The Company adopted ASU No. 2016-01 on January 1, 2018. The adoption of the standard did not have a material impact on the Company's condensed consolidated financial statements.</w:t>
      </w:r>
    </w:p>
    <w:p>
      <w:pPr>
        <w:spacing w:after="0" w:line="178"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Income Taxes: Intra-Entity Transfers Other than Inventory (Topic 740)</w:t>
      </w:r>
      <w:r>
        <w:rPr>
          <w:rFonts w:ascii="Arial" w:cs="Arial" w:eastAsia="Arial" w:hAnsi="Arial"/>
          <w:sz w:val="16"/>
          <w:szCs w:val="16"/>
          <w:color w:val="auto"/>
        </w:rPr>
        <w:t>, which requires entities to recognize the income tax consequences of an intra-entity transfer of an asset other than inventory when the transfer occurs. The Company adopted ASU No. 2016-16 on January 1, 2018. The adoption of the guidance did not have a material impact on the Company's condensed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short-term investments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5"/>
          </w:tcPr>
          <w:p>
            <w:pPr>
              <w:ind w:left="720"/>
              <w:spacing w:after="0"/>
              <w:rPr>
                <w:sz w:val="20"/>
                <w:szCs w:val="20"/>
                <w:color w:val="auto"/>
              </w:rPr>
            </w:pPr>
            <w:r>
              <w:rPr>
                <w:rFonts w:ascii="Arial" w:cs="Arial" w:eastAsia="Arial" w:hAnsi="Arial"/>
                <w:sz w:val="18"/>
                <w:szCs w:val="18"/>
                <w:b w:val="1"/>
                <w:bCs w:val="1"/>
                <w:color w:val="auto"/>
              </w:rPr>
              <w:t>As of September 30, 2018</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 gain</w:t>
            </w:r>
          </w:p>
        </w:tc>
        <w:tc>
          <w:tcPr>
            <w:tcW w:w="22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Unrealized loss</w:t>
            </w:r>
          </w:p>
        </w:tc>
        <w:tc>
          <w:tcPr>
            <w:tcW w:w="160" w:type="dxa"/>
            <w:vAlign w:val="bottom"/>
          </w:tcPr>
          <w:p>
            <w:pPr>
              <w:spacing w:after="0"/>
              <w:rPr>
                <w:sz w:val="20"/>
                <w:szCs w:val="20"/>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Estimated fair value</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536.2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notes and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U.S. agency obligations</w:t>
            </w:r>
          </w:p>
        </w:tc>
        <w:tc>
          <w:tcPr>
            <w:tcW w:w="260" w:type="dxa"/>
            <w:vAlign w:val="bottom"/>
          </w:tcPr>
          <w:p>
            <w:pPr>
              <w:spacing w:after="0"/>
              <w:rPr>
                <w:sz w:val="21"/>
                <w:szCs w:val="21"/>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2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Company's cash and cash equivalents at December 31, 2017 consisted of cash of $62.9 million and money market funds of $367.1 million. The Company did not have short-term investments as of December 31, 2017.</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Included in cash and cash equivalents is cash in transit from payment processors for credit and debit card transactions of $17.5 million and $13.3 million as of September 30, 2018 and December 31, 2017,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short-term investments were designated as available-for-sale securities as of September 30, 2018.</w:t>
      </w:r>
    </w:p>
    <w:p>
      <w:pPr>
        <w:spacing w:after="0" w:line="225"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The Company had 143 short-term investments in unrealized loss positions as of September 30, 2018. There were no material gross unrealized losses from available-for-sale securities and no material realized gains or losses from available-for-sale securities that were reclassified out of accumulated other comprehensive income for the three and nine months ended September 30,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September 30, 2018.</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contractual maturities of the Company’s short-term investments as of September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As of September 30, 2018</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20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Estimated fair value</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15"/>
        </w:trPr>
        <w:tc>
          <w:tcPr>
            <w:tcW w:w="6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Due between one to three years</w:t>
            </w: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181.7</w:t>
            </w: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using the input categories discussed in Note 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As of September 30, 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21"/>
                <w:szCs w:val="21"/>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equivalents</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Corporate notes and obligations</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obligations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cash equivalents and short-term</w:t>
            </w:r>
          </w:p>
        </w:tc>
        <w:tc>
          <w:tcPr>
            <w:tcW w:w="1360" w:type="dxa"/>
            <w:vAlign w:val="bottom"/>
            <w:tcBorders>
              <w:top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8"/>
                <w:szCs w:val="18"/>
                <w:color w:val="auto"/>
              </w:rPr>
            </w:pPr>
          </w:p>
        </w:tc>
        <w:tc>
          <w:tcPr>
            <w:tcW w:w="1320" w:type="dxa"/>
            <w:vAlign w:val="bottom"/>
            <w:tcBorders>
              <w:top w:val="single" w:sz="8" w:color="auto"/>
            </w:tcBorders>
            <w:vMerge w:val="restart"/>
          </w:tcPr>
          <w:p>
            <w:pPr>
              <w:jc w:val="right"/>
              <w:ind w:right="11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18"/>
                <w:szCs w:val="18"/>
                <w:color w:val="auto"/>
              </w:rPr>
            </w:pPr>
          </w:p>
        </w:tc>
        <w:tc>
          <w:tcPr>
            <w:tcW w:w="1360" w:type="dxa"/>
            <w:vAlign w:val="bottom"/>
            <w:tcBorders>
              <w:top w:val="single" w:sz="8" w:color="auto"/>
            </w:tcBorders>
            <w:vMerge w:val="restart"/>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vMerge w:val="restart"/>
          </w:tcPr>
          <w:p>
            <w:pPr>
              <w:ind w:left="1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42"/>
        </w:trPr>
        <w:tc>
          <w:tcPr>
            <w:tcW w:w="34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36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total cash equivalents held by the Company as of December 31, 2017 were $367.1 million and were entirely comprised of money market funds classified within Level 1 of the fair value hierarchy.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levels of the fair value hierarchy.</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5"/>
        </w:trPr>
        <w:tc>
          <w:tcPr>
            <w:tcW w:w="6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663.1</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37"/>
        </w:trPr>
        <w:tc>
          <w:tcPr>
            <w:tcW w:w="698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846.7</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341.9</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As described in Note 1, "Description of the Business and Summary of Significant Accounting Policies", the Company terminated its master lease for its previous corporate headquarters in September 2018. The termination resulted in de-recognizing the gross building asset of $36.6 million, related accumulated depreciation of $12.2 million, and an imputed financing obligation of $25.5 million, of which $2.8 million was included in accrued and other current liabilities and $22.7 million was included in other non-current liabilities. The Company recorded the difference between the net asset and liability that were de-recognized to other income (expense), net during the period.</w:t>
      </w:r>
    </w:p>
    <w:p>
      <w:pPr>
        <w:spacing w:after="0" w:line="188"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Company leases certain infrastructure from various third parties, including from a related party, through equipment financing leases that are accounted for as capital leases. See Note 12, “Related Party Transactions” for additional details. Infrastructure assets as of September 30, 2018 and December 31, 2017, respectively included a total of $368.3 million and $417.9 million acquired under capital lease agreements. These leases are capitalized in property and equipment, and the related amortization of assets under capital leases is included in depreciation and amortization expense. The accumulated depreciation of the infrastructure under capital leases totaled $219.1 million and $259.0 million as of September 30, 2018 and December 31, 2017, respectively.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Construction in process includes costs primarily related to construction of leasehold improvements for office buildings and datacenters.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Depreciation expense related to property and equipment was $43.3 million and $115.4 million for the three and nine months ended September 30, 2018, respectively, and $42.0 million and $130.1 million for the three and nine months ended September 30,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229" w:lineRule="exact"/>
        <w:rPr>
          <w:sz w:val="20"/>
          <w:szCs w:val="20"/>
          <w:color w:val="auto"/>
        </w:rPr>
      </w:pPr>
    </w:p>
    <w:p>
      <w:pPr>
        <w:ind w:right="480" w:firstLine="432"/>
        <w:spacing w:after="0" w:line="286"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Goodwill amounts are not amortized, but tested for impairment on an annual basis. There was no impairment of goodwill as of September 30, 2018 and December 31, 2017. The Company did not complete any business combinations in any of the periods presented.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Revolving Credit Facility</w:t>
      </w:r>
    </w:p>
    <w:p>
      <w:pPr>
        <w:spacing w:after="0" w:line="229"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81" w:lineRule="exact"/>
        <w:rPr>
          <w:sz w:val="20"/>
          <w:szCs w:val="20"/>
          <w:color w:val="auto"/>
        </w:rPr>
      </w:pPr>
    </w:p>
    <w:p>
      <w:pPr>
        <w:jc w:val="both"/>
        <w:ind w:right="280" w:firstLine="432"/>
        <w:spacing w:after="0" w:line="302" w:lineRule="auto"/>
        <w:rPr>
          <w:sz w:val="20"/>
          <w:szCs w:val="20"/>
          <w:color w:val="auto"/>
        </w:rPr>
      </w:pPr>
      <w:r>
        <w:rPr>
          <w:rFonts w:ascii="Arial" w:cs="Arial" w:eastAsia="Arial" w:hAnsi="Arial"/>
          <w:sz w:val="16"/>
          <w:szCs w:val="16"/>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increase. In conjunction with the amendment, the Company paid upfront issuance fees of $0.4 million, which are being amortized over the remaining term of the agreement.</w:t>
      </w:r>
    </w:p>
    <w:p>
      <w:pPr>
        <w:spacing w:after="0" w:line="17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178"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September 30, 2018 and December 31, 2017, respectively.</w:t>
      </w:r>
    </w:p>
    <w:p>
      <w:pPr>
        <w:spacing w:after="0" w:line="17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 had an aggregate of $71.8 million of letters of credit outstanding under the revolving credit facility as of September 30, 2018, and the Company’s total available borrowing capacity under the revolving credit facility was $653.2 million as of September 30, 2018. The Company’s letters of credit expire between April of 2019 and April of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Company has entered into various non-cancelable operating lease agreements for certain offices and datacenters with contractual lease periods expiring at various dates through 2033.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Gross rent expense was $21.4 million and $64.4 million for the three and nine months ended September 30, 2018, respectively, and $19.0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$51.4 million for the three and nine months ended September 30, 2017, respectively. Sublease income, which is recorded as a reduction of rental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and $9.4 million for the three and nine months ended September 30, 2018, respectively, and $3.4 million and $7.2 million for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2017, respectively. Sublease income in excess of the Company’s original lease obligation is split with the original lessor per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of the sublease agreement, with the Company’s portion recorded to other income (expense), net.</w:t>
      </w:r>
    </w:p>
    <w:p>
      <w:pPr>
        <w:spacing w:after="0" w:line="211"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2017, the Company entered into a new lease agreement for office space in San Francisco, California, to serve as its new corporate headquarters. The Company took initial possession of the new corporate headquarters in June 2018 and began to recognize rent expense during the three months ended June 30, 2018. The Company expects to start making recurring rental payments under the lease in the third quarter of 2019. Included in the operating lease commitments below are total expected minimum obligations under the lease agreement of $831.6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w:t>
      </w:r>
    </w:p>
    <w:p>
      <w:pPr>
        <w:spacing w:after="0" w:line="165"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7"/>
          <w:szCs w:val="17"/>
          <w:color w:val="auto"/>
        </w:rPr>
        <w:t>In May 2018, the Company amended its lease agreement for its current corporate headquarters, modifying the original lease termination date from 2027 to 2019. As a result of the amendment, the Company expects to vacate its current corporate headquarters in August 2019, but is obligated to pay rent through February 2020. Accordingly, the Company's future operating lease commitments were reduced by $192.4 million.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described in Note 1, "Description of the Business and Summary of Significant Accounting Policies”, the Company was considered the deemed owner of a floor in its previous corporate headquarters, for accounting purposes, as part of a build-to-suit lease agreement. In September 2018, the Company terminated its master lease for its previous corporate headquarters. As the master lease was nearing expiration, the early termination did not have a material impact on the Company's future operating lease commitments.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asset retirement obligations for office modifications, and a note payable related to financing of infrastructure.</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Future minimum payments under the Company’s capital leases, non-cancelable operating leases, and other commitments as of September 30, 2018,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180" w:type="dxa"/>
            <w:vAlign w:val="bottom"/>
          </w:tcPr>
          <w:p>
            <w:pPr>
              <w:jc w:val="center"/>
              <w:ind w:left="470"/>
              <w:spacing w:after="0"/>
              <w:rPr>
                <w:sz w:val="20"/>
                <w:szCs w:val="20"/>
                <w:color w:val="auto"/>
              </w:rPr>
            </w:pPr>
            <w:r>
              <w:rPr>
                <w:rFonts w:ascii="Arial" w:cs="Arial" w:eastAsia="Arial" w:hAnsi="Arial"/>
                <w:sz w:val="18"/>
                <w:szCs w:val="18"/>
                <w:b w:val="1"/>
                <w:bCs w:val="1"/>
                <w:color w:val="auto"/>
                <w:w w:val="96"/>
              </w:rPr>
              <w:t>Capital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4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180" w:type="dxa"/>
            <w:vAlign w:val="bottom"/>
            <w:vMerge w:val="restart"/>
          </w:tcPr>
          <w:p>
            <w:pPr>
              <w:jc w:val="center"/>
              <w:ind w:left="470"/>
              <w:spacing w:after="0"/>
              <w:rPr>
                <w:sz w:val="20"/>
                <w:szCs w:val="20"/>
                <w:color w:val="auto"/>
              </w:rPr>
            </w:pPr>
            <w:r>
              <w:rPr>
                <w:rFonts w:ascii="Arial" w:cs="Arial" w:eastAsia="Arial" w:hAnsi="Arial"/>
                <w:sz w:val="18"/>
                <w:szCs w:val="18"/>
                <w:b w:val="1"/>
                <w:bCs w:val="1"/>
                <w:color w:val="auto"/>
                <w:w w:val="84"/>
              </w:rPr>
              <w:t>lease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4"/>
              </w:rPr>
              <w:t>lease</w:t>
            </w:r>
          </w:p>
        </w:tc>
        <w:tc>
          <w:tcPr>
            <w:tcW w:w="22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5"/>
              </w:rPr>
              <w:t>commitments</w:t>
            </w:r>
          </w:p>
        </w:tc>
        <w:tc>
          <w:tcPr>
            <w:tcW w:w="0" w:type="dxa"/>
            <w:vAlign w:val="bottom"/>
          </w:tcPr>
          <w:p>
            <w:pPr>
              <w:spacing w:after="0"/>
              <w:rPr>
                <w:sz w:val="1"/>
                <w:szCs w:val="1"/>
                <w:color w:val="auto"/>
              </w:rPr>
            </w:pPr>
          </w:p>
        </w:tc>
      </w:tr>
      <w:tr>
        <w:trPr>
          <w:trHeight w:val="126"/>
        </w:trPr>
        <w:tc>
          <w:tcPr>
            <w:tcW w:w="6040" w:type="dxa"/>
            <w:vAlign w:val="bottom"/>
          </w:tcPr>
          <w:p>
            <w:pPr>
              <w:spacing w:after="0"/>
              <w:rPr>
                <w:sz w:val="10"/>
                <w:szCs w:val="10"/>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commitments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restart"/>
          </w:tcPr>
          <w:p>
            <w:pPr>
              <w:jc w:val="center"/>
              <w:ind w:right="300"/>
              <w:spacing w:after="0" w:line="262" w:lineRule="exact"/>
              <w:rPr>
                <w:sz w:val="20"/>
                <w:szCs w:val="20"/>
                <w:color w:val="auto"/>
              </w:rPr>
            </w:pPr>
            <w:r>
              <w:rPr>
                <w:rFonts w:ascii="Arial" w:cs="Arial" w:eastAsia="Arial" w:hAnsi="Arial"/>
                <w:sz w:val="18"/>
                <w:szCs w:val="18"/>
                <w:b w:val="1"/>
                <w:bCs w:val="1"/>
                <w:color w:val="auto"/>
                <w:w w:val="85"/>
              </w:rPr>
              <w:t>commitments</w:t>
            </w:r>
            <w:r>
              <w:rPr>
                <w:rFonts w:ascii="Arial" w:cs="Arial" w:eastAsia="Arial" w:hAnsi="Arial"/>
                <w:sz w:val="25"/>
                <w:szCs w:val="25"/>
                <w:b w:val="1"/>
                <w:bCs w:val="1"/>
                <w:color w:val="auto"/>
                <w:w w:val="85"/>
                <w:vertAlign w:val="superscript"/>
              </w:rPr>
              <w:t>(1)</w:t>
            </w:r>
          </w:p>
        </w:tc>
        <w:tc>
          <w:tcPr>
            <w:tcW w:w="2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4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2019</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2021</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1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minimum payments</w:t>
            </w:r>
          </w:p>
        </w:tc>
        <w:tc>
          <w:tcPr>
            <w:tcW w:w="11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173.9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1,118.3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interest and taxes</w:t>
            </w:r>
          </w:p>
        </w:tc>
        <w:tc>
          <w:tcPr>
            <w:tcW w:w="1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4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20" w:hanging="332"/>
        <w:spacing w:after="0" w:line="226"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Consists of future non-cancelable minimum rental payments under operating leases for the Company’s offices and datacenters, excluding rent payments from the Company’s sub-tenants, variable operating expenses, and tenant improvement reimbursements. Non-cancelable rent payments from the Company’s sub-tenants as of September 30, 2018, are expected to be $44.2 million through 2023.</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and Other Current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20"/>
              <w:spacing w:after="0"/>
              <w:rPr>
                <w:sz w:val="20"/>
                <w:szCs w:val="20"/>
                <w:color w:val="auto"/>
              </w:rPr>
            </w:pPr>
            <w:r>
              <w:rPr>
                <w:rFonts w:ascii="Arial" w:cs="Arial" w:eastAsia="Arial" w:hAnsi="Arial"/>
                <w:sz w:val="18"/>
                <w:szCs w:val="18"/>
                <w:color w:val="auto"/>
              </w:rPr>
              <w:t>Accrued and other current liabilities consisted of the following:</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9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0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5"/>
        </w:trPr>
        <w:tc>
          <w:tcPr>
            <w:tcW w:w="6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Non-income taxes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and other external fees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Financing obligations, current</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infrastructure costs</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Accrued property and equipment purchases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accrued and current liabilities</w:t>
            </w:r>
          </w:p>
        </w:tc>
        <w:tc>
          <w:tcPr>
            <w:tcW w:w="22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and other current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Deferred rent as of September 30, 2018 increased from December 31, 2017 primarily due to the amendment of the lease for the Company's current corporate headquarters and the shortening of its lease term in May 2018, as described further in Note 7, "Commitments and Contingencies". This lease modification resulted in a reclassification of deferred rent from deferred rent, non-current to accrued and other current liabilities, and is included in the deferred rent amount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During the three months ended September 30, 2018, holders of 61.3 million shares of Class B common stock voluntarily converted into an equivalent number of shares of Class A common stock.</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of September 30, 2018, the Company had authorized 2,400.0 million shares of Class A common stock, 475.0 million shares of Class B common stock, and 800.0 million shares of Class C common stock, each at par value of $0.00001. As of September 30, 2018, 165.4 million shares of Class A common stock, 240.8 million shares of Class B common stock, and no shares of Class C common stock were issued and outstanding. As of December 31, 2017, 8.9 million shares of Class A common stock, 187.9 million shares of Class B common stock, and no shares of Class C common stock were issued and outstanding. Class A shares issued and outstanding as of September 30, 2018 and December 31, 2017 exclude 14.7 million unvested restricted stock awards granted to the Company’s co-founders. See "Co-Founder Grants" section below for further details.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No options have been granted since August of 2015.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 with a reserve of 41.4 million shares of Class A common stock for future issuance. As of September 30, 2018, there were 29.3 million stock-based awards issued and outstanding and 57.5 million shares available for issuance under the 2008 Equity Incentive Plan, the 2017 Equity Incentive Plan, and the 2018 Plan (collectively, the "Plans").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and restricted stock activity for the Plans was as follows for the nine months ended September 30, 2018:</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6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Options outstanding</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Weighted-</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available for</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color w:val="auto"/>
                <w:w w:val="86"/>
              </w:rPr>
              <w:t>average</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remaining</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issuance</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exercise</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contractual</w:t>
            </w:r>
          </w:p>
        </w:tc>
        <w:tc>
          <w:tcPr>
            <w:tcW w:w="124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grant date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under the</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under the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price</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term</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Plans</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Plans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color w:val="auto"/>
                <w:w w:val="86"/>
              </w:rPr>
              <w:t>per share</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 years)</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under the Plans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Reserved for issuance under the 2018 Plan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shares authorized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Options exercised and RSUs released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Shares repurchased for tax withholdings 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release of restricted stock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September 30, 2018</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at September 30, 2018</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Unvested at September 30, 2018</w:t>
            </w: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40" w:type="dxa"/>
            <w:vAlign w:val="bottom"/>
            <w:vMerge w:val="continue"/>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during the three and nine months ended September 30, 2018 and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28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15"/>
        </w:trPr>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September 30, 2018, unamortized stock-based compensation related to unvested stock options, restricted stock awards (excluding the Co-Founder Grants), and RSUs was $421.2 million. The weighted-average period over which such compensation expense will be recognized if the requisite service is provided is approximately 2.8 years as of September 30,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Co-Founder Grants</w:t>
      </w:r>
    </w:p>
    <w:p>
      <w:pPr>
        <w:spacing w:after="0" w:line="11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10, "Net Loss Per Share", as the right to the cumulative declared dividends is forfeitable if the service condition is not met.</w:t>
      </w:r>
    </w:p>
    <w:p>
      <w:pPr>
        <w:spacing w:after="0" w:line="166"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will begin on January 1, 2019.</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70"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78"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 The Company recognized $8.8 million and $28.1 million in stock-based compensation related to the Co-Founder Grants during the three and nine months ended September 30, 2018, respectively. As of September 30, 2018, unamortized stock-based compensation expense related to the Co-Founder Grants was $128.1 million.</w:t>
      </w:r>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Net Loss Per Share</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participating securities also included convertible preferred stock. The holders of convertible preferred stock did not have a contractual obligation to share in the Company’s losses, and as a result, net losses were not allocated to these participating securities.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 The shares issued in the IPO and the private placement and the shares of Class A and Class B common stock issued upon conversion of the outstanding shares of convertible preferred stock in the IPO are included in the table below weighted for the period outstanding in the nine months ended September 30, 2018. Additionally, the voluntary conversions of Class B common stock into Class A common stock are included in the table below weighted for the period outstanding in the three and nine months ended September 30,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20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color w:val="auto"/>
              </w:rPr>
              <w:t>Class B</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3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Class B</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Weighted-average number of common shares outstanding used</w:t>
            </w:r>
          </w:p>
        </w:tc>
        <w:tc>
          <w:tcPr>
            <w:tcW w:w="320" w:type="dxa"/>
            <w:vAlign w:val="bottom"/>
          </w:tcPr>
          <w:p>
            <w:pPr>
              <w:spacing w:after="0"/>
              <w:rPr>
                <w:sz w:val="19"/>
                <w:szCs w:val="19"/>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in computing basic and diluted net loss per common share</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 September 30,</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240" w:type="dxa"/>
            <w:vAlign w:val="bottom"/>
          </w:tcPr>
          <w:p>
            <w:pPr>
              <w:spacing w:after="0"/>
              <w:rPr>
                <w:sz w:val="20"/>
                <w:szCs w:val="20"/>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Class B</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Class A</w:t>
            </w:r>
          </w:p>
        </w:tc>
        <w:tc>
          <w:tcPr>
            <w:tcW w:w="3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Class B</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Weighted-average number of common shares outstanding used</w:t>
            </w:r>
          </w:p>
        </w:tc>
        <w:tc>
          <w:tcPr>
            <w:tcW w:w="320" w:type="dxa"/>
            <w:vAlign w:val="bottom"/>
          </w:tcPr>
          <w:p>
            <w:pPr>
              <w:spacing w:after="0"/>
              <w:rPr>
                <w:sz w:val="19"/>
                <w:szCs w:val="19"/>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9"/>
              </w:rPr>
              <w:t>in computing basic and diluted net loss per common share</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w:t>
      </w:r>
    </w:p>
    <w:tbl>
      <w:tblPr>
        <w:tblLayout w:type="fixed"/>
        <w:tblInd w:w="0" w:type="dxa"/>
        <w:tblCellMar>
          <w:top w:w="0" w:type="dxa"/>
          <w:left w:w="0" w:type="dxa"/>
          <w:bottom w:w="0" w:type="dxa"/>
          <w:right w:w="0" w:type="dxa"/>
        </w:tblCellMar>
      </w:tblPr>
      <w:tr>
        <w:trPr>
          <w:trHeight w:val="230"/>
        </w:trPr>
        <w:tc>
          <w:tcPr>
            <w:tcW w:w="10400" w:type="dxa"/>
            <w:vAlign w:val="bottom"/>
            <w:gridSpan w:val="10"/>
          </w:tcPr>
          <w:p>
            <w:pPr>
              <w:spacing w:after="0"/>
              <w:rPr>
                <w:sz w:val="20"/>
                <w:szCs w:val="20"/>
                <w:color w:val="auto"/>
              </w:rPr>
            </w:pPr>
            <w:r>
              <w:rPr>
                <w:rFonts w:ascii="Arial" w:cs="Arial" w:eastAsia="Arial" w:hAnsi="Arial"/>
                <w:sz w:val="18"/>
                <w:szCs w:val="18"/>
                <w:color w:val="auto"/>
                <w:w w:val="94"/>
              </w:rPr>
              <w:t>potentially dilutive securities that were not included in the diluted per share calculations because they would be anti-dilutive was as follows:</w:t>
            </w:r>
          </w:p>
        </w:tc>
        <w:tc>
          <w:tcPr>
            <w:tcW w:w="1020" w:type="dxa"/>
            <w:vAlign w:val="bottom"/>
          </w:tcPr>
          <w:p>
            <w:pPr>
              <w:spacing w:after="0"/>
              <w:rPr>
                <w:sz w:val="20"/>
                <w:szCs w:val="20"/>
                <w:color w:val="auto"/>
              </w:rPr>
            </w:pPr>
          </w:p>
        </w:tc>
      </w:tr>
      <w:tr>
        <w:trPr>
          <w:trHeight w:val="346"/>
        </w:trPr>
        <w:tc>
          <w:tcPr>
            <w:tcW w:w="4700" w:type="dxa"/>
            <w:vAlign w:val="bottom"/>
          </w:tcPr>
          <w:p>
            <w:pPr>
              <w:spacing w:after="0"/>
              <w:rPr>
                <w:sz w:val="24"/>
                <w:szCs w:val="24"/>
                <w:color w:val="auto"/>
              </w:rPr>
            </w:pPr>
          </w:p>
        </w:tc>
        <w:tc>
          <w:tcPr>
            <w:tcW w:w="276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4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820" w:type="dxa"/>
            <w:vAlign w:val="bottom"/>
            <w:gridSpan w:val="2"/>
          </w:tcPr>
          <w:p>
            <w:pPr>
              <w:ind w:left="5320"/>
              <w:spacing w:after="0"/>
              <w:rPr>
                <w:sz w:val="20"/>
                <w:szCs w:val="20"/>
                <w:color w:val="auto"/>
              </w:rPr>
            </w:pPr>
            <w:r>
              <w:rPr>
                <w:rFonts w:ascii="Arial" w:cs="Arial" w:eastAsia="Arial" w:hAnsi="Arial"/>
                <w:sz w:val="18"/>
                <w:szCs w:val="18"/>
                <w:b w:val="1"/>
                <w:bCs w:val="1"/>
                <w:color w:val="auto"/>
              </w:rPr>
              <w:t>2018</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15"/>
        </w:trPr>
        <w:tc>
          <w:tcPr>
            <w:tcW w:w="4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64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28.7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to purchase shares of common stock</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Co-Founder Grants</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w w:val="96"/>
              </w:rPr>
              <w:t>14.7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5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subject to repurchase from early-exercised options and</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164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47.7</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3"/>
              </w:rPr>
              <w:t>206.2</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205.0</w:t>
            </w:r>
          </w:p>
        </w:tc>
      </w:tr>
      <w:tr>
        <w:trPr>
          <w:trHeight w:val="27"/>
        </w:trPr>
        <w:tc>
          <w:tcPr>
            <w:tcW w:w="4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56"/>
        </w:trPr>
        <w:tc>
          <w:tcPr>
            <w:tcW w:w="5820" w:type="dxa"/>
            <w:vAlign w:val="bottom"/>
            <w:gridSpan w:val="2"/>
          </w:tcPr>
          <w:p>
            <w:pPr>
              <w:ind w:left="5620"/>
              <w:spacing w:after="0"/>
              <w:rPr>
                <w:sz w:val="20"/>
                <w:szCs w:val="20"/>
                <w:color w:val="auto"/>
              </w:rPr>
            </w:pPr>
            <w:r>
              <w:rPr>
                <w:rFonts w:ascii="Arial" w:cs="Arial" w:eastAsia="Arial" w:hAnsi="Arial"/>
                <w:sz w:val="18"/>
                <w:szCs w:val="18"/>
                <w:color w:val="auto"/>
                <w:w w:val="89"/>
              </w:rPr>
              <w:t>26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The Company computed the year-to-date income tax provision by applying the estimated annual effective tax rate to the year-to-date pre-tax loss and adjusted for discrete tax items in the period. The Company's income tax was a benefit of $0.2 million and an expense of $2.7 million for the three and nine months ended September 30, 2018, respectively and an expense of $0.5 million and $1.2 million for the three and nine months ended September 30, 2017, respectively.</w:t>
      </w:r>
    </w:p>
    <w:p>
      <w:pPr>
        <w:spacing w:after="0" w:line="187"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Income tax benefit for the three months ended September 30, 2018 and income tax expense for the nine months ended September 30, 2018, was primarily attributable to U.S. state income taxes, foreign taxes, and increases in uncertain tax positions.</w:t>
      </w:r>
    </w:p>
    <w:p>
      <w:pPr>
        <w:spacing w:after="0" w:line="17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8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2018,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is subject to income tax audits in the U.S. and foreign jurisdictions. The Company records liabilities related to uncertain tax positions and believes that it has provided adequate reserves for income tax uncertainties in all open tax years. Unrecognized tax benefits increased by approximately $2.9 million and $19.1 million for the three and nine months ended September 30, 2018, of which $0.8 million and $1.4 million for the three and nine months ended September 30, 2018, if recognized, would affect the Company's effective tax rate.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Impact of the Tax Cuts and Jobs Act ("2017 Tax Reform Act")</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2017 Tax Reform Act was enacted on December 22, 2017 and provides for significant changes to U.S. tax law. Among other provisions, the 2017 Tax Reform Act reduces the U.S. corporate income tax rate to 21% effective in 2018. The 2017 Tax Reform Act also contains a number of provisions that may impact the Company in future years.</w:t>
      </w:r>
    </w:p>
    <w:p>
      <w:pPr>
        <w:spacing w:after="0" w:line="181"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Since ongoing guidance and accounting interpretation is expected in the 12 months following enactment, the Company has made certain provisional accounting estimates, as permitted under Staff Accounting Bulletin No. 118, and continues to analyze its accounting policies in this area. The U.S. Treasury Department, the IRS, and other standard-setting bodies could interpret or issue guidance on how provisions of the 2017 Tax Reform Act will be applied or otherwise administered that is different from the Company’s interpretation. As the Company completes its analysis of the 2017 Tax Reform Act, collects and prepares necessary data, and interprets any additional guidance, the Company may make adjustments to provisional amounts that it has recorded that may materially impact the provision for income taxes in the period in which the adjustments are made. The final accounting analysis will occur no later than one year from the date the 2017 Tax Reform Act was enacted.</w:t>
      </w:r>
    </w:p>
    <w:p>
      <w:pPr>
        <w:spacing w:after="0" w:line="17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As a result of the reduction in the corporate rate, the Company remeasured its U.S. deferred tax assets and liabilities as of December 31, 2017 to reflect the lower rate expected to apply when these temporary differences reverse. The Company provisionally estimated that the remeasurement resulted in a reduction in deferred tax assets of $63.1 million, which was fully offset by a corresponding change to the Company’s valuation allowance. Although the tax rate reduction was known, the Company had not collected the necessary data to complete its analysis of the effect of the 2017 Tax Reform Act on the underlying deferred taxes and as such, the amounts recorded as of December 31, 2017 were provisional. However, the Company anticipates that any adjustment to provisional amounts recorded would be fully offset by a corresponding change to the Company’s valuation allowance. The Company has not made any additional measurement-period adjustments related to these items during the quarter because the Company is continuing to gather additional information and expects to complete its accounting within the prescribed measurement period.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6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has also considered and estimated a number of provisions of the 2017 Tax Reform Act effective January 1, 2018 as part of the estimated annual effective tax rate as of September 30, 2018. Due to forecasted tax losses and a full valuation allowance in the U.S., these provisions had no material impact to the income tax provision as of September 30, 2018.</w:t>
      </w:r>
    </w:p>
    <w:p>
      <w:pPr>
        <w:spacing w:after="0" w:line="18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2017 Tax Reform Act also repealed the corporate alternative minimum tax (“AMT”) effective beginning in 2018, and permits AMT credit carryforwards to be refunded to the extent unused through 2021. Since the Company does not anticipate the use of these credits to reduce future federal taxes, the Company was able to reasonably estimate the income tax benefit and income tax receivable of $1.4 million during the year ended December 31, 2017. The Company had not collected the necessary data to complete its analysis of the classification of the AMT credit as a receivable and as such, the amounts recorded as an income tax receivable as of December 31, 2017 were provisional. There have not been material changes to the provisional amounts as of September 30, 2018.</w:t>
      </w:r>
    </w:p>
    <w:p>
      <w:pPr>
        <w:spacing w:after="0" w:line="193"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The 2017 Tax Reform Act also provides for a transition to a new territorial system of taxation and generally requires companies to include certain untaxed foreign earnings of non-U.S. subsidiaries into taxable income in 2017 (“Transition Tax”). As a result of the cumulative deficits in the Company’s foreign subsidiaries, the Company estimated that it has no Transition Tax inclusion. As of September 30, 2018, the Company has made no changes to its estimated Transition Tax inclusion.</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2017 Tax Reform Act subjects a US shareholder to tax on global intangible low-taxed income (“GILTI”) earned by certain foreign subsidiaries. The FASB Staff Q&amp;A, Topic 740, No. 5 Accounting for GILTI, states that an entity can make an accounting policy election to either recognize deferred taxes for temporary basis differences expected to reverse as GILTI in future years or provide for the tax expense related to GILTI in the year the tax is incurred as a period expense only. Given the complexity of this provision, the Company is still evaluating the effects of the provision on its condensed consolidated financial statements and has not yet determined its accounting policy as of September 30, 2018. The Company has, however, included the estimated impact related to current year operations only in its annual effective tax rate for 2018 and has not provided for additional impact on deferred items. The Company expects to complete its accounting within the prescribed measurement period.</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condensed consolidated financial statements, as the Company does not have control of the entity.</w:t>
      </w:r>
    </w:p>
    <w:p>
      <w:pPr>
        <w:spacing w:after="0" w:line="15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three and nine months ended September 30, 2018, the Company did not make cash contributions to the Foundation. During the second quarter of 2017, the Company donated shares of Class B common stock to initially fund the Foundation and recorded $9.4 million of expense to general and administrative expenses based on the Company’s estimate of the then current fair value of the contributed shares, which is included in the results for the nine months ended September 30, 2018. The Company made additional cash contributions to the Foundation of $0.4 million and $0.8 million during the three and nine months ended September 30, 2017,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Hewlett Packard Enterprise</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has engaged in various commercial relationships with Hewlett Packard Enterprise (“HPE”), whose chief executive officer was appointed to the Dropbox Board of Directors in September 2017. The chief executive officer of HPE resigned effective February 1, 2018. The Company's commercial relationships with HPE include infrastructure equipment under capital leases, the purchase of commercial products and other services, and a multi-year subscription agreement for access to the Dropbox platform. From the beginning of the fiscal year through the date of the resignation of the former chief executive officer of HPE, the Company made payments of $5.5 million for infrastructure equipment under capital leases and for commercial products and services provided by HPE.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Geographic Areas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15"/>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620" w:hanging="332"/>
        <w:spacing w:after="0" w:line="232"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No single country other than the United States had a property and equipment balance greater than 10% of total property and equipment, net, as of September 30, 2018 and December 31, 2017.</w:t>
      </w:r>
    </w:p>
    <w:p>
      <w:pPr>
        <w:spacing w:after="0" w:line="31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subscription agreement. The following table sets forth revenue by geographic area for the three and nine months ended September 30, 2018 and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6"/>
          </w:tcPr>
          <w:p>
            <w:pPr>
              <w:ind w:left="200"/>
              <w:spacing w:after="0"/>
              <w:rPr>
                <w:sz w:val="20"/>
                <w:szCs w:val="20"/>
                <w:color w:val="auto"/>
              </w:rPr>
            </w:pPr>
            <w:r>
              <w:rPr>
                <w:rFonts w:ascii="Arial" w:cs="Arial" w:eastAsia="Arial" w:hAnsi="Arial"/>
                <w:sz w:val="18"/>
                <w:szCs w:val="18"/>
                <w:b w:val="1"/>
                <w:bCs w:val="1"/>
                <w:color w:val="auto"/>
                <w:w w:val="97"/>
              </w:rPr>
              <w:t>Three months ended September 30,</w:t>
            </w:r>
          </w:p>
        </w:tc>
        <w:tc>
          <w:tcPr>
            <w:tcW w:w="180" w:type="dxa"/>
            <w:vAlign w:val="bottom"/>
          </w:tcPr>
          <w:p>
            <w:pPr>
              <w:spacing w:after="0"/>
              <w:rPr>
                <w:sz w:val="20"/>
                <w:szCs w:val="20"/>
                <w:color w:val="auto"/>
              </w:rPr>
            </w:pPr>
          </w:p>
        </w:tc>
        <w:tc>
          <w:tcPr>
            <w:tcW w:w="28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15"/>
        </w:trPr>
        <w:tc>
          <w:tcPr>
            <w:tcW w:w="5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417.8</w:t>
            </w: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177.7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383.5</w:t>
            </w: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360.3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32"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No single country outside of the United States accounted for more than 10% of total revenue during the three and nine months ended September 30, 2018 and 2017.</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final prospectus, dated March 22, 2018, and filed pursuant to Rule 424(b) under the Securities Act of 1933, as amended (the “Securities Act”).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prospectus filed pursuant to Rule 424(b) under the Securities Act of 1933, as amended, on March 23, 2018, referred to as the Prospectus. Our fiscal year ends December 31.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24"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Since our founding in 2007, our market opportunity has grown as we’ve expanded from keeping files in sync to keeping teams in sync.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4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12.3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89"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Paying users</w:t>
      </w:r>
    </w:p>
    <w:p>
      <w:pPr>
        <w:spacing w:after="0" w:line="11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majority of paying users for the periods presented coming from our self-serve channels.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the number of paying users as of September 30, 2018, December 31, 2017, and September 30, 2017.</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of</w:t>
            </w:r>
          </w:p>
        </w:tc>
        <w:tc>
          <w:tcPr>
            <w:tcW w:w="20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180" w:type="dxa"/>
            <w:vAlign w:val="bottom"/>
            <w:gridSpan w:val="2"/>
          </w:tcPr>
          <w:p>
            <w:pPr>
              <w:ind w:left="280"/>
              <w:spacing w:after="0"/>
              <w:rPr>
                <w:sz w:val="20"/>
                <w:szCs w:val="20"/>
                <w:color w:val="auto"/>
              </w:rPr>
            </w:pPr>
            <w:r>
              <w:rPr>
                <w:rFonts w:ascii="Arial" w:cs="Arial" w:eastAsia="Arial" w:hAnsi="Arial"/>
                <w:sz w:val="18"/>
                <w:szCs w:val="18"/>
                <w:b w:val="1"/>
                <w:bCs w:val="1"/>
                <w:color w:val="auto"/>
              </w:rPr>
              <w:t>September 30, 2018</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2017</w:t>
            </w:r>
          </w:p>
        </w:tc>
        <w:tc>
          <w:tcPr>
            <w:tcW w:w="20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 2017</w:t>
            </w:r>
          </w:p>
        </w:tc>
      </w:tr>
      <w:tr>
        <w:trPr>
          <w:trHeight w:val="27"/>
        </w:trPr>
        <w:tc>
          <w:tcPr>
            <w:tcW w:w="50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358"/>
        </w:trPr>
        <w:tc>
          <w:tcPr>
            <w:tcW w:w="5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5"/>
              </w:rPr>
              <w:t>(In millions)</w:t>
            </w:r>
          </w:p>
        </w:tc>
        <w:tc>
          <w:tcPr>
            <w:tcW w:w="204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Paying users</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50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320" w:firstLine="432"/>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jc w:val="both"/>
        <w:ind w:right="320" w:firstLine="432"/>
        <w:spacing w:after="0" w:line="277" w:lineRule="auto"/>
        <w:rPr>
          <w:sz w:val="20"/>
          <w:szCs w:val="20"/>
          <w:color w:val="auto"/>
        </w:rPr>
      </w:pPr>
      <w:r>
        <w:rPr>
          <w:rFonts w:ascii="Arial" w:cs="Arial" w:eastAsia="Arial" w:hAnsi="Arial"/>
          <w:sz w:val="18"/>
          <w:szCs w:val="18"/>
          <w:color w:val="auto"/>
        </w:rPr>
        <w:t>Our ARPU increased for the three months ended September 30, 2018, compared to the three months ended September 30, 2017, primarily due to an increased mix of sales towards our higher-priced subscription plans.</w:t>
      </w:r>
    </w:p>
    <w:p>
      <w:pPr>
        <w:spacing w:after="0" w:line="170"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In 2017, we launched our Dropbox Business Advanced plan. At the time of launch, we grandfathered existing Dropbox Business teams into the Dropbox Business Advanced plan at their legacy price. During the second quarter of 2018, a significant portion of those grandfathered teams renewed at a higher price. As a result of these renewals, and combined with an increased mix of sales towards our higher-priced subscription plans, we experienced an increase in our average revenue per paying user for the nine months ended September 30, 2018, compared to the nine months ended September 30, 2017.</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our ARPU for the three and nine months ended September 30, 2018 and 2017.</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6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360" w:type="dxa"/>
            <w:vAlign w:val="bottom"/>
          </w:tcPr>
          <w:p>
            <w:pPr>
              <w:spacing w:after="0"/>
              <w:rPr>
                <w:sz w:val="20"/>
                <w:szCs w:val="20"/>
                <w:color w:val="auto"/>
              </w:rPr>
            </w:pPr>
          </w:p>
        </w:tc>
        <w:tc>
          <w:tcPr>
            <w:tcW w:w="3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7"/>
        </w:trPr>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3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15"/>
        </w:trPr>
        <w:tc>
          <w:tcPr>
            <w:tcW w:w="3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ARPU</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5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111.53</w:t>
            </w:r>
          </w:p>
        </w:tc>
      </w:tr>
      <w:tr>
        <w:trPr>
          <w:trHeight w:val="459"/>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32</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calculated differently by other companies in our industry, limiting its usefulness as a comparative measure.</w:t>
      </w:r>
    </w:p>
    <w:p>
      <w:pPr>
        <w:spacing w:after="0" w:line="189"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Our FCF increased for the nine months ended September 30, 2018, compared to the nine months ended September 30, 2017, primarily due to higher cash provided by operating activities, which was driven by increased subscription sales, as a majority of our paying users are invoiced in advance. These cash inflows were partially offset by an increase in capital expenditures related to our office and datacenter build-outs.</w:t>
      </w:r>
    </w:p>
    <w:p>
      <w:pPr>
        <w:spacing w:after="0" w:line="16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52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4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8"/>
                <w:szCs w:val="18"/>
                <w:i w:val="1"/>
                <w:iCs w:val="1"/>
                <w:color w:val="auto"/>
              </w:rPr>
              <w:t>(In millions)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72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472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33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225"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7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paying 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6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During the first quarter of 2018, based on considerations including our asset replacement cycle and our ongoing infrastructure optimization efforts, we revisited the useful life estimates of certain infrastructure equipment. These optimization efforts include software efficiencies that allow us to utilize certain infrastructure equipment for longer periods of time. As a result, we determined that the useful lives of the impacted infrastructure equipment, which are depreciated through cost of revenue, should be increased from three to four years. We accounted for this as a change in estimate that was applied prospectively, effective as of January 1, 2018. This change in useful life resulted in a reduction in depreciation expense within cost of revenue of $2.8 million and $13.6 million during the three and nine months ended September 30, 2018, respectively.</w:t>
      </w:r>
    </w:p>
    <w:p>
      <w:pPr>
        <w:spacing w:after="0" w:line="17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excluding the impact of certain stock-based compensation charges described in “—Significant Impacts of Stock-Based Compensation”, will increase in absolute dollars in future periods. In addition, as a result of certain stock-based compensation charges described in “— Significant Impacts of Stock-Based Compensation”, our cost of revenue increased significantly in absolute dollars during the nine months ended September 30, 2018 due to the completion of our initial public offering.</w:t>
      </w:r>
    </w:p>
    <w:p>
      <w:pPr>
        <w:spacing w:after="0" w:line="188"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excluding the impact of certain stock-based compensation charges described in “—Significant Impacts of Stock-Based Compensation”, to remain relatively constant in the near term and to increase modestly in the long term.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Our research and development expenses consist primarily of employee-related costs for our engineering,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We plan to continue to hire employees for our engineering, product, and design teams to support our research and development efforts. We expect that research and development costs will increase in absolute dollars in future periods and, excluding the impact of certain stock-based compensation charges described in “—Significant Impacts of Stock-Based Compensation”, vary from period to period as a percentage of revenue.</w:t>
      </w:r>
    </w:p>
    <w:p>
      <w:pPr>
        <w:spacing w:after="0" w:line="16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relate to both self-serve and outbound sales activities, and consist primarily of employee-related</w:t>
      </w:r>
      <w:r>
        <w:rPr>
          <w:rFonts w:ascii="Arial" w:cs="Arial" w:eastAsia="Arial" w:hAnsi="Arial"/>
          <w:sz w:val="17"/>
          <w:szCs w:val="17"/>
          <w:i w:val="1"/>
          <w:iCs w:val="1"/>
          <w:color w:val="auto"/>
        </w:rPr>
        <w:t xml:space="preserve"> </w:t>
      </w:r>
      <w:r>
        <w:rPr>
          <w:rFonts w:ascii="Arial" w:cs="Arial" w:eastAsia="Arial" w:hAnsi="Arial"/>
          <w:sz w:val="17"/>
          <w:szCs w:val="17"/>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73"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We expect that sales and marketing expenses will increase in absolute dollars in future periods and, excluding the impact of certain stock-based compensation charges described in “—Significant Impacts of Stock-Based Compensation”, vary from period to period as a percentage of revenue. The trend and timing of sales and marketing expenses will depend in part on the timing of marketing campaigns.</w:t>
      </w:r>
    </w:p>
    <w:p>
      <w:pPr>
        <w:spacing w:after="0" w:line="154"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w:t>
      </w:r>
      <w:r>
        <w:rPr>
          <w:rFonts w:ascii="Arial" w:cs="Arial" w:eastAsia="Arial" w:hAnsi="Arial"/>
          <w:sz w:val="17"/>
          <w:szCs w:val="17"/>
          <w:i w:val="1"/>
          <w:iCs w:val="1"/>
          <w:color w:val="auto"/>
        </w:rPr>
        <w:t xml:space="preserve"> </w:t>
      </w:r>
      <w:r>
        <w:rPr>
          <w:rFonts w:ascii="Arial" w:cs="Arial" w:eastAsia="Arial" w:hAnsi="Arial"/>
          <w:sz w:val="17"/>
          <w:szCs w:val="17"/>
          <w:color w:val="auto"/>
        </w:rPr>
        <w:t>resources, and other administrative teams, as well as certain executives. In addition, general and administrative expenses include allocated overhead, outside legal, accounting and other professional fees, non-income based taxes, and contributions to the Dropbox Charitable Foundation.</w:t>
      </w:r>
    </w:p>
    <w:p>
      <w:pPr>
        <w:spacing w:after="0" w:line="16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expect to incur additional general and administrative expenses to support the growth of the Company as well as our transition to being a publicly traded company, which includes the recognition of stock-based compensation expense related to grants of restricted stock made to our co-founders. We expect that general and administrative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5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a result of certain stock-based compensation charges described in “—Significant Impacts of Stock-Based Compensation”, our research and development, sales and marketing, and general and administrative expenses increased significantly in absolute dollars and as a percentage of revenue during the nine months ended September 30, 2018 due to the completion of our initial public offering.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partially offset by interest expense related to our capital lease obligations for infrastructure and our imputed financing obligation for our liability to the legal owner of our previous corporate headquarters. We will no longer incur interest expense for our imputed financing obligation beginning in the fourth quarter of 2018, due to the termination of our master lease for our previous corporate headquarters in the third quarter of 2018.</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Other income (expense), net consists of other non-operating gains or losses, including those related to lease arrangements, which include ongoing subleases. Other income (expense), net also includes foreign currency transaction gains and losses, and realized gains and losses related to our short-term investments.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Impact of the Tax Cuts and Jobs Act ("2017 Tax Reform Act")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2017 Tax Reform Act was enacted on December 22, 2017 and provides for significant changes to U.S. tax law. Among other provisions, the 2017 Tax Reform Act reduces the U.S. corporate income tax rate to 21% effective in 2018. The 2017 Tax Reform Act also contains a number of provisions that may impact us in future years.</w:t>
      </w:r>
    </w:p>
    <w:p>
      <w:pPr>
        <w:spacing w:after="0" w:line="10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Since ongoing guidance and accounting interpretation is expected in the 12 months following enactment, we have made certain provisional accounting estimates, as permitted under Staff Accounting Bulletin No. 118, and continue to analyze our accounting policies in this area. The U.S. Treasury Department, the IRS, and other standard-setting bodies could interpret or issue guidance on how provisions of the 2017 Tax Reform Act will be applied or otherwise administered that is different from our interpretation. As we complete our analysis of the 2017 Tax Reform Act, collect and prepare necessary data, and interpret any additional guidance, we may make adjustments to provisional amounts that we have recorded that may materially impact the provision for income taxes in the period in which the adjustments are made. The final accounting analysis will occur no later than one year from the date the 2017 Tax Reform Act was enacted. Adjustments made for the three and nine months ended September 30, 2018, were not material.</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1"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660" w:type="dxa"/>
            <w:vAlign w:val="bottom"/>
            <w:gridSpan w:val="6"/>
          </w:tcPr>
          <w:p>
            <w:pPr>
              <w:ind w:left="44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0"/>
                <w:szCs w:val="20"/>
                <w:color w:val="auto"/>
              </w:rPr>
            </w:pPr>
          </w:p>
        </w:tc>
        <w:tc>
          <w:tcPr>
            <w:tcW w:w="31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8"/>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millions)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801.3</w:t>
            </w:r>
          </w:p>
        </w:tc>
      </w:tr>
      <w:tr>
        <w:trPr>
          <w:trHeight w:val="270"/>
        </w:trPr>
        <w:tc>
          <w:tcPr>
            <w:tcW w:w="424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1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277.2</w:t>
            </w: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524.1</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211.1</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(2)</w:t>
            </w:r>
          </w:p>
        </w:tc>
        <w:tc>
          <w:tcPr>
            <w:tcW w:w="11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1,197.5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600.5</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62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September 30,</w:t>
            </w:r>
          </w:p>
        </w:tc>
        <w:tc>
          <w:tcPr>
            <w:tcW w:w="440" w:type="dxa"/>
            <w:vAlign w:val="bottom"/>
          </w:tcPr>
          <w:p>
            <w:pPr>
              <w:spacing w:after="0"/>
              <w:rPr>
                <w:sz w:val="20"/>
                <w:szCs w:val="20"/>
                <w:color w:val="auto"/>
              </w:rPr>
            </w:pPr>
          </w:p>
        </w:tc>
        <w:tc>
          <w:tcPr>
            <w:tcW w:w="30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7"/>
        </w:trPr>
        <w:tc>
          <w:tcPr>
            <w:tcW w:w="4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4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58"/>
        </w:trPr>
        <w:tc>
          <w:tcPr>
            <w:tcW w:w="4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millions)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66.4</w:t>
            </w:r>
          </w:p>
        </w:tc>
      </w:tr>
      <w:tr>
        <w:trPr>
          <w:trHeight w:val="27"/>
        </w:trPr>
        <w:tc>
          <w:tcPr>
            <w:tcW w:w="4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42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4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right="20" w:hanging="332"/>
        <w:spacing w:after="0" w:line="230"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General and administrative expense for the nine months ended September 30, 2017, includes $9.4 million related to a non-cash charitable contribution of common stock to the Dropbox Charitable Foundation, which is a related party of the Company. We made additional cash contributions to the Foundation of $0.4 million and $0.8 million during the three and nine months ended September 30, 2017, respectively. See Note 12, "Related Party Transactions" to our condensed consolidated financial statements included elsewhere in this Quarterly Report on Form 10-Q for further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7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 September 30,</w:t>
            </w:r>
          </w:p>
        </w:tc>
        <w:tc>
          <w:tcPr>
            <w:tcW w:w="36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4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200" w:type="dxa"/>
            <w:vAlign w:val="bottom"/>
            <w:gridSpan w:val="2"/>
          </w:tcPr>
          <w:p>
            <w:pPr>
              <w:ind w:left="474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27"/>
        </w:trPr>
        <w:tc>
          <w:tcPr>
            <w:tcW w:w="4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58"/>
        </w:trPr>
        <w:tc>
          <w:tcPr>
            <w:tcW w:w="4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4"/>
          </w:tcPr>
          <w:p>
            <w:pPr>
              <w:ind w:left="1140"/>
              <w:spacing w:after="0"/>
              <w:rPr>
                <w:sz w:val="20"/>
                <w:szCs w:val="20"/>
                <w:color w:val="auto"/>
              </w:rPr>
            </w:pPr>
            <w:r>
              <w:rPr>
                <w:rFonts w:ascii="Arial" w:cs="Arial" w:eastAsia="Arial" w:hAnsi="Arial"/>
                <w:sz w:val="18"/>
                <w:szCs w:val="18"/>
                <w:i w:val="1"/>
                <w:iCs w:val="1"/>
                <w:color w:val="auto"/>
              </w:rPr>
              <w:t>(As a % of revenue)</w:t>
            </w:r>
          </w:p>
        </w:tc>
        <w:tc>
          <w:tcPr>
            <w:tcW w:w="1760" w:type="dxa"/>
            <w:vAlign w:val="bottom"/>
          </w:tcPr>
          <w:p>
            <w:pPr>
              <w:spacing w:after="0"/>
              <w:rPr>
                <w:sz w:val="24"/>
                <w:szCs w:val="24"/>
                <w:color w:val="auto"/>
              </w:rPr>
            </w:pPr>
          </w:p>
        </w:tc>
      </w:tr>
      <w:tr>
        <w:trPr>
          <w:trHeight w:val="27"/>
        </w:trPr>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520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35</w:t>
            </w:r>
          </w:p>
        </w:tc>
      </w:tr>
      <w:tr>
        <w:trPr>
          <w:trHeight w:val="244"/>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r>
      <w:tr>
        <w:trPr>
          <w:trHeight w:val="270"/>
        </w:trPr>
        <w:tc>
          <w:tcPr>
            <w:tcW w:w="5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50"/>
        </w:trPr>
        <w:tc>
          <w:tcPr>
            <w:tcW w:w="5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520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7"/>
        </w:trPr>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75</w:t>
            </w:r>
          </w:p>
        </w:tc>
      </w:tr>
      <w:tr>
        <w:trPr>
          <w:trHeight w:val="27"/>
        </w:trPr>
        <w:tc>
          <w:tcPr>
            <w:tcW w:w="40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r>
      <w:tr>
        <w:trPr>
          <w:trHeight w:val="27"/>
        </w:trPr>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a percentage of revenue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7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 September 30,</w:t>
            </w:r>
          </w:p>
        </w:tc>
        <w:tc>
          <w:tcPr>
            <w:tcW w:w="36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Nine months ended September 30,</w:t>
            </w:r>
          </w:p>
        </w:tc>
      </w:tr>
      <w:tr>
        <w:trPr>
          <w:trHeight w:val="27"/>
        </w:trPr>
        <w:tc>
          <w:tcPr>
            <w:tcW w:w="4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5340" w:type="dxa"/>
            <w:vAlign w:val="bottom"/>
            <w:gridSpan w:val="2"/>
          </w:tcPr>
          <w:p>
            <w:pPr>
              <w:ind w:left="482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27"/>
        </w:trPr>
        <w:tc>
          <w:tcPr>
            <w:tcW w:w="4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358"/>
        </w:trPr>
        <w:tc>
          <w:tcPr>
            <w:tcW w:w="4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4"/>
          </w:tcPr>
          <w:p>
            <w:pPr>
              <w:ind w:left="1100"/>
              <w:spacing w:after="0"/>
              <w:rPr>
                <w:sz w:val="20"/>
                <w:szCs w:val="20"/>
                <w:color w:val="auto"/>
              </w:rPr>
            </w:pPr>
            <w:r>
              <w:rPr>
                <w:rFonts w:ascii="Arial" w:cs="Arial" w:eastAsia="Arial" w:hAnsi="Arial"/>
                <w:sz w:val="18"/>
                <w:szCs w:val="18"/>
                <w:i w:val="1"/>
                <w:iCs w:val="1"/>
                <w:color w:val="auto"/>
              </w:rPr>
              <w:t>(As a % of revenue)</w:t>
            </w:r>
          </w:p>
        </w:tc>
        <w:tc>
          <w:tcPr>
            <w:tcW w:w="174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34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4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43"/>
        </w:trPr>
        <w:tc>
          <w:tcPr>
            <w:tcW w:w="534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
        </w:trPr>
        <w:tc>
          <w:tcPr>
            <w:tcW w:w="4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1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w:t>
      </w:r>
    </w:p>
    <w:p>
      <w:pPr>
        <w:spacing w:after="0" w:line="30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Revenue increased $73.6 million or 26% during the three months ended September 30, 2018, as compared to the three months ended September 30, 2017. This increase was primarily due to an 18% increase in the number of paying users between periods. The average revenue per paying user also increased between periods primarily due to an increased mix of sales towards our higher-priced subscription plans.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42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0"/>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3"/>
          </w:tcPr>
          <w:p>
            <w:pPr>
              <w:jc w:val="center"/>
              <w:ind w:left="570"/>
              <w:spacing w:after="0"/>
              <w:rPr>
                <w:sz w:val="20"/>
                <w:szCs w:val="20"/>
                <w:color w:val="auto"/>
              </w:rPr>
            </w:pPr>
            <w:r>
              <w:rPr>
                <w:rFonts w:ascii="Arial" w:cs="Arial" w:eastAsia="Arial" w:hAnsi="Arial"/>
                <w:sz w:val="18"/>
                <w:szCs w:val="18"/>
                <w:i w:val="1"/>
                <w:iCs w:val="1"/>
                <w:color w:val="auto"/>
                <w:w w:val="97"/>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Cost of revenue decreased $1.3 million or 1% during the three months ended September 30, 2018, as compared to the three months ended September 30, 2017, primarily due to a decrease of $4.9 million in our infrastructure costs due to continued infrastructure usage optimization efforts, which resulted in a reduction in depreciation expense due to the change in depreciable useful life of certain of our infrastructure equipment, which was effective on January 1, 2018. These decreases in cost of revenue were partially offset by an increase of $1.8 million in credit card transaction fees due to higher sales and professional fees for user support, an increase of $1.4 million in employee-related expenses due to headcount growth, and an increase of $1.4 million in overhead-related costs.</w:t>
      </w:r>
    </w:p>
    <w:p>
      <w:pPr>
        <w:spacing w:after="0" w:line="11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gross margin increased 7% during the three months ended September 30, 2018 compared to the three months ended September 30, 2017, primarily due to a 26% increase in our revenue during the period and a decrease in our cost of revenue primarily due to a decrease in infrastructure costs as described above.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Research and development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i w:val="1"/>
                <w:iCs w:val="1"/>
                <w:color w:val="auto"/>
                <w:w w:val="97"/>
              </w:rPr>
              <w:t>(In millions)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Research and development expenses increased $36.0 million or 37% during the three months ended September 30, 2018, as compared to the three months ended September 30, 2017, primarily due to an increase of $18.7 million in employee-related expenses due to headcount growth, an increase of $12.7 million in overhead-related costs, and an increase of $1.5 million in internal development-related third-party hosting fees.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23"/>
        </w:trPr>
        <w:tc>
          <w:tcPr>
            <w:tcW w:w="136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5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1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13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gridSpan w:val="3"/>
          </w:tcPr>
          <w:p>
            <w:pPr>
              <w:jc w:val="center"/>
              <w:ind w:right="330"/>
              <w:spacing w:after="0"/>
              <w:rPr>
                <w:sz w:val="20"/>
                <w:szCs w:val="20"/>
                <w:color w:val="auto"/>
              </w:rPr>
            </w:pPr>
            <w:r>
              <w:rPr>
                <w:rFonts w:ascii="Arial" w:cs="Arial" w:eastAsia="Arial" w:hAnsi="Arial"/>
                <w:sz w:val="18"/>
                <w:szCs w:val="18"/>
                <w:i w:val="1"/>
                <w:iCs w:val="1"/>
                <w:color w:val="auto"/>
                <w:w w:val="97"/>
              </w:rPr>
              <w:t>(In millions)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1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36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Sales and marketing expenses increased $20.3 million or 27% during the three months ended September 30, 2018, as compared to the three months ended September 30, 2017, primarily due to an increase of $7.4 million in spend related to brand campaign fees, lead generation fees, and sponsorships. Further, sales and marketing expenses increased due to $4.7 million in employee-related expenses due to headcount growth, $4.2 million in overhead-related costs, and an increase in app store fees due to increased sales.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General and administrative</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25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gridSpan w:val="3"/>
          </w:tcPr>
          <w:p>
            <w:pPr>
              <w:jc w:val="center"/>
              <w:ind w:right="330"/>
              <w:spacing w:after="0"/>
              <w:rPr>
                <w:sz w:val="20"/>
                <w:szCs w:val="20"/>
                <w:color w:val="auto"/>
              </w:rPr>
            </w:pPr>
            <w:r>
              <w:rPr>
                <w:rFonts w:ascii="Arial" w:cs="Arial" w:eastAsia="Arial" w:hAnsi="Arial"/>
                <w:sz w:val="18"/>
                <w:szCs w:val="18"/>
                <w:i w:val="1"/>
                <w:iCs w:val="1"/>
                <w:color w:val="auto"/>
                <w:w w:val="97"/>
              </w:rPr>
              <w:t>(In millions)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General and administrative expenses increased $11.2 million or 28% during the three months ended September 30, 2018, as compared to the three months ended September 30, 2017, primarily due to an increase of $9.1 million in stock-based compensation due to the recognition of expense related to the Co-Founder Grants in the three months ended September 30, 2018. In addition, employee-related expenses, excluding stock-based compensation, increased $1.9 million due to headcount growth.</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Interest income (expense), net increased $4.6 million during the three months ended September 30, 2018, as compared to the three months ended September 30, 2017, primarily due to an increase in interest income from our money market funds and short-term investments of $4.1 million and a decrease of interest expense of $0.5 million due to fewer assets acquired under capital leases.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320" w:firstLine="405"/>
        <w:spacing w:after="0" w:line="312" w:lineRule="auto"/>
        <w:rPr>
          <w:sz w:val="20"/>
          <w:szCs w:val="20"/>
          <w:color w:val="auto"/>
        </w:rPr>
      </w:pPr>
      <w:r>
        <w:rPr>
          <w:rFonts w:ascii="Arial" w:cs="Arial" w:eastAsia="Arial" w:hAnsi="Arial"/>
          <w:sz w:val="16"/>
          <w:szCs w:val="16"/>
          <w:color w:val="auto"/>
        </w:rPr>
        <w:t>Other income, net decreased $4.4 million during the three months ended September 30, 2018, as compared to the three months ended September 30, 2017, primarily due to foreign currency losses of $1.0 million during the three months ended September 30, 2018, compared to $2.9 million of foreign currency gains in the three months ended September 30, 2017, primarily related to monetary assets and liabilities denominated in euros and pounds.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22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Provision for income taxes decreased $0.7 million during the three months ended September 30, 2018, as compared to the three months ended September 30, 2017, primarily due to a decrease in foreign income taxes.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w:t>
      </w:r>
    </w:p>
    <w:p>
      <w:pPr>
        <w:spacing w:after="0" w:line="302"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1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22860</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millions)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1,015.8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Revenue increased $214.5 million or 27% during the nine months ended September 30, 2018, as compared to the nine months ended September 30, 2017. This increase was primarily due to an 18% increase in the number of paying users between periods. The average revenue per paying user also increased between periods primarily due to an increased mix of sales towards our higher-priced subscription plans, including renewals of grandfathered teams on our Dropbox Business Advanced Plan at higher prices, as discussed in "—Key Business Metrics".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420"/>
              <w:spacing w:after="0"/>
              <w:rPr>
                <w:sz w:val="20"/>
                <w:szCs w:val="20"/>
                <w:color w:val="auto"/>
              </w:rPr>
            </w:pPr>
            <w:r>
              <w:rPr>
                <w:rFonts w:ascii="Arial" w:cs="Arial" w:eastAsia="Arial" w:hAnsi="Arial"/>
                <w:sz w:val="18"/>
                <w:szCs w:val="18"/>
                <w:i w:val="1"/>
                <w:iCs w:val="1"/>
                <w:color w:val="auto"/>
              </w:rPr>
              <w:t>Cost of revenue, gross profit, and gross margin</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Nine months ended</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center"/>
              <w:ind w:left="570"/>
              <w:spacing w:after="0"/>
              <w:rPr>
                <w:sz w:val="20"/>
                <w:szCs w:val="20"/>
                <w:color w:val="auto"/>
              </w:rPr>
            </w:pPr>
            <w:r>
              <w:rPr>
                <w:rFonts w:ascii="Arial" w:cs="Arial" w:eastAsia="Arial" w:hAnsi="Arial"/>
                <w:sz w:val="18"/>
                <w:szCs w:val="18"/>
                <w:i w:val="1"/>
                <w:iCs w:val="1"/>
                <w:color w:val="auto"/>
                <w:w w:val="97"/>
              </w:rPr>
              <w:t>(In millions)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524.1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Cost of revenue increased $23.1 million or 8% during the nine months ended September 30, 2018, as compared to the nine months ended September 30, 2017, primarily due to an increase of $34.6 million in stock-based compensation, which included the achievement of the Performance Vesting Condition of our two-tier RSUs upon the effectiveness of the registration statement related to our IPO. Cost of revenue also increased due to $8.8 million in credit card transaction fees due to higher sales and professional fees for user support, and $2.5 million in overhead-related costs. These increases were offset by a decrease of $20.3 million in our infrastructure costs due to continued infrastructure usage optimization efforts, which resulted in a reduction in depreciation expense due to the change in depreciable useful life of certain of our infrastructure equipment, which was effective on January 1, 2018. These increases were further offset by a decrease of $3.2 million in amortization of developed technologies, as certain assets became fully amortized during the nine months ended September 30, 2017.</w:t>
      </w:r>
    </w:p>
    <w:p>
      <w:pPr>
        <w:spacing w:after="0" w:line="111"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Our gross margin increased from 65% to 70% during the nine months ended September 30, 2018 compared to the nine months ended September 30, 2017, primarily due to a 27% increase in our revenue during the period and a decrease in our infrastructure costs as described above. The increase in gross margin was partially offset by the increase in stock-based compensation from the achievement of the Performance Vesting Condition related to our two-tier RSUs upon the effectiveness of the registration statement related to our IPO.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Research and development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i w:val="1"/>
                <w:iCs w:val="1"/>
                <w:color w:val="auto"/>
                <w:w w:val="97"/>
              </w:rPr>
              <w:t>(In millions)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Research and development expenses increased $355.1 million or 129% during the nine months ended September 30, 2018, as compared to the nine months ended September 30, 2017, primarily due to an increase of $272.6 million in stock-based compensation, which included the achievement of the Performance Vesting Condition of our two-tier RSUs upon the effectiveness of the registration statement related to our IPO. Further, the increase in research and development expense was due to an increase of $45.5 million in employee-related expenses, excluding stock-based compensation, which was due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headcount growth and employer payroll taxes related to the release of our two-tier RSUs, and an increase of $28.9 million in overhead-related costs.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Sales and marketing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i w:val="1"/>
                <w:iCs w:val="1"/>
                <w:color w:val="auto"/>
                <w:w w:val="97"/>
              </w:rPr>
              <w:t>(In millions)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Sales and marketing expenses increased $128.3 million or 61% during the nine months ended September 30, 2018, as compared to the nine months ended September 30, 2017, primarily due to an increase of $65.5 million in stock-based compensation, which included the achievement of the Performance Vesting Condition of our two-tier RSUs upon the effectiveness of the registration statement related to our IPO. Sales and marketing expenses also increased $33.4 million due to brand marketing costs, lead generation costs, third-party sales representative fees, and sponsorships. In addition, the increase in sales and marketing expense was due to an increase of $12.2 million in employee-related expenses, excluding stock-based compensation, which was due to headcount growth and employer payroll taxes related to the release of our two-tier RSUs, and an increase of app store fees as a result of increased 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ind w:left="420"/>
              <w:spacing w:after="0"/>
              <w:rPr>
                <w:sz w:val="20"/>
                <w:szCs w:val="20"/>
                <w:color w:val="auto"/>
              </w:rPr>
            </w:pPr>
            <w:r>
              <w:rPr>
                <w:rFonts w:ascii="Arial" w:cs="Arial" w:eastAsia="Arial" w:hAnsi="Arial"/>
                <w:sz w:val="18"/>
                <w:szCs w:val="18"/>
                <w:i w:val="1"/>
                <w:iCs w:val="1"/>
                <w:color w:val="auto"/>
              </w:rPr>
              <w:t>General and administrative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60"/>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Nine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58"/>
        </w:trPr>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i w:val="1"/>
                <w:iCs w:val="1"/>
                <w:color w:val="auto"/>
                <w:w w:val="97"/>
              </w:rPr>
              <w:t>(In millions)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General and administrative expenses increased $113.6 million or 100% during the nine months ended September 30, 2018, as compared to the nine months ended September 30, 2017, primarily due to an increase of $106.7 million in stock-based compensation, which included the achievement of the Performance Vesting Condition of our two-tier RSUs, and the performance-based vesting condition for the Co-Founder Grants upon the effectiveness of the registration statement related to our IPO. In addition, general and administrative expenses increased $9.7 million due to employee-related expenses, excluding stock-based compensation, due to headcount growth and employer payroll taxes related to the release of our two-tier RSUs. These increases were offset by a decrease of $10.2 million in contributions to the Dropbox Charitable Foundation, of which $9.4 million was a non-cash contribution of Class A common stock for its initial funding, and $0.8 million was related to cash contributions made during the nine months ended September 30, 2017.</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Interest income (expense), net increased $12.6 million during the nine months ended September 30, 2018, as compared to the nine months ended September 30, 2017, primarily due to an increase in interest income from our money market funds and short-term investments of $9.0 million, and a decrease of interest expense of $3.6 million due to fewer assets acquired under capital leases.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Other income, net decreased $6.9 million during the nine months ended September 30, 2018, as compared to the nine months ended September 30, 2017, primarily due to foreign currency losses of $1.4 million during the nine months ended September 30, 2018, compared to foreign currency gains of $6.9 million during the nine months ended September 30, 2017, primarily related to monetary assets and liabilities denominated in euros and pounds. The decrease in other income, net was partially offset by an increase in other income due to our lease amendments and terminations of $1.4 million.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Provision for income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Provision for income taxes increased $1.5 million during the nine months ended September 30, 2018, as compared to the nine months ended September 30, 2017, primarily as a result of additional income in our profitable foreign entities and the release of our valuation allowance related to certain foreign deferred tax assets during the first quarter of 2017.</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21"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405"/>
        <w:spacing w:after="0" w:line="257" w:lineRule="auto"/>
        <w:rPr>
          <w:sz w:val="20"/>
          <w:szCs w:val="20"/>
          <w:color w:val="auto"/>
        </w:rPr>
      </w:pPr>
      <w:r>
        <w:rPr>
          <w:rFonts w:ascii="Arial" w:cs="Arial" w:eastAsia="Arial" w:hAnsi="Arial"/>
          <w:sz w:val="18"/>
          <w:szCs w:val="18"/>
          <w:color w:val="auto"/>
        </w:rPr>
        <w:t>As of September 30, 2018, we had cash and cash equivalents of $536.2 million and short-term investments of $502.9 million, which were held for working capital purposes. Our cash, cash equivalents, and short-term investments consist primarily of cash, money market funds, corporate notes and obligations, U.S. treasury securities, U.S. agency obligations, commercial paper, and certificates of deposits. As of September 30, 2018, we had $122.0 million of our cash and cash equivalents held by our foreign subsidiaries. We do not expect to incur material taxes in the event we repatriate any of these amounts.</w:t>
      </w:r>
    </w:p>
    <w:p>
      <w:pPr>
        <w:spacing w:after="0" w:line="10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March 27, 2018, upon the completion of our IPO and concurrent private placement, we received aggregate proceeds of $638.2 million, net of underwriters' discounts and commissions. On March 28, 2018, the underwriters exercised their option to purchase an additional 5,400,000 shares of our Class A common stock. This transaction closed on April 3, 2018, resulting in additional proceeds of $108.4 million, net of underwriters' discounts and commissions. Our net proceeds from the IPO, the concurrent private placement, and underwriters' option totaled $746.6 million, before deducting offering costs of $6.9 million, net of reimbursements.</w:t>
      </w:r>
    </w:p>
    <w:p>
      <w:pPr>
        <w:spacing w:after="0" w:line="10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73"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making principal payments on our capital lease obligations, and capital expenditures.</w:t>
      </w:r>
    </w:p>
    <w:p>
      <w:pPr>
        <w:spacing w:after="0" w:line="4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108"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11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September 30, 2018.</w:t>
      </w:r>
    </w:p>
    <w:p>
      <w:pPr>
        <w:spacing w:after="0" w:line="90"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As of September 30, 2018, we had no amounts outstanding under the revolving credit facility and an aggregate of $71.8 million in letters of credit outstanding under the revolving credit facility. Our total available borrowing capacity under the revolving credit facility was $653.2 million as of September 30, 2018.</w:t>
      </w:r>
    </w:p>
    <w:p>
      <w:pPr>
        <w:spacing w:after="0" w:line="1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for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5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58"/>
        </w:trPr>
        <w:tc>
          <w:tcPr>
            <w:tcW w:w="7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gridSpan w:val="3"/>
          </w:tcPr>
          <w:p>
            <w:pPr>
              <w:jc w:val="right"/>
              <w:ind w:right="870"/>
              <w:spacing w:after="0"/>
              <w:rPr>
                <w:sz w:val="20"/>
                <w:szCs w:val="20"/>
                <w:color w:val="auto"/>
              </w:rPr>
            </w:pPr>
            <w:r>
              <w:rPr>
                <w:rFonts w:ascii="Arial" w:cs="Arial" w:eastAsia="Arial" w:hAnsi="Arial"/>
                <w:sz w:val="18"/>
                <w:szCs w:val="18"/>
                <w:i w:val="1"/>
                <w:iCs w:val="1"/>
                <w:color w:val="auto"/>
              </w:rPr>
              <w:t>(In millions)</w:t>
            </w:r>
          </w:p>
        </w:tc>
        <w:tc>
          <w:tcPr>
            <w:tcW w:w="680" w:type="dxa"/>
            <w:vAlign w:val="bottom"/>
          </w:tcPr>
          <w:p>
            <w:pPr>
              <w:spacing w:after="0"/>
              <w:rPr>
                <w:sz w:val="24"/>
                <w:szCs w:val="24"/>
                <w:color w:val="auto"/>
              </w:rPr>
            </w:pP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7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used in financing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0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For the nine months ended September 30, 2018, net cash provided by operating activities was $301.7 million, which mostly consisted of our net loss of $475.4 million, adjusted for stock-based compensation expense of $596.6 million and depreciation and amortization expenses of $121.6 million, and net cash inflow of $51.3 million from operating assets and liabilities. The inflow from operating assets and liabilities was primarily due to an increase of $60.8 million in deferred revenue from increased subscription sales, as a majority of our paying users are invoiced in advance. The increase in deferred revenue was offset by a decrease in other operating assets and liabilities of $9.5 million. Our net cash from operating activities for the nine months ended September 30, 2018 also included a payment of $13.8 million of employer payroll taxes related to the release of our two-tier RSUs in connection with our IPO, which was paid in the first quarter of 2018.</w:t>
      </w:r>
    </w:p>
    <w:p>
      <w:pPr>
        <w:spacing w:after="0" w:line="108"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increase in net cash provided by operating activities during the nine months ended September 30, 2018, compared to the nine months ended September 30, 2017, was primarily due to a reduction of our net loss, as adjusted for stock-based compensation and depreciation and amortization expenses, offset by a decrease in cash inflows from changes in operating assets and liabilities.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4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For the nine months ended September 30, 2018, net cash used in investing activities was $529.0 million, which primarily related to purchases of short-term investments of $664.3 million and capital expenditures of $27.6 million related to our office and datacenter build-outs. These outflows were partially offset by inflows of $163.5 million related to proceeds from maturities and sales of short-term investments.</w:t>
      </w:r>
    </w:p>
    <w:p>
      <w:pPr>
        <w:spacing w:after="0" w:line="10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increase in cash used in investing activities during the nine months ended September 30, 2018, compared to the nine months ended September 30, 2017, was primarily due to increases in purchases of short-term investments and an increase in capital expenditures for office and datacenter build-outs. These increases were partially offset by inflows related to proceeds from maturities and sales of short-term investments.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Net cash provided by (used in) financing activities is primarily impacted by repurchases of common stock to satisfy the tax withholding obligation for the release of restricted stock units (“RSUs”) and capital lease obligations for our infrastructure equipment. In 2017, we began releasing shares of common stock underlying vested one-tier RSUs, which generally have 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service-based vesting condition over a four-year period and resulted in cash outflows to satisfy the employee tax withholding obligation for those employees who elected to net share settle their awards. During the first quarter of 2018, the Performance Vesting Condition related to our two-tier RSUs was achieved in connection with our IPO, and as a result, we released the shares of common stock underlying vested two-tier RSUs, which significantly increased our cash outflows to satisfy the employee tax withholding obligation during the nine months ended September 30, 2018. See “—Significant Impacts of Stock-Based Compensation” for additional information.</w:t>
      </w:r>
    </w:p>
    <w:p>
      <w:pPr>
        <w:spacing w:after="0" w:line="107"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For the nine months ended September 30, 2018, net cash provided by financing activities was $335.0 million, which primarily consisted of $746.6 million in net proceeds from the completion of our IPO and concurrent private placement. The proceeds were offset by $326.7 million for the satisfaction of tax withholding obligations for the release of restricted stock units and $84.1 million in principal payments against capital lease obligations.</w:t>
      </w:r>
    </w:p>
    <w:p>
      <w:pPr>
        <w:spacing w:after="0" w:line="66"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The increase in cash provided by financing activities during the nine months ended September 30, 2018, compared to the nine months ended September 30, 2017, was primarily due to $746.6 million in net proceeds from the completion of our IPO and concurrent private placement, partially offset by an increase in cash outflows of $254.5 million related to the satisfaction of tax withholding obligations for the release of two-tier restricted stock units.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1"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Our principal commitments consist of obligations under operating leases for office space and datacenter operations, and capital leases for datacenter equipment. The following table summarizes our commitments to settle contractual obligations in cash as of September 30, 2018, for the periods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3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20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1 - 3 years</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3 - 5 years</w:t>
            </w:r>
          </w:p>
        </w:tc>
        <w:tc>
          <w:tcPr>
            <w:tcW w:w="22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5 years</w:t>
            </w:r>
          </w:p>
        </w:tc>
      </w:tr>
      <w:tr>
        <w:trPr>
          <w:trHeight w:val="27"/>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58"/>
        </w:trPr>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7"/>
              </w:rPr>
              <w:t>(In millions)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
        </w:trPr>
        <w:tc>
          <w:tcPr>
            <w:tcW w:w="3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656.0</w:t>
            </w:r>
          </w:p>
        </w:tc>
      </w:tr>
      <w:tr>
        <w:trPr>
          <w:trHeight w:val="270"/>
        </w:trPr>
        <w:tc>
          <w:tcPr>
            <w:tcW w:w="3520" w:type="dxa"/>
            <w:vAlign w:val="bottom"/>
          </w:tcPr>
          <w:p>
            <w:pPr>
              <w:ind w:left="20"/>
              <w:spacing w:after="0" w:line="270" w:lineRule="exact"/>
              <w:rPr>
                <w:sz w:val="20"/>
                <w:szCs w:val="20"/>
                <w:color w:val="auto"/>
              </w:rPr>
            </w:pPr>
            <w:r>
              <w:rPr>
                <w:rFonts w:ascii="Arial" w:cs="Arial" w:eastAsia="Arial" w:hAnsi="Arial"/>
                <w:sz w:val="18"/>
                <w:szCs w:val="18"/>
                <w:color w:val="auto"/>
              </w:rPr>
              <w:t>Capital lease commitments</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commitments</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656.1</w:t>
            </w:r>
          </w:p>
        </w:tc>
      </w:tr>
      <w:tr>
        <w:trPr>
          <w:trHeight w:val="27"/>
        </w:trPr>
        <w:tc>
          <w:tcPr>
            <w:tcW w:w="3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ind w:left="340" w:hanging="332"/>
        <w:spacing w:after="0" w:line="224"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rent payments from our sub-tenants, variable operating expenses and tenant improvement reimbursements. Non-cancelable rent payments from our sub-tenants as of September 30, 2018, for the next five years is expected to be $44.2 million.</w:t>
      </w:r>
    </w:p>
    <w:p>
      <w:pPr>
        <w:spacing w:after="0" w:line="1" w:lineRule="exact"/>
        <w:rPr>
          <w:rFonts w:ascii="Arial" w:cs="Arial" w:eastAsia="Arial" w:hAnsi="Arial"/>
          <w:sz w:val="22"/>
          <w:szCs w:val="22"/>
          <w:color w:val="auto"/>
          <w:vertAlign w:val="superscript"/>
        </w:rPr>
      </w:pPr>
    </w:p>
    <w:p>
      <w:pPr>
        <w:ind w:left="340" w:hanging="332"/>
        <w:spacing w:after="0" w:line="187"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Consists of future non-cancelable minimum rental payments under capital leases primarily for our infrastructure.</w:t>
      </w:r>
    </w:p>
    <w:p>
      <w:pPr>
        <w:ind w:left="340" w:right="680" w:hanging="332"/>
        <w:spacing w:after="0" w:line="209"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Consists of commitments to third-party vendors for services related to our infrastructure, infrastructure warranty contracts, asset retirement obligations for office modifications, and a note payable related to financing of our infrastructure.</w:t>
      </w:r>
    </w:p>
    <w:p>
      <w:pPr>
        <w:spacing w:after="0" w:line="168"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In 2017, we entered into a new lease agreement for office space in San Francisco, California, to serve as our new corporate headquarters. We took initial possession of our new corporate headquarters in June 2018 and began to recognize rent expense in the same period.</w:t>
      </w:r>
    </w:p>
    <w:p>
      <w:pPr>
        <w:spacing w:after="0" w:line="6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In May 2018, we amended our lease for our current corporate headquarters, modifying the original lease termination date from 2027 to 2019. As a result of the amendment, we expect to vacate our current corporate headquarters in August 2019, but are obligated to pay rent through February 2020. Accordingly, our future operating lease commitments were reduced by $192.4 million. The lease amendment did not have a material impact to our condensed consolidated statement of operations in the current period, nor do we expect it to be material through our lease termination date in 2019. See Note 7, "Commitments and Contingencies" to our condensed consolidated financial statements included elsewhere in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September 30, 2018,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121"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Impacts of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Plan, our 2017 Equity Incentive Plan, or 2017 Plan and our 2018 Equity Incentive Plan, or 2018 Plan. We have two types of RSUs outstanding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211" w:lineRule="exact"/>
        <w:rPr>
          <w:sz w:val="20"/>
          <w:szCs w:val="20"/>
          <w:color w:val="auto"/>
        </w:rPr>
      </w:pPr>
    </w:p>
    <w:p>
      <w:pPr>
        <w:ind w:left="980" w:right="2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181" w:lineRule="exact"/>
        <w:rPr>
          <w:rFonts w:ascii="Arial" w:cs="Arial" w:eastAsia="Arial" w:hAnsi="Arial"/>
          <w:sz w:val="18"/>
          <w:szCs w:val="18"/>
          <w:color w:val="auto"/>
        </w:rPr>
      </w:pPr>
    </w:p>
    <w:p>
      <w:pPr>
        <w:ind w:left="980" w:right="100" w:hanging="324"/>
        <w:spacing w:after="0" w:line="288"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vest quarterly. The Performance Vesting Condition is satisfied on the earlier of</w:t>
      </w:r>
    </w:p>
    <w:p>
      <w:pPr>
        <w:jc w:val="both"/>
        <w:ind w:left="980" w:right="60"/>
        <w:spacing w:after="0" w:line="281" w:lineRule="auto"/>
        <w:rPr>
          <w:rFonts w:ascii="Arial" w:cs="Arial" w:eastAsia="Arial" w:hAnsi="Arial"/>
          <w:sz w:val="16"/>
          <w:szCs w:val="16"/>
          <w:color w:val="auto"/>
        </w:rPr>
      </w:pPr>
      <w:r>
        <w:rPr>
          <w:rFonts w:ascii="Arial" w:cs="Arial" w:eastAsia="Arial" w:hAnsi="Arial"/>
          <w:sz w:val="16"/>
          <w:szCs w:val="16"/>
          <w:color w:val="auto"/>
        </w:rPr>
        <w:t>(i) an acquisition or change in control of the Company or (ii) the earlier of (a) six months after our initial public offering or (b) March 15 of the year following our initial public offering. Our Board of Directors approved the acceleration of the Performance Vesting Condition for which the service condition was satisfied, to occur upon the effectiveness of the registration statement related to our IPO, which was on March 22, 2018.</w:t>
      </w:r>
    </w:p>
    <w:p>
      <w:pPr>
        <w:spacing w:after="0" w:line="2" w:lineRule="exact"/>
        <w:rPr>
          <w:rFonts w:ascii="Arial" w:cs="Arial" w:eastAsia="Arial" w:hAnsi="Arial"/>
          <w:sz w:val="16"/>
          <w:szCs w:val="16"/>
          <w:color w:val="auto"/>
        </w:rPr>
      </w:pPr>
    </w:p>
    <w:p>
      <w:pPr>
        <w:ind w:left="980" w:right="120"/>
        <w:spacing w:after="0" w:line="261" w:lineRule="auto"/>
        <w:rPr>
          <w:rFonts w:ascii="Arial" w:cs="Arial" w:eastAsia="Arial" w:hAnsi="Arial"/>
          <w:sz w:val="16"/>
          <w:szCs w:val="16"/>
          <w:color w:val="auto"/>
        </w:rPr>
      </w:pPr>
      <w:r>
        <w:rPr>
          <w:rFonts w:ascii="Arial" w:cs="Arial" w:eastAsia="Arial" w:hAnsi="Arial"/>
          <w:sz w:val="18"/>
          <w:szCs w:val="18"/>
          <w:color w:val="auto"/>
        </w:rPr>
        <w:t>Our last grant date for two-tier RSUs was May 2015. We recognize compensation expense associated with two-tier RSUs using the accelerated attribution method over the requisite service period.</w:t>
      </w:r>
    </w:p>
    <w:p>
      <w:pPr>
        <w:spacing w:after="0" w:line="18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Upon the effectiveness of the registration statement related to our IPO, which was March 22, 2018, the Performance Vesting Condition associated with our two-tier RSUs was satisfied. As a result, we recognized stock-based compensation related to our two-tier RSUs using the accelerated attribution method, with a cumulative catch-up in the amount of $418.7 million attributable to service provided prior to such effective date. As of September 30, 2018, the unamortized stock-based compensation related to our two-tier RSUs was $0.4 million, which will be recognized if the requisite service is provided over a remaining weighted average period of 0.3 years.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While the Co-Founder Grants have certain stockholder rights prior to their vesting, such as the right to vote the shares with the other holders of our Class A common stock, the Co-Founder Grants will be excluded from Class A common stock issued and outstanding until the satisfaction of these vesting conditions.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Co-Founder Grants are eligible to vest over the ten-year period following the date the Company’s shares of Class A common stock began trading on the Nasdaq Global Select Market in connection with our IPO, which occurred on March 23, 2018. The Co-Founder Grants comprise nine tranches that are eligible to vest based on the achievement of stock price goals (each, a "Stock Price Target"), measured over a consecutive thirty-day trading period during the Performance Period, which will begin on January 1, 2019,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Company Stock Price</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Eligible to Vest for</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Eligible to Vest</w:t>
            </w:r>
          </w:p>
        </w:tc>
      </w:tr>
      <w:tr>
        <w:trPr>
          <w:trHeight w:val="234"/>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Mr. Houston</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2"/>
              </w:rPr>
              <w:t>for Mr. Ferdowsi</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15"/>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tcPr>
          <w:p>
            <w:pPr>
              <w:spacing w:after="0"/>
              <w:rPr>
                <w:sz w:val="10"/>
                <w:szCs w:val="10"/>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2,066,667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880,000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$37.50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$52.50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$67.50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$82.50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Company Stock Price Targets. The Co-Founder Grants contain an implied performance-based vesting condition that was satisfied on the date of our IPO.</w:t>
      </w:r>
    </w:p>
    <w:p>
      <w:pPr>
        <w:spacing w:after="0" w:line="10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84"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performance vesting condition for the Co-Founder Grants was satisfied on the date that our shares of Class A common stock began trading on the Nasdaq Global Select Market in connection with our IPO. We recognized the cumulative unrecognized expense of our Co-Founder Grants of $10.6 million in the first quarter of 2018, using the accelerated attribution method, which increased our general and administrative expenses.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Award Modifications</w:t>
      </w:r>
    </w:p>
    <w:p>
      <w:pPr>
        <w:spacing w:after="0" w:line="144"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During 2017, our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we recognized an incremental $10.0 million in stock-based compensation during the first quarter of 2018, which is included in the results for the nine months ended September 30, 2018, related to these modified RSUs. We do not expect to record incremental stock-based compensation related to this modification in future periods.</w:t>
      </w:r>
    </w:p>
    <w:p>
      <w:pPr>
        <w:spacing w:after="0" w:line="91"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See Note 1, “Description of the Business and Summary of Significant Accounting Policies” and Note 9, “Stockholders’ Equity” to our condensed consolidated financial statements included elsewhere in this Quarterly Report on Form 10-Q for more information regarding our equity awards.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significant judgments as compared to the critical accounting policies and estimates disclosed in the Prospectus.</w:t>
      </w:r>
    </w:p>
    <w:p>
      <w:pPr>
        <w:spacing w:after="0" w:line="200" w:lineRule="exact"/>
        <w:rPr>
          <w:sz w:val="20"/>
          <w:szCs w:val="20"/>
          <w:color w:val="auto"/>
        </w:rPr>
      </w:pPr>
    </w:p>
    <w:p>
      <w:pPr>
        <w:spacing w:after="0" w:line="34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240" w:top="121"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See Note 1, “Description of the Business and Summary of Significant Accounting Policies”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had cash and cash equivalents of $536.2 million and short-term investments of $502.9 million as of September 30, 2018. We hold our cash and cash equivalents and short-term investments for working capital purposes. Our cash, cash equivalents, and short-term investments consist primarily of cash, money market funds, corporate notes and obligations, U.S. treasury securities, U.S. agency obligations, commercial paper, and certificates of deposits.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September 30, 2018, we had no amounts outstanding under the revolving credit facility. We do not have any other long-term debt or financial liabilities with floating interest rates that would subject us to interest rate fluctuations.</w:t>
      </w:r>
    </w:p>
    <w:p>
      <w:pPr>
        <w:spacing w:after="0" w:line="100"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As of September 30, 2018, a hypothetical change in interest rates by 100 basis points would not have a significant impact on our cash and cash equivalents or the fair value of our investment portfolio.</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nine months ended September 30, 2018, 30%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9"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We recorded $1.4 million in net foreign currency transaction losses in the nine months ended September 30, 2018 and $6.9 million in net foreign currency transaction gains in the nine months ended September 30, 2017. A hypothetical 10% change in foreign currency rates would not have resulted in material gains or losses for the nine months ended September 30, 2018 and 2017.</w:t>
      </w:r>
    </w:p>
    <w:p>
      <w:pPr>
        <w:spacing w:after="0" w:line="10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4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21"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 OTHER INFORMATION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98"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1"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unaudited condensed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1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93" w:lineRule="exact"/>
        <w:rPr>
          <w:sz w:val="20"/>
          <w:szCs w:val="20"/>
          <w:color w:val="auto"/>
        </w:rPr>
      </w:pPr>
    </w:p>
    <w:p>
      <w:pPr>
        <w:ind w:right="360" w:firstLine="405"/>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225"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6"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2018, we served over 500 million registered users but only 12.3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1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anticipate increasing expenses in the future, and we may not be able to achieve or maintain profitability.</w:t>
      </w:r>
    </w:p>
    <w:p>
      <w:pPr>
        <w:spacing w:after="0" w:line="23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incurred net losses on an annual basis since our inception. We incurred net losses of $325.9 million, $210.2 million, and $111.7 million in 2015, 2016, and 2017, respectively, and we had an accumulated deficit of $1,049.7 million as of December 31,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225"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70"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1"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1"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6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1"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point solutions in the cloud storage market or the content collaboration market. We believe the principal competitive factors in our markets include the following:</w:t>
      </w:r>
    </w:p>
    <w:p>
      <w:pPr>
        <w:spacing w:after="0" w:line="170"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With the introduction of new technologies and market entrants, we expect competition to intensify in the future. Many of our actual and potential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22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released Smart Sync, a new advanced productivity feature, to add additional functionality to our platform, and introduced Paper, a new collaborative product experience, in 2017.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Since our founding in 2007, we have experienced rapid growth. For example, our headcount has grown from 1,446 employees as of December 31, 2015, to 1,858 employees as of December 31, 2017,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 force may limit the potential growth of our business.</w:t>
      </w:r>
    </w:p>
    <w:p>
      <w:pPr>
        <w:spacing w:after="0" w:line="22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6.5 million as of December 31, 2015, to 12.3 million as of September 30, 2018.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93"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225" w:lineRule="exact"/>
        <w:rPr>
          <w:rFonts w:ascii="Arial" w:cs="Arial" w:eastAsia="Arial" w:hAnsi="Arial"/>
          <w:sz w:val="18"/>
          <w:szCs w:val="18"/>
          <w:color w:val="auto"/>
        </w:rPr>
      </w:pPr>
    </w:p>
    <w:p>
      <w:pPr>
        <w:ind w:left="1300" w:right="26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capital leases;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17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70" w:lineRule="exact"/>
        <w:rPr>
          <w:sz w:val="20"/>
          <w:szCs w:val="20"/>
          <w:color w:val="auto"/>
        </w:rPr>
      </w:pPr>
    </w:p>
    <w:p>
      <w:pPr>
        <w:ind w:right="220" w:firstLine="405"/>
        <w:spacing w:after="0" w:line="291"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may be changes in our management team resulting from the hiring or departure of our executives. For example, we recently announced that Dennis Woodside, our former Chief Operating Officer, had resigned such role and will remain an advisor through the end of 2018.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6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4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78" w:lineRule="exact"/>
        <w:rPr>
          <w:sz w:val="20"/>
          <w:szCs w:val="20"/>
          <w:color w:val="auto"/>
        </w:rPr>
      </w:pPr>
    </w:p>
    <w:p>
      <w:pPr>
        <w:jc w:val="both"/>
        <w:ind w:right="700" w:firstLine="405"/>
        <w:spacing w:after="0" w:line="264"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70"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or if we incur excessive expenses in this effort, our business, results of operations, and financial condition will be materially and adversely affected.</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70"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We have paying users across 180 countries and approximately half of our revenue in the year ended December 31,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58" w:lineRule="exact"/>
        <w:rPr>
          <w:sz w:val="20"/>
          <w:szCs w:val="20"/>
          <w:color w:val="auto"/>
        </w:rPr>
      </w:pPr>
    </w:p>
    <w:p>
      <w:pPr>
        <w:ind w:left="1300" w:right="26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170" w:lineRule="exact"/>
        <w:rPr>
          <w:rFonts w:ascii="Arial" w:cs="Arial" w:eastAsia="Arial" w:hAnsi="Arial"/>
          <w:sz w:val="18"/>
          <w:szCs w:val="18"/>
          <w:color w:val="auto"/>
        </w:rPr>
      </w:pPr>
    </w:p>
    <w:p>
      <w:pPr>
        <w:ind w:left="1300" w:right="48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81" w:lineRule="exact"/>
        <w:rPr>
          <w:rFonts w:ascii="Arial" w:cs="Arial" w:eastAsia="Arial" w:hAnsi="Arial"/>
          <w:sz w:val="18"/>
          <w:szCs w:val="18"/>
          <w:color w:val="auto"/>
        </w:rPr>
      </w:pPr>
    </w:p>
    <w:p>
      <w:pPr>
        <w:ind w:left="1300" w:right="20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81"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225" w:lineRule="exact"/>
        <w:rPr>
          <w:rFonts w:ascii="Arial" w:cs="Arial" w:eastAsia="Arial" w:hAnsi="Arial"/>
          <w:sz w:val="18"/>
          <w:szCs w:val="18"/>
          <w:color w:val="auto"/>
        </w:rPr>
      </w:pPr>
    </w:p>
    <w:p>
      <w:pPr>
        <w:ind w:left="1300" w:right="460" w:hanging="320"/>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3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6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December 31,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93"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0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88"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84"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7"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7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9"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GDPR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Additionally, California recently enacted legislation, the California Consumer Privacy Act of 2018, that will afford consumers expanded privacy protections when it goes into effect on January 1, 2020. Legislators have stated that they intend to propose amendments to this legislation, and it remains unclear what, if any, modifications will be made to this legislation or how it will be interpreted. The effects of this legislation potentially are far-reaching, however, and may require us to modify our data processing practices and policies and to incur substantial costs and expenses in an effort to comply.</w:t>
      </w:r>
    </w:p>
    <w:p>
      <w:pPr>
        <w:spacing w:after="0" w:line="175"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225"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December 14, 2017, the Federal Communications Commission voted to repeal the “net neutrality” rules and return to a “light-touch” regulatory framework. However, the repeal has not yet taken effect and a number of parties have already stated their intent to appeal this order; thus, the future impact of such repeal and any challenge thereto remains uncertain. The rules were designed to ensure that all online content is treated the same by internet service providers and other companies that provide broadband services. Should the repeal of net neutrality rules take effect, we could incur greater operating expenses, which could harm our results of operations.</w:t>
      </w:r>
    </w:p>
    <w:p>
      <w:pPr>
        <w:spacing w:after="0" w:line="188"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8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600 issued patents and more than 600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24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7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181"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170"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6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23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 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5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December 31, 2017, we had $312.2 million of federal and $143.0 million of state net operating loss carryforwards available to reduce future taxable income, which will begin to expire in 2031 for federal and 2030 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2018 and subsequent years.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70"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7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On December 22, 2017, the legislation commonly referred to as the Tax Cuts and Jobs Act ("2017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we do not currently anticipate that these changes will have a material impact on our consolidated financial statements. The impact of the 2017 Tax Reform Act will likely be subject to ongoing technical guidance and accounting interpretation, which we will continue to monitor and assess. Provisional accounting impacts may change in future reporting periods until the accounting analysis is finalized, which will occur no later than one year from the date the Tax Reform Act was enacted. As we expand the scale of our international business activities, any changes in the U.S. or foreign taxation of such activities may increase our worldwide effective tax rate and harm our business, results of operations, and financial condition.</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second annual report on Form 10-K.</w:t>
      </w:r>
    </w:p>
    <w:p>
      <w:pPr>
        <w:spacing w:after="0" w:line="169"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3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1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1"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188" w:lineRule="exact"/>
        <w:rPr>
          <w:sz w:val="20"/>
          <w:szCs w:val="20"/>
          <w:color w:val="auto"/>
        </w:rPr>
      </w:pPr>
    </w:p>
    <w:p>
      <w:pPr>
        <w:jc w:val="both"/>
        <w:ind w:right="220"/>
        <w:spacing w:after="0" w:line="38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01"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8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7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17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finance a significant portion of our expenditures through leasing arrangements, some of which are not required to be reflected on our balance sheet, and we may enter into additional similar arrangements in the future. As of September 30, 2018, we had an aggregate of $1,403.2 million of commitments to settle contractual obligations. In particular, we have used these types of arrangements to finance some of our equipment and datacenters. In addition, we may draw upon our revolving credit facility to finance our operations or for other corporate purposes. If we default on these leasing or credit obligations, our leasing partners and lenders may, among other things:</w:t>
      </w:r>
    </w:p>
    <w:p>
      <w:pPr>
        <w:spacing w:after="0" w:line="188" w:lineRule="exact"/>
        <w:rPr>
          <w:sz w:val="20"/>
          <w:szCs w:val="20"/>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October 2017, we entered into a new lease agreement to rent office space in San Francisco, California, to serve as our new corporate headquarters. The total minimum obligations under this lease agreement are expected to be approximately $831.6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in conjunction with the modified termination date of the lease for our current corporate headquarters. If we are unable to move into our new headquarters as scheduled, our results of operations could be adversely impacted as a result of additional rent expense.</w:t>
      </w:r>
    </w:p>
    <w:p>
      <w:pPr>
        <w:spacing w:after="0" w:line="193"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Historically, we have funded our operations and capital expenditures primarily through equity issuances, cash generated from our operations, and debt financing for capital purchases. Although we currently anticipate 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25"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47"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25" w:lineRule="exact"/>
        <w:rPr>
          <w:rFonts w:ascii="Arial" w:cs="Arial" w:eastAsia="Arial" w:hAnsi="Arial"/>
          <w:sz w:val="18"/>
          <w:szCs w:val="18"/>
          <w:color w:val="auto"/>
        </w:rPr>
      </w:pPr>
    </w:p>
    <w:p>
      <w:pPr>
        <w:ind w:left="1300" w:right="64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as well as the anticipation of lock-up releases;</w:t>
      </w:r>
    </w:p>
    <w:p>
      <w:pPr>
        <w:spacing w:after="0" w:line="225"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121"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will have the effect of concentrating voting control with those stockholders who held our capital stock prior to the completion of our IPO, and it may depress the trading price of our Class A common stock.</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Class A common stock has one vote per share, our Class B common stock has ten votes per share, and our Class C common stock has no voting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rights, except as otherwise required by law. As of September 30, 2018, our directors, executive officers and holders of more than 5%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their respective affiliates, held in the aggregate 80.0% of the voting power of our capital stock (including the Co-Founder Grants and voting agreements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our co-founders entered into with certain of our stockholders that covered an aggregate of 1.3% of the voting power of our capital stock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We are including the Co-Founder Grants in this calculation since they are legally issued and outstanding shares of our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and our co-founders are able to vote these shares immediately upon grant and prior to their vesting. Because of the ten-to-one voting ratio between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B and Class A common stock, the holders of our Class B common stock collectively will continue to control a majority of the combined voting power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and therefore be able to control all matters submitted to our stockholders for approval so long as the shares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 at least 9.1% of all outstanding shares of our Class A and Class B common stock. This concentrated control will limit or preclude your ability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influence corporate matters for the foreseeable future, including the election of directors, amendments of our organizational documents and any merger,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consolidation, sale of all or substantially all of our assets, or other major corporate transaction requiring stockholder approval. In addition, this may prevent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discourage unsolicited acquisition proposals or offers for our capital stock that you may feel are in your best interest as one of our stockholders.</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82" w:lineRule="exact"/>
        <w:rPr>
          <w:sz w:val="20"/>
          <w:szCs w:val="20"/>
          <w:color w:val="auto"/>
        </w:rPr>
      </w:pPr>
    </w:p>
    <w:p>
      <w:pPr>
        <w:jc w:val="both"/>
        <w:ind w:right="60" w:firstLine="405"/>
        <w:spacing w:after="0" w:line="312"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4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18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Because of the relatively small number of shares of our Class A common stock outstanding immediately after our IPO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September 30, 2018 we had 180,139,427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could depress the market price of our Class A common stock.</w:t>
      </w:r>
    </w:p>
    <w:p>
      <w:pPr>
        <w:spacing w:after="0" w:line="22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market price of our Class A common stock could decline as a result of a large number of sales of shares of such stock in the near future, and the perception that these sales could occur may also depress the market price of our Class A common stock.</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the shares issued upon exercise of outstanding stock options or upon settlement of outstanding RSU awards will be available for immediate resale in the United States in the open market.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70"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4" w:lineRule="exact"/>
        <w:rPr>
          <w:sz w:val="20"/>
          <w:szCs w:val="20"/>
          <w:color w:val="auto"/>
        </w:rPr>
      </w:pPr>
    </w:p>
    <w:p>
      <w:pPr>
        <w:ind w:left="1300" w:right="46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70" w:lineRule="exact"/>
        <w:rPr>
          <w:rFonts w:ascii="Arial" w:cs="Arial" w:eastAsia="Arial" w:hAnsi="Arial"/>
          <w:sz w:val="18"/>
          <w:szCs w:val="18"/>
          <w:color w:val="auto"/>
        </w:rPr>
      </w:pPr>
    </w:p>
    <w:p>
      <w:pPr>
        <w:ind w:left="1300" w:right="60" w:hanging="320"/>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81"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81" w:lineRule="exact"/>
        <w:rPr>
          <w:rFonts w:ascii="Arial" w:cs="Arial" w:eastAsia="Arial" w:hAnsi="Arial"/>
          <w:sz w:val="18"/>
          <w:szCs w:val="18"/>
          <w:color w:val="auto"/>
        </w:rPr>
      </w:pPr>
    </w:p>
    <w:p>
      <w:pPr>
        <w:ind w:left="1300" w:right="60" w:hanging="320"/>
        <w:spacing w:after="0" w:line="30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54"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four amended and restated bylaws will provide that approval of stockholders holding two-thirds of our outstanding voting power voting as a single class is required for stockholders to amend or adopt any provision of our bylaws;</w:t>
      </w:r>
    </w:p>
    <w:p>
      <w:pPr>
        <w:spacing w:after="0" w:line="170"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after the Voting Threshold Date our stockholders will only be able to take action at a meeting of stockholders, and will not be able to take action by written consent for any matter;</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until the Voting Threshold Date, our stockholders will be able to act by written consent only if the action is first recommended or approved by the Board of Directors;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225" w:lineRule="exact"/>
        <w:rPr>
          <w:rFonts w:ascii="Arial" w:cs="Arial" w:eastAsia="Arial" w:hAnsi="Arial"/>
          <w:sz w:val="18"/>
          <w:szCs w:val="18"/>
          <w:color w:val="auto"/>
        </w:rPr>
      </w:pPr>
    </w:p>
    <w:p>
      <w:pPr>
        <w:ind w:left="1300" w:right="40" w:hanging="320"/>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225" w:lineRule="exact"/>
        <w:rPr>
          <w:rFonts w:ascii="Arial" w:cs="Arial" w:eastAsia="Arial" w:hAnsi="Arial"/>
          <w:sz w:val="18"/>
          <w:szCs w:val="18"/>
          <w:color w:val="auto"/>
        </w:rPr>
      </w:pPr>
    </w:p>
    <w:p>
      <w:pPr>
        <w:ind w:left="1300" w:right="4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70" w:lineRule="exact"/>
        <w:rPr>
          <w:rFonts w:ascii="Arial" w:cs="Arial" w:eastAsia="Arial" w:hAnsi="Arial"/>
          <w:sz w:val="18"/>
          <w:szCs w:val="18"/>
          <w:color w:val="auto"/>
        </w:rPr>
      </w:pPr>
    </w:p>
    <w:p>
      <w:pPr>
        <w:ind w:left="1300" w:right="460" w:hanging="320"/>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amended and restated bylaws also provide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70"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Class A Common Stock and Concurrent Private Placement</w:t>
      </w:r>
    </w:p>
    <w:p>
      <w:pPr>
        <w:spacing w:after="0" w:line="22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March 27, 2018, we closed our IPO, in which we sold 26,822,409 shares of our Class A common stock at a price to the public of $21.00 per share. Immediately subsequent to the closing of our IPO, Salesforce Ventures LLC purchased 4,761,905 shares of our Class A common stock from us at $21.00 per share. The offer and sale of the shares in the IPO were registered under the Securities Act pursuant to a registration statement on Form S-1 (File No. 333-223182), which was declared effective by the SEC on March 22, 2018. On March 28, 2018, the underwriters exercised their option to purchase an additional 5,400,000 shares of the Company's Class A common stock at $21.00 per share. This transaction closed on April 3, 2018, resulting in additional proceeds of $108.4 million. In aggregate, we raised $746.6 million in net proceeds after deducting underwriters’ discounts and commissions of $30.1 million and before deducting offering expenses of approximately $6.9 million, net of reimbursements. We utilized a portion of the net proceeds to satisfy our tax withholding and remittance obligations related to the RSU settlement. Additionally, we utilized a portion of the net proceeds to purchase investment grade, interest bearing instruments pursuant to the investment policy approved by our board of directors. We also intend to use the net proceeds we received from our IPO and the concurrent private placement for general corporate purposes, including working capital, operating expenses, and capital expenditures. Additionally, we may use a portion of the net proceeds we received from our IPO and the concurrent private placement to acquire businesses, products, services, or technologies. The managing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We have filed the exhibits listed on the accompanying Exhibit Index, which is incorporated herein by reference.</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19"/>
          </w:cols>
          <w:pgMar w:left="240" w:top="121"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5340" w:type="dxa"/>
            <w:vAlign w:val="bottom"/>
            <w:gridSpan w:val="5"/>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7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2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4"/>
              </w:rPr>
              <w:t>Filed with SEC</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340" w:type="dxa"/>
            <w:vAlign w:val="bottom"/>
            <w:gridSpan w:val="5"/>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31.1</w:t>
            </w:r>
          </w:p>
        </w:tc>
        <w:tc>
          <w:tcPr>
            <w:tcW w:w="5340" w:type="dxa"/>
            <w:vAlign w:val="bottom"/>
            <w:gridSpan w:val="5"/>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Certification of Principal Executive Officer pursuant to Exchange Act Rules 13a-14(a)</w:t>
              </w:r>
            </w:hyperlink>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w:anchor="page83">
              <w:r>
                <w:rPr>
                  <w:rFonts w:ascii="Arial" w:cs="Arial" w:eastAsia="Arial" w:hAnsi="Arial"/>
                  <w:sz w:val="14"/>
                  <w:szCs w:val="14"/>
                  <w:color w:val="0000FF"/>
                  <w:w w:val="92"/>
                </w:rPr>
                <w:t>and 15d-14(a), as adopted pursuant to Section 302 of the Sarbanes-Oxley Act of 2002.</w:t>
              </w:r>
            </w:hyperlink>
          </w:p>
        </w:tc>
        <w:tc>
          <w:tcPr>
            <w:tcW w:w="2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31.2</w:t>
            </w:r>
          </w:p>
        </w:tc>
        <w:tc>
          <w:tcPr>
            <w:tcW w:w="5340" w:type="dxa"/>
            <w:vAlign w:val="bottom"/>
            <w:gridSpan w:val="5"/>
          </w:tcPr>
          <w:p>
            <w:pPr>
              <w:spacing w:after="0"/>
              <w:rPr>
                <w:rFonts w:ascii="Arial" w:cs="Arial" w:eastAsia="Arial" w:hAnsi="Arial"/>
                <w:sz w:val="14"/>
                <w:szCs w:val="14"/>
                <w:color w:val="0000FF"/>
                <w:w w:val="97"/>
              </w:rPr>
            </w:pPr>
            <w:hyperlink w:anchor="page84">
              <w:r>
                <w:rPr>
                  <w:rFonts w:ascii="Arial" w:cs="Arial" w:eastAsia="Arial" w:hAnsi="Arial"/>
                  <w:sz w:val="14"/>
                  <w:szCs w:val="14"/>
                  <w:color w:val="0000FF"/>
                  <w:w w:val="97"/>
                </w:rPr>
                <w:t>Certification of Principal Financial Officer pursuant to Exchange Act Rules 13a-14(a) and</w:t>
              </w:r>
            </w:hyperlink>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5180" w:type="dxa"/>
            <w:vAlign w:val="bottom"/>
            <w:tcBorders>
              <w:top w:val="single" w:sz="8" w:color="0000FF"/>
            </w:tcBorders>
            <w:gridSpan w:val="4"/>
          </w:tcPr>
          <w:p>
            <w:pPr>
              <w:spacing w:after="0" w:line="129" w:lineRule="exact"/>
              <w:rPr>
                <w:rFonts w:ascii="Arial" w:cs="Arial" w:eastAsia="Arial" w:hAnsi="Arial"/>
                <w:sz w:val="14"/>
                <w:szCs w:val="14"/>
                <w:color w:val="0000FF"/>
              </w:rPr>
            </w:pPr>
            <w:hyperlink w:anchor="page84">
              <w:r>
                <w:rPr>
                  <w:rFonts w:ascii="Arial" w:cs="Arial" w:eastAsia="Arial" w:hAnsi="Arial"/>
                  <w:sz w:val="14"/>
                  <w:szCs w:val="14"/>
                  <w:color w:val="0000FF"/>
                </w:rPr>
                <w:t>15d-14(a), as adopted pursuant to Section 302 of the Sarbanes-Oxley Act of 2002.</w:t>
              </w:r>
            </w:hyperlink>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101.INS</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101.SCH</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101.CAL</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101.DEF</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101.LAB</w:t>
      </w: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101.PRE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rFonts w:ascii="Arial" w:cs="Arial" w:eastAsia="Arial" w:hAnsi="Arial"/>
          <w:sz w:val="13"/>
          <w:szCs w:val="13"/>
          <w:u w:val="single" w:color="auto"/>
          <w:color w:val="0000FF"/>
        </w:rPr>
      </w:pPr>
      <w:hyperlink w:anchor="page85">
        <w:r>
          <w:rPr>
            <w:rFonts w:ascii="Arial" w:cs="Arial" w:eastAsia="Arial" w:hAnsi="Arial"/>
            <w:sz w:val="13"/>
            <w:szCs w:val="13"/>
            <w:u w:val="single" w:color="auto"/>
            <w:color w:val="0000FF"/>
          </w:rPr>
          <w:t>Certifications of Principal Executive Officer and Principal Financial Officer pursuant to</w:t>
        </w:r>
      </w:hyperlink>
    </w:p>
    <w:p>
      <w:pPr>
        <w:spacing w:after="0" w:line="11" w:lineRule="exact"/>
        <w:rPr>
          <w:sz w:val="20"/>
          <w:szCs w:val="20"/>
          <w:color w:val="auto"/>
        </w:rPr>
      </w:pPr>
    </w:p>
    <w:p>
      <w:pPr>
        <w:spacing w:after="0"/>
        <w:rPr>
          <w:rFonts w:ascii="Arial" w:cs="Arial" w:eastAsia="Arial" w:hAnsi="Arial"/>
          <w:sz w:val="12"/>
          <w:szCs w:val="12"/>
          <w:u w:val="single" w:color="auto"/>
          <w:color w:val="0000FF"/>
        </w:rPr>
      </w:pPr>
      <w:hyperlink w:anchor="page85">
        <w:r>
          <w:rPr>
            <w:rFonts w:ascii="Arial" w:cs="Arial" w:eastAsia="Arial" w:hAnsi="Arial"/>
            <w:sz w:val="12"/>
            <w:szCs w:val="12"/>
            <w:u w:val="single" w:color="auto"/>
            <w:color w:val="0000FF"/>
          </w:rPr>
          <w:t>18 U.S.C. Section 1350 as adopted pursuant to Section 906 of the Sarbanes-Oxley Act of</w:t>
        </w:r>
      </w:hyperlink>
    </w:p>
    <w:p>
      <w:pPr>
        <w:spacing w:after="0" w:line="11" w:lineRule="exact"/>
        <w:rPr>
          <w:sz w:val="20"/>
          <w:szCs w:val="20"/>
          <w:color w:val="auto"/>
        </w:rPr>
      </w:pPr>
    </w:p>
    <w:p>
      <w:pPr>
        <w:spacing w:after="0"/>
        <w:rPr>
          <w:rFonts w:ascii="Arial" w:cs="Arial" w:eastAsia="Arial" w:hAnsi="Arial"/>
          <w:sz w:val="14"/>
          <w:szCs w:val="14"/>
          <w:u w:val="single" w:color="auto"/>
          <w:color w:val="0000FF"/>
        </w:rPr>
      </w:pPr>
      <w:hyperlink w:anchor="page85">
        <w:r>
          <w:rPr>
            <w:rFonts w:ascii="Arial" w:cs="Arial" w:eastAsia="Arial" w:hAnsi="Arial"/>
            <w:sz w:val="14"/>
            <w:szCs w:val="14"/>
            <w:u w:val="single" w:color="auto"/>
            <w:color w:val="0000FF"/>
          </w:rPr>
          <w:t>2002.</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177" w:lineRule="exact"/>
        <w:rPr>
          <w:sz w:val="20"/>
          <w:szCs w:val="20"/>
          <w:color w:val="auto"/>
        </w:rPr>
      </w:pPr>
    </w:p>
    <w:p>
      <w:pPr>
        <w:sectPr>
          <w:pgSz w:w="11900" w:h="16838" w:orient="portrait"/>
          <w:cols w:equalWidth="0" w:num="2">
            <w:col w:w="580" w:space="500"/>
            <w:col w:w="10280"/>
          </w:cols>
          <w:pgMar w:left="240" w:top="121" w:right="299" w:bottom="1440" w:gutter="0" w:footer="0" w:header="0"/>
          <w:type w:val="continuous"/>
        </w:sectPr>
      </w:pPr>
    </w:p>
    <w:p>
      <w:pPr>
        <w:ind w:firstLine="8"/>
        <w:spacing w:after="0" w:line="257" w:lineRule="auto"/>
        <w:tabs>
          <w:tab w:leader="none" w:pos="10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121" w:right="29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0" w:type="dxa"/>
            <w:vAlign w:val="bottom"/>
            <w:gridSpan w:val="2"/>
          </w:tcPr>
          <w:p>
            <w:pPr>
              <w:ind w:left="380"/>
              <w:spacing w:after="0"/>
              <w:rPr>
                <w:sz w:val="20"/>
                <w:szCs w:val="20"/>
                <w:color w:val="auto"/>
              </w:rPr>
            </w:pPr>
            <w:r>
              <w:rPr>
                <w:rFonts w:ascii="Arial" w:cs="Arial" w:eastAsia="Arial" w:hAnsi="Arial"/>
                <w:sz w:val="18"/>
                <w:szCs w:val="18"/>
                <w:b w:val="1"/>
                <w:bCs w:val="1"/>
                <w:color w:val="auto"/>
              </w:rPr>
              <w:t>DROPBOX, INC.</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ind w:left="140"/>
              <w:spacing w:after="0"/>
              <w:rPr>
                <w:sz w:val="20"/>
                <w:szCs w:val="20"/>
                <w:color w:val="auto"/>
              </w:rPr>
            </w:pPr>
            <w:r>
              <w:rPr>
                <w:rFonts w:ascii="Arial" w:cs="Arial" w:eastAsia="Arial" w:hAnsi="Arial"/>
                <w:sz w:val="18"/>
                <w:szCs w:val="18"/>
                <w:color w:val="auto"/>
              </w:rPr>
              <w:t>November 9, 2018</w:t>
            </w:r>
          </w:p>
        </w:tc>
        <w:tc>
          <w:tcPr>
            <w:tcW w:w="1360" w:type="dxa"/>
            <w:vAlign w:val="bottom"/>
          </w:tcPr>
          <w:p>
            <w:pPr>
              <w:ind w:left="38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70"/>
        </w:trPr>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6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ind w:left="140"/>
              <w:spacing w:after="0"/>
              <w:rPr>
                <w:sz w:val="20"/>
                <w:szCs w:val="20"/>
                <w:color w:val="auto"/>
              </w:rPr>
            </w:pPr>
            <w:r>
              <w:rPr>
                <w:rFonts w:ascii="Arial" w:cs="Arial" w:eastAsia="Arial" w:hAnsi="Arial"/>
                <w:sz w:val="18"/>
                <w:szCs w:val="18"/>
                <w:color w:val="auto"/>
              </w:rPr>
              <w:t>November 9, 2018</w:t>
            </w:r>
          </w:p>
        </w:tc>
        <w:tc>
          <w:tcPr>
            <w:tcW w:w="1360" w:type="dxa"/>
            <w:vAlign w:val="bottom"/>
          </w:tcPr>
          <w:p>
            <w:pPr>
              <w:ind w:left="38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70"/>
        </w:trPr>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6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62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ind w:left="140"/>
              <w:spacing w:after="0"/>
              <w:rPr>
                <w:sz w:val="20"/>
                <w:szCs w:val="20"/>
                <w:color w:val="auto"/>
              </w:rPr>
            </w:pPr>
            <w:r>
              <w:rPr>
                <w:rFonts w:ascii="Arial" w:cs="Arial" w:eastAsia="Arial" w:hAnsi="Arial"/>
                <w:sz w:val="18"/>
                <w:szCs w:val="18"/>
                <w:color w:val="auto"/>
              </w:rPr>
              <w:t>November 9, 2018</w:t>
            </w:r>
          </w:p>
        </w:tc>
        <w:tc>
          <w:tcPr>
            <w:tcW w:w="1360" w:type="dxa"/>
            <w:vAlign w:val="bottom"/>
          </w:tcPr>
          <w:p>
            <w:pPr>
              <w:ind w:left="38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Timothy J. Regan</w:t>
            </w:r>
          </w:p>
        </w:tc>
      </w:tr>
      <w:tr>
        <w:trPr>
          <w:trHeight w:val="27"/>
        </w:trPr>
        <w:tc>
          <w:tcPr>
            <w:tcW w:w="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Timothy J. Regan</w:t>
            </w:r>
          </w:p>
        </w:tc>
      </w:tr>
    </w:tbl>
    <w:p>
      <w:pPr>
        <w:spacing w:after="0" w:line="40"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Chief Accounting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Andrew W. Houston</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Andrew W. Houston</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Ajay V. Vashee,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ind w:left="20"/>
              <w:spacing w:after="0"/>
              <w:rPr>
                <w:sz w:val="20"/>
                <w:szCs w:val="20"/>
                <w:color w:val="auto"/>
              </w:rPr>
            </w:pPr>
            <w:r>
              <w:rPr>
                <w:rFonts w:ascii="Arial" w:cs="Arial" w:eastAsia="Arial" w:hAnsi="Arial"/>
                <w:sz w:val="18"/>
                <w:szCs w:val="18"/>
                <w:color w:val="auto"/>
              </w:rPr>
              <w:t>/s/ Ajay V. Vashee</w:t>
            </w:r>
          </w:p>
        </w:tc>
      </w:tr>
      <w:tr>
        <w:trPr>
          <w:trHeight w:val="27"/>
        </w:trPr>
        <w:tc>
          <w:tcPr>
            <w:tcW w:w="7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Ajay V. Vashee</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0"/>
          <w:szCs w:val="20"/>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September 30, 2018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November 9, 2018</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Andrew W. Houston</w:t>
            </w:r>
          </w:p>
        </w:tc>
      </w:tr>
      <w:tr>
        <w:trPr>
          <w:trHeight w:val="261"/>
        </w:trPr>
        <w:tc>
          <w:tcPr>
            <w:tcW w:w="1160" w:type="dxa"/>
            <w:vAlign w:val="bottom"/>
            <w:shd w:val="clear" w:color="auto" w:fill="FEFEFE"/>
          </w:tcPr>
          <w:p>
            <w:pPr>
              <w:spacing w:after="0"/>
              <w:rPr>
                <w:sz w:val="22"/>
                <w:szCs w:val="22"/>
                <w:color w:val="auto"/>
              </w:rPr>
            </w:pPr>
          </w:p>
        </w:tc>
        <w:tc>
          <w:tcPr>
            <w:tcW w:w="4920" w:type="dxa"/>
            <w:vAlign w:val="bottom"/>
            <w:shd w:val="clear" w:color="auto" w:fill="FEFEFE"/>
          </w:tcPr>
          <w:p>
            <w:pPr>
              <w:spacing w:after="0"/>
              <w:rPr>
                <w:sz w:val="22"/>
                <w:szCs w:val="22"/>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Andrew W. Houston</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w:t>
            </w:r>
          </w:p>
        </w:tc>
      </w:tr>
      <w:tr>
        <w:trPr>
          <w:trHeight w:val="297"/>
        </w:trPr>
        <w:tc>
          <w:tcPr>
            <w:tcW w:w="1160" w:type="dxa"/>
            <w:vAlign w:val="bottom"/>
            <w:shd w:val="clear" w:color="auto" w:fill="FEFEFE"/>
          </w:tcPr>
          <w:p>
            <w:pPr>
              <w:spacing w:after="0"/>
              <w:rPr>
                <w:sz w:val="24"/>
                <w:szCs w:val="24"/>
                <w:color w:val="auto"/>
              </w:rPr>
            </w:pPr>
          </w:p>
        </w:tc>
        <w:tc>
          <w:tcPr>
            <w:tcW w:w="4920" w:type="dxa"/>
            <w:vAlign w:val="bottom"/>
            <w:shd w:val="clear" w:color="auto" w:fill="FEFEFE"/>
          </w:tcPr>
          <w:p>
            <w:pPr>
              <w:spacing w:after="0"/>
              <w:rPr>
                <w:sz w:val="24"/>
                <w:szCs w:val="24"/>
                <w:color w:val="auto"/>
              </w:rPr>
            </w:pPr>
          </w:p>
        </w:tc>
        <w:tc>
          <w:tcPr>
            <w:tcW w:w="900" w:type="dxa"/>
            <w:vAlign w:val="bottom"/>
            <w:shd w:val="clear" w:color="auto" w:fill="FEFEFE"/>
          </w:tcPr>
          <w:p>
            <w:pPr>
              <w:spacing w:after="0"/>
              <w:rPr>
                <w:sz w:val="24"/>
                <w:szCs w:val="24"/>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spacing w:after="0"/>
              <w:rPr>
                <w:sz w:val="23"/>
                <w:szCs w:val="23"/>
                <w:color w:val="auto"/>
              </w:rPr>
            </w:pPr>
          </w:p>
        </w:tc>
      </w:tr>
    </w:tbl>
    <w:p>
      <w:pPr>
        <w:spacing w:after="0" w:line="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Ajay V. Vashee, certify, pursuant to 18 U.S.C. Section 1350, as adopted pursuant to Section 906 of the Sarbanes-Oxley Act of 2002, that the Quarterly Report on Form 10-Q of Dropbox, Inc. for the fiscal quarter ended September 30, 2018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160" w:type="dxa"/>
            <w:vAlign w:val="bottom"/>
            <w:tcBorders>
              <w:bottom w:val="single" w:sz="8" w:color="FEFEFE"/>
            </w:tcBorders>
            <w:shd w:val="clear" w:color="auto" w:fill="FEFEFE"/>
          </w:tcPr>
          <w:p>
            <w:pPr>
              <w:ind w:left="40"/>
              <w:spacing w:after="0"/>
              <w:rPr>
                <w:sz w:val="20"/>
                <w:szCs w:val="20"/>
                <w:color w:val="auto"/>
              </w:rPr>
            </w:pPr>
            <w:r>
              <w:rPr>
                <w:rFonts w:ascii="Arial" w:cs="Arial" w:eastAsia="Arial" w:hAnsi="Arial"/>
                <w:sz w:val="20"/>
                <w:szCs w:val="20"/>
                <w:color w:val="auto"/>
              </w:rPr>
              <w:t>Date:</w:t>
            </w:r>
          </w:p>
        </w:tc>
        <w:tc>
          <w:tcPr>
            <w:tcW w:w="49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November 9, 2018</w:t>
            </w:r>
          </w:p>
        </w:tc>
        <w:tc>
          <w:tcPr>
            <w:tcW w:w="9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440" w:type="dxa"/>
            <w:vAlign w:val="bottom"/>
            <w:tcBorders>
              <w:bottom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 Ajay V. Vashee</w:t>
            </w:r>
          </w:p>
        </w:tc>
      </w:tr>
      <w:tr>
        <w:trPr>
          <w:trHeight w:val="250"/>
        </w:trPr>
        <w:tc>
          <w:tcPr>
            <w:tcW w:w="1160" w:type="dxa"/>
            <w:vAlign w:val="bottom"/>
            <w:shd w:val="clear" w:color="auto" w:fill="FEFEFE"/>
          </w:tcPr>
          <w:p>
            <w:pPr>
              <w:spacing w:after="0"/>
              <w:rPr>
                <w:sz w:val="21"/>
                <w:szCs w:val="21"/>
                <w:color w:val="auto"/>
              </w:rPr>
            </w:pPr>
          </w:p>
        </w:tc>
        <w:tc>
          <w:tcPr>
            <w:tcW w:w="4920" w:type="dxa"/>
            <w:vAlign w:val="bottom"/>
            <w:shd w:val="clear" w:color="auto" w:fill="FEFEFE"/>
          </w:tcPr>
          <w:p>
            <w:pPr>
              <w:spacing w:after="0"/>
              <w:rPr>
                <w:sz w:val="21"/>
                <w:szCs w:val="21"/>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Ajay V. Vashee</w:t>
            </w:r>
          </w:p>
        </w:tc>
      </w:tr>
      <w:tr>
        <w:trPr>
          <w:trHeight w:val="267"/>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270"/>
        </w:trPr>
        <w:tc>
          <w:tcPr>
            <w:tcW w:w="1160" w:type="dxa"/>
            <w:vAlign w:val="bottom"/>
            <w:shd w:val="clear" w:color="auto" w:fill="FEFEFE"/>
          </w:tcPr>
          <w:p>
            <w:pPr>
              <w:spacing w:after="0"/>
              <w:rPr>
                <w:sz w:val="23"/>
                <w:szCs w:val="23"/>
                <w:color w:val="auto"/>
              </w:rPr>
            </w:pPr>
          </w:p>
        </w:tc>
        <w:tc>
          <w:tcPr>
            <w:tcW w:w="4920" w:type="dxa"/>
            <w:vAlign w:val="bottom"/>
            <w:shd w:val="clear" w:color="auto" w:fill="FEFEFE"/>
          </w:tcPr>
          <w:p>
            <w:pPr>
              <w:spacing w:after="0"/>
              <w:rPr>
                <w:sz w:val="23"/>
                <w:szCs w:val="23"/>
                <w:color w:val="auto"/>
              </w:rPr>
            </w:pPr>
          </w:p>
        </w:tc>
        <w:tc>
          <w:tcPr>
            <w:tcW w:w="900" w:type="dxa"/>
            <w:vAlign w:val="bottom"/>
            <w:shd w:val="clear" w:color="auto" w:fill="FEFEFE"/>
          </w:tcPr>
          <w:p>
            <w:pPr>
              <w:spacing w:after="0"/>
              <w:rPr>
                <w:sz w:val="23"/>
                <w:szCs w:val="23"/>
                <w:color w:val="auto"/>
              </w:rPr>
            </w:pPr>
          </w:p>
        </w:tc>
        <w:tc>
          <w:tcPr>
            <w:tcW w:w="444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23"/>
        </w:trPr>
        <w:tc>
          <w:tcPr>
            <w:tcW w:w="1160" w:type="dxa"/>
            <w:vAlign w:val="bottom"/>
            <w:shd w:val="clear" w:color="auto" w:fill="FEFEFE"/>
          </w:tcPr>
          <w:p>
            <w:pPr>
              <w:spacing w:after="0"/>
              <w:rPr>
                <w:sz w:val="2"/>
                <w:szCs w:val="2"/>
                <w:color w:val="auto"/>
              </w:rPr>
            </w:pPr>
          </w:p>
        </w:tc>
        <w:tc>
          <w:tcPr>
            <w:tcW w:w="4920" w:type="dxa"/>
            <w:vAlign w:val="bottom"/>
            <w:shd w:val="clear" w:color="auto" w:fill="FEFEFE"/>
          </w:tcPr>
          <w:p>
            <w:pPr>
              <w:spacing w:after="0"/>
              <w:rPr>
                <w:sz w:val="2"/>
                <w:szCs w:val="2"/>
                <w:color w:val="auto"/>
              </w:rPr>
            </w:pPr>
          </w:p>
        </w:tc>
        <w:tc>
          <w:tcPr>
            <w:tcW w:w="900" w:type="dxa"/>
            <w:vAlign w:val="bottom"/>
            <w:shd w:val="clear" w:color="auto" w:fill="FEFEFE"/>
          </w:tcPr>
          <w:p>
            <w:pPr>
              <w:spacing w:after="0"/>
              <w:rPr>
                <w:sz w:val="2"/>
                <w:szCs w:val="2"/>
                <w:color w:val="auto"/>
              </w:rPr>
            </w:pPr>
          </w:p>
        </w:tc>
        <w:tc>
          <w:tcPr>
            <w:tcW w:w="4440" w:type="dxa"/>
            <w:vAlign w:val="bottom"/>
            <w:shd w:val="clear" w:color="auto" w:fill="FEFEFE"/>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2"/>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2019-12-28T17:48:11Z</dcterms:created>
  <dcterms:modified xsi:type="dcterms:W3CDTF">2019-12-28T17:48:11Z</dcterms:modified>
</cp:coreProperties>
</file>