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232092.xml.htm"/>
      <w:bookmarkStart w:id="1" w:name="kswkform4_178423209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Dasdan Ali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HAWTHORNE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DROPBOX,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DBX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18"/>
        <w:gridCol w:w="906"/>
        <w:gridCol w:w="775"/>
        <w:gridCol w:w="602"/>
        <w:gridCol w:w="351"/>
        <w:gridCol w:w="937"/>
        <w:gridCol w:w="459"/>
        <w:gridCol w:w="622"/>
        <w:gridCol w:w="1204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12,972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</w:t>
            </w:r>
            <w:r>
              <w:rPr/>
              <w:t xml:space="preserve"> </w:t>
            </w:r>
          </w:p>
        </w:tc>
        <w:tc>
          <w:tcPr>
            <w:tcW w:w="12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501,639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sold pursuant to a Rule 10b5-1 trading plan adopted by the Reporting Person on May 12,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Certain of these securities are restricted stock units. Each restricted stock unit represents the Reporting Person's right to receive one share of Class A Common Stock, subject to the applicable vesting schedule through November 15, 2030. In the event the Reporting Person ceases to be a Service Provider, the unvested restricted stock awards and restricted stock units will be cancelled by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Cara Angelmar,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63980" TargetMode="External"/><Relationship Id="rId5" Type="http://schemas.openxmlformats.org/officeDocument/2006/relationships/hyperlink" Target="http://www.sec.gov/cgi-bin/browse-edgar?action=getcompany&amp;CIK=00014676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646</Words>
  <Characters>3496</Characters>
  <CharactersWithSpaces>4082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