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001-38434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26-0138832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1800 Owens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94158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930-7766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Layout w:type="fixed"/>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August 4, 2025, there were 193,414,444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67,279 shares of Class A common stock subject to restricted stock awards that were granted to other Dropbox executives and vest upon the satisfaction of a service condition and as applicable, achievement of certain stock price goals), 76,446,642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prevent security breaches and our liability or other potential legal, regulatory, or reputational consequences of any unauthorized access to our data or our customer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expectations regarding general economic, political, and market trends and their respective impacts on our business;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expectations regarding the potential impacts of permanent global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retain, integrate, and manage key and other highly qualified personnel, including in light of our workforce reductions and as a result of our Virtual First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Acquisitions of companies and assets.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95"/>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rate of growth has declined and we have experienced negative growth in past periods. If we do not successfully execute our plan for future growth, our growth rate may continue to decline and we may experience negative growth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operate with a Virtual First workforce and the long-term impact of this model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Servicing our indebtedness under our term loan facility, 2026 Notes and 2028 Notes (as defined below) may require a significant amount of cash, and we may not have sufficient cash flow or the ability to raise the funds necessary to satisfy our obligations under the term loan facility, 2026 Notes, or 2028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0"/>
        <w:gridCol w:w="253"/>
        <w:gridCol w:w="2965"/>
        <w:gridCol w:w="2965"/>
        <w:gridCol w:w="2971"/>
        <w:gridCol w:w="149"/>
        <w:gridCol w:w="149"/>
        <w:gridCol w:w="217"/>
      </w:tblGrid>
      <w:tr>
        <w:trPr/>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a8e3b473a84aad82cffd4d2401e053_13">
              <w:r>
                <w:rPr>
                  <w:rStyle w:val="InternetLink"/>
                  <w:rFonts w:ascii="Times New Roman;serif" w:hAnsi="Times New Roman;serif"/>
                  <w:b w:val="false"/>
                  <w:color w:val="0000FF"/>
                  <w:sz w:val="18"/>
                  <w:u w:val="single"/>
                </w:rPr>
                <w:t>PART I. 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9">
              <w:r>
                <w:rPr>
                  <w:rStyle w:val="InternetLink"/>
                  <w:rFonts w:ascii="Times New Roman;serif" w:hAnsi="Times New Roman;serif"/>
                  <w:b w:val="false"/>
                  <w:color w:val="0000FF"/>
                  <w:sz w:val="18"/>
                  <w:u w:val="single"/>
                </w:rPr>
                <w:t>Condensed Consolidated 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6">
              <w:r>
                <w:rPr>
                  <w:rStyle w:val="InternetLink"/>
                  <w:rFonts w:ascii="Times New Roman;serif" w:hAnsi="Times New Roman;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9">
              <w:r>
                <w:rPr>
                  <w:rStyle w:val="InternetLink"/>
                  <w:rFonts w:ascii="Times New Roman;serif" w:hAnsi="Times New Roman;serif"/>
                  <w:b w:val="false"/>
                  <w:color w:val="000080"/>
                  <w:sz w:val="18"/>
                  <w:u w:val="single"/>
                </w:rPr>
                <w:t xml:space="preserve">Condensed Consolidated Balance Sheets as of </w:t>
              </w:r>
            </w:hyperlink>
            <w:hyperlink w:anchor="i77a8e3b473a84aad82cffd4d2401e053_19">
              <w:r>
                <w:rPr>
                  <w:rStyle w:val="InternetLink"/>
                  <w:rFonts w:ascii="Times New Roman;serif" w:hAnsi="Times New Roman;serif"/>
                  <w:b w:val="false"/>
                  <w:color w:val="000080"/>
                  <w:sz w:val="18"/>
                  <w:u w:val="single"/>
                </w:rPr>
                <w:t>June</w:t>
              </w:r>
            </w:hyperlink>
            <w:hyperlink w:anchor="i77a8e3b473a84aad82cffd4d2401e053_19">
              <w:r>
                <w:rPr>
                  <w:rStyle w:val="InternetLink"/>
                  <w:rFonts w:ascii="Times New Roman;serif" w:hAnsi="Times New Roman;serif"/>
                  <w:b w:val="false"/>
                  <w:color w:val="000080"/>
                  <w:sz w:val="18"/>
                  <w:u w:val="single"/>
                </w:rPr>
                <w:t xml:space="preserve"> 3</w:t>
              </w:r>
            </w:hyperlink>
            <w:hyperlink w:anchor="i77a8e3b473a84aad82cffd4d2401e053_19">
              <w:r>
                <w:rPr>
                  <w:rStyle w:val="InternetLink"/>
                  <w:rFonts w:ascii="Times New Roman;serif" w:hAnsi="Times New Roman;serif"/>
                  <w:b w:val="false"/>
                  <w:color w:val="000080"/>
                  <w:sz w:val="18"/>
                  <w:u w:val="single"/>
                </w:rPr>
                <w:t>0</w:t>
              </w:r>
            </w:hyperlink>
            <w:hyperlink w:anchor="i77a8e3b473a84aad82cffd4d2401e053_19">
              <w:r>
                <w:rPr>
                  <w:rStyle w:val="InternetLink"/>
                  <w:rFonts w:ascii="Times New Roman;serif" w:hAnsi="Times New Roman;serif"/>
                  <w:b w:val="false"/>
                  <w:color w:val="000080"/>
                  <w:sz w:val="18"/>
                  <w:u w:val="single"/>
                </w:rPr>
                <w:t>, 2025 and December 31,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9">
              <w:r>
                <w:rPr>
                  <w:rStyle w:val="InternetLink"/>
                  <w:rFonts w:ascii="Times New Roman;serif" w:hAnsi="Times New Roman;serif"/>
                  <w:b w:val="false"/>
                  <w:color w:val="0000FF"/>
                  <w:sz w:val="18"/>
                  <w:u w:val="single"/>
                </w:rPr>
                <w:t>6</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22">
              <w:r>
                <w:rPr>
                  <w:rStyle w:val="InternetLink"/>
                  <w:rFonts w:ascii="Times New Roman;serif" w:hAnsi="Times New Roman;serif"/>
                  <w:b w:val="false"/>
                  <w:color w:val="000080"/>
                  <w:sz w:val="18"/>
                  <w:u w:val="single"/>
                </w:rPr>
                <w:t xml:space="preserve">Condensed Consolidated Statements of Operations for the Three </w:t>
              </w:r>
            </w:hyperlink>
            <w:hyperlink w:anchor="i77a8e3b473a84aad82cffd4d2401e053_22">
              <w:r>
                <w:rPr>
                  <w:rStyle w:val="InternetLink"/>
                  <w:rFonts w:ascii="Times New Roman;serif" w:hAnsi="Times New Roman;serif"/>
                  <w:b w:val="false"/>
                  <w:color w:val="000080"/>
                  <w:sz w:val="18"/>
                  <w:u w:val="single"/>
                </w:rPr>
                <w:t xml:space="preserve">and Six </w:t>
              </w:r>
            </w:hyperlink>
            <w:hyperlink w:anchor="i77a8e3b473a84aad82cffd4d2401e053_22">
              <w:r>
                <w:rPr>
                  <w:rStyle w:val="InternetLink"/>
                  <w:rFonts w:ascii="Times New Roman;serif" w:hAnsi="Times New Roman;serif"/>
                  <w:b w:val="false"/>
                  <w:color w:val="000080"/>
                  <w:sz w:val="18"/>
                  <w:u w:val="single"/>
                </w:rPr>
                <w:t xml:space="preserve">Months Ended </w:t>
              </w:r>
            </w:hyperlink>
            <w:hyperlink w:anchor="i77a8e3b473a84aad82cffd4d2401e053_22">
              <w:r>
                <w:rPr>
                  <w:rStyle w:val="InternetLink"/>
                  <w:rFonts w:ascii="Times New Roman;serif" w:hAnsi="Times New Roman;serif"/>
                  <w:b w:val="false"/>
                  <w:color w:val="000080"/>
                  <w:sz w:val="18"/>
                  <w:u w:val="single"/>
                </w:rPr>
                <w:t>June</w:t>
              </w:r>
            </w:hyperlink>
            <w:hyperlink w:anchor="i77a8e3b473a84aad82cffd4d2401e053_22">
              <w:r>
                <w:rPr>
                  <w:rStyle w:val="InternetLink"/>
                  <w:rFonts w:ascii="Times New Roman;serif" w:hAnsi="Times New Roman;serif"/>
                  <w:b w:val="false"/>
                  <w:color w:val="000080"/>
                  <w:sz w:val="18"/>
                  <w:u w:val="single"/>
                </w:rPr>
                <w:t xml:space="preserve"> 3</w:t>
              </w:r>
            </w:hyperlink>
            <w:hyperlink w:anchor="i77a8e3b473a84aad82cffd4d2401e053_22">
              <w:r>
                <w:rPr>
                  <w:rStyle w:val="InternetLink"/>
                  <w:rFonts w:ascii="Times New Roman;serif" w:hAnsi="Times New Roman;serif"/>
                  <w:b w:val="false"/>
                  <w:color w:val="000080"/>
                  <w:sz w:val="18"/>
                  <w:u w:val="single"/>
                </w:rPr>
                <w:t>0</w:t>
              </w:r>
            </w:hyperlink>
            <w:hyperlink w:anchor="i77a8e3b473a84aad82cffd4d2401e053_22">
              <w:r>
                <w:rPr>
                  <w:rStyle w:val="InternetLink"/>
                  <w:rFonts w:ascii="Times New Roman;serif" w:hAnsi="Times New Roman;serif"/>
                  <w:b w:val="false"/>
                  <w:color w:val="000080"/>
                  <w:sz w:val="18"/>
                  <w:u w:val="single"/>
                </w:rPr>
                <w:t>,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22">
              <w:r>
                <w:rPr>
                  <w:rStyle w:val="InternetLink"/>
                  <w:rFonts w:ascii="Times New Roman;serif" w:hAnsi="Times New Roman;serif"/>
                  <w:b w:val="false"/>
                  <w:color w:val="0000FF"/>
                  <w:sz w:val="18"/>
                  <w:u w:val="single"/>
                </w:rPr>
                <w:t>7</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28">
              <w:r>
                <w:rPr>
                  <w:rStyle w:val="InternetLink"/>
                  <w:rFonts w:ascii="Times New Roman;serif" w:hAnsi="Times New Roman;serif"/>
                  <w:b w:val="false"/>
                  <w:color w:val="000080"/>
                  <w:sz w:val="18"/>
                  <w:u w:val="single"/>
                </w:rPr>
                <w:t xml:space="preserve">Condensed Consolidated Statements of Comprehensive Income for the Three </w:t>
              </w:r>
            </w:hyperlink>
            <w:hyperlink w:anchor="i77a8e3b473a84aad82cffd4d2401e053_28">
              <w:r>
                <w:rPr>
                  <w:rStyle w:val="InternetLink"/>
                  <w:rFonts w:ascii="Times New Roman;serif" w:hAnsi="Times New Roman;serif"/>
                  <w:b w:val="false"/>
                  <w:color w:val="000080"/>
                  <w:sz w:val="18"/>
                  <w:u w:val="single"/>
                </w:rPr>
                <w:t>and S</w:t>
              </w:r>
            </w:hyperlink>
            <w:hyperlink w:anchor="i77a8e3b473a84aad82cffd4d2401e053_28">
              <w:r>
                <w:rPr>
                  <w:rStyle w:val="InternetLink"/>
                  <w:rFonts w:ascii="Times New Roman;serif" w:hAnsi="Times New Roman;serif"/>
                  <w:b w:val="false"/>
                  <w:color w:val="000080"/>
                  <w:sz w:val="18"/>
                  <w:u w:val="single"/>
                </w:rPr>
                <w:t>i</w:t>
              </w:r>
            </w:hyperlink>
            <w:hyperlink w:anchor="i77a8e3b473a84aad82cffd4d2401e053_28">
              <w:r>
                <w:rPr>
                  <w:rStyle w:val="InternetLink"/>
                  <w:rFonts w:ascii="Times New Roman;serif" w:hAnsi="Times New Roman;serif"/>
                  <w:b w:val="false"/>
                  <w:color w:val="000080"/>
                  <w:sz w:val="18"/>
                  <w:u w:val="single"/>
                </w:rPr>
                <w:t xml:space="preserve">x </w:t>
              </w:r>
            </w:hyperlink>
            <w:hyperlink w:anchor="i77a8e3b473a84aad82cffd4d2401e053_28">
              <w:r>
                <w:rPr>
                  <w:rStyle w:val="InternetLink"/>
                  <w:rFonts w:ascii="Times New Roman;serif" w:hAnsi="Times New Roman;serif"/>
                  <w:b w:val="false"/>
                  <w:color w:val="000080"/>
                  <w:sz w:val="18"/>
                  <w:u w:val="single"/>
                </w:rPr>
                <w:t xml:space="preserve">Months Ended </w:t>
              </w:r>
            </w:hyperlink>
            <w:hyperlink w:anchor="i77a8e3b473a84aad82cffd4d2401e053_28">
              <w:r>
                <w:rPr>
                  <w:rStyle w:val="InternetLink"/>
                  <w:rFonts w:ascii="Times New Roman;serif" w:hAnsi="Times New Roman;serif"/>
                  <w:b w:val="false"/>
                  <w:color w:val="000080"/>
                  <w:sz w:val="18"/>
                  <w:u w:val="single"/>
                </w:rPr>
                <w:t>June</w:t>
              </w:r>
            </w:hyperlink>
            <w:hyperlink w:anchor="i77a8e3b473a84aad82cffd4d2401e053_28">
              <w:r>
                <w:rPr>
                  <w:rStyle w:val="InternetLink"/>
                  <w:rFonts w:ascii="Times New Roman;serif" w:hAnsi="Times New Roman;serif"/>
                  <w:b w:val="false"/>
                  <w:color w:val="000080"/>
                  <w:sz w:val="18"/>
                  <w:u w:val="single"/>
                </w:rPr>
                <w:t xml:space="preserve"> 3</w:t>
              </w:r>
            </w:hyperlink>
            <w:hyperlink w:anchor="i77a8e3b473a84aad82cffd4d2401e053_28">
              <w:r>
                <w:rPr>
                  <w:rStyle w:val="InternetLink"/>
                  <w:rFonts w:ascii="Times New Roman;serif" w:hAnsi="Times New Roman;serif"/>
                  <w:b w:val="false"/>
                  <w:color w:val="000080"/>
                  <w:sz w:val="18"/>
                  <w:u w:val="single"/>
                </w:rPr>
                <w:t>0</w:t>
              </w:r>
            </w:hyperlink>
            <w:hyperlink w:anchor="i77a8e3b473a84aad82cffd4d2401e053_28">
              <w:r>
                <w:rPr>
                  <w:rStyle w:val="InternetLink"/>
                  <w:rFonts w:ascii="Times New Roman;serif" w:hAnsi="Times New Roman;serif"/>
                  <w:b w:val="false"/>
                  <w:color w:val="000080"/>
                  <w:sz w:val="18"/>
                  <w:u w:val="single"/>
                </w:rPr>
                <w:t>,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28">
              <w:r>
                <w:rPr>
                  <w:rStyle w:val="InternetLink"/>
                  <w:rFonts w:ascii="Times New Roman;serif" w:hAnsi="Times New Roman;serif"/>
                  <w:b w:val="false"/>
                  <w:color w:val="0000FF"/>
                  <w:sz w:val="18"/>
                  <w:u w:val="single"/>
                </w:rPr>
                <w:t>8</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31">
              <w:r>
                <w:rPr>
                  <w:rStyle w:val="InternetLink"/>
                  <w:rFonts w:ascii="Times New Roman;serif" w:hAnsi="Times New Roman;serif"/>
                  <w:b w:val="false"/>
                  <w:color w:val="000080"/>
                  <w:sz w:val="18"/>
                  <w:u w:val="single"/>
                </w:rPr>
                <w:t xml:space="preserve">Condensed Consolidated Statements of Stockholders' Deficit for the Three </w:t>
              </w:r>
            </w:hyperlink>
            <w:hyperlink w:anchor="i77a8e3b473a84aad82cffd4d2401e053_31">
              <w:r>
                <w:rPr>
                  <w:rStyle w:val="InternetLink"/>
                  <w:rFonts w:ascii="Times New Roman;serif" w:hAnsi="Times New Roman;serif"/>
                  <w:b w:val="false"/>
                  <w:color w:val="000080"/>
                  <w:sz w:val="18"/>
                  <w:u w:val="single"/>
                </w:rPr>
                <w:t xml:space="preserve">and Six </w:t>
              </w:r>
            </w:hyperlink>
            <w:hyperlink w:anchor="i77a8e3b473a84aad82cffd4d2401e053_31">
              <w:r>
                <w:rPr>
                  <w:rStyle w:val="InternetLink"/>
                  <w:rFonts w:ascii="Times New Roman;serif" w:hAnsi="Times New Roman;serif"/>
                  <w:b w:val="false"/>
                  <w:color w:val="000080"/>
                  <w:sz w:val="18"/>
                  <w:u w:val="single"/>
                </w:rPr>
                <w:t xml:space="preserve">Months Ended </w:t>
              </w:r>
            </w:hyperlink>
            <w:hyperlink w:anchor="i77a8e3b473a84aad82cffd4d2401e053_31">
              <w:r>
                <w:rPr>
                  <w:rStyle w:val="InternetLink"/>
                  <w:rFonts w:ascii="Times New Roman;serif" w:hAnsi="Times New Roman;serif"/>
                  <w:b w:val="false"/>
                  <w:color w:val="000080"/>
                  <w:sz w:val="18"/>
                  <w:u w:val="single"/>
                </w:rPr>
                <w:t>June</w:t>
              </w:r>
            </w:hyperlink>
            <w:hyperlink w:anchor="i77a8e3b473a84aad82cffd4d2401e053_31">
              <w:r>
                <w:rPr>
                  <w:rStyle w:val="InternetLink"/>
                  <w:rFonts w:ascii="Times New Roman;serif" w:hAnsi="Times New Roman;serif"/>
                  <w:b w:val="false"/>
                  <w:color w:val="000080"/>
                  <w:sz w:val="18"/>
                  <w:u w:val="single"/>
                </w:rPr>
                <w:t xml:space="preserve"> 3</w:t>
              </w:r>
            </w:hyperlink>
            <w:hyperlink w:anchor="i77a8e3b473a84aad82cffd4d2401e053_31">
              <w:r>
                <w:rPr>
                  <w:rStyle w:val="InternetLink"/>
                  <w:rFonts w:ascii="Times New Roman;serif" w:hAnsi="Times New Roman;serif"/>
                  <w:b w:val="false"/>
                  <w:color w:val="000080"/>
                  <w:sz w:val="18"/>
                  <w:u w:val="single"/>
                </w:rPr>
                <w:t>0</w:t>
              </w:r>
            </w:hyperlink>
            <w:hyperlink w:anchor="i77a8e3b473a84aad82cffd4d2401e053_31">
              <w:r>
                <w:rPr>
                  <w:rStyle w:val="InternetLink"/>
                  <w:rFonts w:ascii="Times New Roman;serif" w:hAnsi="Times New Roman;serif"/>
                  <w:b w:val="false"/>
                  <w:color w:val="000080"/>
                  <w:sz w:val="18"/>
                  <w:u w:val="single"/>
                </w:rPr>
                <w:t>,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31">
              <w:r>
                <w:rPr>
                  <w:rStyle w:val="InternetLink"/>
                  <w:rFonts w:ascii="Times New Roman;serif" w:hAnsi="Times New Roman;serif"/>
                  <w:b w:val="false"/>
                  <w:color w:val="0000FF"/>
                  <w:sz w:val="18"/>
                  <w:u w:val="single"/>
                </w:rPr>
                <w:t>9</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34">
              <w:r>
                <w:rPr>
                  <w:rStyle w:val="InternetLink"/>
                  <w:rFonts w:ascii="Times New Roman;serif" w:hAnsi="Times New Roman;serif"/>
                  <w:b w:val="false"/>
                  <w:color w:val="000080"/>
                  <w:sz w:val="18"/>
                  <w:u w:val="single"/>
                </w:rPr>
                <w:t xml:space="preserve">Condensed Consolidated Statements of Cash Flows for the </w:t>
              </w:r>
            </w:hyperlink>
            <w:hyperlink w:anchor="i77a8e3b473a84aad82cffd4d2401e053_34">
              <w:r>
                <w:rPr>
                  <w:rStyle w:val="InternetLink"/>
                  <w:rFonts w:ascii="Times New Roman;serif" w:hAnsi="Times New Roman;serif"/>
                  <w:b w:val="false"/>
                  <w:color w:val="000080"/>
                  <w:sz w:val="18"/>
                  <w:u w:val="single"/>
                </w:rPr>
                <w:t>Si</w:t>
              </w:r>
            </w:hyperlink>
            <w:hyperlink w:anchor="i77a8e3b473a84aad82cffd4d2401e053_34">
              <w:r>
                <w:rPr>
                  <w:rStyle w:val="InternetLink"/>
                  <w:rFonts w:ascii="Times New Roman;serif" w:hAnsi="Times New Roman;serif"/>
                  <w:b w:val="false"/>
                  <w:color w:val="000080"/>
                  <w:sz w:val="18"/>
                  <w:u w:val="single"/>
                </w:rPr>
                <w:t>x</w:t>
              </w:r>
            </w:hyperlink>
            <w:hyperlink w:anchor="i77a8e3b473a84aad82cffd4d2401e053_34">
              <w:r>
                <w:rPr>
                  <w:rStyle w:val="InternetLink"/>
                  <w:rFonts w:ascii="Times New Roman;serif" w:hAnsi="Times New Roman;serif"/>
                  <w:b w:val="false"/>
                  <w:color w:val="000080"/>
                  <w:sz w:val="18"/>
                  <w:u w:val="single"/>
                </w:rPr>
                <w:t xml:space="preserve"> Months Ended </w:t>
              </w:r>
            </w:hyperlink>
            <w:hyperlink w:anchor="i77a8e3b473a84aad82cffd4d2401e053_34">
              <w:r>
                <w:rPr>
                  <w:rStyle w:val="InternetLink"/>
                  <w:rFonts w:ascii="Times New Roman;serif" w:hAnsi="Times New Roman;serif"/>
                  <w:b w:val="false"/>
                  <w:color w:val="000080"/>
                  <w:sz w:val="18"/>
                  <w:u w:val="single"/>
                </w:rPr>
                <w:t>June</w:t>
              </w:r>
            </w:hyperlink>
            <w:hyperlink w:anchor="i77a8e3b473a84aad82cffd4d2401e053_34">
              <w:r>
                <w:rPr>
                  <w:rStyle w:val="InternetLink"/>
                  <w:rFonts w:ascii="Times New Roman;serif" w:hAnsi="Times New Roman;serif"/>
                  <w:b w:val="false"/>
                  <w:color w:val="000080"/>
                  <w:sz w:val="18"/>
                  <w:u w:val="single"/>
                </w:rPr>
                <w:t xml:space="preserve"> 3</w:t>
              </w:r>
            </w:hyperlink>
            <w:hyperlink w:anchor="i77a8e3b473a84aad82cffd4d2401e053_34">
              <w:r>
                <w:rPr>
                  <w:rStyle w:val="InternetLink"/>
                  <w:rFonts w:ascii="Times New Roman;serif" w:hAnsi="Times New Roman;serif"/>
                  <w:b w:val="false"/>
                  <w:color w:val="000080"/>
                  <w:sz w:val="18"/>
                  <w:u w:val="single"/>
                </w:rPr>
                <w:t>0</w:t>
              </w:r>
            </w:hyperlink>
            <w:hyperlink w:anchor="i77a8e3b473a84aad82cffd4d2401e053_34">
              <w:r>
                <w:rPr>
                  <w:rStyle w:val="InternetLink"/>
                  <w:rFonts w:ascii="Times New Roman;serif" w:hAnsi="Times New Roman;serif"/>
                  <w:b w:val="false"/>
                  <w:color w:val="000080"/>
                  <w:sz w:val="18"/>
                  <w:u w:val="single"/>
                </w:rPr>
                <w:t>, 2025 and 2024</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34">
              <w:r>
                <w:rPr>
                  <w:rStyle w:val="InternetLink"/>
                  <w:rFonts w:ascii="Times New Roman;serif" w:hAnsi="Times New Roman;serif"/>
                  <w:b w:val="false"/>
                  <w:color w:val="0000FF"/>
                  <w:sz w:val="18"/>
                  <w:u w:val="single"/>
                </w:rPr>
                <w:t>10</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37">
              <w:r>
                <w:rPr>
                  <w:rStyle w:val="InternetLink"/>
                  <w:rFonts w:ascii="Times New Roman;serif" w:hAnsi="Times New Roman;serif"/>
                  <w:b w:val="false"/>
                  <w:color w:val="0000FF"/>
                  <w:sz w:val="18"/>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37">
              <w:r>
                <w:rPr>
                  <w:rStyle w:val="InternetLink"/>
                  <w:rFonts w:ascii="Times New Roman;serif" w:hAnsi="Times New Roman;serif"/>
                  <w:b w:val="false"/>
                  <w:color w:val="0000FF"/>
                  <w:sz w:val="18"/>
                  <w:u w:val="single"/>
                </w:rPr>
                <w:t>11</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0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06">
              <w:r>
                <w:rPr>
                  <w:rStyle w:val="InternetLink"/>
                  <w:rFonts w:ascii="Times New Roman;serif" w:hAnsi="Times New Roman;serif"/>
                  <w:b w:val="false"/>
                  <w:color w:val="0000FF"/>
                  <w:sz w:val="18"/>
                  <w:u w:val="single"/>
                </w:rPr>
                <w:t>38</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3.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30">
              <w:r>
                <w:rPr>
                  <w:rStyle w:val="InternetLink"/>
                  <w:rFonts w:ascii="Times New Roman;serif" w:hAnsi="Times New Roman;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30">
              <w:r>
                <w:rPr>
                  <w:rStyle w:val="InternetLink"/>
                  <w:rFonts w:ascii="Times New Roman;serif" w:hAnsi="Times New Roman;serif"/>
                  <w:b w:val="false"/>
                  <w:color w:val="0000FF"/>
                  <w:sz w:val="18"/>
                  <w:u w:val="single"/>
                </w:rPr>
                <w:t>56</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4.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36">
              <w:r>
                <w:rPr>
                  <w:rStyle w:val="InternetLink"/>
                  <w:rFonts w:ascii="Times New Roman;serif" w:hAnsi="Times New Roman;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36">
              <w:r>
                <w:rPr>
                  <w:rStyle w:val="InternetLink"/>
                  <w:rFonts w:ascii="Times New Roman;serif" w:hAnsi="Times New Roman;serif"/>
                  <w:b w:val="false"/>
                  <w:color w:val="0000FF"/>
                  <w:sz w:val="18"/>
                  <w:u w:val="single"/>
                </w:rPr>
                <w:t>57</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a8e3b473a84aad82cffd4d2401e053_142">
              <w:r>
                <w:rPr>
                  <w:rStyle w:val="InternetLink"/>
                  <w:rFonts w:ascii="Times New Roman;serif" w:hAnsi="Times New Roman;serif"/>
                  <w:b w:val="false"/>
                  <w:color w:val="0000FF"/>
                  <w:sz w:val="18"/>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45">
              <w:r>
                <w:rPr>
                  <w:rStyle w:val="InternetLink"/>
                  <w:rFonts w:ascii="Times New Roman;serif" w:hAnsi="Times New Roman;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45">
              <w:r>
                <w:rPr>
                  <w:rStyle w:val="InternetLink"/>
                  <w:rFonts w:ascii="Times New Roman;serif" w:hAnsi="Times New Roman;serif"/>
                  <w:b w:val="false"/>
                  <w:color w:val="0000FF"/>
                  <w:sz w:val="18"/>
                  <w:u w:val="single"/>
                </w:rPr>
                <w:t>58</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1A.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48">
              <w:r>
                <w:rPr>
                  <w:rStyle w:val="InternetLink"/>
                  <w:rFonts w:ascii="Times New Roman;serif" w:hAnsi="Times New Roman;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48">
              <w:r>
                <w:rPr>
                  <w:rStyle w:val="InternetLink"/>
                  <w:rFonts w:ascii="Times New Roman;serif" w:hAnsi="Times New Roman;serif"/>
                  <w:b w:val="false"/>
                  <w:color w:val="0000FF"/>
                  <w:sz w:val="18"/>
                  <w:u w:val="single"/>
                </w:rPr>
                <w:t>59</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2.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51">
              <w:r>
                <w:rPr>
                  <w:rStyle w:val="InternetLink"/>
                  <w:rFonts w:ascii="Times New Roman;serif" w:hAnsi="Times New Roman;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60">
              <w:r>
                <w:rPr>
                  <w:rStyle w:val="InternetLink"/>
                  <w:rFonts w:ascii="Times New Roman;serif" w:hAnsi="Times New Roman;serif"/>
                  <w:b w:val="false"/>
                  <w:color w:val="0000FF"/>
                  <w:sz w:val="18"/>
                  <w:u w:val="single"/>
                </w:rPr>
                <w:t>90</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5.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54">
              <w:r>
                <w:rPr>
                  <w:rStyle w:val="InternetLink"/>
                  <w:rFonts w:ascii="Times New Roman;serif" w:hAnsi="Times New Roman;serif"/>
                  <w:b w:val="false"/>
                  <w:color w:val="0000FF"/>
                  <w:sz w:val="18"/>
                  <w:u w:val="single"/>
                </w:rPr>
                <w:t>Other Information</w:t>
              </w:r>
            </w:hyperlink>
            <w:r>
              <w:rPr>
                <w:color w:val="000000"/>
              </w:rPr>
              <w:t xml:space="preserve">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54">
              <w:r>
                <w:rPr>
                  <w:rStyle w:val="InternetLink"/>
                  <w:rFonts w:ascii="Times New Roman;serif" w:hAnsi="Times New Roman;serif"/>
                  <w:b w:val="false"/>
                  <w:color w:val="0000FF"/>
                  <w:sz w:val="18"/>
                  <w:u w:val="single"/>
                </w:rPr>
                <w:t>89</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Item 6. </w:t>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60">
              <w:r>
                <w:rPr>
                  <w:rStyle w:val="InternetLink"/>
                  <w:rFonts w:ascii="Times New Roman;serif" w:hAnsi="Times New Roman;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60">
              <w:r>
                <w:rPr>
                  <w:rStyle w:val="InternetLink"/>
                  <w:rFonts w:ascii="Times New Roman;serif" w:hAnsi="Times New Roman;serif"/>
                  <w:b w:val="false"/>
                  <w:color w:val="0000FF"/>
                  <w:sz w:val="18"/>
                  <w:u w:val="single"/>
                </w:rPr>
                <w:t>90</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63">
              <w:r>
                <w:rPr>
                  <w:rStyle w:val="InternetLink"/>
                  <w:rFonts w:ascii="Times New Roman;serif" w:hAnsi="Times New Roman;serif"/>
                  <w:b w:val="false"/>
                  <w:color w:val="0000FF"/>
                  <w:sz w:val="18"/>
                  <w:u w:val="single"/>
                </w:rPr>
                <w:t>Exhibit Index</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63">
              <w:r>
                <w:rPr>
                  <w:rStyle w:val="InternetLink"/>
                  <w:rFonts w:ascii="Times New Roman;serif" w:hAnsi="Times New Roman;serif"/>
                  <w:b w:val="false"/>
                  <w:color w:val="0000FF"/>
                  <w:sz w:val="18"/>
                  <w:u w:val="single"/>
                </w:rPr>
                <w:t>91</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a8e3b473a84aad82cffd4d2401e053_166">
              <w:r>
                <w:rPr>
                  <w:rStyle w:val="InternetLink"/>
                  <w:rFonts w:ascii="Times New Roman;serif" w:hAnsi="Times New Roman;serif"/>
                  <w:b w:val="false"/>
                  <w:color w:val="0000FF"/>
                  <w:sz w:val="18"/>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a8e3b473a84aad82cffd4d2401e053_166">
              <w:r>
                <w:rPr>
                  <w:rStyle w:val="InternetLink"/>
                  <w:rFonts w:ascii="Times New Roman;serif" w:hAnsi="Times New Roman;serif"/>
                  <w:b w:val="false"/>
                  <w:color w:val="0000FF"/>
                  <w:sz w:val="18"/>
                  <w:u w:val="singl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437" w:type="dxa"/>
        <w:jc w:val="left"/>
        <w:tblInd w:w="0" w:type="dxa"/>
        <w:tblLayout w:type="fixed"/>
        <w:tblCellMar>
          <w:top w:w="28" w:type="dxa"/>
          <w:left w:w="28" w:type="dxa"/>
          <w:bottom w:w="28" w:type="dxa"/>
          <w:right w:w="28" w:type="dxa"/>
        </w:tblCellMar>
      </w:tblPr>
      <w:tblGrid>
        <w:gridCol w:w="1465"/>
        <w:gridCol w:w="1291"/>
        <w:gridCol w:w="1309"/>
        <w:gridCol w:w="247"/>
        <w:gridCol w:w="900"/>
        <w:gridCol w:w="128"/>
        <w:gridCol w:w="109"/>
        <w:gridCol w:w="109"/>
        <w:gridCol w:w="109"/>
        <w:gridCol w:w="330"/>
        <w:gridCol w:w="1199"/>
        <w:gridCol w:w="241"/>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085"/>
        <w:gridCol w:w="1536"/>
        <w:gridCol w:w="151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8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share-basic and diluted: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20" w:after="283"/>
        <w:jc w:val="left"/>
        <w:rPr/>
      </w:pPr>
      <w:r>
        <w:rPr/>
      </w:r>
    </w:p>
    <w:tbl>
      <w:tblPr>
        <w:tblW w:w="7304" w:type="dxa"/>
        <w:jc w:val="left"/>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the Company's 2024 reduction in workforce such as severance, benefits and other related items during the three and six months ended June 30, 2025.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969"/>
        <w:gridCol w:w="1724"/>
        <w:gridCol w:w="17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6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and losses on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50"/>
        <w:gridCol w:w="699"/>
        <w:gridCol w:w="197"/>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6774" w:type="dxa"/>
        <w:jc w:val="center"/>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18"/>
        <w:gridCol w:w="786"/>
        <w:gridCol w:w="12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94"/>
        <w:gridCol w:w="2542"/>
        <w:gridCol w:w="2562"/>
        <w:gridCol w:w="198"/>
        <w:gridCol w:w="563"/>
        <w:gridCol w:w="109"/>
        <w:gridCol w:w="109"/>
        <w:gridCol w:w="109"/>
        <w:gridCol w:w="109"/>
        <w:gridCol w:w="196"/>
        <w:gridCol w:w="556"/>
        <w:gridCol w:w="158"/>
      </w:tblGrid>
      <w:tr>
        <w:trPr/>
        <w:tc>
          <w:tcPr>
            <w:tcW w:w="2994"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from operating activities </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real estate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equity investments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investing activities</w:t>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 financing activities</w:t>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amounts on condensed consolidated balance sheets - end of period</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 included in prepaid expenses and other current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 included in other assets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2025 or any future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2024, included in the Company's Annual Report on Form 10-K on file with the SEC ("Annual Report"). </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most significant estimates and judgments are related to the valuation of right-of-use and other lease related property and equipment assets as well as income taxes.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transactions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Foreign currency transaction gains or losses were immaterial during the three and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The Company recognized </w:t>
      </w:r>
      <w:r>
        <w:rPr>
          <w:rFonts w:ascii="Times New Roman;serif" w:hAnsi="Times New Roman;serif"/>
          <w:b w:val="false"/>
          <w:color w:val="000000"/>
          <w:sz w:val="20"/>
          <w:shd w:fill="FFFFFF" w:val="clear"/>
        </w:rPr>
        <w:t xml:space="preserve">$347.3 million and </w:t>
      </w:r>
      <w:r>
        <w:rPr>
          <w:rFonts w:ascii="Times New Roman;serif" w:hAnsi="Times New Roman;serif"/>
          <w:b w:val="false"/>
          <w:color w:val="000000"/>
          <w:sz w:val="20"/>
        </w:rPr>
        <w:t xml:space="preserve">$556.0 million of revenue during the three and six months ended June 30, 2025 and </w:t>
      </w:r>
      <w:r>
        <w:rPr>
          <w:rFonts w:ascii="Times New Roman;serif" w:hAnsi="Times New Roman;serif"/>
          <w:b w:val="false"/>
          <w:color w:val="000000"/>
          <w:sz w:val="20"/>
          <w:shd w:fill="FFFFFF" w:val="clear"/>
        </w:rPr>
        <w:t>$348.4</w:t>
      </w:r>
      <w:r>
        <w:rPr>
          <w:color w:val="000000"/>
        </w:rPr>
        <w:t xml:space="preserve"> </w:t>
      </w:r>
      <w:r>
        <w:rPr>
          <w:rFonts w:ascii="Times New Roman;serif" w:hAnsi="Times New Roman;serif"/>
          <w:b w:val="false"/>
          <w:color w:val="000000"/>
          <w:sz w:val="20"/>
        </w:rPr>
        <w:t>million and $555.5 million during three and six months ended June 30, 2024,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future estimated revenue related to performance obligations that were unsatisfied or partially unsatisfied was $816.8 million. The substantial majority of the unsatisfied performance obligations will be satisfied over the next twelve months.</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grants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a Co-Founder Grant of 10.3 million shares of Class A Common Stock in the form of restricted stock awards (“RSAs”) to Drew Houston, the Company's co-founder and 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ind w:left="0" w:right="0" w:firstLine="495"/>
        <w:jc w:val="left"/>
        <w:rPr/>
      </w:pPr>
      <w:r>
        <w:rPr/>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Reduction in Workforce</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announced a global workforce reduction of approximately 20% to streamline its team structure and better align with long-term growth and profitability objectives. The Company estimates that it will make total related cash expenditures of approximately $65 million, which included the pro rata fiscal year 2024 annual employee bonus through October 30, 2024. As of June 30, 2025, the Company has paid $64.5 million in associated cash expenditures, the majority of which were paid in the fourth quarter of 2024 and $12.5 million paid during the six months ended June 30, 2025, including $2.3 million paid during the three months ended June 30, 2025. The Company expects to recognize approximately $51 million in incremental expenses, primarily consisting of severance, employee benefits, and related costs. As of June 30, 2025, $50.7 million of these expenses have been recognized, with the majority recognized in the fourth quarter of 2024 and $1.2 million and $3.5 million recognized during the three and six months ended June 30, 2025, respectively.</w:t>
      </w:r>
    </w:p>
    <w:p>
      <w:pPr>
        <w:pStyle w:val="TextBody"/>
        <w:bidi w:val="0"/>
        <w:spacing w:before="0" w:after="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severance and related charges are included within the Company's consolidated statement of operations as follows:</w:t>
      </w:r>
    </w:p>
    <w:p>
      <w:pPr>
        <w:pStyle w:val="TextBody"/>
        <w:bidi w:val="0"/>
        <w:spacing w:before="0" w:after="0"/>
        <w:ind w:left="0" w:right="0" w:firstLine="495"/>
        <w:jc w:val="left"/>
        <w:rPr/>
      </w:pPr>
      <w:r>
        <w:rPr/>
      </w:r>
    </w:p>
    <w:tbl>
      <w:tblPr>
        <w:tblW w:w="8622" w:type="dxa"/>
        <w:jc w:val="left"/>
        <w:tblInd w:w="0" w:type="dxa"/>
        <w:tblLayout w:type="fixed"/>
        <w:tblCellMar>
          <w:top w:w="28" w:type="dxa"/>
          <w:left w:w="28" w:type="dxa"/>
          <w:bottom w:w="28" w:type="dxa"/>
          <w:right w:w="28" w:type="dxa"/>
        </w:tblCellMar>
      </w:tblPr>
      <w:tblGrid>
        <w:gridCol w:w="835"/>
        <w:gridCol w:w="736"/>
        <w:gridCol w:w="739"/>
        <w:gridCol w:w="894"/>
        <w:gridCol w:w="1726"/>
        <w:gridCol w:w="470"/>
        <w:gridCol w:w="109"/>
        <w:gridCol w:w="109"/>
        <w:gridCol w:w="109"/>
        <w:gridCol w:w="789"/>
        <w:gridCol w:w="1524"/>
        <w:gridCol w:w="58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changes in liabilities resulting from the severance charges and related costs were as follows:</w:t>
      </w:r>
    </w:p>
    <w:tbl>
      <w:tblPr>
        <w:tblW w:w="5385" w:type="dxa"/>
        <w:jc w:val="left"/>
        <w:tblInd w:w="0" w:type="dxa"/>
        <w:tblLayout w:type="fixed"/>
        <w:tblCellMar>
          <w:top w:w="28" w:type="dxa"/>
          <w:left w:w="28" w:type="dxa"/>
          <w:bottom w:w="28" w:type="dxa"/>
          <w:right w:w="28" w:type="dxa"/>
        </w:tblCellMar>
      </w:tblPr>
      <w:tblGrid>
        <w:gridCol w:w="1022"/>
        <w:gridCol w:w="898"/>
        <w:gridCol w:w="900"/>
        <w:gridCol w:w="701"/>
        <w:gridCol w:w="1349"/>
        <w:gridCol w:w="515"/>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 and Related Costs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payments</w:t>
            </w:r>
            <w:r>
              <w:rPr>
                <w:rFonts w:ascii="Times New Roman;serif" w:hAnsi="Times New Roman;serif"/>
                <w:b w:val="false"/>
                <w:color w:val="000000"/>
                <w:sz w:val="13"/>
              </w:rPr>
              <w:t>(1)</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For the six months ended June 30, 2025, total cash payments were $12.5</w:t>
      </w:r>
      <w:r>
        <w:rPr>
          <w:color w:val="000000"/>
        </w:rPr>
        <w:t xml:space="preserve"> </w:t>
      </w:r>
      <w:r>
        <w:rPr>
          <w:rFonts w:ascii="Times New Roman;serif" w:hAnsi="Times New Roman;serif"/>
          <w:b w:val="false"/>
          <w:color w:val="000000"/>
          <w:sz w:val="18"/>
        </w:rPr>
        <w:t>million when including the pro rata amount of the fiscal year 2024 annual employee bonus.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Restricted cash relates to cash collateral used to secure outstanding letters of credit primarily for the Company’s office lease agreements. The Company had restricted cash of $32.9 million and $32.2 million as of June 30, 2025 and December 31, 2024, respectively.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Short-term investments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expense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2025. As of June 30, 2025 and December 31, 2024,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Trade accounts receivable are typically unsecured and are derived from revenue earned from customers located around the world. One </w:t>
      </w:r>
      <w:r>
        <w:rPr>
          <w:rFonts w:ascii="Times New Roman;serif" w:hAnsi="Times New Roman;serif"/>
          <w:b w:val="false"/>
          <w:color w:val="000000"/>
          <w:sz w:val="20"/>
          <w:shd w:fill="FFFFFF" w:val="clear"/>
        </w:rPr>
        <w:t>distribution partner accounted for</w:t>
      </w:r>
      <w:r>
        <w:rPr>
          <w:color w:val="000000"/>
        </w:rPr>
        <w:t xml:space="preserve"> </w:t>
      </w:r>
      <w:r>
        <w:rPr>
          <w:rFonts w:ascii="Times New Roman;serif" w:hAnsi="Times New Roman;serif"/>
          <w:b w:val="false"/>
          <w:color w:val="000000"/>
          <w:sz w:val="20"/>
        </w:rPr>
        <w:t>46% of</w:t>
      </w:r>
      <w:r>
        <w:rPr>
          <w:color w:val="000000"/>
          <w:shd w:fill="FFFFFF" w:val="clear"/>
        </w:rPr>
        <w:t xml:space="preserve"> </w:t>
      </w:r>
      <w:r>
        <w:rPr>
          <w:rFonts w:ascii="Times New Roman;serif" w:hAnsi="Times New Roman;serif"/>
          <w:b w:val="false"/>
          <w:color w:val="000000"/>
          <w:sz w:val="20"/>
          <w:shd w:fill="FFFFFF" w:val="clear"/>
        </w:rPr>
        <w:t xml:space="preserve">total trade and other receivables, net as of June 30, 2025.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pPr>
      <w:r>
        <w:rPr>
          <w:rFonts w:ascii="Times New Roman;serif" w:hAnsi="Times New Roman;serif"/>
          <w:b w:val="false"/>
          <w:color w:val="000000"/>
          <w:sz w:val="20"/>
          <w:shd w:fill="FFFFFF" w:val="clear"/>
        </w:rPr>
        <w:t>partners accounted for</w:t>
      </w:r>
      <w:r>
        <w:rPr>
          <w:color w:val="000000"/>
        </w:rPr>
        <w:t xml:space="preserve"> </w:t>
      </w:r>
      <w:r>
        <w:rPr>
          <w:rFonts w:ascii="Times New Roman;serif" w:hAnsi="Times New Roman;serif"/>
          <w:b w:val="false"/>
          <w:color w:val="000000"/>
          <w:sz w:val="20"/>
        </w:rPr>
        <w:t>11% and 48% o</w:t>
      </w:r>
      <w:r>
        <w:rPr>
          <w:rFonts w:ascii="Times New Roman;serif" w:hAnsi="Times New Roman;serif"/>
          <w:b w:val="false"/>
          <w:color w:val="000000"/>
          <w:sz w:val="20"/>
          <w:shd w:fill="FFFFFF" w:val="clear"/>
        </w:rPr>
        <w:t xml:space="preserve">f total trade and other receivables, net as of December 31, 2024. </w:t>
      </w:r>
      <w:r>
        <w:rPr>
          <w:rFonts w:ascii="Times New Roman;serif" w:hAnsi="Times New Roman;serif"/>
          <w:b w:val="false"/>
          <w:color w:val="000000"/>
          <w:sz w:val="20"/>
        </w:rPr>
        <w:t>No customer accounted for more than 10% of the Company’s revenue in the periods presented.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Deferred commissions,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$3.6 million and $8.6 million during the three and six months ended June 30, 2025 and $7.9 million and $15.5 million during the three and six months ended June 30,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commissions, net included in prepaid and other current assets were $18.1 million and $21.3 million as of June 30, 2025 and December 31, 2024, respectively. Deferred commissions, net included in other assets were $19.7 million and $21.9 million as of June 30, 2025 and December 31,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$6.8 million and $14.0 million for the three and six months ended June 30, 2025 and $7.4 million and $14.9 million during the three and six months ended June 30, 2024,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3"/>
        <w:gridCol w:w="1313"/>
        <w:gridCol w:w="185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7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the Company's Virtual First strategy, Dropbox has retained a portion of its office space for in-person collaboration while the remainder will be subleased. The Company recorded total impairment charges of $2.6 million during the three and six months ended June 30, 2025 and did not recognize impairment charges during the three and six months ended June 30, 2024. See Note 8 "Leases"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Long-lived assets, including goodwill and other acquired intangible assets,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at least annually in the fourth quarter, or more frequently if events or changes in circumstances would more likely than not reduce the fair value of its single reporting unit below its carrying value.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material impairment charges related to goodwill or intangible assets for the periods presented in these condensed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Acquired property and equipment and finite-lived intangible assets are amortized over their useful lives. The Company evaluates the estimated remaining useful life of these assets when events or changes in circumstances warrant a revision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period of depreciation or amortization. If the Company revises the estimated useful life assumption for any asset, the remaining unamortized balance is amortized or depreciated over the revised estimated useful life on a prospective basis.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beginning after December 15, 2027, with early adoption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The amendments in ASU 2024-04 are effective for annual periods beginning after December 15, 2025, and interim periods within those annual reporting periods. Early adoption is permitted for all entities that have adopted the amendments in ASU 2020-06. The Company is currently evaluating the impact of this standard on the Company's consolidated financial statements.</w:t>
      </w:r>
    </w:p>
    <w:p>
      <w:pPr>
        <w:pStyle w:val="TextBody"/>
        <w:bidi w:val="0"/>
        <w:spacing w:before="0" w:after="420"/>
        <w:ind w:left="0" w:right="0" w:firstLine="495"/>
        <w:jc w:val="left"/>
        <w:rPr/>
      </w:pPr>
      <w:r>
        <w:rPr/>
      </w:r>
    </w:p>
    <w:p>
      <w:pPr>
        <w:pStyle w:val="TextBody"/>
        <w:bidi w:val="0"/>
        <w:spacing w:before="0" w:after="4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amortized cost, unrealized gains and losses and estimated fair value of the Company's cash, cash equivalents and short-term investments as of June 30, 2025 and December 31, 2024 consisted of the following:</w:t>
      </w:r>
    </w:p>
    <w:p>
      <w:pPr>
        <w:pStyle w:val="TextBody"/>
        <w:bidi w:val="0"/>
        <w:spacing w:before="0" w:after="0"/>
        <w:ind w:left="0" w:right="0" w:firstLine="495"/>
        <w:jc w:val="left"/>
        <w:rPr/>
      </w:pPr>
      <w:r>
        <w:rPr/>
      </w:r>
    </w:p>
    <w:tbl>
      <w:tblPr>
        <w:tblW w:w="10070" w:type="dxa"/>
        <w:jc w:val="center"/>
        <w:tblInd w:w="0" w:type="dxa"/>
        <w:tblLayout w:type="fixed"/>
        <w:tblCellMar>
          <w:top w:w="28" w:type="dxa"/>
          <w:left w:w="28" w:type="dxa"/>
          <w:bottom w:w="28" w:type="dxa"/>
          <w:right w:w="28" w:type="dxa"/>
        </w:tblCellMar>
      </w:tblPr>
      <w:tblGrid>
        <w:gridCol w:w="986"/>
        <w:gridCol w:w="865"/>
        <w:gridCol w:w="879"/>
        <w:gridCol w:w="320"/>
        <w:gridCol w:w="938"/>
        <w:gridCol w:w="167"/>
        <w:gridCol w:w="109"/>
        <w:gridCol w:w="109"/>
        <w:gridCol w:w="109"/>
        <w:gridCol w:w="436"/>
        <w:gridCol w:w="838"/>
        <w:gridCol w:w="226"/>
        <w:gridCol w:w="109"/>
        <w:gridCol w:w="109"/>
        <w:gridCol w:w="109"/>
        <w:gridCol w:w="418"/>
        <w:gridCol w:w="834"/>
        <w:gridCol w:w="217"/>
        <w:gridCol w:w="109"/>
        <w:gridCol w:w="109"/>
        <w:gridCol w:w="109"/>
        <w:gridCol w:w="422"/>
        <w:gridCol w:w="1233"/>
        <w:gridCol w:w="31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069" w:type="dxa"/>
        <w:jc w:val="left"/>
        <w:tblInd w:w="0" w:type="dxa"/>
        <w:tblLayout w:type="fixed"/>
        <w:tblCellMar>
          <w:top w:w="28" w:type="dxa"/>
          <w:left w:w="28" w:type="dxa"/>
          <w:bottom w:w="28" w:type="dxa"/>
          <w:right w:w="28" w:type="dxa"/>
        </w:tblCellMar>
      </w:tblPr>
      <w:tblGrid>
        <w:gridCol w:w="986"/>
        <w:gridCol w:w="865"/>
        <w:gridCol w:w="879"/>
        <w:gridCol w:w="277"/>
        <w:gridCol w:w="1005"/>
        <w:gridCol w:w="143"/>
        <w:gridCol w:w="109"/>
        <w:gridCol w:w="109"/>
        <w:gridCol w:w="109"/>
        <w:gridCol w:w="436"/>
        <w:gridCol w:w="838"/>
        <w:gridCol w:w="226"/>
        <w:gridCol w:w="109"/>
        <w:gridCol w:w="109"/>
        <w:gridCol w:w="109"/>
        <w:gridCol w:w="418"/>
        <w:gridCol w:w="834"/>
        <w:gridCol w:w="217"/>
        <w:gridCol w:w="109"/>
        <w:gridCol w:w="109"/>
        <w:gridCol w:w="109"/>
        <w:gridCol w:w="366"/>
        <w:gridCol w:w="1331"/>
        <w:gridCol w:w="267"/>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cash and cash equivalents is cash in transit from payment processors for credit and debit card transactions of $15.0 million and $9.9 million as of June 30, 2025 and December 31, 2024,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short-term investments were designated as available-for-sale securities as of June 30, 2025 and December 31, 2024.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short-term investments as of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tbl>
      <w:tblPr>
        <w:tblW w:w="6357" w:type="dxa"/>
        <w:jc w:val="center"/>
        <w:tblInd w:w="0" w:type="dxa"/>
        <w:tblLayout w:type="fixed"/>
        <w:tblCellMar>
          <w:top w:w="28" w:type="dxa"/>
          <w:left w:w="28" w:type="dxa"/>
          <w:bottom w:w="28" w:type="dxa"/>
          <w:right w:w="28" w:type="dxa"/>
        </w:tblCellMar>
      </w:tblPr>
      <w:tblGrid>
        <w:gridCol w:w="957"/>
        <w:gridCol w:w="838"/>
        <w:gridCol w:w="845"/>
        <w:gridCol w:w="320"/>
        <w:gridCol w:w="938"/>
        <w:gridCol w:w="167"/>
        <w:gridCol w:w="109"/>
        <w:gridCol w:w="109"/>
        <w:gridCol w:w="109"/>
        <w:gridCol w:w="422"/>
        <w:gridCol w:w="1233"/>
        <w:gridCol w:w="310"/>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three years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123 short-term investments in unrealized loss positions as of June 30, 2025. There were no material gains or losses from short-term investments that were reclassified out of accumulated other comprehensive loss for the three and six months ended June 30, 2025 or three and six months ended June 30,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Company’s short-term investments portfolio consisted of six security types, five of which were in an unrealized loss position. The Company’s short-term investments had unrealized losses of approximately $3.5 million as of June 30, 2025. The following tables present the breakdown of the short-term investments that have been in a continuous unrealized loss position aggregated by investment category, as of June 30, 2025 and December 31, 2024: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74"/>
        <w:gridCol w:w="503"/>
        <w:gridCol w:w="506"/>
        <w:gridCol w:w="238"/>
        <w:gridCol w:w="458"/>
        <w:gridCol w:w="123"/>
        <w:gridCol w:w="109"/>
        <w:gridCol w:w="109"/>
        <w:gridCol w:w="109"/>
        <w:gridCol w:w="398"/>
        <w:gridCol w:w="793"/>
        <w:gridCol w:w="206"/>
        <w:gridCol w:w="109"/>
        <w:gridCol w:w="109"/>
        <w:gridCol w:w="109"/>
        <w:gridCol w:w="217"/>
        <w:gridCol w:w="633"/>
        <w:gridCol w:w="111"/>
        <w:gridCol w:w="109"/>
        <w:gridCol w:w="109"/>
        <w:gridCol w:w="109"/>
        <w:gridCol w:w="398"/>
        <w:gridCol w:w="793"/>
        <w:gridCol w:w="206"/>
        <w:gridCol w:w="109"/>
        <w:gridCol w:w="109"/>
        <w:gridCol w:w="109"/>
        <w:gridCol w:w="217"/>
        <w:gridCol w:w="633"/>
        <w:gridCol w:w="111"/>
        <w:gridCol w:w="109"/>
        <w:gridCol w:w="109"/>
        <w:gridCol w:w="109"/>
        <w:gridCol w:w="387"/>
        <w:gridCol w:w="773"/>
        <w:gridCol w:w="292"/>
      </w:tblGrid>
      <w:tr>
        <w:trPr/>
        <w:tc>
          <w:tcPr>
            <w:tcW w:w="57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701"/>
        <w:gridCol w:w="481"/>
        <w:gridCol w:w="484"/>
        <w:gridCol w:w="224"/>
        <w:gridCol w:w="543"/>
        <w:gridCol w:w="115"/>
        <w:gridCol w:w="109"/>
        <w:gridCol w:w="109"/>
        <w:gridCol w:w="109"/>
        <w:gridCol w:w="384"/>
        <w:gridCol w:w="767"/>
        <w:gridCol w:w="199"/>
        <w:gridCol w:w="109"/>
        <w:gridCol w:w="109"/>
        <w:gridCol w:w="109"/>
        <w:gridCol w:w="216"/>
        <w:gridCol w:w="631"/>
        <w:gridCol w:w="111"/>
        <w:gridCol w:w="109"/>
        <w:gridCol w:w="109"/>
        <w:gridCol w:w="109"/>
        <w:gridCol w:w="384"/>
        <w:gridCol w:w="767"/>
        <w:gridCol w:w="199"/>
        <w:gridCol w:w="109"/>
        <w:gridCol w:w="109"/>
        <w:gridCol w:w="109"/>
        <w:gridCol w:w="216"/>
        <w:gridCol w:w="631"/>
        <w:gridCol w:w="111"/>
        <w:gridCol w:w="109"/>
        <w:gridCol w:w="109"/>
        <w:gridCol w:w="109"/>
        <w:gridCol w:w="374"/>
        <w:gridCol w:w="748"/>
        <w:gridCol w:w="284"/>
      </w:tblGrid>
      <w:tr>
        <w:trPr/>
        <w:tc>
          <w:tcPr>
            <w:tcW w:w="7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interest income from its cash, cash equivalents, and short-term investments of $8.7 million and $21.4 million during the three and six months ended June 30, 2025, and $9.5 million and $21.5 million during the three and six months ended June 30,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297" w:type="dxa"/>
        <w:jc w:val="center"/>
        <w:tblInd w:w="0" w:type="dxa"/>
        <w:tblLayout w:type="fixed"/>
        <w:tblCellMar>
          <w:top w:w="28" w:type="dxa"/>
          <w:left w:w="28" w:type="dxa"/>
          <w:bottom w:w="28" w:type="dxa"/>
          <w:right w:w="28" w:type="dxa"/>
        </w:tblCellMar>
      </w:tblPr>
      <w:tblGrid>
        <w:gridCol w:w="988"/>
        <w:gridCol w:w="869"/>
        <w:gridCol w:w="872"/>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7597" w:type="dxa"/>
        <w:jc w:val="center"/>
        <w:tblInd w:w="0" w:type="dxa"/>
        <w:tblLayout w:type="fixed"/>
        <w:tblCellMar>
          <w:top w:w="28" w:type="dxa"/>
          <w:left w:w="28" w:type="dxa"/>
          <w:bottom w:w="28" w:type="dxa"/>
          <w:right w:w="28" w:type="dxa"/>
        </w:tblCellMar>
      </w:tblPr>
      <w:tblGrid>
        <w:gridCol w:w="988"/>
        <w:gridCol w:w="869"/>
        <w:gridCol w:w="872"/>
        <w:gridCol w:w="211"/>
        <w:gridCol w:w="76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Supranational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restricted cash held at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June 30, 2025. See Note 7 "Debt" for additional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2026 Notes and the 2028 Notes, based on a market approach as of June 30, 2025 was approximately $681.9 million and $699.2 million, respectively. The Notes were categorized as Level 2 instruments as the estimated fair value was determined based on the trading activity of the Notes in an over-the-counter market on the last business day of the period.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had $995.0 million of term loans outstanding with a carrying value of $970.6 million as of June 30, 2025. See Note 7 "Debt" for additional information. As of June 30, 2025, the fair value of the term loan approximated its carrying value as of such date. The term loans are categorized as Level 2 instruments as the estimated fair value was determined based on the borrowing rates currently available to the Company for bank loans with similar terms and maturities.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ind w:left="0" w:right="0" w:firstLine="495"/>
        <w:jc w:val="left"/>
        <w:rPr/>
      </w:pPr>
      <w:r>
        <w:rPr/>
      </w:r>
    </w:p>
    <w:tbl>
      <w:tblPr>
        <w:tblW w:w="6894" w:type="dxa"/>
        <w:jc w:val="center"/>
        <w:tblInd w:w="0" w:type="dxa"/>
        <w:tblLayout w:type="fixed"/>
        <w:tblCellMar>
          <w:top w:w="28" w:type="dxa"/>
          <w:left w:w="28" w:type="dxa"/>
          <w:bottom w:w="28" w:type="dxa"/>
          <w:right w:w="28" w:type="dxa"/>
        </w:tblCellMar>
      </w:tblPr>
      <w:tblGrid>
        <w:gridCol w:w="1277"/>
        <w:gridCol w:w="1120"/>
        <w:gridCol w:w="1127"/>
        <w:gridCol w:w="287"/>
        <w:gridCol w:w="839"/>
        <w:gridCol w:w="148"/>
        <w:gridCol w:w="109"/>
        <w:gridCol w:w="109"/>
        <w:gridCol w:w="109"/>
        <w:gridCol w:w="380"/>
        <w:gridCol w:w="1110"/>
        <w:gridCol w:w="279"/>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and other computer equipment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Company leases certain infrastructure and computer equipment from various third parties, through equipment finance leases. Infrastructure assets as of June 30, 2025 and December 31, 2024 included a total of</w:t>
      </w:r>
      <w:r>
        <w:rPr>
          <w:color w:val="000000"/>
          <w:shd w:fill="FFFFFF" w:val="clear"/>
        </w:rPr>
        <w:t xml:space="preserve"> </w:t>
      </w:r>
      <w:r>
        <w:rPr>
          <w:rFonts w:ascii="Times New Roman;serif" w:hAnsi="Times New Roman;serif"/>
          <w:b w:val="false"/>
          <w:color w:val="000000"/>
          <w:sz w:val="20"/>
        </w:rPr>
        <w:t>$501.4</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$501.1</w:t>
      </w:r>
      <w:r>
        <w:rPr>
          <w:color w:val="000000"/>
        </w:rPr>
        <w:t xml:space="preserve"> </w:t>
      </w:r>
      <w:r>
        <w:rPr>
          <w:rFonts w:ascii="Times New Roman;serif" w:hAnsi="Times New Roman;serif"/>
          <w:b w:val="false"/>
          <w:color w:val="000000"/>
          <w:sz w:val="20"/>
        </w:rPr>
        <w:t>million, respectively, of assets acquired under finance lease agreements. These leases are capitalized in property and equipment, and the related depreciation of assets under finance leases is included in depreciation expense. The accumulated depreciation of the equipment under finance leases totaled $217.4</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and $223.3 million as of June 30, 2025 and December 31, 2024,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Depreciation expense related to property and equipment was</w:t>
      </w:r>
      <w:r>
        <w:rPr>
          <w:color w:val="000000"/>
          <w:shd w:fill="FFFFFF" w:val="clear"/>
        </w:rPr>
        <w:t xml:space="preserve"> </w:t>
      </w:r>
      <w:r>
        <w:rPr>
          <w:rFonts w:ascii="Times New Roman;serif" w:hAnsi="Times New Roman;serif"/>
          <w:b w:val="false"/>
          <w:color w:val="000000"/>
          <w:sz w:val="20"/>
          <w:shd w:fill="FFFFFF" w:val="clear"/>
        </w:rPr>
        <w:t>$32.6 million and $64.3</w:t>
      </w:r>
      <w:r>
        <w:rPr>
          <w:color w:val="000000"/>
        </w:rPr>
        <w:t xml:space="preserve"> </w:t>
      </w:r>
      <w:r>
        <w:rPr>
          <w:rFonts w:ascii="Times New Roman;serif" w:hAnsi="Times New Roman;serif"/>
          <w:b w:val="false"/>
          <w:color w:val="000000"/>
          <w:sz w:val="20"/>
        </w:rPr>
        <w:t>million for the three and six months ended June 30, 2025, respectively and $25.9 million and $50.7 million for the three and six months ended June 30, 2024, respectively.</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8558" w:type="dxa"/>
        <w:jc w:val="center"/>
        <w:tblInd w:w="0" w:type="dxa"/>
        <w:tblLayout w:type="fixed"/>
        <w:tblCellMar>
          <w:top w:w="28" w:type="dxa"/>
          <w:left w:w="28" w:type="dxa"/>
          <w:bottom w:w="28" w:type="dxa"/>
          <w:right w:w="28" w:type="dxa"/>
        </w:tblCellMar>
      </w:tblPr>
      <w:tblGrid>
        <w:gridCol w:w="1283"/>
        <w:gridCol w:w="1125"/>
        <w:gridCol w:w="1132"/>
        <w:gridCol w:w="323"/>
        <w:gridCol w:w="784"/>
        <w:gridCol w:w="167"/>
        <w:gridCol w:w="109"/>
        <w:gridCol w:w="109"/>
        <w:gridCol w:w="109"/>
        <w:gridCol w:w="449"/>
        <w:gridCol w:w="1087"/>
        <w:gridCol w:w="234"/>
        <w:gridCol w:w="109"/>
        <w:gridCol w:w="109"/>
        <w:gridCol w:w="109"/>
        <w:gridCol w:w="386"/>
        <w:gridCol w:w="386"/>
        <w:gridCol w:w="548"/>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useful life</w:t>
              <w:br/>
              <w:t>(In years)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 in asset acquisitions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$6.3 million and $12.8 million for the three and six months ended June 30, 2025 and $6.4 million and $13.1 million for the three and six months ended June 30, 2024,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for intangible assets as of June 30, 2025 is as follows:</w:t>
      </w:r>
    </w:p>
    <w:p>
      <w:pPr>
        <w:pStyle w:val="TextBody"/>
        <w:bidi w:val="0"/>
        <w:spacing w:before="0" w:after="0"/>
        <w:ind w:left="0" w:right="0" w:firstLine="495"/>
        <w:jc w:val="left"/>
        <w:rPr/>
      </w:pPr>
      <w:r>
        <w:rPr/>
      </w:r>
    </w:p>
    <w:tbl>
      <w:tblPr>
        <w:tblW w:w="3224" w:type="dxa"/>
        <w:jc w:val="center"/>
        <w:tblInd w:w="0" w:type="dxa"/>
        <w:tblLayout w:type="fixed"/>
        <w:tblCellMar>
          <w:top w:w="28" w:type="dxa"/>
          <w:left w:w="28" w:type="dxa"/>
          <w:bottom w:w="28" w:type="dxa"/>
          <w:right w:w="28" w:type="dxa"/>
        </w:tblCellMar>
      </w:tblPr>
      <w:tblGrid>
        <w:gridCol w:w="608"/>
        <w:gridCol w:w="534"/>
        <w:gridCol w:w="538"/>
        <w:gridCol w:w="370"/>
        <w:gridCol w:w="900"/>
        <w:gridCol w:w="27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6.Goodwill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4086" w:type="dxa"/>
        <w:jc w:val="left"/>
        <w:tblInd w:w="0" w:type="dxa"/>
        <w:tblLayout w:type="fixed"/>
        <w:tblCellMar>
          <w:top w:w="28" w:type="dxa"/>
          <w:left w:w="28" w:type="dxa"/>
          <w:bottom w:w="28" w:type="dxa"/>
          <w:right w:w="28" w:type="dxa"/>
        </w:tblCellMar>
      </w:tblPr>
      <w:tblGrid>
        <w:gridCol w:w="1125"/>
        <w:gridCol w:w="989"/>
        <w:gridCol w:w="991"/>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amounts are not amortized, but tested for impairment on an annual basis. There was no impairment of goodwill during the periods ended June 30, 2025 and December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7.Debt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2024, the Company entered into a Credit and Guaranty Agreement (the “Credit Agreement”), with certain counterparties which provided for, among other things, a secured five-year term loan facility in an aggregate principal amount of up to $2.0 billion, consisting of initial term loans and delayed draw term loan commitments each in an aggregate principal amount of up to $1.0 billion, respectively. The Credit Agreement also provides for a secured letter of credit facility in an aggregate amount of up to $35.0 million. The Company’s obligations under the Credit Agreement are guaranteed by certain material subsidiaries of the Company and are secured by substantially all of the assets of the Company and such subsidiary guarantors. In December 2024, the Company borrowed $1.0 billion of term loans under its term loan facility, measured at amortized cost. In accounting for the term loans, issuance costs of $27.6 million were deducted from the carrying value of the term loan in the consolidated balance sheet. Issuance costs are amortized and recognized as a component of interest expense over the five-year term using the effective interest method. Furthermore, there were $22.6 million and $0.2 million of deferred issuance costs related to the delayed draw term loan commitments and secured letter of credit facility, respectively, which will be recognized initially as deferred assets and subsequently reclassified and presented as a direct deduction to the carrying value of the related debt upon an eventual draw, and amortized over the remaining term on an effective interest method basis from the time of draw.</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delayed draw term loan commitments of $1.0 billion may be borrowed, subject to the satisfaction of certain conditions, from the closing date of the Credit Agreement through December 11, 2026, provided that the delayed draw term loan commitments shall be reduced to $500.0 million as of December 11, 2025, if the undrawn delayed draw term loan commitments exceed $500.0 million at that date. The delayed draw term loan commitments can be drawn in increments of $5.0 million or greater and up to ten draws can be made. The initial term loans and the delayed draw term loans (if and when funded) shall have the same terms and shall be treated as a single fungible class of term loans for all purposes under the Credit Agreement, except that interest on any delayed draw term loan shall commence from the applicable date of draw. As of June 30, 2025, no amounts were outstanding on the delayed draw term loan commitments and no letters of credit were issued under the letter of credit facility.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Credit Agreement, the Company is required to pay a quarterly commitment fee that accrues at a rate of 1.00% per annum on the unused portion of the delayed draw term loan commitments. The 1.00% fee will be capitalized each reporting period, as the draw is probable as of the issuance date, and reclassified against the carrying value of the debt upon draw and amortized over the debt term on an effective interest method basis from the time of draw. As of June 30, 2025, the deferred issuance asset related to the commitment fee was $5.6 million.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term loans have a maturity date of December 11, 2029. Quarterly principal payments began on March 31, 2025 and will continue on the last business day of each quarter thereafter, equal to 0.25% of the original principal amount of such term loans. In addition, the term loans are subject to mandatory prepayments upon the occurrence of certain events as defined in the Credit Agreement, including excess cash flows generated by the Company's operating activities, the proceeds of certain asset sales and the incurrence of certain indebtedness. The Company believes the occurrence of any such events is remote as of June 30, 2025. The Company is permitted to prepay the term loans at any time in whole or in part, subject to a prepayment premium equal to 2.00% of the aggregate principal amount prepaid on or prior to the first anniversary of the closing date and 1.00% of the aggregate principal amount prepaid after the first anniversary of the closing date but on or prior to the second anniversary of the closing date. Term loans repaid or prepaid may not be reborrowed.</w:t>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term loan facility as of June 30, 2025 and December 31, 2024.</w:t>
      </w:r>
    </w:p>
    <w:p>
      <w:pPr>
        <w:pStyle w:val="TextBody"/>
        <w:bidi w:val="0"/>
        <w:spacing w:before="0" w:after="0"/>
        <w:ind w:left="0" w:right="0" w:firstLine="450"/>
        <w:jc w:val="left"/>
        <w:rPr/>
      </w:pPr>
      <w:r>
        <w:rPr/>
      </w:r>
    </w:p>
    <w:tbl>
      <w:tblPr>
        <w:tblW w:w="3486" w:type="dxa"/>
        <w:jc w:val="left"/>
        <w:tblInd w:w="0" w:type="dxa"/>
        <w:tblLayout w:type="fixed"/>
        <w:tblCellMar>
          <w:top w:w="28" w:type="dxa"/>
          <w:left w:w="28" w:type="dxa"/>
          <w:bottom w:w="28" w:type="dxa"/>
          <w:right w:w="28" w:type="dxa"/>
        </w:tblCellMar>
      </w:tblPr>
      <w:tblGrid>
        <w:gridCol w:w="852"/>
        <w:gridCol w:w="747"/>
        <w:gridCol w:w="756"/>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 the alternative base rate on the last business day of an interest period, but at most monthly and at least quarterly, with respect to overnight and term SOFR rate borrowings.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associated with the term loans for the three and six months ended June 30, 2025 was $21.8 million and $43.3 million, respectively, with such interest expense consisting of interest expense on the outstanding principal of the term loans and amortization of issuance costs.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permits the Company, subject to satisfaction of certain conditions, including obtaining commitments from new or existing lenders, to add new term loan facilities or increase the term loan commitments under the Credit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June 30,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on the Company's term loan debt are as follows:</w:t>
      </w:r>
    </w:p>
    <w:p>
      <w:pPr>
        <w:pStyle w:val="TextBody"/>
        <w:bidi w:val="0"/>
        <w:spacing w:before="0" w:after="0"/>
        <w:ind w:left="0" w:right="0" w:firstLine="495"/>
        <w:jc w:val="left"/>
        <w:rPr/>
      </w:pPr>
      <w:r>
        <w:rPr/>
      </w:r>
    </w:p>
    <w:tbl>
      <w:tblPr>
        <w:tblW w:w="2805" w:type="dxa"/>
        <w:jc w:val="left"/>
        <w:tblInd w:w="0" w:type="dxa"/>
        <w:tblLayout w:type="fixed"/>
        <w:tblCellMar>
          <w:top w:w="28" w:type="dxa"/>
          <w:left w:w="28" w:type="dxa"/>
          <w:bottom w:w="28" w:type="dxa"/>
          <w:right w:w="28" w:type="dxa"/>
        </w:tblCellMar>
      </w:tblPr>
      <w:tblGrid>
        <w:gridCol w:w="608"/>
        <w:gridCol w:w="534"/>
        <w:gridCol w:w="538"/>
        <w:gridCol w:w="242"/>
        <w:gridCol w:w="707"/>
        <w:gridCol w:w="17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June 30, 2025.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June 30,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June 30, 2025. In addition, during the three and six months ended June 30, 2025 the conditions allowing holders of the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fundamental change (as defined in the relevant indentures governing the Notes) prior to the relevant maturity date, holders of the relevant series of Notes may require the Company to repurchase all or a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Notes as of June 30, 2025 and December 31, 2024.</w:t>
      </w:r>
    </w:p>
    <w:p>
      <w:pPr>
        <w:pStyle w:val="TextBody"/>
        <w:bidi w:val="0"/>
        <w:spacing w:before="0" w:after="0"/>
        <w:ind w:left="0" w:right="0" w:firstLine="495"/>
        <w:jc w:val="left"/>
        <w:rPr/>
      </w:pPr>
      <w:r>
        <w:rPr/>
      </w:r>
    </w:p>
    <w:tbl>
      <w:tblPr>
        <w:tblW w:w="6208" w:type="dxa"/>
        <w:jc w:val="left"/>
        <w:tblInd w:w="0" w:type="dxa"/>
        <w:tblLayout w:type="fixed"/>
        <w:tblCellMar>
          <w:top w:w="28" w:type="dxa"/>
          <w:left w:w="28" w:type="dxa"/>
          <w:bottom w:w="28" w:type="dxa"/>
          <w:right w:w="28" w:type="dxa"/>
        </w:tblCellMar>
      </w:tblPr>
      <w:tblGrid>
        <w:gridCol w:w="852"/>
        <w:gridCol w:w="747"/>
        <w:gridCol w:w="756"/>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and 2024, the Company recognized $0.5 million and $0.6 million in interest expense for the 2026 Notes and $0.4 million and $0.4 million in interest expense for the 2028 Notes, respectively, with such interest expense solely consisting of amortization of issuance costs. During the six months ended June 30, 2025 and 2024, the Company recognized $1.1 million and $1.1 million in interest expense for the 2026 Notes and $0.7 million and $0.8 million in interest expense for the 2028 Notes, respectively, with such interest expense solely consisting of amortization of issuance costs. The effective interest rate for the 2026 Notes and the 2028 Notes was 0.32% and 0.22%, respectively, as of June 30,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on the Company's convertible debt are as follows:</w:t>
      </w:r>
    </w:p>
    <w:p>
      <w:pPr>
        <w:pStyle w:val="TextBody"/>
        <w:bidi w:val="0"/>
        <w:spacing w:before="0" w:after="0"/>
        <w:ind w:left="0" w:right="0" w:firstLine="495"/>
        <w:jc w:val="left"/>
        <w:rPr/>
      </w:pPr>
      <w:r>
        <w:rPr/>
      </w:r>
    </w:p>
    <w:tbl>
      <w:tblPr>
        <w:tblW w:w="3269" w:type="dxa"/>
        <w:jc w:val="left"/>
        <w:tblInd w:w="0" w:type="dxa"/>
        <w:tblLayout w:type="fixed"/>
        <w:tblCellMar>
          <w:top w:w="28" w:type="dxa"/>
          <w:left w:w="28" w:type="dxa"/>
          <w:bottom w:w="28" w:type="dxa"/>
          <w:right w:w="28" w:type="dxa"/>
        </w:tblCellMar>
      </w:tblPr>
      <w:tblGrid>
        <w:gridCol w:w="608"/>
        <w:gridCol w:w="534"/>
        <w:gridCol w:w="538"/>
        <w:gridCol w:w="295"/>
        <w:gridCol w:w="1076"/>
        <w:gridCol w:w="218"/>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Convertible Debt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offering of the Notes, the Company entered into convertible note hedge transactions with certain counterparties whereby the Company had the option to purchase a total of approximately 18.2 million shares for note hedges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June 30, 2025,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June 30, 2025,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Taken together, the purchase of the Note Hedges and the sale of the Warrants are intended to reduce potential dilution from the conversion of the 2026 Notes and the 2028 Notes and/or reduce any cash payments the Company is required to make in excess of the principal amount of such converted Notes, as the case may be,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8.Leases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datacenters and finance leases for infrastructure and computer equipment. The Company’s leases have remaining lease terms of under 1 year to 11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subleases for several floors of its corporate offices. The Company classifies its subleases as operating leases. The subleases have remaining lease terms of under 1 year to 8 years, some of which include tenant options to extend the sublease for up to approximately 4 years. Sublease income, which is recorded as a reduction of rental expense,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$2.5 million and $5.5 million during the three and six months ended June 30, 2025, and $3.5 million and $7.0 million during the three and six months ended June 30, 2024, respectively.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June 30, 2025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non-cancelable rent payments from the Company's subtenants as of June 30, 2025 were as follows:</w:t>
      </w:r>
    </w:p>
    <w:p>
      <w:pPr>
        <w:pStyle w:val="TextBody"/>
        <w:bidi w:val="0"/>
        <w:spacing w:before="0" w:after="0"/>
        <w:ind w:left="0" w:right="0" w:firstLine="450"/>
        <w:jc w:val="left"/>
        <w:rPr/>
      </w:pPr>
      <w:r>
        <w:rPr/>
      </w:r>
    </w:p>
    <w:tbl>
      <w:tblPr>
        <w:tblW w:w="4903" w:type="dxa"/>
        <w:jc w:val="left"/>
        <w:tblInd w:w="0" w:type="dxa"/>
        <w:tblLayout w:type="fixed"/>
        <w:tblCellMar>
          <w:top w:w="28" w:type="dxa"/>
          <w:left w:w="28" w:type="dxa"/>
          <w:bottom w:w="28" w:type="dxa"/>
          <w:right w:w="28" w:type="dxa"/>
        </w:tblCellMar>
      </w:tblPr>
      <w:tblGrid>
        <w:gridCol w:w="1210"/>
        <w:gridCol w:w="1063"/>
        <w:gridCol w:w="1071"/>
        <w:gridCol w:w="374"/>
        <w:gridCol w:w="909"/>
        <w:gridCol w:w="276"/>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sublease rent payments, net</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2017, the Company signed a 15 year lease agreement for office space in San Francisco, California, to serve as its corporate headquarters which commenced in 2018. The Company's obligations under the lease are supported by a $17.5 million letter of credit, which is secured by cash collateral. As of June 30, 2025, the Company's remaining minimum obligation under the lease for its headquarters was $146.3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2020, the Company moved to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total impairment charges of $2.6 million during the three and six months ended June 30, 2025 and did not recognize any impairment charges during the three and six months ended June 30, 2024 .</w:t>
      </w:r>
    </w:p>
    <w:p>
      <w:pPr>
        <w:pStyle w:val="TextBody"/>
        <w:bidi w:val="0"/>
        <w:spacing w:before="0" w:after="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$44.3 million in commitments for leases that have not yet commenced, and therefore are not included in the right-of-use asset or lease liability. These leases will commence in 2025, with lease terms of 6 to 7 years.</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Other commitments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0"/>
        </w:rPr>
        <w:t>Note 10.</w:t>
      </w:r>
      <w:r>
        <w:rPr>
          <w:color w:val="000000"/>
        </w:rPr>
        <w:t xml:space="preserve"> </w:t>
      </w:r>
      <w:r>
        <w:rPr>
          <w:rFonts w:ascii="Times New Roman;serif" w:hAnsi="Times New Roman;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850" w:type="dxa"/>
        <w:jc w:val="center"/>
        <w:tblInd w:w="0" w:type="dxa"/>
        <w:tblLayout w:type="fixed"/>
        <w:tblCellMar>
          <w:top w:w="28" w:type="dxa"/>
          <w:left w:w="28" w:type="dxa"/>
          <w:bottom w:w="28" w:type="dxa"/>
          <w:right w:w="28" w:type="dxa"/>
        </w:tblCellMar>
      </w:tblPr>
      <w:tblGrid>
        <w:gridCol w:w="1261"/>
        <w:gridCol w:w="1107"/>
        <w:gridCol w:w="1112"/>
        <w:gridCol w:w="287"/>
        <w:gridCol w:w="839"/>
        <w:gridCol w:w="148"/>
        <w:gridCol w:w="109"/>
        <w:gridCol w:w="109"/>
        <w:gridCol w:w="109"/>
        <w:gridCol w:w="380"/>
        <w:gridCol w:w="1110"/>
        <w:gridCol w:w="27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 payable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other external fees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indemnification holdbacks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and current liabilities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Note 11.Stockholders’ Deficit</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had authorized 2,400.0 million shares of Class A common stock, 475.0 million shares of Class B common stock, and 800.0 million shares of Class C common stock, each at par value of $0.00001. Holders of Class B common stock voluntarily converted 0.3 million and 0.9 million shares during the three and six months ended June 30, 2025, respectively. Holders of Class B common stock voluntarily converted 0.3 million and 1.0 million shares during the three and six months ended June 30, 2024,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As of June 30, 2025, 190.8 million shares of Class A common stock, 76.6 million shares of Class B common stock, and no shares of Class C common stock were issued and outstanding. As of December 31, 2024, 218.4 million shares of Class A common stock, 77.5 million shares of Class B common stock, and no shares of Class C common stock were issued and outstanding. Class A shares issued and outstanding as of June 30, 2025 and December 31, 2024 exclude unvested restricted stock awards granted to certain executives. Class A shares issued and outstanding also exclude 8.3 million unvested restricted stock awards granted to one of the Company's co-founders as of June 30, 2025 and December 31, 2024, resp</w:t>
      </w:r>
      <w:r>
        <w:rPr>
          <w:rFonts w:ascii="Times New Roman;serif" w:hAnsi="Times New Roman;serif"/>
          <w:b w:val="false"/>
          <w:color w:val="000000"/>
          <w:sz w:val="20"/>
          <w:shd w:fill="FFFFFF" w:val="clear"/>
        </w:rPr>
        <w:t xml:space="preserve">ectively. See "Co-Founder Grant" section below for additional information.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pPr>
      <w:r>
        <w:rPr>
          <w:rFonts w:ascii="Times New Roman;serif" w:hAnsi="Times New Roman;serif"/>
          <w:b w:val="false"/>
          <w:color w:val="000000"/>
          <w:sz w:val="20"/>
        </w:rPr>
        <w:t>In February 2022, the Board of Directors authorized a $1.2 billion share repurchase program, which the Company completed during the three months ended March 31, 2024. In July 2023, the Board of Directors authorized an additional $1.2 billion share repurchase program, which the Company completed during the three months ended March 31, 2025. In December 2024, the Board of Directors authorized a third $1.2 billion share repurchase program, under which the Company continues to repurchase shares.</w:t>
      </w:r>
      <w:r>
        <w:rPr>
          <w:color w:val="000000"/>
          <w:shd w:fill="FFFFFF" w:val="clear"/>
        </w:rPr>
        <w:t xml:space="preserve"> </w:t>
      </w:r>
      <w:r>
        <w:rPr>
          <w:rFonts w:ascii="Times New Roman;serif" w:hAnsi="Times New Roman;serif"/>
          <w:b w:val="false"/>
          <w:color w:val="000000"/>
          <w:sz w:val="20"/>
          <w:shd w:fill="FFFFFF" w:val="clear"/>
        </w:rPr>
        <w:t>Share repurchases are made from time-to-time in private transactions or open market purchases, as permitted by securities laws and other legal requiremen</w:t>
      </w:r>
      <w:r>
        <w:rPr>
          <w:rFonts w:ascii="Times New Roman;serif" w:hAnsi="Times New Roman;serif"/>
          <w:b w:val="false"/>
          <w:color w:val="000000"/>
          <w:sz w:val="20"/>
        </w:rPr>
        <w:t>ts and are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During the three and six months ended June 30, 2025, the Company repurchased and subsequently retired 14.2 million and 32.2 million shares of its Class A common stock, for aggregate amounts of $403.0 million and $907.0 million,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During the three and six months ended June 30, 2024, the Company repurchased and subsequently retired 11.3 million and 22.4 million shares of its Class A common stock, for aggregate amounts of $262.2 million and $543.8 million, respectively</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 xml:space="preserve">three and six months ended June 30, 2025 and 2024, </w:t>
      </w:r>
      <w:r>
        <w:rPr>
          <w:rFonts w:ascii="Times New Roman;serif" w:hAnsi="Times New Roman;serif"/>
          <w:b w:val="false"/>
          <w:color w:val="000000"/>
          <w:sz w:val="20"/>
          <w:shd w:fill="FFFFFF" w:val="clear"/>
        </w:rPr>
        <w:t xml:space="preserve">the 1% excise tax imposed as part of the Inflation Reduction Act is </w:t>
      </w: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ncluded in the cost of treasury stock acquired pursuant to common share repurchases. Additionally, repurchases during the </w:t>
      </w:r>
      <w:r>
        <w:rPr>
          <w:rFonts w:ascii="Times New Roman;serif" w:hAnsi="Times New Roman;serif"/>
          <w:b w:val="false"/>
          <w:color w:val="000000"/>
          <w:sz w:val="20"/>
        </w:rPr>
        <w:t>three and 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included repurchase execution costs incurred in connection with the Company’s share repurchase program.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June 30, 2025, there were </w:t>
      </w:r>
      <w:r>
        <w:rPr>
          <w:rFonts w:ascii="Times New Roman;serif" w:hAnsi="Times New Roman;serif"/>
          <w:b w:val="false"/>
          <w:color w:val="000000"/>
          <w:sz w:val="20"/>
        </w:rPr>
        <w:t>27.8</w:t>
      </w:r>
      <w:r>
        <w:rPr>
          <w:color w:val="000000"/>
          <w:shd w:fill="FFFFFF" w:val="clear"/>
        </w:rPr>
        <w:t xml:space="preserve"> </w:t>
      </w:r>
      <w:r>
        <w:rPr>
          <w:rFonts w:ascii="Times New Roman;serif" w:hAnsi="Times New Roman;serif"/>
          <w:b w:val="false"/>
          <w:color w:val="000000"/>
          <w:sz w:val="20"/>
          <w:shd w:fill="FFFFFF" w:val="clear"/>
        </w:rPr>
        <w:t xml:space="preserve">million stock-based awards issued and outstanding and </w:t>
      </w:r>
      <w:r>
        <w:rPr>
          <w:rFonts w:ascii="Times New Roman;serif" w:hAnsi="Times New Roman;serif"/>
          <w:b w:val="false"/>
          <w:color w:val="000000"/>
          <w:sz w:val="20"/>
        </w:rPr>
        <w:t>131.8</w:t>
      </w:r>
      <w:r>
        <w:rPr>
          <w:color w:val="000000"/>
          <w:shd w:fill="FFFFFF" w:val="clear"/>
        </w:rPr>
        <w:t xml:space="preserve"> </w:t>
      </w:r>
      <w:r>
        <w:rPr>
          <w:rFonts w:ascii="Times New Roman;serif" w:hAnsi="Times New Roman;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and restricted stock activity for the Plans was as follows for the six months ended June 30, 2025: </w:t>
      </w:r>
    </w:p>
    <w:p>
      <w:pPr>
        <w:pStyle w:val="TextBody"/>
        <w:bidi w:val="0"/>
        <w:spacing w:before="0" w:after="0"/>
        <w:ind w:left="0" w:right="0" w:firstLine="495"/>
        <w:jc w:val="left"/>
        <w:rPr/>
      </w:pPr>
      <w:r>
        <w:rPr/>
      </w:r>
    </w:p>
    <w:tbl>
      <w:tblPr>
        <w:tblW w:w="10415" w:type="dxa"/>
        <w:jc w:val="center"/>
        <w:tblInd w:w="0" w:type="dxa"/>
        <w:tblLayout w:type="fixed"/>
        <w:tblCellMar>
          <w:top w:w="28" w:type="dxa"/>
          <w:left w:w="28" w:type="dxa"/>
          <w:bottom w:w="28" w:type="dxa"/>
          <w:right w:w="28" w:type="dxa"/>
        </w:tblCellMar>
      </w:tblPr>
      <w:tblGrid>
        <w:gridCol w:w="446"/>
        <w:gridCol w:w="392"/>
        <w:gridCol w:w="393"/>
        <w:gridCol w:w="375"/>
        <w:gridCol w:w="375"/>
        <w:gridCol w:w="376"/>
        <w:gridCol w:w="109"/>
        <w:gridCol w:w="109"/>
        <w:gridCol w:w="109"/>
        <w:gridCol w:w="360"/>
        <w:gridCol w:w="360"/>
        <w:gridCol w:w="361"/>
        <w:gridCol w:w="109"/>
        <w:gridCol w:w="109"/>
        <w:gridCol w:w="109"/>
        <w:gridCol w:w="244"/>
        <w:gridCol w:w="590"/>
        <w:gridCol w:w="127"/>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w:t>
              <w:br/>
              <w:t>outstanding</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fair value</w:t>
              <w:br/>
              <w:t>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at June 30, 2025</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pre-tax intrinsic value of options exercised during the three and six months ended June 30, 2025 and 2024:</w:t>
      </w:r>
    </w:p>
    <w:p>
      <w:pPr>
        <w:pStyle w:val="TextBody"/>
        <w:bidi w:val="0"/>
        <w:spacing w:before="0" w:after="0"/>
        <w:ind w:left="0" w:right="0" w:firstLine="495"/>
        <w:jc w:val="left"/>
        <w:rPr/>
      </w:pPr>
      <w:r>
        <w:rPr/>
      </w:r>
    </w:p>
    <w:tbl>
      <w:tblPr>
        <w:tblW w:w="6990" w:type="dxa"/>
        <w:jc w:val="left"/>
        <w:tblInd w:w="0" w:type="dxa"/>
        <w:tblLayout w:type="fixed"/>
        <w:tblCellMar>
          <w:top w:w="28" w:type="dxa"/>
          <w:left w:w="28" w:type="dxa"/>
          <w:bottom w:w="28" w:type="dxa"/>
          <w:right w:w="28" w:type="dxa"/>
        </w:tblCellMar>
      </w:tblPr>
      <w:tblGrid>
        <w:gridCol w:w="1076"/>
        <w:gridCol w:w="945"/>
        <w:gridCol w:w="948"/>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Intrinsic value of options exercised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June 30, 2025, unamortized stock-based compensation related to unvested stock options, restricted stock awards, and RSUs was </w:t>
      </w:r>
      <w:r>
        <w:rPr>
          <w:rFonts w:ascii="Times New Roman;serif" w:hAnsi="Times New Roman;serif"/>
          <w:b w:val="false"/>
          <w:color w:val="000000"/>
          <w:sz w:val="20"/>
        </w:rPr>
        <w:t>$682.8</w:t>
      </w:r>
      <w:r>
        <w:rPr>
          <w:color w:val="000000"/>
          <w:shd w:fill="FFFFFF" w:val="clear"/>
        </w:rPr>
        <w:t xml:space="preserve"> </w:t>
      </w:r>
      <w:r>
        <w:rPr>
          <w:rFonts w:ascii="Times New Roman;serif" w:hAnsi="Times New Roman;serif"/>
          <w:b w:val="false"/>
          <w:color w:val="000000"/>
          <w:sz w:val="20"/>
          <w:shd w:fill="FFFFFF" w:val="clear"/>
        </w:rPr>
        <w:t>millio</w:t>
      </w:r>
      <w:r>
        <w:rPr>
          <w:rFonts w:ascii="Times New Roman;serif" w:hAnsi="Times New Roman;serif"/>
          <w:b w:val="false"/>
          <w:color w:val="000000"/>
          <w:sz w:val="20"/>
        </w:rPr>
        <w:t>n. The weighted-average period over which such compensation expense will be recognized if the requisite service is provided is approximately 2.8 years as of June 30, 2025.</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Co-Founder Grant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2017, the Board of Directors approved the Co-Founder Grant, consisting of 10.3 million shares of Class A common stock in the form of RSAs granted to Drew Houston, the Company’s co-founder and 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Co-Founder Grant vests over ten years following the Company’s IPO, based on the achievement of stock price targets during a consecutive thirty-day trading period within the Performance Period, which began on January 1, 2019.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no stock-based compensation expense related to the Co-Founder Grant during the three and six months ended June 30, 2025, and $0.7 million and $1.8 million during the three and six months ended June 30, 2024. The stock-based compensation expense related to the Co-Founder Grant was fully recognized by the fourth quarter of 2024.</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7299" w:type="dxa"/>
        <w:jc w:val="center"/>
        <w:tblInd w:w="0" w:type="dxa"/>
        <w:tblLayout w:type="fixed"/>
        <w:tblCellMar>
          <w:top w:w="28" w:type="dxa"/>
          <w:left w:w="28" w:type="dxa"/>
          <w:bottom w:w="28" w:type="dxa"/>
          <w:right w:w="28" w:type="dxa"/>
        </w:tblCellMar>
      </w:tblPr>
      <w:tblGrid>
        <w:gridCol w:w="1019"/>
        <w:gridCol w:w="897"/>
        <w:gridCol w:w="903"/>
        <w:gridCol w:w="255"/>
        <w:gridCol w:w="256"/>
        <w:gridCol w:w="208"/>
        <w:gridCol w:w="208"/>
        <w:gridCol w:w="208"/>
        <w:gridCol w:w="208"/>
        <w:gridCol w:w="307"/>
        <w:gridCol w:w="309"/>
        <w:gridCol w:w="208"/>
        <w:gridCol w:w="109"/>
        <w:gridCol w:w="109"/>
        <w:gridCol w:w="109"/>
        <w:gridCol w:w="255"/>
        <w:gridCol w:w="256"/>
        <w:gridCol w:w="178"/>
        <w:gridCol w:w="178"/>
        <w:gridCol w:w="178"/>
        <w:gridCol w:w="178"/>
        <w:gridCol w:w="255"/>
        <w:gridCol w:w="256"/>
        <w:gridCol w:w="252"/>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awards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Grant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Note 13.</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Company computed the year-to-date income tax provision by applying the estimated annual effective tax rate to the year-to-date pre-tax income and adjusting for discrete tax items in the period. The Company's provision for income taxes was</w:t>
      </w:r>
      <w:r>
        <w:rPr>
          <w:color w:val="000000"/>
          <w:shd w:fill="FFFFFF" w:val="clear"/>
        </w:rPr>
        <w:t xml:space="preserve"> </w:t>
      </w:r>
      <w:r>
        <w:rPr>
          <w:rFonts w:ascii="Times New Roman;serif" w:hAnsi="Times New Roman;serif"/>
          <w:b w:val="false"/>
          <w:color w:val="000000"/>
          <w:sz w:val="20"/>
          <w:shd w:fill="FFFFFF" w:val="clear"/>
        </w:rPr>
        <w:t xml:space="preserve">$22.2 million and </w:t>
      </w:r>
      <w:r>
        <w:rPr>
          <w:rFonts w:ascii="Times New Roman;serif" w:hAnsi="Times New Roman;serif"/>
          <w:b w:val="false"/>
          <w:color w:val="000000"/>
          <w:sz w:val="20"/>
        </w:rPr>
        <w:t>$41.4 million</w:t>
      </w:r>
      <w:r>
        <w:rPr>
          <w:color w:val="000000"/>
          <w:shd w:fill="FFFFFF" w:val="clear"/>
        </w:rPr>
        <w:t xml:space="preserve"> </w:t>
      </w:r>
      <w:r>
        <w:rPr>
          <w:rFonts w:ascii="Times New Roman;serif" w:hAnsi="Times New Roman;serif"/>
          <w:b w:val="false"/>
          <w:color w:val="000000"/>
          <w:sz w:val="20"/>
        </w:rPr>
        <w:t>for the three and six months ended June 30, 2025, respectively, and $23.1 million and $41.9 million for the three and six months ended June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the difference between the U.S. statutory rate and the Company's effective tax rate was primarily due to the jurisdictional mix of earnings, tax credits, and state 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2025, the Company continues to maintain valuation allowances against its deferred tax assets in certain states and one foreign jurisdiction.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subject to income tax audits in the U.S. and foreign jurisdictions. The Company records liabilities related to uncertain tax positions and believes that it has provided adequate reserves for income tax uncertainties in all open tax years.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Unrecognized tax benefits increased by $9.4 million</w:t>
      </w:r>
      <w:r>
        <w:rPr>
          <w:color w:val="000000"/>
        </w:rPr>
        <w:t xml:space="preserve"> </w:t>
      </w:r>
      <w:r>
        <w:rPr>
          <w:rFonts w:ascii="Times New Roman;serif" w:hAnsi="Times New Roman;serif"/>
          <w:b w:val="false"/>
          <w:color w:val="000000"/>
          <w:sz w:val="20"/>
        </w:rPr>
        <w:t>during the six months ended June 30, 2025. The increase was driven by a gross increase in unrecognized tax benefits related to tax positions taken in the period, of which $7.5 million, if recognized, would affect the Company's effective tax rate and $1.9 million would result in adjustment to deferred tax assets with corresponding adjustments to the valuation allowance.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DROPBOX,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Segment Information and Geographic Areas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the Chief Executive Officer, manages the Company's business activities as a single operating and reportable segment at the consolidated level. Accordingly, the CODM uses consolidated net income, as reported on the consolidated statements of operations, to allocate resources as part of the annual planning process and to assess the performance of the Company's single reportable segment, primarily by monitoring actual results versus the annual plan.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 which are disclosed in Note 4 "Property and Equipment, Net" and Note 5 "Intangible Assets", respectively. Other segment items consist of interest (expense) income, net, other (expense) income, net, and provision for income taxes, as presented in the condensed consolidated statements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CODM does not evaluate segment performance using balance sheet information.</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Geographic Areas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Long-lived assets and revenue by geographic region, based on the physical location of the operations recording the asset or the sale, are as follows:</w:t>
      </w:r>
    </w:p>
    <w:p>
      <w:pPr>
        <w:pStyle w:val="TextBody"/>
        <w:bidi w:val="0"/>
        <w:spacing w:lineRule="auto" w:line="288" w:before="240" w:after="120"/>
        <w:ind w:left="0" w:right="0" w:firstLine="495"/>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6265" w:type="dxa"/>
        <w:jc w:val="center"/>
        <w:tblInd w:w="0" w:type="dxa"/>
        <w:tblLayout w:type="fixed"/>
        <w:tblCellMar>
          <w:top w:w="28" w:type="dxa"/>
          <w:left w:w="28" w:type="dxa"/>
          <w:bottom w:w="28" w:type="dxa"/>
          <w:right w:w="28" w:type="dxa"/>
        </w:tblCellMar>
      </w:tblPr>
      <w:tblGrid>
        <w:gridCol w:w="1051"/>
        <w:gridCol w:w="919"/>
        <w:gridCol w:w="925"/>
        <w:gridCol w:w="287"/>
        <w:gridCol w:w="839"/>
        <w:gridCol w:w="148"/>
        <w:gridCol w:w="109"/>
        <w:gridCol w:w="109"/>
        <w:gridCol w:w="109"/>
        <w:gridCol w:w="380"/>
        <w:gridCol w:w="1110"/>
        <w:gridCol w:w="279"/>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 xml:space="preserve">No single country other than the United States had a property and equipment balance greater than 10% of total property and equipment, net, as of June 30, 2025 and December 31, 2024. </w:t>
      </w:r>
    </w:p>
    <w:p>
      <w:pPr>
        <w:pStyle w:val="TextBody"/>
        <w:bidi w:val="0"/>
        <w:spacing w:before="60" w:after="283"/>
        <w:jc w:val="left"/>
        <w:rPr/>
      </w:pPr>
      <w:r>
        <w:rPr/>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geography is generally based on the address of the customer as defined in the Company’s subscription agreement. The following table sets forth revenue by geographic area for the three and six months ended June 30, 2025 and 2024. </w:t>
      </w:r>
    </w:p>
    <w:tbl>
      <w:tblPr>
        <w:tblW w:w="6450" w:type="dxa"/>
        <w:jc w:val="center"/>
        <w:tblInd w:w="0" w:type="dxa"/>
        <w:tblLayout w:type="fixed"/>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No single country outside of the United States accounted for more than 10% of total revenue during the three and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By solving these universal problems, we’ve become invaluable to our users. The popularity of our platform allows us to scale efficiently. We’ve built a thriving global business with 18.13 million paying users.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Subscription Plans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individuals, families, teams, and organizations by selling subscriptions to our platform, which serve the varying needs of our diverse customer base. Our subscriptions include individual licenses through our Plus, Professional or Essentials plans, or multiple licenses through our Family plan or our Standard, Advanced, Business, Business Plus and Enterprise team plans. We also offer Dash for Business, our AI-powered universal search tool, which we offer to teams at an additional cost.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premium subscription plans, such as Professional and Advanced, provide more functionality than our other subscription plans and have higher per user prices. Our Standard, Advanced, Business and Business Plus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 We made the strategic decision to significantly reduce investments in FormSwift at the beginning of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Our Customers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offer a range of paid subscription plans, from Plus,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Impact of Macroeconomic and Geopolitical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our overall performance remained in line with expectations, with business trends reflecting the continued impact of macroeconomic conditions. We saw meaningful improvements in customer retention and engagement across both Individual and Teams plans. While Teams performance improved, it continues to be affected by cautious customer spend amid broader macroeconomic uncertainty. DocSend delivered strong year-over-year growth, while both Sign and FormSwift performed in line with expectations amid a competitive and cost-conscious environment.</w:t>
      </w:r>
    </w:p>
    <w:p>
      <w:pPr>
        <w:pStyle w:val="TextBody"/>
        <w:bidi w:val="0"/>
        <w:spacing w:before="0" w:after="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Reduction in Workforce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we announced a reduction of our global workforce by approximately 20% to streamline our team structure to better align with our long-term growth and profitability objectives. During the three and six months ended June 30, 2025, we incurred $1.2 million and $3.5 million, respectively, of expenses related to severance, benefits, and other related items.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Total annual recurring 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ARR fluctuates and may decrease in some periods as compared to prior periods. In the near term, ARR has experienced and may continue to experience a slight decline, reflecting our strategic decision to significantly reduce investments in FormSwift at the beginning of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ARR decreased for the period ended June 30, 2025, compared to the periods ended December 31, 2024 and June 30, 2024, primarily driven by our strategic decision to significantly reduce our investment in FormSwift at the beginning of 2025 and a challenging operating environment across our Teams plans.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tables set forth our Total ARR using the exchange rates set at the beginning of the applicable year, as well as on a constant currency basis relative to the exchange rates used in 2025.</w:t>
      </w:r>
    </w:p>
    <w:p>
      <w:pPr>
        <w:pStyle w:val="TextBody"/>
        <w:bidi w:val="0"/>
        <w:spacing w:before="0" w:after="0"/>
        <w:ind w:left="0" w:right="0" w:firstLine="495"/>
        <w:jc w:val="left"/>
        <w:rPr/>
      </w:pPr>
      <w:r>
        <w:rPr/>
      </w:r>
    </w:p>
    <w:tbl>
      <w:tblPr>
        <w:tblW w:w="5976" w:type="dxa"/>
        <w:jc w:val="center"/>
        <w:tblInd w:w="0" w:type="dxa"/>
        <w:tblLayout w:type="fixed"/>
        <w:tblCellMar>
          <w:top w:w="28" w:type="dxa"/>
          <w:left w:w="28" w:type="dxa"/>
          <w:bottom w:w="28" w:type="dxa"/>
          <w:right w:w="28" w:type="dxa"/>
        </w:tblCellMar>
      </w:tblPr>
      <w:tblGrid>
        <w:gridCol w:w="363"/>
        <w:gridCol w:w="320"/>
        <w:gridCol w:w="322"/>
        <w:gridCol w:w="424"/>
        <w:gridCol w:w="424"/>
        <w:gridCol w:w="426"/>
        <w:gridCol w:w="109"/>
        <w:gridCol w:w="109"/>
        <w:gridCol w:w="109"/>
        <w:gridCol w:w="574"/>
        <w:gridCol w:w="574"/>
        <w:gridCol w:w="576"/>
        <w:gridCol w:w="109"/>
        <w:gridCol w:w="109"/>
        <w:gridCol w:w="109"/>
        <w:gridCol w:w="384"/>
        <w:gridCol w:w="384"/>
        <w:gridCol w:w="55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w:t>
            </w:r>
          </w:p>
        </w:tc>
      </w:tr>
    </w:tbl>
    <w:p>
      <w:pPr>
        <w:pStyle w:val="TextBody"/>
        <w:bidi w:val="0"/>
        <w:spacing w:before="0" w:after="0"/>
        <w:ind w:left="0" w:right="0" w:firstLine="495"/>
        <w:jc w:val="center"/>
        <w:rPr/>
      </w:pPr>
      <w:r>
        <w:rPr/>
      </w:r>
    </w:p>
    <w:tbl>
      <w:tblPr>
        <w:tblW w:w="6695" w:type="dxa"/>
        <w:jc w:val="center"/>
        <w:tblInd w:w="0" w:type="dxa"/>
        <w:tblLayout w:type="fixed"/>
        <w:tblCellMar>
          <w:top w:w="28" w:type="dxa"/>
          <w:left w:w="28" w:type="dxa"/>
          <w:bottom w:w="28" w:type="dxa"/>
          <w:right w:w="28" w:type="dxa"/>
        </w:tblCellMar>
      </w:tblPr>
      <w:tblGrid>
        <w:gridCol w:w="624"/>
        <w:gridCol w:w="548"/>
        <w:gridCol w:w="552"/>
        <w:gridCol w:w="424"/>
        <w:gridCol w:w="424"/>
        <w:gridCol w:w="426"/>
        <w:gridCol w:w="109"/>
        <w:gridCol w:w="109"/>
        <w:gridCol w:w="109"/>
        <w:gridCol w:w="574"/>
        <w:gridCol w:w="574"/>
        <w:gridCol w:w="576"/>
        <w:gridCol w:w="109"/>
        <w:gridCol w:w="109"/>
        <w:gridCol w:w="109"/>
        <w:gridCol w:w="384"/>
        <w:gridCol w:w="384"/>
        <w:gridCol w:w="551"/>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Constant Currency</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r>
    </w:tbl>
    <w:p>
      <w:pPr>
        <w:pStyle w:val="TextBody"/>
        <w:bidi w:val="0"/>
        <w:spacing w:before="0" w:after="120"/>
        <w:ind w:left="0" w:right="0" w:firstLine="495"/>
        <w:jc w:val="left"/>
        <w:rPr/>
      </w:pPr>
      <w:r>
        <w:rPr/>
      </w:r>
    </w:p>
    <w:p>
      <w:pPr>
        <w:pStyle w:val="TextBody"/>
        <w:bidi w:val="0"/>
        <w:spacing w:before="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Paying users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DocSend, FormSwift and Reclaim, we define paying users as the number of users who have active paid licenses for access to our platform as of the end of the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number of paying users as of June 30, 2025 declined as compared to December 31, 2024 and June 30, 2024, largely from a decrease in paying users due to our strategic decision to significantly reduce our investments in FormSwift at the beginning of 2025 and a challenging operating environment across our Teams plans. We expect that the total number of paying users will continue to fluctuate from period to period and may continue to decrease in some periods as compared to prior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sets forth the number of paying users as of June 30, 2025, December 31, 2024, and June 30, 2024. </w:t>
      </w:r>
    </w:p>
    <w:p>
      <w:pPr>
        <w:pStyle w:val="TextBody"/>
        <w:bidi w:val="0"/>
        <w:spacing w:before="0" w:after="0"/>
        <w:ind w:left="0" w:right="0" w:firstLine="495"/>
        <w:jc w:val="left"/>
        <w:rPr/>
      </w:pPr>
      <w:r>
        <w:rPr/>
      </w:r>
    </w:p>
    <w:tbl>
      <w:tblPr>
        <w:tblW w:w="6110" w:type="dxa"/>
        <w:jc w:val="left"/>
        <w:tblInd w:w="0" w:type="dxa"/>
        <w:tblLayout w:type="fixed"/>
        <w:tblCellMar>
          <w:top w:w="28" w:type="dxa"/>
          <w:left w:w="28" w:type="dxa"/>
          <w:bottom w:w="28" w:type="dxa"/>
          <w:right w:w="28" w:type="dxa"/>
        </w:tblCellMar>
      </w:tblPr>
      <w:tblGrid>
        <w:gridCol w:w="412"/>
        <w:gridCol w:w="363"/>
        <w:gridCol w:w="364"/>
        <w:gridCol w:w="424"/>
        <w:gridCol w:w="424"/>
        <w:gridCol w:w="426"/>
        <w:gridCol w:w="109"/>
        <w:gridCol w:w="109"/>
        <w:gridCol w:w="109"/>
        <w:gridCol w:w="574"/>
        <w:gridCol w:w="574"/>
        <w:gridCol w:w="576"/>
        <w:gridCol w:w="109"/>
        <w:gridCol w:w="109"/>
        <w:gridCol w:w="109"/>
        <w:gridCol w:w="384"/>
        <w:gridCol w:w="384"/>
        <w:gridCol w:w="551"/>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users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Average revenue per paying user</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average revenue per paying user for the three and six months ended June 30, 2025 declined as compared to the three and six months ended June 30, 2024, as a result of our strategic decision to significantly reduce our investment in FormSwift, an increased mix of sales towards our lower priced plans, and the unfavorable impact of changes in foreign exchange rates across multiple currencies relative to the U.S. dollar.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below table sets forth our ARPU for the three and six months ended June 30, 2025 and 2024.</w:t>
      </w:r>
    </w:p>
    <w:tbl>
      <w:tblPr>
        <w:tblW w:w="5821" w:type="dxa"/>
        <w:jc w:val="left"/>
        <w:tblInd w:w="0" w:type="dxa"/>
        <w:tblLayout w:type="fixed"/>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FCF increased for the six months ended June 30, 2025, compared to the six months ended June 30, 2024, primarily due to an increase in cash provided by operating activities, in addition to a decrease in capital expenditures. The increase in cash provided by operating activities was primarily due to an increase in net income, as adjusted for stock-based compensation and depreciation and amortization expenses, partially offset by an increase in cash outflows from changes in operating assets and liabilities. The increase in cash outflows from operating assets and liabilities was primarily driven by the payment for the third tranche termination fee for the partial termination of our lease for our San Francisco, California corporate headquarters and payments for our 2024 reduction in workforce.</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FCF to generally increase in the near term as we drive operating efficiencies, partly due to our 2024 reduction in workforce. We expect to continue purchasing infrastructure equipment to support our user base and anticipate that our capital expenditures will increase the latter half of 2025. However, we expect overall spend in the future periods to remain consistent with prior years as we continue to invest in our internal infrastructure, network and security. The timing of our operating expenses as described below, may cause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growth is impacted by both the number of paying users and our ability to increase the average revenue per paying user. Our overall paying user growth rate has declined, and we expect growth in paying users to fluctuate from period to period in the future. Given that our revenue and average revenue per paying user have declined, if we do not successfully increase the average revenue per paying user, for example, through pricing and packaging changes or increased sales of our higher-priced subscription plans, or otherwise offset slower growth or declines in paying users, we expect our revenue and revenue growth rate to continue decreasing.</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0"/>
        <w:ind w:left="0" w:right="0" w:firstLine="45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user growth and increased use of our platform. We expect that cost of revenue will increase in absolute dollars in both the near term and long term.</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 xml:space="preserve">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expect gross margin to remain relatively constant in both the near term and long term.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450"/>
        <w:jc w:val="left"/>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employee-related costs for our engineering, product, and design 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research and development costs will decrease in absolute dollars and as a percentage of revenue in both the near term and long term as a result of our 2024 reduction in workforce, partially offset by continued hiring for our engineering,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design teams in roles critical to our future growth initiatives. The trend and timing of research and development expenses will depend in part on the timing for these new hires.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Sales and marketing</w:t>
      </w:r>
      <w:r>
        <w:rPr>
          <w:rFonts w:ascii="Times New Roman;serif" w:hAnsi="Times New Roman;serif"/>
          <w:b w:val="false"/>
          <w:color w:val="000000"/>
          <w:sz w:val="20"/>
        </w:rPr>
        <w:t>. Our sales and marketing expenses relate to both self-serve and outbound sales activities, and consist primarily of employee-related 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sales and marketing expenses will decrease in absolute dollars and as a percentage of revenue in both the near term and long term as a result of our 2024 reduction in workforce, partially offset by continued investment in sales and marketing in the long term, in order to grow our user base and increase our brand awareness. The trend and timing of sales and marketing expenses will depend in part on the timing of marketing campaigns.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Net loss on real estate assets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consists of impairment charges in 2025. See Note 8, "Leases" for additional information.</w:t>
      </w:r>
    </w:p>
    <w:p>
      <w:pPr>
        <w:pStyle w:val="TextBody"/>
        <w:bidi w:val="0"/>
        <w:spacing w:before="20" w:after="283"/>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Subsequent to the term loan issuance in the fourth quarter of 2024, we expect interest (expense) income, net to remain relatively constant in both the near term and the long term, assuming no significant changes in market rates.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 income, net consists of other non-operating gains or losses, including those related to gains or losses on sale of assets, foreign currency transaction gains and losses, lease arrangements, which include sublease income, and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of U.S. federal, state and foreign jurisdiction income taxes. For 2025 and 2024, the difference between the U.S. statutory rate and our effective tax rate is primarily due to the jurisdictional mix of earnings, tax credits, state income taxes, and changes to our unrecognized tax benefits.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While we are still assessing the legislation and its effect on our consolidated financial statements, we anticipate the included provisions that reinstate immediate expensing of research expenditures will reduce our domestic cash tax outflows in 2025. As the legislation was signed into law after the close of our second quarter, the impacts are not included in our operating results for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w:t>
      </w:r>
    </w:p>
    <w:tbl>
      <w:tblPr>
        <w:tblW w:w="7709" w:type="dxa"/>
        <w:jc w:val="left"/>
        <w:tblInd w:w="0" w:type="dxa"/>
        <w:tblLayout w:type="fixed"/>
        <w:tblCellMar>
          <w:top w:w="28" w:type="dxa"/>
          <w:left w:w="28" w:type="dxa"/>
          <w:bottom w:w="28" w:type="dxa"/>
          <w:right w:w="28" w:type="dxa"/>
        </w:tblCellMar>
      </w:tblPr>
      <w:tblGrid>
        <w:gridCol w:w="953"/>
        <w:gridCol w:w="840"/>
        <w:gridCol w:w="84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follows:</w:t>
      </w:r>
    </w:p>
    <w:p>
      <w:pPr>
        <w:pStyle w:val="TextBody"/>
        <w:bidi w:val="0"/>
        <w:spacing w:before="0" w:after="0"/>
        <w:jc w:val="left"/>
        <w:rPr/>
      </w:pPr>
      <w:r>
        <w:rPr/>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2024 reduction in workforce such as severance, benefits and other related items during the three and six months ended June 30, 2025.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lineRule="auto" w:line="26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revenue:</w:t>
      </w:r>
    </w:p>
    <w:tbl>
      <w:tblPr>
        <w:tblW w:w="7271" w:type="dxa"/>
        <w:jc w:val="left"/>
        <w:tblInd w:w="0" w:type="dxa"/>
        <w:tblLayout w:type="fixed"/>
        <w:tblCellMar>
          <w:top w:w="28" w:type="dxa"/>
          <w:left w:w="28" w:type="dxa"/>
          <w:bottom w:w="28" w:type="dxa"/>
          <w:right w:w="28" w:type="dxa"/>
        </w:tblCellMar>
      </w:tblPr>
      <w:tblGrid>
        <w:gridCol w:w="975"/>
        <w:gridCol w:w="859"/>
        <w:gridCol w:w="865"/>
        <w:gridCol w:w="266"/>
        <w:gridCol w:w="200"/>
        <w:gridCol w:w="389"/>
        <w:gridCol w:w="156"/>
        <w:gridCol w:w="156"/>
        <w:gridCol w:w="156"/>
        <w:gridCol w:w="266"/>
        <w:gridCol w:w="200"/>
        <w:gridCol w:w="389"/>
        <w:gridCol w:w="109"/>
        <w:gridCol w:w="109"/>
        <w:gridCol w:w="109"/>
        <w:gridCol w:w="246"/>
        <w:gridCol w:w="220"/>
        <w:gridCol w:w="337"/>
        <w:gridCol w:w="135"/>
        <w:gridCol w:w="135"/>
        <w:gridCol w:w="135"/>
        <w:gridCol w:w="246"/>
        <w:gridCol w:w="220"/>
        <w:gridCol w:w="393"/>
      </w:tblGrid>
      <w:tr>
        <w:trPr/>
        <w:tc>
          <w:tcPr>
            <w:tcW w:w="9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real estate assets</w:t>
            </w:r>
            <w:r>
              <w:rPr>
                <w:rFonts w:ascii="Times New Roman;serif" w:hAnsi="Times New Roman;serif"/>
                <w:b w:val="false"/>
                <w:color w:val="000000"/>
                <w:sz w:val="13"/>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stock-based compensation as a percentage of revenue as follows:</w:t>
      </w:r>
    </w:p>
    <w:p>
      <w:pPr>
        <w:pStyle w:val="TextBody"/>
        <w:bidi w:val="0"/>
        <w:spacing w:before="0" w:after="0"/>
        <w:jc w:val="left"/>
        <w:rPr/>
      </w:pPr>
      <w:r>
        <w:rPr/>
      </w:r>
    </w:p>
    <w:tbl>
      <w:tblPr>
        <w:tblW w:w="6900" w:type="dxa"/>
        <w:jc w:val="center"/>
        <w:tblInd w:w="0" w:type="dxa"/>
        <w:tblLayout w:type="fixed"/>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190"/>
        <w:gridCol w:w="171"/>
        <w:gridCol w:w="337"/>
        <w:gridCol w:w="135"/>
        <w:gridCol w:w="135"/>
        <w:gridCol w:w="135"/>
        <w:gridCol w:w="190"/>
        <w:gridCol w:w="171"/>
        <w:gridCol w:w="393"/>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2024 reduction in workforce such as severance, benefits and other related items during the three and six months ended June 30, 2025. See Note 1, "Description of the Business and Summary of Significant Accounting Policies - Reduction in Workforce" for additional information.</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2025 and 2024</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689"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decreased $8.8 million or 1.4% during the three months ended June 30, 2025, as compared to the three months ended June 30, 2024</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our strategic decision to significantly reduce our investment in FormSwift as well as weakness in Teams plans as a result of churn and fewer customers upgrading, which together contributed to a decrease of $8.1 million in revenue</w:t>
      </w:r>
      <w:r>
        <w:rPr>
          <w:rFonts w:ascii="Times New Roman;serif" w:hAnsi="Times New Roman;serif"/>
          <w:b w:val="false"/>
          <w:color w:val="000000"/>
          <w:sz w:val="20"/>
          <w:shd w:fill="FFFFFF" w:val="clear"/>
        </w:rPr>
        <w:t>. In addition, revenue was negatively impacted by $</w:t>
      </w:r>
      <w:r>
        <w:rPr>
          <w:rFonts w:ascii="Times New Roman;serif" w:hAnsi="Times New Roman;serif"/>
          <w:b w:val="false"/>
          <w:color w:val="000000"/>
          <w:sz w:val="20"/>
        </w:rPr>
        <w:t>0.7</w:t>
      </w:r>
      <w:r>
        <w:rPr>
          <w:color w:val="000000"/>
          <w:shd w:fill="FFFFFF" w:val="clear"/>
        </w:rPr>
        <w:t xml:space="preserve"> </w:t>
      </w:r>
      <w:r>
        <w:rPr>
          <w:rFonts w:ascii="Times New Roman;serif" w:hAnsi="Times New Roman;serif"/>
          <w:b w:val="false"/>
          <w:color w:val="000000"/>
          <w:sz w:val="20"/>
          <w:shd w:fill="FFFFFF" w:val="clear"/>
        </w:rPr>
        <w:t>million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9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55"/>
        <w:gridCol w:w="256"/>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$16.7 million or 15.6% during the three months ended June 30, 2025, as compared to the three months ended June 30, 2024. This increase was primarily driven by a $12.4 million increase in infrastructure costs as we continue to add equipment in support of our datacenter refresh cycle.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decreased during the three months ended June 30, 2025 compared to the three months ended June 30, 2024, primarily due to a 15.6% increase in our cost of revenue, along with a 1.4% decrease in revenue during the period,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26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$42.7 million or 18.8% during the three months ended June 30, 2025, as compared to the three months ended June 30, 2024, primarily due to decreases of $32.6 million in employee-related costs driven by a decrease in headcount and $9.1 million in allocated overhead.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608" w:type="dxa"/>
        <w:jc w:val="left"/>
        <w:tblInd w:w="0" w:type="dxa"/>
        <w:tblLayout w:type="fixed"/>
        <w:tblCellMar>
          <w:top w:w="28" w:type="dxa"/>
          <w:left w:w="28" w:type="dxa"/>
          <w:bottom w:w="28" w:type="dxa"/>
          <w:right w:w="28" w:type="dxa"/>
        </w:tblCellMar>
      </w:tblPr>
      <w:tblGrid>
        <w:gridCol w:w="634"/>
        <w:gridCol w:w="558"/>
        <w:gridCol w:w="562"/>
        <w:gridCol w:w="211"/>
        <w:gridCol w:w="511"/>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$24.7 million or 22.0% during the three months ended June 30, 2025, as compared to the three months ended June 30, 2024, primarily due to a decrease of $18.3 million related to advertising due to our strategic decision to significantly reduce our investments in FormSwift and other marketing related expenses as well as a $5.4 million decrease in employee-related costs driven by a decrease in headcount.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947" w:type="dxa"/>
        <w:jc w:val="left"/>
        <w:tblInd w:w="0" w:type="dxa"/>
        <w:tblLayout w:type="fixed"/>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$2.1 million or 3.4% during the three months ended June 30, 2025, as compared to the three months ended June 30, 2024, primarily due to a decrease of $1.7 million in allocated overhead.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was $2.6 million during the three months ended June 30, 2025 and we did not record any gain or loss on real estate assets during three months ended June 30,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increased by $23.3 million during the three months ended June 30, 2025, as compared to the three months ended June 30, 2024, primarily due interest expense related to our term loan facility entered into in the fourth quarter of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increased by $3.9 million during the three months ended June 30, 2025, as compared to the three months ended June 30, 2024, primarily due to a $3.0 million increase in foreign currency transaction losses.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Provision for income taxes decreased</w:t>
      </w:r>
      <w:r>
        <w:rPr>
          <w:color w:val="000000"/>
        </w:rPr>
        <w:t xml:space="preserve"> </w:t>
      </w:r>
      <w:r>
        <w:rPr>
          <w:rFonts w:ascii="Times New Roman;serif" w:hAnsi="Times New Roman;serif"/>
          <w:b w:val="false"/>
          <w:color w:val="000000"/>
          <w:sz w:val="20"/>
        </w:rPr>
        <w:t>$0.9 million</w:t>
      </w:r>
      <w:r>
        <w:rPr>
          <w:color w:val="000000"/>
          <w:shd w:fill="FFFFFF" w:val="clear"/>
        </w:rPr>
        <w:t xml:space="preserve"> </w:t>
      </w:r>
      <w:r>
        <w:rPr>
          <w:rFonts w:ascii="Times New Roman;serif" w:hAnsi="Times New Roman;serif"/>
          <w:b w:val="false"/>
          <w:color w:val="000000"/>
          <w:sz w:val="20"/>
          <w:shd w:fill="FFFFFF" w:val="clear"/>
        </w:rPr>
        <w:t>during the three months ended June 30, 2025, as compared to the three months ended June 30, 2024,</w:t>
      </w:r>
      <w:r>
        <w:rPr>
          <w:color w:val="000000"/>
        </w:rPr>
        <w:t xml:space="preserve"> </w:t>
      </w:r>
      <w:r>
        <w:rPr>
          <w:rFonts w:ascii="Times New Roman;serif" w:hAnsi="Times New Roman;serif"/>
          <w:b w:val="false"/>
          <w:color w:val="000000"/>
          <w:sz w:val="20"/>
        </w:rPr>
        <w:t>primarily due to a shift in the jurisdictional mix of income between U.S. and foreign operations.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2025 and 2024</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994"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40"/>
        <w:gridCol w:w="240"/>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Revenue decreased $15.4 million or 1.2% during the six months ended June 30, 2025, as compared to the six months ended June 30, 2024</w:t>
      </w:r>
      <w:r>
        <w:rPr>
          <w:color w:val="000000"/>
          <w:shd w:fill="FFFFFF" w:val="clear"/>
        </w:rPr>
        <w:t xml:space="preserve">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our strategic decision to significantly reduce our investment in FormSwift and</w:t>
      </w:r>
      <w:r>
        <w:rPr>
          <w:color w:val="000000"/>
          <w:shd w:fill="FFFFFF" w:val="clear"/>
        </w:rPr>
        <w:t xml:space="preserve"> </w:t>
      </w:r>
      <w:r>
        <w:rPr>
          <w:rFonts w:ascii="Times New Roman;serif" w:hAnsi="Times New Roman;serif"/>
          <w:b w:val="false"/>
          <w:color w:val="000000"/>
          <w:sz w:val="20"/>
          <w:shd w:fill="FFFFFF" w:val="clear"/>
        </w:rPr>
        <w:t>a decrease in paying users in Teams. In addition, revenue was negatively impacted by $</w:t>
      </w:r>
      <w:r>
        <w:rPr>
          <w:rFonts w:ascii="Times New Roman;serif" w:hAnsi="Times New Roman;serif"/>
          <w:b w:val="false"/>
          <w:color w:val="000000"/>
          <w:sz w:val="20"/>
        </w:rPr>
        <w:t>3.5</w:t>
      </w:r>
      <w:r>
        <w:rPr>
          <w:color w:val="000000"/>
          <w:shd w:fill="FFFFFF" w:val="clear"/>
        </w:rPr>
        <w:t> </w:t>
      </w:r>
      <w:r>
        <w:rPr>
          <w:rFonts w:ascii="Times New Roman;serif" w:hAnsi="Times New Roman;serif"/>
          <w:b w:val="false"/>
          <w:color w:val="000000"/>
          <w:sz w:val="20"/>
          <w:shd w:fill="FFFFFF" w:val="clear"/>
        </w:rPr>
        <w:t>million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tbl>
      <w:tblPr>
        <w:tblW w:w="6597"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55"/>
        <w:gridCol w:w="256"/>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increased $27.6 million or 13.0% during the six months ended June 30, 2025, as compared to the six months ended June 30, 2024. This increase was primarily driven by a $23.7 million increase in infrastructure costs as we continue to add equipment in support of our datacenter refresh cycle. Additionally, we saw a smaller depreciation benefit compared to the 2024 period as a result of the change in useful lives from four to five years of certain infrastructure and component assets which was effective January 1, 2024.</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margin decreased during the six months ended June 30, 2025 compared to the six months ended June 30, 2024, primarily due to a 13.0% increase in our cost of revenue, along with a 1.2% decrease in revenue during the period, as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26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$83.4 million or 18.7% during the six months ended June 30, 2025, as compared to the six months ended June 30, 2024, primarily due to decreases of $65.7 million in employee-related costs driven by a decrease in headcount and $15.7 million in allocated overhead.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713"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$41.5 million or 18.8% during the six months ended June 30, 2025, as compared to the six months ended June 30, 2024, primarily due to a decrease of $27.6 million related to advertising due to our strategic decision to significantly reduce our investments in FormSwift and other marketing related expenses as well as a decrease of $11.2 million in employee-related costs driven by a decrease in headcount.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7157"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$2.4 million or 2.1% during the six months ended June 30, 2025, as compared to the six months ended June 30, 2024, primarily due to decreases of $3.0 million in allocated overhead and $1.9 million in employee-related costs driven by a decrease in headcount partially offset by an increase of $0.9 million related to outside services.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 was $2.6 million during the six months ended June 30, 2025 and we did not record any gain or loss on real estate assets during the six months ended June 30,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increased by $45.2 million during the six months ended June 30, 2025, as compared to the six months ended June 30, 2024, primarily due interest expense related to our term loan facility entered into in the fourth quarter of 2024.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 income, net increased $3.9 million during the six months ended June 30, 2025, as compared to the six months ended June 30, 2024, primarily due to a $3.0 million increase in foreign currency transaction losses.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Provision for income taxes decreased</w:t>
      </w:r>
      <w:r>
        <w:rPr>
          <w:color w:val="000000"/>
        </w:rPr>
        <w:t xml:space="preserve">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as compared to the </w:t>
      </w:r>
      <w:r>
        <w:rPr>
          <w:rFonts w:ascii="Times New Roman;serif" w:hAnsi="Times New Roman;serif"/>
          <w:b w:val="false"/>
          <w:color w:val="000000"/>
          <w:sz w:val="20"/>
        </w:rPr>
        <w:t>six months ended June 30, 2024</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primarily due to a shift in the jurisdictional mix of income between U.S. and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$736.3 million and short-term investments of $218.4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June 30, 2025, $375.2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primarily through cash generated from our operations, the Notes issuance, borrowings from our term loan facility,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delayed draw term loan commitments as part of the term loan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2021, we issued approximately $1.4 billion in aggregate principal amount of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we entered into a secured five-year term loan facility in an aggregate principal amount of up to $2.0 billion, consisting of initial term loans and delayed draw term loan commitments each in an aggregate principal amount of up to $1.0 billion, respectively. The terms of the agreement also provide for a secured letter of credit facility in an aggregate amount of up to $35.0 million. The term loans have a maturity date of December 11, 2029. Quarterly principal payments began on March 31, 2025 and will continue on the last business day of each quarter thereafter, equal to 0.25% of the original principal amount of such term loans. As of June 30, 2025, we had $995.0 million outstanding on the initial term loans, no  amounts outstanding on the delayed draw term loan commitments, and no letters of credit issued under the secured letter of credit facility.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on borrowings under the term loan facility accrues at either an alternate base rate or a term SOFR rate (further described in Note 7 "Debt") at the Company's option. Pursuant to the terms of the term loan facility, we are required to pay a quarterly commitment fee that accrues at a rate of 1.00% per annum on the unused portion of the delayed draw term loan commitments.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permits the Company, subject to satisfaction of certain conditions, including obtaining commitments from new or existing lenders, to add new term loan facilities or increase the term loan commitments under the term loan agreement, in each case, subject to certain limits. Additionally, the term loan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June 30, 2025. </w:t>
      </w:r>
    </w:p>
    <w:p>
      <w:pPr>
        <w:pStyle w:val="TextBody"/>
        <w:bidi w:val="0"/>
        <w:spacing w:before="0" w:after="0"/>
        <w:ind w:left="0" w:right="0" w:firstLine="495"/>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uses of cash in recent periods have been funding our operations, repurchases of our Class A common stock, the satisfaction of tax withholding obligations in connection with the settlement of restricted stock units and awards, making principal payments on our finance lease obligations, and capital expenditures. Our Board of Directors has authorized three separate $1.2 billion Class A common stock repurchase programs since February 2022. We completed the February 2022 and July 2023 authorizations during the three months ended March 31, 2024, and March 31, 2025, respectively. We continue to repurchase shares under the December 2024 authorization.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2025, we repurchased and subsequently retired 14.2 million and 32.2 million, respectively, of our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common stock for an aggregate amount of $403.0 million and $907.0 million, respectively.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7403" w:type="dxa"/>
        <w:jc w:val="left"/>
        <w:tblInd w:w="0" w:type="dxa"/>
        <w:tblLayout w:type="fixed"/>
        <w:tblCellMar>
          <w:top w:w="28" w:type="dxa"/>
          <w:left w:w="28" w:type="dxa"/>
          <w:bottom w:w="28" w:type="dxa"/>
          <w:right w:w="28" w:type="dxa"/>
        </w:tblCellMar>
      </w:tblPr>
      <w:tblGrid>
        <w:gridCol w:w="1840"/>
        <w:gridCol w:w="1620"/>
        <w:gridCol w:w="1624"/>
        <w:gridCol w:w="211"/>
        <w:gridCol w:w="691"/>
        <w:gridCol w:w="109"/>
        <w:gridCol w:w="109"/>
        <w:gridCol w:w="109"/>
        <w:gridCol w:w="109"/>
        <w:gridCol w:w="211"/>
        <w:gridCol w:w="61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as well as the effect of changes in operating assets and liabilities.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provided by operating activities was $414.3 million, which primarily consisted of our net income of $275.9 million, adjusted for stock-based compensation expense of $144.8 million, depreciation and amortization expenses of $77.1 million, and net cash outflow of $118.7 million from operating assets and liabilities. The outflow from operating assets and liabilities was primarily due to the payment of our 2024 corporate bonus, the payment for the third tranche termination fee for the partial termination of our lease for our San Francisco, California corporate headquarters, and payments for our 2024 reduction in workforce, offset by an increase in deferred revenue from increased subscription sales, as a majority of our paying users are invoiced in advance. </w:t>
      </w:r>
    </w:p>
    <w:p>
      <w:pPr>
        <w:pStyle w:val="TextBody"/>
        <w:bidi w:val="0"/>
        <w:spacing w:before="0" w:after="0"/>
        <w:ind w:left="0" w:right="0" w:firstLine="450"/>
        <w:jc w:val="left"/>
        <w:rPr/>
      </w:pPr>
      <w:r>
        <w:rPr/>
      </w:r>
    </w:p>
    <w:p>
      <w:pPr>
        <w:pStyle w:val="TextBody"/>
        <w:bidi w:val="0"/>
        <w:spacing w:lineRule="auto" w:line="26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$8.2 million in net cash provided by operating activities during the six months ended June 30, 2025, compared to the six months ended June 30, 2024, was primarily due to an increase of $22.2 million in net income, as adjusted for stock-based compensation, depreciation and amortization expenses, and other non-cash losses (gains), partially offset by an increase of $14.0 million in cash outflows from changes in operating assets and liabilities. The increase in cash outflows from operating assets and liabilities was primarily driven by the payment for the third tranche termination fee for the partial termination of our lease for our San Francisco, California corporate headquarters and payments for our 2024 reduction in workforce.</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investing activities was $48.2 million, which primarily related to $51.0 million in net investment activity inflows, driven by the maturities of short-term investments. The increase was partially offset by cash paid for an acquisition of $8.4 million.</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decrease of $128.7 million in net cash provided by investing activities during the six months ended June 30, 2025, compared to the six months ended June 30, 2024, was primarily due to a decrease of $151.8 million in net investment activity inflows, offset by a decrease of $13.0 million in cash paid for capital expenditures and $12.7 million in cash paid for acquisitions.</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is primarily impacted by cash used for repurchases of common stock, tax withholding obligations for the release of restricted stock units ("RSUs") and restricted stock awards ("RSAs"), principal payments on finance lease obligations for our infrastructure equipment, principal payments on amounts drawn upon the term loan facility, and payments of debt issuance costs and loan commitment fees related to the term loan facility.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financing activities was $1,066.3 million, which primarily consisted of $909.1 million for the repurchase of our common stock, $78.1 million for the satisfaction of tax withholding obligations for the release of restricted stock units and awards, $68.3 million in principal payments on finance lease obligations, and $5.0 million for the principal payments against the term loan facility.</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increase of $386.9 million in net cash used in financing activities during the six months ended June 30, 2025, compared to the six months ended June 30, 2024, was primarily due to an increase of $369.5 million in repurchases of our common stock, an increase of $5.0 million in principal payments against the term loan facility, an increase of $5.9 million in loan commitment fees related to the term loan facility, and an increase of $4.4 million in principal payments on finance lease obligations.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Part II, Item 7, “Critical Accounting Estimates” in our Annual Report on Form 10-K for the year ended December 31, 2024. There have been no material changes to our critical accounting policies and estimates since our Annual Report on Form 10-K for the year ended December 31, 2024.</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$736.3 million and short-term investments of $218.4 million as of June 30, 2025.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As of June 30, 2025, we had $995.0 million outstanding under the term loan facility. We do not have any other long-term debt or financial liabilities with floating interest rates that would subject us to interest rate fluctuations. For the three and six months ended June 30, 2025, a hypothetical 100 basis point increase or decrease in interest rates would have resulted in a $2.5 million and $4.7 million change, respectively, in interest expense related to the term loan facility.</w:t>
      </w:r>
    </w:p>
    <w:p>
      <w:pPr>
        <w:pStyle w:val="TextBody"/>
        <w:bidi w:val="0"/>
        <w:spacing w:lineRule="auto" w:line="288" w:before="0" w:after="160"/>
        <w:ind w:left="0" w:right="0" w:firstLine="45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2025, 26%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or losses were immaterial during the six months ended June 30, 2025 and 2024. A hypothetical 10% change in foreign currency rates would not have resulted in material gains or losses for the six months ended June 30, 2025 and 2024.</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Inherent Limitations on Effectiveness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the trial in May 2023, the jury found in favor of Dropbox on all counts including non-infringement and invalidity of the patents and awarded no damages to Motion Offense. Dropbox filed a Motion for Entry of Judgment on August 28, 2023 and on September 27, 2023, Motion Offense filed a Motion for a New Trial. At a hearing on January 3, 2024, the Court denied Motion Offense’s Motion for a New Trial. On January 8, 2024, the court ordered supplemental briefing relating to the Motion for Entry of Judgment and briefing. On August 29, 2024, the court entered judgement in line with the May 2023 jury verdict. On September 27, 2024, Motion Offense filed a Motion for Judgment as a Matter of Law and a renewed Motion for a New Trial. Briefing is complete and Dropbox has requested a hearing on the Motions.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Before trial, Motion Offense filed a third patent infringement suit against Dropbox out of the same family of patents as the prior two suits. This suit was not consolidated into the trial. The case is currently stayed pending final resolution of the Inter Partes Review, in which the Patent Trial and Appeal Board found the challenged claims of the asserted patent invalid. We believe Motion Offense’s allegations in that suit are similarly without merit and will vigorously defend against them.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December 16, 2022, Entangled Media, LLC (“Entangled Media”) filed a patent infringement suit against Dropbox in the Western District of Texas in Austin. The complaint alleges that Dropbox infringes 2 U.S. Patents: U.S Patent Nos. 8,296,338 and 8,484,260. On June 30, 2023, the case was transferred to the Northern District of California. Dropbox believes it has meritorious defenses and plans to vigorously defend this matter.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trial is currently expected to occur in 2026. While we remain confident in the Company’s defenses to the asserted allegations in these cases, it is not possible to determine the ultimate outcome at this time, however, we do not believe any potential loss would be material to our financial position or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our revenue from self-serve channels. Our self-service channel revenue is driven by word-of-mouth referrals,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recommendations, and positive brand recognition in the marketplace. Any decrease in user satisfaction with our products or support could harm our brand, word-of-mouth referrals, and ability to grow.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2025, we served over 700 million registered users but only 18.13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events or conditions that financially impact our registered users and other prospective paying users, such as macroeconomic factors, layoffs, inflation, fluctuating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in the past and may continue to experience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contractors and other individuals (some of whom our intelligence indicates are supported by nation states) have in the past gained, and in the future may gain, access to our systems.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rate of growth has declined and we have experienced negative growth in past periods. If we do not successfully execute our plan for future growth, our growth rate may continue to decline and we may experience negative growth in future periods.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The rate of growth of our business and revenue has declined in recent periods and we have experienced negative growth. If we are unable to execute on our new product initiatives and plans for growth in the future, we may be unable to reverse this trend. Our new product </w:t>
      </w:r>
      <w:r>
        <w:rPr>
          <w:rFonts w:ascii="Times New Roman;serif" w:hAnsi="Times New Roman;serif"/>
          <w:b w:val="false"/>
          <w:color w:val="000000"/>
          <w:sz w:val="20"/>
        </w:rPr>
        <w:t>initiatives, including any AI-based initiatives, are intended to result in growth, but such initiatives require a period of investment and ultimately may not succeed on the timelines we expect or at all. Any additional revenue our new initiatives generate may be insufficient to offset the amounts we have invested or the declining rates of growth in other areas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In addition, our challenges may be heightened in connection with our Virtual First work model, as we engage an increasingly distributed employee base in countries around the world, as well as our focus on aligning our resources to create a more nimble and streamlined organization. These issues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return to growth or reaccelerate our growth, we must effectively allocate our resources and if we invest in future growth,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Failure to respond to rapid technological changes, extend our platform, or develop new features or products may harm our ability to compete effectively, which would adversely affect our business</w:t>
      </w:r>
      <w:r>
        <w:rPr>
          <w:rFonts w:ascii="Times New Roman;serif" w:hAnsi="Times New Roman;serif"/>
          <w:b/>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We have made, and intend to continue making, significant investments in developing products that will incorporate AI, and while we are optimistic that such new products have the potential to drive future growth of our business, the development of such new features will incur significant costs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as compared to a fully in-office model. The risk of such disruptions and decreased productivity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persist as our workforce operates under a Virtual First model. We have also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business may be significantly impacted by general economic, political, and market conditions, including any resulting effect on consumer or business spending</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awareness of the content collaboration category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scale, and duration, of trends towards or away from remote or distributed 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brand recognition and trust;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trends.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2024 reduction in workforce may result in increased attrition, reduce employee morale, and negatively impact employee recruiting and retention.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operate with a Virtual First workforce and the long-term impact of this model on our financial results and business operations remains uncertain</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October 2020, we have operated as a Virtual First work model pursuant to which remote work has become the primary experience for all of our employees and our intention is for our workforce to continue being more distributed over time. However,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we continue to operate with our Virtual First model,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Historically, our business model has been driven by organic adoption and viral growth, with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operations outside the United States and our efforts to expand, subject us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paying users across approximately 180 countries and approximately 43% of our revenue in the year ended December 31, 2024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compliance with applicable international laws, regulations, and standards including laws and regulations with respect to labor and employment, privacy, data protection, cybersecurity, AI, consumer protection, tax, export control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w:t>
      </w:r>
      <w:r>
        <w:rPr>
          <w:rFonts w:ascii="Times New Roman;serif" w:hAnsi="Times New Roman;serif"/>
          <w:b w:val="false"/>
          <w:color w:val="000000"/>
          <w:sz w:val="20"/>
          <w:shd w:fill="FFFFFF" w:val="clear"/>
        </w:rPr>
        <w:t>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depend on our ecosystem of developers to create applications that will integrate with our platform. As of December 31, 2024, Dropbox was receiving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a reduction in revenue or delay in market acceptance of our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integrating and retaining key employees of acquired businesses and related challenges motivating and retaining our key employees after such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offer, price, and support multiple product lines or services offerings of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indebtedness, including our 2026 Notes, 2028 Notes and our term loan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the terms of our term loan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it more difficult for us to satisfy our debt obligations, including our term loan facility,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us at a competitive disadvantage compared to our competitors that have less indebtedness or are not subject to restrictive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operations may be interrupted and our business, results of operations, and financial condition could be adversely affected if we default on our leasing or credit obligations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finance a significant portion of our expenditures through leasing arrangements, and we may enter into additional similar arrangements in the future. As of December 31, 2024, we had an aggregate of $1,088.6 million of commitments to settle contractual obligations. In particular, we utilize both finance and operating leases to finance some of our equipment, datacenters and offices. In addition, in December 2024, we borrowed $1.0 billion of term loans under our term loan facility for general corporate purposes, including repurchases of our stock.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any outstanding lease obligations or loans;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repayment of the outstanding term loans borrowed under our term loan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terminate our term loan facility and exercise rights and remedies against the collateral securing our term loan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pay increased and significant interest,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increase expenses in the future, and we may not be able to achieve or maintain profitability in future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profitability may fluctuate in certain periods, or we may fail to meet our profitability targets. 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Servicing our indebtedness under our term loan facility, 2026 Notes, and 2028 Notes may require a significant amount of cash, and we may not have sufficient cash flow or the ability to raise the funds necessary to satisfy our obligations under our term loan facility, 2026 Notes, or 2028 Notes.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ability to make scheduled payments of the principal of, to pay interest on or to refinance our indebtedness, including our term loan facility,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In addition, our term loan facility exposes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quarterly results may fluctuate significantly and may not fully reflect the underlying performance of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operating expenses, including expenses related to the maintenance and expansion of our business, operations, and infrastructure, hiring expenses, and expenses relating to sales and marketing campaigns, as well as entry into or exit of operating and finance leases;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catastrophic events, including earthquakes, fires, floods, tsunamis, or other weather events, power loss, telecommunications failures, software or hardware malfunctions, cyber-attack, war,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impacts from our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may not immediately reflect downturns or upturns in sales because we recognize revenue from our users over the term of their subscriptions with us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which are reported in U.S. dollars, could be adversely affected if currency exchange rates fluctuate substantially in the future</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are exposed to the effects of fluctuations in currency exchange rates within our international operations. This exposure is the result of selling in multiple currencies and operating in foreign countries where the functional currency is the local currency. </w:t>
      </w:r>
      <w:r>
        <w:rPr>
          <w:rFonts w:ascii="Times New Roman;serif" w:hAnsi="Times New Roman;serif"/>
          <w:b w:val="false"/>
          <w:color w:val="000000"/>
          <w:sz w:val="20"/>
        </w:rPr>
        <w:t>In 2024, 26%</w:t>
      </w:r>
      <w:r>
        <w:rPr>
          <w:color w:val="000000"/>
          <w:shd w:fill="FFFFFF" w:val="clear"/>
        </w:rPr>
        <w:t xml:space="preserve"> </w:t>
      </w:r>
      <w:r>
        <w:rPr>
          <w:rFonts w:ascii="Times New Roman;serif" w:hAnsi="Times New Roman;serif"/>
          <w:b w:val="false"/>
          <w:color w:val="000000"/>
          <w:sz w:val="20"/>
          <w:shd w:fill="FFFFFF" w:val="clear"/>
        </w:rPr>
        <w:t>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pricing of the 2026 Notes and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ability to use our net operating loss carryforwards and certain other tax attributes may be limited</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we had U.S. federal and state and non-U.S. net operating loss carryforwards and U.S.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Our operating results may be harmed if we are required to collect or pay sales, value-added, or other related taxes for our services or in jurisdictions where we have not historically done so</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i/>
          <w:color w:val="000000"/>
          <w:sz w:val="20"/>
          <w:shd w:fill="FFFFFF" w:val="clear"/>
        </w:rPr>
        <w:t>Our results of operations and financial condition could be materially affected by the enactment of legislation implementing changes in the U.S. or non-U.S. taxation of international business activities or the adoption of other tax reform policies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While we are still assessing the legislation and its effect on our consolidated financial statements, we anticipate the included provisions that reinstate immediate expensing of research expenditures will reduce our domestic cash tax outflows in 2025.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changes to U.S. or non-U.S. tax laws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erif" w:hAnsi="Times New Roman;serif"/>
          <w:b/>
          <w:color w:val="000000"/>
          <w:sz w:val="20"/>
        </w:rPr>
      </w:pPr>
      <w:r>
        <w:rPr>
          <w:rFonts w:ascii="Times New Roman;serif" w:hAnsi="Times New Roman;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depends on the ability of our users to access the internet and our platform has been blocked or restricted in some countries for various reasons. For example, our platform is blocked in the People’s Republic of China. If we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are subject to export and import control laws and regulations that could impair our ability to compete in international markets or subject us to liability if we violate such laws and regulations</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expect that there will continue to be new laws, regulations, and industry standards concerning privacy, data protection, AI, and information security proposed and enacted in various jurisdictions.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took effect in 2024; Tennessee, Delaware, New Jersey, Nebraska, Iowa, Maryland, Minnesota, and New Hampshire have enacted similar laws that have gone or will go into effect in 2025, and Indiana, Kentucky, and Rhode Island have enacted similar laws that will go into effect in 2026.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 This law aims to establish a universal framework for managing and mitigating information and communication technology risk that will apply to entities in the financial sector and their third-party cloud service providers.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countries are also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usage-based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otherwise try to monetize or control access to their networks.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(the “Motion Offense Litigation”) and Entangled Media (the “Entangled Media Litigation”), each of which have alleged that Dropbox infringes certain of their respective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Motion Offense Litigation, a jury trial was conducted in May 2023. The jury found in favor of Dropbox on all counts including non-infringement and invalidity of the patents and awarded no damages to Motion Offense. In August 2024, the court entered judgment in line with the May 2023 jury verdict. On September 27, 2024, Motion Offense filed a Motion for Judgment as a Matter of Law and a renewed Motion for a New Trial. As of December 31, 2024, briefing is complete and Dropbox has requested a hearing on the Motions. The final judgment may be appealed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Entangled Media Litigation, trial is currently expected to occur in 2026. Any final judgment in the district court may be appealed by either party to the Federal Circuit.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not possible presently, with respect to either the Motion Offense Litigation or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w:t>
      </w:r>
      <w:r>
        <w:rPr>
          <w:rFonts w:ascii="Times New Roman;serif" w:hAnsi="Times New Roman;serif"/>
          <w:b w:val="false"/>
          <w:color w:val="000000"/>
          <w:sz w:val="20"/>
        </w:rPr>
        <w:t>1,800</w:t>
      </w:r>
      <w:r>
        <w:rPr>
          <w:color w:val="000000"/>
          <w:shd w:fill="FFFFFF" w:val="clear"/>
        </w:rPr>
        <w:t xml:space="preserve"> </w:t>
      </w:r>
      <w:r>
        <w:rPr>
          <w:rFonts w:ascii="Times New Roman;serif" w:hAnsi="Times New Roman;serif"/>
          <w:b w:val="false"/>
          <w:color w:val="000000"/>
          <w:sz w:val="20"/>
          <w:shd w:fill="FFFFFF" w:val="clear"/>
        </w:rPr>
        <w:t xml:space="preserve">issued patents and more than </w:t>
      </w:r>
      <w:r>
        <w:rPr>
          <w:rFonts w:ascii="Times New Roman;serif" w:hAnsi="Times New Roman;serif"/>
          <w:b w:val="false"/>
          <w:color w:val="000000"/>
          <w:sz w:val="20"/>
        </w:rPr>
        <w:t>250</w:t>
      </w:r>
      <w:r>
        <w:rPr>
          <w:color w:val="000000"/>
          <w:shd w:fill="FFFFFF" w:val="clear"/>
        </w:rPr>
        <w:t xml:space="preserve"> </w:t>
      </w:r>
      <w:r>
        <w:rPr>
          <w:rFonts w:ascii="Times New Roman;serif" w:hAnsi="Times New Roman;serif"/>
          <w:b w:val="false"/>
          <w:color w:val="000000"/>
          <w:sz w:val="20"/>
          <w:shd w:fill="FFFFFF" w:val="clear"/>
        </w:rPr>
        <w:t xml:space="preserve">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sales or announcements of 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or completed transactions, which may include acquisitions of businesses, products, services, or technologies, financing arrangements, or joint ventures or partnerships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inclusion, exclusion, or deletion of our stock from any trading indices;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The multi-class structure of our common stock has the effect of concentrating voting control with those stockholders who held our capital stock prior to the completion of our IPO, and it may depress the trading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ten votes per share, and our Class C common stock has no voting rights, except as otherwise required by law and subject to any limitations provided in our articles of incorporation. As of June 30, 2025, our directors and executive officers, and their respective affiliates, held in the aggregate 79.3% of the voting power of our capital stock, with Mr. Houston holding approximately 79.3%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Substantial future sales could depress the market price of our Class A common stock</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relating to our 2026 Notes and 2028 Notes may dilute the ownership interest of stockholders, or may otherwise depress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Nevada law and provisions in our articles of incorporation and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status as a Nevada corporation and the anti-takeover provisions of the Nevada Revised Statutes may discourage, delay, or prevent a change in control by prohibiting us from engaging in a business combination with an interested stockholder for a period of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Class B common stock, as a class, converts to Class A common stock, any amendments to our articles of incorporation will require the approval of two-thirds of the combined vote of our then-outstanding shares of Class A common stock and Class B common stock; and following the conversion of our Class B common stock, as a class, to Class A common stock, certain amendments to our articles of incorporation will require the approval of two-thirds of our then outstanding voting power;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bylaws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litigation against us may be required to be brought in Nevada;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articles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shd w:fill="FFFFFF" w:val="clear"/>
        </w:rPr>
        <w:t>We cannot guarantee that our stock repurchase program will be fully implemented or that it will enhance long-term stockholder value.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We initially implemented a stock repurchase program in 2020. Most recently, in December 2024, we announced an authorization for repurchase of up to an additional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outstanding shares of our Class A common stock.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we have repurchased approximately</w:t>
      </w:r>
      <w:r>
        <w:rPr>
          <w:color w:val="000000"/>
        </w:rPr>
        <w:t xml:space="preserve"> </w:t>
      </w:r>
      <w:r>
        <w:rPr>
          <w:rFonts w:ascii="Times New Roman;serif" w:hAnsi="Times New Roman;serif"/>
          <w:b w:val="false"/>
          <w:color w:val="000000"/>
          <w:sz w:val="20"/>
        </w:rPr>
        <w:t>$4.9 billion of outstanding shares of</w:t>
      </w:r>
      <w:r>
        <w:rPr>
          <w:color w:val="000000"/>
          <w:shd w:fill="FFFFFF" w:val="clear"/>
        </w:rPr>
        <w:t xml:space="preserve"> </w:t>
      </w:r>
      <w:r>
        <w:rPr>
          <w:rFonts w:ascii="Times New Roman;serif" w:hAnsi="Times New Roman;serif"/>
          <w:b w:val="false"/>
          <w:color w:val="000000"/>
          <w:sz w:val="20"/>
          <w:shd w:fill="FFFFFF" w:val="clear"/>
        </w:rPr>
        <w:t>our Class A common stock, including under prior authorizations.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or other distributions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contains restrictions on our ability to pay dividends.</w:t>
      </w:r>
    </w:p>
    <w:p>
      <w:pPr>
        <w:pStyle w:val="TextBody"/>
        <w:bidi w:val="0"/>
        <w:spacing w:before="0" w:after="0"/>
        <w:jc w:val="lef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review and audit by U.S. federal, state and local, and non-U.S.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2024 reduction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with respect to Dropbox's repurchases of Class A common stock during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 ended June 30, 2025. </w:t>
      </w:r>
    </w:p>
    <w:tbl>
      <w:tblPr>
        <w:tblW w:w="10205" w:type="dxa"/>
        <w:jc w:val="center"/>
        <w:tblInd w:w="0" w:type="dxa"/>
        <w:tblLayout w:type="fixed"/>
        <w:tblCellMar>
          <w:top w:w="28" w:type="dxa"/>
          <w:left w:w="28" w:type="dxa"/>
          <w:bottom w:w="28" w:type="dxa"/>
          <w:right w:w="28" w:type="dxa"/>
        </w:tblCellMar>
      </w:tblPr>
      <w:tblGrid>
        <w:gridCol w:w="260"/>
        <w:gridCol w:w="228"/>
        <w:gridCol w:w="230"/>
        <w:gridCol w:w="109"/>
        <w:gridCol w:w="109"/>
        <w:gridCol w:w="109"/>
        <w:gridCol w:w="549"/>
        <w:gridCol w:w="549"/>
        <w:gridCol w:w="551"/>
        <w:gridCol w:w="109"/>
        <w:gridCol w:w="109"/>
        <w:gridCol w:w="109"/>
        <w:gridCol w:w="301"/>
        <w:gridCol w:w="881"/>
        <w:gridCol w:w="155"/>
        <w:gridCol w:w="109"/>
        <w:gridCol w:w="109"/>
        <w:gridCol w:w="109"/>
        <w:gridCol w:w="752"/>
        <w:gridCol w:w="752"/>
        <w:gridCol w:w="754"/>
        <w:gridCol w:w="109"/>
        <w:gridCol w:w="109"/>
        <w:gridCol w:w="109"/>
        <w:gridCol w:w="568"/>
        <w:gridCol w:w="1943"/>
        <w:gridCol w:w="42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Total Number of Shares Purchased (in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Average Price Paid per Share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erif" w:hAnsi="Times New Roman;serif"/>
                <w:b w:val="false"/>
                <w:color w:val="000000"/>
                <w:sz w:val="18"/>
              </w:rPr>
              <w:t>(in millions)</w:t>
            </w:r>
            <w:r>
              <w:rPr>
                <w:rFonts w:ascii="Times New Roman;serif" w:hAnsi="Times New Roman;serif"/>
                <w:b w:val="false"/>
                <w:color w:val="000000"/>
                <w:sz w:val="12"/>
              </w:rPr>
              <w:t>(1)</w:t>
            </w:r>
          </w:p>
        </w:tc>
      </w:tr>
      <w:tr>
        <w:trPr/>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714.34 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5.42</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 February 2022, our Board of Directors authorized a $1.2 billion share repurchase program, which we completed during the three months ended March 31, 2024. In July 2023, the Board authorized an additional $1.2 billion program, completed during the three months ended March 31, 2025. In December 2024, the Board authorized a third $1.2 billion program, under which we continue to repurchase shares.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Includes 11,049 shares of restricted common stock withheld by the Company upon vesting of restricted stock awards to satisfy tax withholding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the following directors and officers, as defined in Rule 16a-1(f), adopted a “Rule 10b5-1 trading arrangement” as defined in Regulation S-K Item 408, as follows: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21, 2025, Abhay Parasnis, a member of our Board of Directors, adopted a Rule 10b5-1 trading arrangement providing for the sale from time-to-time of an aggregate of up to 5,346 shares of our Class A common stock. The trading arrangement is intended to satisfy the affirmative defense in Rule 10b5-1(c). The duration of the trading arrangement is until May 29, 2026,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29, 2025, Andrew Moore, a member of our Board of Directors, adopted a Rule 10b5-1 trading arrangement providing for the sale from time-to-time of an aggregate of up to 22,548 shares of our Class A common stock. The trading arrangement is intended to satisfy the affirmative defense in Rule 10b5-1(c). The duration of the trading arrangement is until May 29, 2026,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12, 2025, Ali Dasdan, our Chief Technology Officer, adopted a Rule 10b5-1 trading arrangement providing for the sale from time-to-time of an aggregate of up to 128,714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August 31, 2026,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June 10, 2025, Tim Regan, our Chief Financial Officer, adopted a Rule 10b5-1 trading arrangement providing for the sale from time-to-time of an aggregate of up to 66,000 shares of our Class A common stock. The trading arrangement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intended to satisfy the affirmative defense in Rule 10b5-1(c). The duration of the trading arrangement is until September 2, 2026,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8, 2025, Will Yoon, our Chief Legal Officer, adopted a Rule 10b5-1 trading arrangement providing for the sale from time-to-time of an aggregate of up to 33,591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December 31, 2025,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other directors or officers, as defined in Rule 16a-1(f), adopted and/or terminated a “Rule 10b5-1 trading arrangement” or a “non-Rule 10b5-1 trading arrangement,” as defined in Regulation S-K Item 408.</w:t>
      </w:r>
    </w:p>
    <w:p>
      <w:pPr>
        <w:pStyle w:val="TextBody"/>
        <w:bidi w:val="0"/>
        <w:spacing w:before="0" w:after="0"/>
        <w:ind w:left="0" w:right="0" w:firstLine="45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67"/>
        <w:gridCol w:w="1567"/>
        <w:gridCol w:w="1583"/>
        <w:gridCol w:w="109"/>
        <w:gridCol w:w="109"/>
        <w:gridCol w:w="109"/>
        <w:gridCol w:w="170"/>
        <w:gridCol w:w="170"/>
        <w:gridCol w:w="171"/>
        <w:gridCol w:w="109"/>
        <w:gridCol w:w="109"/>
        <w:gridCol w:w="109"/>
        <w:gridCol w:w="240"/>
        <w:gridCol w:w="240"/>
        <w:gridCol w:w="241"/>
        <w:gridCol w:w="109"/>
        <w:gridCol w:w="109"/>
        <w:gridCol w:w="109"/>
        <w:gridCol w:w="442"/>
        <w:gridCol w:w="442"/>
        <w:gridCol w:w="443"/>
        <w:gridCol w:w="109"/>
        <w:gridCol w:w="109"/>
        <w:gridCol w:w="109"/>
        <w:gridCol w:w="170"/>
        <w:gridCol w:w="170"/>
        <w:gridCol w:w="2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from 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5.htm">
              <w:r>
                <w:rPr>
                  <w:rStyle w:val="InternetLink"/>
                  <w:rFonts w:ascii="Times New Roman;serif" w:hAnsi="Times New Roman;serif"/>
                  <w:b w:val="false"/>
                  <w:color w:val="0000FF"/>
                  <w:sz w:val="16"/>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5.htm">
              <w:r>
                <w:rPr>
                  <w:rStyle w:val="InternetLink"/>
                  <w:rFonts w:ascii="Times New Roman;serif" w:hAnsi="Times New Roman;serif"/>
                  <w:b w:val="false"/>
                  <w:color w:val="0000FF"/>
                  <w:sz w:val="16"/>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5.htm">
              <w:r>
                <w:rPr>
                  <w:rStyle w:val="InternetLink"/>
                  <w:rFonts w:ascii="Times New Roman;serif" w:hAnsi="Times New Roman;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June 30, 2025,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47" w:before="0" w:after="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7a8e3b473a84aad82cffd4d2401e05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1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7"/>
        <w:gridCol w:w="167"/>
        <w:gridCol w:w="167"/>
        <w:gridCol w:w="167"/>
        <w:gridCol w:w="167"/>
        <w:gridCol w:w="167"/>
        <w:gridCol w:w="717"/>
        <w:gridCol w:w="717"/>
        <w:gridCol w:w="10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05"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09"/>
        <w:gridCol w:w="109"/>
        <w:gridCol w:w="109"/>
        <w:gridCol w:w="1134"/>
        <w:gridCol w:w="1134"/>
        <w:gridCol w:w="16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W. Houston,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Timothy J. Regan,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Dropbox,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bl>
      <w:tblPr>
        <w:tblW w:w="4820"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1100"/>
        <w:gridCol w:w="1100"/>
        <w:gridCol w:w="1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5787"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829"/>
        <w:gridCol w:w="829"/>
        <w:gridCol w:w="1176"/>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8,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20" w:after="283"/>
              <w:jc w:val="left"/>
              <w:rPr/>
            </w:pPr>
            <w:r>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Timothy J. Regan, certify, pursuant to 18 U.S.C. Section 1350, as adopted pursuant to Section 906 of the Sarbanes-Oxley Act of 2002, that the Quarterly Report on Form 10-Q of Dropbox, Inc.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7272"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238"/>
        <w:gridCol w:w="238"/>
        <w:gridCol w:w="243"/>
        <w:gridCol w:w="1265"/>
        <w:gridCol w:w="1265"/>
        <w:gridCol w:w="1789"/>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8,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1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Accounting and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53804</Words>
  <Characters>293007</Characters>
  <CharactersWithSpaces>344587</CharactersWithSpaces>
  <Paragraphs>3761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