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Form 8-K</w:t>
      </w:r>
    </w:p>
    <w:p>
      <w:pPr>
        <w:spacing w:after="0" w:line="2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December 13, 2023</w:t>
      </w:r>
    </w:p>
    <w:p>
      <w:pPr>
        <w:spacing w:after="0" w:line="3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1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DROPBOX, INC.</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020"/>
          </w:cols>
          <w:pgMar w:left="320" w:top="829" w:right="559" w:bottom="1440" w:gutter="0" w:footer="0" w:header="0"/>
        </w:sectPr>
      </w:pPr>
    </w:p>
    <w:p>
      <w:pPr>
        <w:spacing w:after="0" w:line="105"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001-38434</w:t>
      </w:r>
    </w:p>
    <w:p>
      <w:pPr>
        <w:spacing w:after="0" w:line="32"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26-0138832</w:t>
      </w:r>
    </w:p>
    <w:p>
      <w:pPr>
        <w:spacing w:after="0" w:line="32"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9" w:lineRule="exact"/>
        <w:rPr>
          <w:sz w:val="24"/>
          <w:szCs w:val="24"/>
          <w:color w:val="auto"/>
        </w:rPr>
      </w:pPr>
    </w:p>
    <w:p>
      <w:pPr>
        <w:sectPr>
          <w:pgSz w:w="11900" w:h="16838" w:orient="portrait"/>
          <w:cols w:equalWidth="0" w:num="3">
            <w:col w:w="3900" w:space="720"/>
            <w:col w:w="2200" w:space="720"/>
            <w:col w:w="3480"/>
          </w:cols>
          <w:pgMar w:left="320" w:top="829" w:right="55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020"/>
          </w:cols>
          <w:pgMar w:left="320" w:top="829" w:right="559" w:bottom="1440" w:gutter="0" w:footer="0" w:header="0"/>
          <w:type w:val="continuous"/>
        </w:sectPr>
      </w:pPr>
    </w:p>
    <w:p>
      <w:pPr>
        <w:spacing w:after="0" w:line="30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1800 Owens St.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San Francisco, California 94158</w:t>
      </w:r>
    </w:p>
    <w:p>
      <w:pPr>
        <w:spacing w:after="0" w:line="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(415) 857-6800</w:t>
      </w:r>
    </w:p>
    <w:p>
      <w:pPr>
        <w:spacing w:after="0" w:line="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1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26" w:lineRule="exact"/>
        <w:rPr>
          <w:sz w:val="24"/>
          <w:szCs w:val="24"/>
          <w:color w:val="auto"/>
        </w:rPr>
      </w:pPr>
    </w:p>
    <w:p>
      <w:pPr>
        <w:ind w:right="240"/>
        <w:spacing w:after="0" w:line="26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3" w:lineRule="exact"/>
        <w:rPr>
          <w:sz w:val="24"/>
          <w:szCs w:val="24"/>
          <w:color w:val="auto"/>
        </w:rPr>
      </w:pPr>
    </w:p>
    <w:p>
      <w:pPr>
        <w:ind w:left="380" w:hanging="377"/>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59" w:lineRule="exact"/>
        <w:rPr>
          <w:rFonts w:ascii="MS PGothic" w:cs="MS PGothic" w:eastAsia="MS PGothic" w:hAnsi="MS PGothic"/>
          <w:sz w:val="21"/>
          <w:szCs w:val="21"/>
          <w:color w:val="auto"/>
        </w:rPr>
      </w:pPr>
    </w:p>
    <w:p>
      <w:pPr>
        <w:ind w:left="380" w:hanging="377"/>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59" w:lineRule="exact"/>
        <w:rPr>
          <w:rFonts w:ascii="MS PGothic" w:cs="MS PGothic" w:eastAsia="MS PGothic" w:hAnsi="MS PGothic"/>
          <w:sz w:val="21"/>
          <w:szCs w:val="21"/>
          <w:color w:val="auto"/>
        </w:rPr>
      </w:pPr>
    </w:p>
    <w:p>
      <w:pPr>
        <w:ind w:left="380" w:hanging="377"/>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7"/>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411480</wp:posOffset>
            </wp:positionH>
            <wp:positionV relativeFrom="paragraph">
              <wp:posOffset>82550</wp:posOffset>
            </wp:positionV>
            <wp:extent cx="6254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4115" cy="8255"/>
                    </a:xfrm>
                    <a:prstGeom prst="rect">
                      <a:avLst/>
                    </a:prstGeom>
                    <a:noFill/>
                  </pic:spPr>
                </pic:pic>
              </a:graphicData>
            </a:graphic>
          </wp:anchor>
        </w:drawing>
      </w:r>
    </w:p>
    <w:p>
      <w:pPr>
        <w:spacing w:after="0" w:line="143" w:lineRule="exact"/>
        <w:rPr>
          <w:sz w:val="24"/>
          <w:szCs w:val="24"/>
          <w:color w:val="auto"/>
        </w:rPr>
      </w:pPr>
    </w:p>
    <w:tbl>
      <w:tblPr>
        <w:tblLayout w:type="fixed"/>
        <w:tblInd w:w="80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220" w:type="dxa"/>
            <w:vAlign w:val="bottom"/>
          </w:tcPr>
          <w:p>
            <w:pPr>
              <w:spacing w:after="0"/>
              <w:rPr>
                <w:sz w:val="13"/>
                <w:szCs w:val="13"/>
                <w:color w:val="auto"/>
              </w:rPr>
            </w:pPr>
          </w:p>
        </w:tc>
        <w:tc>
          <w:tcPr>
            <w:tcW w:w="268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202"/>
        </w:trPr>
        <w:tc>
          <w:tcPr>
            <w:tcW w:w="424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color w:val="auto"/>
                <w:w w:val="97"/>
              </w:rPr>
              <w:t>Class A Common Stock, par value $0.00001 per share</w:t>
            </w:r>
          </w:p>
        </w:tc>
        <w:tc>
          <w:tcPr>
            <w:tcW w:w="268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color w:val="auto"/>
                <w:w w:val="94"/>
              </w:rPr>
              <w:t>DBX</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93"/>
        </w:trPr>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(Nasdaq Global Select Market)</w:t>
            </w:r>
          </w:p>
        </w:tc>
      </w:tr>
    </w:tbl>
    <w:p>
      <w:pPr>
        <w:spacing w:after="0" w:line="380"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62" w:lineRule="exact"/>
        <w:rPr>
          <w:sz w:val="24"/>
          <w:szCs w:val="24"/>
          <w:color w:val="auto"/>
        </w:rPr>
      </w:pPr>
    </w:p>
    <w:p>
      <w:pPr>
        <w:ind w:right="260"/>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419735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829" w:right="5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5.02</w:t>
        <w:tab/>
        <w:t>Departure of Directors or Certain Officers; Election of Directors; Appointment of Certain Officers;</w:t>
      </w:r>
    </w:p>
    <w:p>
      <w:pPr>
        <w:spacing w:after="0" w:line="3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Compensatory Arrangements of Certain Officers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 Election of Director</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13, 2023, the Board of Directors (the “Board”) of Dropbox, Inc. (the “Company”) appointed Andrew Moore to serve as a member of the Board. He was also appointed to the Audit Committee of the Board.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“We’re thrilled to have Andrew join our Board,” said Dropbox Co-founder and Chief Executive Officer Drew Houston. “Andrew is a leading expert in AI, machine learning, and robotics who has dedicated his life to understanding the positive effects this technology can have on our society. The combination of his academic background, his hands-on experience building AI-powered products, and his passion for applying AI responsibly, is unmatched. We’re excited to benefit from his expertise as Dropbox builds the next-generation of smart tools to help our customers find focus and better organize their working lives.”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“I’m honored to join the Dropbox Board,” said Dr. Moore. “I’ve dedicated my career to studying the development and application of AI and ML models, and how AI can be a powerful tool to help people become smarter and more productive. I firmly believe that Dropbox is well positioned to build on the recent advancements in this technology to unlock profoundly more productive ways of working for people, and I’m thrilled to be part of the Board during this exciting time.”</w:t>
      </w:r>
    </w:p>
    <w:p>
      <w:pPr>
        <w:spacing w:after="0" w:line="200" w:lineRule="exact"/>
        <w:rPr>
          <w:sz w:val="20"/>
          <w:szCs w:val="20"/>
          <w:color w:val="auto"/>
        </w:rPr>
      </w:pP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are no arrangements or understandings between Dr. Moore and any other person, in each case, pursuant to which Dr. Moore was appointed to serve on the Board. There are no family relationships between Dr. Moore and any other director or executive officer of the Company and there have been no transactions between Dr. Moore and the Company in the last fiscal year, and none are currently proposed that would require disclosure under Item 404(a) of Regulation S-K.</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Dr. Moore will receive the standard compensation available to the Company’s current non-employee directors, which is discussed in the Company’s Proxy Statement filed with the Securities and Exchange Commission (“SEC”) on April 4, 2023. In accordance with the Company’s customary practice, the Company will also enter into its standard form of indemnification agreement with Dr. Moore, which agreement is filed as Exhibit 10.1 to the Company’s Registration Statement on Form S-1 (File No. 333-223182) filed with the SEC on February 23, 2018.</w:t>
      </w:r>
    </w:p>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additional information, please see a copy of the blog post announcing the appointment of Dr. Moore to the Board, which is attached here as Exhibit 99.1 to this Current Report on Form 8-K.</w:t>
      </w:r>
    </w:p>
    <w:p>
      <w:pPr>
        <w:spacing w:after="0" w:line="1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5.03</w:t>
        <w:tab/>
        <w:t>Amendments to Articles of Incorporation or Bylaws; Change in Fiscal Year</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13, 2023, the Board of the Company adopted amendments to, and restated, the Company’s amended and restated bylaws (as amended, the “Amended and Restated Bylaws”), which became effective the same day. Among other things, the amendments effected by the Amended and Restated Bylaws:</w:t>
      </w:r>
    </w:p>
    <w:p>
      <w:pPr>
        <w:spacing w:after="0" w:line="216" w:lineRule="exact"/>
        <w:rPr>
          <w:sz w:val="20"/>
          <w:szCs w:val="20"/>
          <w:color w:val="auto"/>
        </w:rPr>
      </w:pPr>
    </w:p>
    <w:p>
      <w:pPr>
        <w:jc w:val="both"/>
        <w:ind w:left="620" w:hanging="307"/>
        <w:spacing w:after="0" w:line="241" w:lineRule="auto"/>
        <w:tabs>
          <w:tab w:leader="none" w:pos="615" w:val="left"/>
        </w:tabs>
        <w:numPr>
          <w:ilvl w:val="0"/>
          <w:numId w:val="2"/>
        </w:numPr>
        <w:rPr>
          <w:rFonts w:ascii="Arial" w:cs="Arial" w:eastAsia="Arial" w:hAnsi="Arial"/>
          <w:sz w:val="21"/>
          <w:szCs w:val="21"/>
          <w:color w:val="auto"/>
        </w:rPr>
      </w:pPr>
      <w:r>
        <w:rPr>
          <w:rFonts w:ascii="Times New Roman" w:cs="Times New Roman" w:eastAsia="Times New Roman" w:hAnsi="Times New Roman"/>
          <w:sz w:val="17"/>
          <w:szCs w:val="17"/>
          <w:color w:val="auto"/>
        </w:rPr>
        <w:t>Amend the Company’s exclusive forum provision to provide that the Court of Chancery in the State of Delaware shall be the sole and exclusive forum for certain claims, actions, and proceedings against the Company to the fullest extent permitted by law (unless the Company expressly consents in writing to the selection of an alternative forum);</w:t>
      </w:r>
    </w:p>
    <w:p>
      <w:pPr>
        <w:spacing w:after="0" w:line="22" w:lineRule="exact"/>
        <w:rPr>
          <w:rFonts w:ascii="Arial" w:cs="Arial" w:eastAsia="Arial" w:hAnsi="Arial"/>
          <w:sz w:val="21"/>
          <w:szCs w:val="21"/>
          <w:color w:val="auto"/>
        </w:rPr>
      </w:pPr>
    </w:p>
    <w:p>
      <w:pPr>
        <w:ind w:left="620" w:hanging="307"/>
        <w:spacing w:after="0" w:line="235" w:lineRule="auto"/>
        <w:tabs>
          <w:tab w:leader="none" w:pos="615" w:val="left"/>
        </w:tabs>
        <w:numPr>
          <w:ilvl w:val="0"/>
          <w:numId w:val="2"/>
        </w:numPr>
        <w:rPr>
          <w:rFonts w:ascii="Arial" w:cs="Arial" w:eastAsia="Arial" w:hAnsi="Arial"/>
          <w:sz w:val="21"/>
          <w:szCs w:val="21"/>
          <w:color w:val="auto"/>
        </w:rPr>
      </w:pPr>
      <w:r>
        <w:rPr>
          <w:rFonts w:ascii="Times New Roman" w:cs="Times New Roman" w:eastAsia="Times New Roman" w:hAnsi="Times New Roman"/>
          <w:sz w:val="17"/>
          <w:szCs w:val="17"/>
          <w:color w:val="auto"/>
        </w:rPr>
        <w:t>Conform advance notice provisions regarding proposals and nominations from stockholders to reflect universal proxy rules adopted by the SEC and certain Nasdaq requirements;</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21"/>
          <w:szCs w:val="21"/>
          <w:color w:val="auto"/>
        </w:rPr>
      </w:pPr>
      <w:r>
        <w:rPr>
          <w:rFonts w:ascii="Times New Roman" w:cs="Times New Roman" w:eastAsia="Times New Roman" w:hAnsi="Times New Roman"/>
          <w:sz w:val="17"/>
          <w:szCs w:val="17"/>
          <w:color w:val="auto"/>
        </w:rPr>
        <w:t>Amend certain provisions related to delivery of notices of stockholder meetings and communications regarding adjourned stockholder meetings;</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2"/>
        </w:numPr>
        <w:rPr>
          <w:rFonts w:ascii="Arial" w:cs="Arial" w:eastAsia="Arial" w:hAnsi="Arial"/>
          <w:sz w:val="21"/>
          <w:szCs w:val="21"/>
          <w:color w:val="auto"/>
        </w:rPr>
      </w:pPr>
      <w:r>
        <w:rPr>
          <w:rFonts w:ascii="Times New Roman" w:cs="Times New Roman" w:eastAsia="Times New Roman" w:hAnsi="Times New Roman"/>
          <w:sz w:val="17"/>
          <w:szCs w:val="17"/>
          <w:color w:val="auto"/>
        </w:rPr>
        <w:t>Amend certain provisions related to notice of an adjourned stockholder meeting (particularly in the event of a technical failure at a virtual meeting);</w:t>
      </w:r>
    </w:p>
    <w:p>
      <w:pPr>
        <w:spacing w:after="0" w:line="13"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2"/>
        </w:numPr>
        <w:rPr>
          <w:rFonts w:ascii="Arial" w:cs="Arial" w:eastAsia="Arial" w:hAnsi="Arial"/>
          <w:sz w:val="21"/>
          <w:szCs w:val="21"/>
          <w:color w:val="auto"/>
        </w:rPr>
      </w:pPr>
      <w:r>
        <w:rPr>
          <w:rFonts w:ascii="Times New Roman" w:cs="Times New Roman" w:eastAsia="Times New Roman" w:hAnsi="Times New Roman"/>
          <w:sz w:val="17"/>
          <w:szCs w:val="17"/>
          <w:color w:val="auto"/>
        </w:rPr>
        <w:t>Amend certain provisions regarding the preparation of a stockholder list and provision of such list at the annual meeting of stockholders; and</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2"/>
        </w:numPr>
        <w:rPr>
          <w:rFonts w:ascii="Arial" w:cs="Arial" w:eastAsia="Arial" w:hAnsi="Arial"/>
          <w:sz w:val="21"/>
          <w:szCs w:val="21"/>
          <w:color w:val="auto"/>
        </w:rPr>
      </w:pPr>
      <w:r>
        <w:rPr>
          <w:rFonts w:ascii="Times New Roman" w:cs="Times New Roman" w:eastAsia="Times New Roman" w:hAnsi="Times New Roman"/>
          <w:sz w:val="17"/>
          <w:szCs w:val="17"/>
          <w:color w:val="auto"/>
        </w:rPr>
        <w:t>Make certain other technical, conforming, modernizing, or clarifying changes.</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foregoing description of the changes contained in the Amended and Restated Bylaws does not purport to be complete and is qualified in its entirety by reference to the full text of the Amended and Restated Bylaws, a copy of which is attached hereto as Exhibit 3.1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650875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9.01 – Financial Statements and Exhibits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3"/>
        </w:trPr>
        <w:tc>
          <w:tcPr>
            <w:tcW w:w="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9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 Description</w:t>
            </w:r>
          </w:p>
        </w:tc>
      </w:tr>
      <w:tr>
        <w:trPr>
          <w:trHeight w:val="173"/>
        </w:trPr>
        <w:tc>
          <w:tcPr>
            <w:tcW w:w="20" w:type="dxa"/>
            <w:vAlign w:val="bottom"/>
          </w:tcPr>
          <w:p>
            <w:pPr>
              <w:spacing w:after="0"/>
              <w:rPr>
                <w:sz w:val="15"/>
                <w:szCs w:val="15"/>
                <w:color w:val="auto"/>
              </w:rPr>
            </w:pPr>
          </w:p>
        </w:tc>
        <w:tc>
          <w:tcPr>
            <w:tcW w:w="10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3.1</w:t>
            </w:r>
          </w:p>
        </w:tc>
        <w:tc>
          <w:tcPr>
            <w:tcW w:w="240" w:type="dxa"/>
            <w:vAlign w:val="bottom"/>
          </w:tcPr>
          <w:p>
            <w:pPr>
              <w:spacing w:after="0"/>
              <w:rPr>
                <w:sz w:val="15"/>
                <w:szCs w:val="15"/>
                <w:color w:val="auto"/>
              </w:rPr>
            </w:pPr>
          </w:p>
        </w:tc>
        <w:tc>
          <w:tcPr>
            <w:tcW w:w="9900" w:type="dxa"/>
            <w:vAlign w:val="bottom"/>
            <w:tcBorders>
              <w:top w:val="single" w:sz="8" w:color="auto"/>
            </w:tcBorders>
            <w:gridSpan w:val="3"/>
          </w:tcPr>
          <w:p>
            <w:pPr>
              <w:spacing w:after="0" w:line="173" w:lineRule="exact"/>
              <w:rPr>
                <w:sz w:val="20"/>
                <w:szCs w:val="20"/>
                <w:color w:val="auto"/>
              </w:rPr>
            </w:pPr>
            <w:r>
              <w:rPr>
                <w:rFonts w:ascii="Times New Roman" w:cs="Times New Roman" w:eastAsia="Times New Roman" w:hAnsi="Times New Roman"/>
                <w:sz w:val="17"/>
                <w:szCs w:val="17"/>
                <w:color w:val="0000FF"/>
              </w:rPr>
              <w:t>Amended and Restated Bylaws of Dropbox, Inc.</w:t>
            </w:r>
          </w:p>
        </w:tc>
        <w:tc>
          <w:tcPr>
            <w:tcW w:w="20" w:type="dxa"/>
            <w:vAlign w:val="bottom"/>
          </w:tcPr>
          <w:p>
            <w:pPr>
              <w:spacing w:after="0"/>
              <w:rPr>
                <w:sz w:val="15"/>
                <w:szCs w:val="15"/>
                <w:color w:val="auto"/>
              </w:rPr>
            </w:pPr>
          </w:p>
        </w:tc>
      </w:tr>
      <w:tr>
        <w:trPr>
          <w:trHeight w:val="20"/>
        </w:trPr>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199"/>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99.1</w:t>
            </w:r>
          </w:p>
        </w:tc>
        <w:tc>
          <w:tcPr>
            <w:tcW w:w="240" w:type="dxa"/>
            <w:vAlign w:val="bottom"/>
          </w:tcPr>
          <w:p>
            <w:pPr>
              <w:spacing w:after="0"/>
              <w:rPr>
                <w:sz w:val="17"/>
                <w:szCs w:val="17"/>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Blog post published by Dropbox, Inc. on December 15, 2023</w:t>
            </w:r>
          </w:p>
        </w:tc>
      </w:tr>
      <w:tr>
        <w:trPr>
          <w:trHeight w:val="20"/>
        </w:trPr>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r>
      <w:tr>
        <w:trPr>
          <w:trHeight w:val="238"/>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104.0</w:t>
            </w:r>
          </w:p>
        </w:tc>
        <w:tc>
          <w:tcPr>
            <w:tcW w:w="240" w:type="dxa"/>
            <w:vAlign w:val="bottom"/>
          </w:tcPr>
          <w:p>
            <w:pPr>
              <w:spacing w:after="0"/>
              <w:rPr>
                <w:sz w:val="20"/>
                <w:szCs w:val="20"/>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w:t>
            </w:r>
          </w:p>
        </w:tc>
      </w:tr>
      <w:tr>
        <w:trPr>
          <w:trHeight w:val="1153"/>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December 15, 2023</w:t>
      </w:r>
    </w:p>
    <w:p>
      <w:pPr>
        <w:spacing w:after="0" w:line="27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14605</wp:posOffset>
            </wp:positionV>
            <wp:extent cx="2783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1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Bart Volkmer</w:t>
      </w:r>
    </w:p>
    <w:p>
      <w:pPr>
        <w:spacing w:after="0" w:line="2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color w:val="auto"/>
        </w:rPr>
        <w:t>Chief Legal Officer</w:t>
      </w:r>
    </w:p>
    <w:p>
      <w:pPr>
        <w:sectPr>
          <w:pgSz w:w="11900" w:h="16838" w:orient="portrait"/>
          <w:cols w:equalWidth="0" w:num="1">
            <w:col w:w="10760"/>
          </w:cols>
          <w:pgMar w:left="320" w:top="854" w:right="81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AMENDED AND RESTATED BYLAWS OF</w:t>
      </w:r>
    </w:p>
    <w:p>
      <w:pPr>
        <w:sectPr>
          <w:pgSz w:w="11900" w:h="16838" w:orient="portrait"/>
          <w:cols w:equalWidth="0" w:num="1">
            <w:col w:w="9019"/>
          </w:cols>
          <w:pgMar w:left="1440" w:top="1440"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Dropbox,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on December 13, 2023)</w:t>
      </w:r>
    </w:p>
    <w:p>
      <w:pPr>
        <w:sectPr>
          <w:pgSz w:w="11900" w:h="16838" w:orient="portrait"/>
          <w:cols w:equalWidth="0" w:num="1">
            <w:col w:w="9019"/>
          </w:cols>
          <w:pgMar w:left="1440" w:top="1440" w:right="1440" w:bottom="1440" w:gutter="0" w:footer="0" w:header="0"/>
          <w:type w:val="continuous"/>
        </w:sectPr>
      </w:pPr>
    </w:p>
    <w:bookmarkStart w:id="5" w:name="page6"/>
    <w:bookmarkEnd w:id="5"/>
    <w:p>
      <w:pPr>
        <w:spacing w:after="0" w:line="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p>
      <w:pPr>
        <w:jc w:val="right"/>
        <w:ind w:right="6800"/>
        <w:spacing w:after="0"/>
        <w:rPr>
          <w:sz w:val="20"/>
          <w:szCs w:val="20"/>
          <w:color w:val="auto"/>
        </w:rPr>
      </w:pPr>
      <w:r>
        <w:rPr>
          <w:rFonts w:ascii="Times New Roman" w:cs="Times New Roman" w:eastAsia="Times New Roman" w:hAnsi="Times New Roman"/>
          <w:sz w:val="18"/>
          <w:szCs w:val="18"/>
          <w:color w:val="auto"/>
        </w:rPr>
        <w:t>ARTICLE I - CORPORATE OFFICES</w:t>
      </w:r>
    </w:p>
    <w:p>
      <w:pPr>
        <w:spacing w:after="0" w:line="244" w:lineRule="exact"/>
        <w:rPr>
          <w:sz w:val="20"/>
          <w:szCs w:val="20"/>
          <w:color w:val="auto"/>
        </w:rPr>
      </w:pPr>
    </w:p>
    <w:p>
      <w:pPr>
        <w:jc w:val="right"/>
        <w:ind w:right="6820"/>
        <w:spacing w:after="0"/>
        <w:tabs>
          <w:tab w:leader="none" w:pos="866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8"/>
          <w:szCs w:val="18"/>
          <w:color w:val="auto"/>
        </w:rPr>
        <w:t>REGISTERED OFFICE</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8"/>
          <w:szCs w:val="18"/>
          <w:color w:val="auto"/>
        </w:rPr>
        <w:t>OTHER OFFICES</w:t>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ARTICLE II - MEETINGS OF STOCKHOLDERS</w:t>
      </w:r>
    </w:p>
    <w:p>
      <w:pPr>
        <w:spacing w:after="0" w:line="23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8"/>
          <w:szCs w:val="18"/>
          <w:color w:val="auto"/>
        </w:rPr>
        <w:t>PLACE OF MEETINGS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color w:val="auto"/>
        </w:rPr>
        <w:t>ANNUAL MEETING</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8"/>
          <w:szCs w:val="18"/>
          <w:color w:val="auto"/>
        </w:rPr>
        <w:t>SPECIAL MEETING</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8"/>
          <w:szCs w:val="18"/>
          <w:color w:val="auto"/>
        </w:rPr>
        <w:t>ADVANCE NOTICE PROCEDURES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2.5</w:t>
      </w:r>
      <w:r>
        <w:rPr>
          <w:sz w:val="20"/>
          <w:szCs w:val="20"/>
          <w:color w:val="auto"/>
        </w:rPr>
        <w:tab/>
      </w:r>
      <w:r>
        <w:rPr>
          <w:rFonts w:ascii="Times New Roman" w:cs="Times New Roman" w:eastAsia="Times New Roman" w:hAnsi="Times New Roman"/>
          <w:sz w:val="18"/>
          <w:szCs w:val="18"/>
          <w:color w:val="auto"/>
        </w:rPr>
        <w:t>NOTICE OF STOCKHOLDERS’ MEETINGS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8"/>
          <w:szCs w:val="18"/>
          <w:color w:val="auto"/>
        </w:rPr>
        <w:t>QUORUM</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8"/>
          <w:szCs w:val="18"/>
          <w:color w:val="auto"/>
        </w:rPr>
        <w:t>ADJOURNED MEETING; NOTICE</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2.8</w:t>
      </w:r>
      <w:r>
        <w:rPr>
          <w:sz w:val="20"/>
          <w:szCs w:val="20"/>
          <w:color w:val="auto"/>
        </w:rPr>
        <w:tab/>
      </w:r>
      <w:r>
        <w:rPr>
          <w:rFonts w:ascii="Times New Roman" w:cs="Times New Roman" w:eastAsia="Times New Roman" w:hAnsi="Times New Roman"/>
          <w:sz w:val="18"/>
          <w:szCs w:val="18"/>
          <w:color w:val="auto"/>
        </w:rPr>
        <w:t>CONDUCT OF BUSINESS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2.9</w:t>
      </w:r>
      <w:r>
        <w:rPr>
          <w:sz w:val="20"/>
          <w:szCs w:val="20"/>
          <w:color w:val="auto"/>
        </w:rPr>
        <w:tab/>
      </w:r>
      <w:r>
        <w:rPr>
          <w:rFonts w:ascii="Times New Roman" w:cs="Times New Roman" w:eastAsia="Times New Roman" w:hAnsi="Times New Roman"/>
          <w:sz w:val="18"/>
          <w:szCs w:val="18"/>
          <w:color w:val="auto"/>
        </w:rPr>
        <w:t>VOTING</w:t>
      </w:r>
    </w:p>
    <w:p>
      <w:pPr>
        <w:spacing w:after="0" w:line="25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9"/>
          <w:szCs w:val="19"/>
          <w:color w:val="auto"/>
        </w:rPr>
        <w:t>2.10</w:t>
      </w:r>
      <w:r>
        <w:rPr>
          <w:sz w:val="20"/>
          <w:szCs w:val="20"/>
          <w:color w:val="auto"/>
        </w:rPr>
        <w:tab/>
      </w:r>
      <w:r>
        <w:rPr>
          <w:rFonts w:ascii="Times New Roman" w:cs="Times New Roman" w:eastAsia="Times New Roman" w:hAnsi="Times New Roman"/>
          <w:sz w:val="18"/>
          <w:szCs w:val="18"/>
          <w:color w:val="auto"/>
        </w:rPr>
        <w:t>STOCKHOLDER ACTION BY WRITTEN CONSENT WITHOUT A MEETING</w:t>
      </w:r>
    </w:p>
    <w:p>
      <w:pPr>
        <w:spacing w:after="0" w:line="25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8"/>
          <w:szCs w:val="18"/>
          <w:color w:val="auto"/>
        </w:rPr>
        <w:t>RECORD DATES</w:t>
      </w:r>
    </w:p>
    <w:p>
      <w:pPr>
        <w:spacing w:after="0" w:line="25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9"/>
          <w:szCs w:val="19"/>
          <w:color w:val="auto"/>
        </w:rPr>
        <w:t>2.12</w:t>
      </w:r>
      <w:r>
        <w:rPr>
          <w:sz w:val="20"/>
          <w:szCs w:val="20"/>
          <w:color w:val="auto"/>
        </w:rPr>
        <w:tab/>
      </w:r>
      <w:r>
        <w:rPr>
          <w:rFonts w:ascii="Times New Roman" w:cs="Times New Roman" w:eastAsia="Times New Roman" w:hAnsi="Times New Roman"/>
          <w:sz w:val="18"/>
          <w:szCs w:val="18"/>
          <w:color w:val="auto"/>
        </w:rPr>
        <w:t>PROXIES</w:t>
      </w:r>
    </w:p>
    <w:p>
      <w:pPr>
        <w:spacing w:after="0" w:line="25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9"/>
          <w:szCs w:val="19"/>
          <w:color w:val="auto"/>
        </w:rPr>
        <w:t>2.13</w:t>
      </w:r>
      <w:r>
        <w:rPr>
          <w:sz w:val="20"/>
          <w:szCs w:val="20"/>
          <w:color w:val="auto"/>
        </w:rPr>
        <w:tab/>
      </w:r>
      <w:r>
        <w:rPr>
          <w:rFonts w:ascii="Times New Roman" w:cs="Times New Roman" w:eastAsia="Times New Roman" w:hAnsi="Times New Roman"/>
          <w:sz w:val="18"/>
          <w:szCs w:val="18"/>
          <w:color w:val="auto"/>
        </w:rPr>
        <w:t>LIST OF STOCKHOLDERS ENTITLED TO VOTE</w:t>
      </w:r>
    </w:p>
    <w:p>
      <w:pPr>
        <w:spacing w:after="0" w:line="25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9"/>
          <w:szCs w:val="19"/>
          <w:color w:val="auto"/>
        </w:rPr>
        <w:t>2.14</w:t>
      </w:r>
      <w:r>
        <w:rPr>
          <w:sz w:val="20"/>
          <w:szCs w:val="20"/>
          <w:color w:val="auto"/>
        </w:rPr>
        <w:tab/>
      </w:r>
      <w:r>
        <w:rPr>
          <w:rFonts w:ascii="Times New Roman" w:cs="Times New Roman" w:eastAsia="Times New Roman" w:hAnsi="Times New Roman"/>
          <w:sz w:val="18"/>
          <w:szCs w:val="18"/>
          <w:color w:val="auto"/>
        </w:rPr>
        <w:t>INSPECTORS OF ELECTION</w:t>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ARTICLE III - DIRECTORS</w:t>
      </w:r>
    </w:p>
    <w:p>
      <w:pPr>
        <w:spacing w:after="0" w:line="23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POWERS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8"/>
          <w:szCs w:val="18"/>
          <w:color w:val="auto"/>
        </w:rPr>
        <w:t>NUMBER OF DIRECTORS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8"/>
          <w:szCs w:val="18"/>
          <w:color w:val="auto"/>
        </w:rPr>
        <w:t>ELECTION, QUALIFICATION AND TERM OF OFFICE OF DIRECTORS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3.4</w:t>
      </w:r>
      <w:r>
        <w:rPr>
          <w:sz w:val="20"/>
          <w:szCs w:val="20"/>
          <w:color w:val="auto"/>
        </w:rPr>
        <w:tab/>
      </w:r>
      <w:r>
        <w:rPr>
          <w:rFonts w:ascii="Times New Roman" w:cs="Times New Roman" w:eastAsia="Times New Roman" w:hAnsi="Times New Roman"/>
          <w:sz w:val="18"/>
          <w:szCs w:val="18"/>
          <w:color w:val="auto"/>
        </w:rPr>
        <w:t>RESIGNATION AND VACANCIES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3.5</w:t>
      </w:r>
      <w:r>
        <w:rPr>
          <w:sz w:val="20"/>
          <w:szCs w:val="20"/>
          <w:color w:val="auto"/>
        </w:rPr>
        <w:tab/>
      </w:r>
      <w:r>
        <w:rPr>
          <w:rFonts w:ascii="Times New Roman" w:cs="Times New Roman" w:eastAsia="Times New Roman" w:hAnsi="Times New Roman"/>
          <w:sz w:val="18"/>
          <w:szCs w:val="18"/>
          <w:color w:val="auto"/>
        </w:rPr>
        <w:t>PLACE OF MEETINGS; MEETINGS BY TELEPHONE</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3.6</w:t>
      </w:r>
      <w:r>
        <w:rPr>
          <w:sz w:val="20"/>
          <w:szCs w:val="20"/>
          <w:color w:val="auto"/>
        </w:rPr>
        <w:tab/>
      </w:r>
      <w:r>
        <w:rPr>
          <w:rFonts w:ascii="Times New Roman" w:cs="Times New Roman" w:eastAsia="Times New Roman" w:hAnsi="Times New Roman"/>
          <w:sz w:val="18"/>
          <w:szCs w:val="18"/>
          <w:color w:val="auto"/>
        </w:rPr>
        <w:t>REGULAR MEETINGS</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3.7</w:t>
      </w:r>
      <w:r>
        <w:rPr>
          <w:sz w:val="20"/>
          <w:szCs w:val="20"/>
          <w:color w:val="auto"/>
        </w:rPr>
        <w:tab/>
      </w:r>
      <w:r>
        <w:rPr>
          <w:rFonts w:ascii="Times New Roman" w:cs="Times New Roman" w:eastAsia="Times New Roman" w:hAnsi="Times New Roman"/>
          <w:sz w:val="18"/>
          <w:szCs w:val="18"/>
          <w:color w:val="auto"/>
        </w:rPr>
        <w:t>SPECIAL MEETINGS; NOTICE</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3.8</w:t>
      </w:r>
      <w:r>
        <w:rPr>
          <w:sz w:val="20"/>
          <w:szCs w:val="20"/>
          <w:color w:val="auto"/>
        </w:rPr>
        <w:tab/>
      </w:r>
      <w:r>
        <w:rPr>
          <w:rFonts w:ascii="Times New Roman" w:cs="Times New Roman" w:eastAsia="Times New Roman" w:hAnsi="Times New Roman"/>
          <w:sz w:val="18"/>
          <w:szCs w:val="18"/>
          <w:color w:val="auto"/>
        </w:rPr>
        <w:t>QUORUM; VOTING</w:t>
      </w:r>
    </w:p>
    <w:p>
      <w:pPr>
        <w:spacing w:after="0" w:line="25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9"/>
          <w:szCs w:val="19"/>
          <w:color w:val="auto"/>
        </w:rPr>
        <w:t>3.9</w:t>
      </w:r>
      <w:r>
        <w:rPr>
          <w:sz w:val="20"/>
          <w:szCs w:val="20"/>
          <w:color w:val="auto"/>
        </w:rPr>
        <w:tab/>
      </w:r>
      <w:r>
        <w:rPr>
          <w:rFonts w:ascii="Times New Roman" w:cs="Times New Roman" w:eastAsia="Times New Roman" w:hAnsi="Times New Roman"/>
          <w:sz w:val="18"/>
          <w:szCs w:val="18"/>
          <w:color w:val="auto"/>
        </w:rPr>
        <w:t>BOARD ACTION BY WRITTEN CONSENT WITHOUT A MEETING</w:t>
      </w:r>
    </w:p>
    <w:p>
      <w:pPr>
        <w:spacing w:after="0" w:line="25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9"/>
          <w:szCs w:val="19"/>
          <w:color w:val="auto"/>
        </w:rPr>
        <w:t>3.10</w:t>
      </w:r>
      <w:r>
        <w:rPr>
          <w:sz w:val="20"/>
          <w:szCs w:val="20"/>
          <w:color w:val="auto"/>
        </w:rPr>
        <w:tab/>
      </w:r>
      <w:r>
        <w:rPr>
          <w:rFonts w:ascii="Times New Roman" w:cs="Times New Roman" w:eastAsia="Times New Roman" w:hAnsi="Times New Roman"/>
          <w:sz w:val="18"/>
          <w:szCs w:val="18"/>
          <w:color w:val="auto"/>
        </w:rPr>
        <w:t>FEES AND COMPENSATION OF DIRECTORS</w:t>
      </w:r>
    </w:p>
    <w:p>
      <w:pPr>
        <w:spacing w:after="0" w:line="25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9"/>
          <w:szCs w:val="19"/>
          <w:color w:val="auto"/>
        </w:rPr>
        <w:t>3.11</w:t>
      </w:r>
      <w:r>
        <w:rPr>
          <w:sz w:val="20"/>
          <w:szCs w:val="20"/>
          <w:color w:val="auto"/>
        </w:rPr>
        <w:tab/>
      </w:r>
      <w:r>
        <w:rPr>
          <w:rFonts w:ascii="Times New Roman" w:cs="Times New Roman" w:eastAsia="Times New Roman" w:hAnsi="Times New Roman"/>
          <w:sz w:val="18"/>
          <w:szCs w:val="18"/>
          <w:color w:val="auto"/>
        </w:rPr>
        <w:t>REMOVAL OF DIRECTORS</w:t>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ARTICLE IV - COMMITTEES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Page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2">
            <w:col w:w="9760" w:space="720"/>
            <w:col w:w="740"/>
          </w:cols>
          <w:pgMar w:left="340" w:top="1440" w:right="339" w:bottom="0" w:gutter="0" w:footer="0" w:header="0"/>
        </w:sectPr>
      </w:pPr>
    </w:p>
    <w:bookmarkStart w:id="6" w:name="page7"/>
    <w:bookmarkEnd w:id="6"/>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8"/>
          <w:szCs w:val="18"/>
          <w:color w:val="auto"/>
        </w:rPr>
        <w:t>COMMITTEES OF DIRECTORS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4.2</w:t>
      </w:r>
      <w:r>
        <w:rPr>
          <w:sz w:val="20"/>
          <w:szCs w:val="20"/>
          <w:color w:val="auto"/>
        </w:rPr>
        <w:tab/>
      </w:r>
      <w:r>
        <w:rPr>
          <w:rFonts w:ascii="Times New Roman" w:cs="Times New Roman" w:eastAsia="Times New Roman" w:hAnsi="Times New Roman"/>
          <w:sz w:val="18"/>
          <w:szCs w:val="18"/>
          <w:color w:val="auto"/>
        </w:rPr>
        <w:t>COMMITTEE MINUTES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4.3</w:t>
      </w:r>
      <w:r>
        <w:rPr>
          <w:sz w:val="20"/>
          <w:szCs w:val="20"/>
          <w:color w:val="auto"/>
        </w:rPr>
        <w:tab/>
      </w:r>
      <w:r>
        <w:rPr>
          <w:rFonts w:ascii="Times New Roman" w:cs="Times New Roman" w:eastAsia="Times New Roman" w:hAnsi="Times New Roman"/>
          <w:sz w:val="18"/>
          <w:szCs w:val="18"/>
          <w:color w:val="auto"/>
        </w:rPr>
        <w:t>MEETINGS AND ACTION OF COMMITTEES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4.4</w:t>
      </w:r>
      <w:r>
        <w:rPr>
          <w:sz w:val="20"/>
          <w:szCs w:val="20"/>
          <w:color w:val="auto"/>
        </w:rPr>
        <w:tab/>
      </w:r>
      <w:r>
        <w:rPr>
          <w:rFonts w:ascii="Times New Roman" w:cs="Times New Roman" w:eastAsia="Times New Roman" w:hAnsi="Times New Roman"/>
          <w:sz w:val="18"/>
          <w:szCs w:val="18"/>
          <w:color w:val="auto"/>
        </w:rPr>
        <w:t>SUBCOMMITTEES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V - OFFICERS</w:t>
      </w:r>
    </w:p>
    <w:p>
      <w:pPr>
        <w:spacing w:after="0" w:line="23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color w:val="auto"/>
        </w:rPr>
        <w:t>OFFICERS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8"/>
          <w:szCs w:val="18"/>
          <w:color w:val="auto"/>
        </w:rPr>
        <w:t>APPOINTMENT OF OFFICERS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color w:val="auto"/>
        </w:rPr>
        <w:t>SUBORDINATE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2">
            <w:col w:w="9720" w:space="720"/>
            <w:col w:w="200"/>
          </w:cols>
          <w:pgMar w:left="380" w:top="196" w:right="879" w:bottom="1440" w:gutter="0" w:footer="0" w:header="0"/>
        </w:sectPr>
      </w:pPr>
    </w:p>
    <w:bookmarkStart w:id="7" w:name="page8"/>
    <w:bookmarkEnd w:id="7"/>
    <w:p>
      <w:pPr>
        <w:spacing w:after="0" w:line="175"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jc w:val="center"/>
        <w:ind w:left="1420"/>
        <w:spacing w:after="0"/>
        <w:rPr>
          <w:sz w:val="20"/>
          <w:szCs w:val="20"/>
          <w:color w:val="auto"/>
        </w:rPr>
      </w:pPr>
      <w:r>
        <w:rPr>
          <w:rFonts w:ascii="Times New Roman" w:cs="Times New Roman" w:eastAsia="Times New Roman" w:hAnsi="Times New Roman"/>
          <w:sz w:val="19"/>
          <w:szCs w:val="19"/>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5.4</w:t>
      </w:r>
      <w:r>
        <w:rPr>
          <w:sz w:val="20"/>
          <w:szCs w:val="20"/>
          <w:color w:val="auto"/>
        </w:rPr>
        <w:tab/>
      </w:r>
      <w:r>
        <w:rPr>
          <w:rFonts w:ascii="Times New Roman" w:cs="Times New Roman" w:eastAsia="Times New Roman" w:hAnsi="Times New Roman"/>
          <w:sz w:val="18"/>
          <w:szCs w:val="18"/>
          <w:color w:val="auto"/>
        </w:rPr>
        <w:t>REMOVAL AND RESIGNATION OF OFFICERS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8"/>
          <w:szCs w:val="18"/>
          <w:color w:val="auto"/>
        </w:rPr>
        <w:t>VACANCIES IN OFFICES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8"/>
          <w:szCs w:val="18"/>
          <w:color w:val="auto"/>
        </w:rPr>
        <w:t>REPRESENTATION OF SECURITIES OF OTHER ENTITIES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5.7</w:t>
      </w:r>
      <w:r>
        <w:rPr>
          <w:sz w:val="20"/>
          <w:szCs w:val="20"/>
          <w:color w:val="auto"/>
        </w:rPr>
        <w:tab/>
      </w:r>
      <w:r>
        <w:rPr>
          <w:rFonts w:ascii="Times New Roman" w:cs="Times New Roman" w:eastAsia="Times New Roman" w:hAnsi="Times New Roman"/>
          <w:sz w:val="18"/>
          <w:szCs w:val="18"/>
          <w:color w:val="auto"/>
        </w:rPr>
        <w:t>AUTHORITY AND DUTIES OF OFFICERS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VI - STOCK</w:t>
      </w:r>
    </w:p>
    <w:p>
      <w:pPr>
        <w:spacing w:after="0" w:line="23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8"/>
          <w:szCs w:val="18"/>
          <w:color w:val="auto"/>
        </w:rPr>
        <w:t>STOCK CERTIFICATES; PARTLY PAID SHARES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6.2</w:t>
      </w:r>
      <w:r>
        <w:rPr>
          <w:sz w:val="20"/>
          <w:szCs w:val="20"/>
          <w:color w:val="auto"/>
        </w:rPr>
        <w:tab/>
      </w:r>
      <w:r>
        <w:rPr>
          <w:rFonts w:ascii="Times New Roman" w:cs="Times New Roman" w:eastAsia="Times New Roman" w:hAnsi="Times New Roman"/>
          <w:sz w:val="18"/>
          <w:szCs w:val="18"/>
          <w:color w:val="auto"/>
        </w:rPr>
        <w:t>SPECIAL DESIGNATION ON CERTIFICATES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8"/>
          <w:szCs w:val="18"/>
          <w:color w:val="auto"/>
        </w:rPr>
        <w:t>LOST CERTIFICATES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6.4</w:t>
      </w:r>
      <w:r>
        <w:rPr>
          <w:sz w:val="20"/>
          <w:szCs w:val="20"/>
          <w:color w:val="auto"/>
        </w:rPr>
        <w:tab/>
      </w:r>
      <w:r>
        <w:rPr>
          <w:rFonts w:ascii="Times New Roman" w:cs="Times New Roman" w:eastAsia="Times New Roman" w:hAnsi="Times New Roman"/>
          <w:sz w:val="18"/>
          <w:szCs w:val="18"/>
          <w:color w:val="auto"/>
        </w:rPr>
        <w:t>DIVIDENDS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8"/>
          <w:szCs w:val="18"/>
          <w:color w:val="auto"/>
        </w:rPr>
        <w:t>TRANSFER OF STOCK</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6.6</w:t>
      </w:r>
      <w:r>
        <w:rPr>
          <w:sz w:val="20"/>
          <w:szCs w:val="20"/>
          <w:color w:val="auto"/>
        </w:rPr>
        <w:tab/>
      </w:r>
      <w:r>
        <w:rPr>
          <w:rFonts w:ascii="Times New Roman" w:cs="Times New Roman" w:eastAsia="Times New Roman" w:hAnsi="Times New Roman"/>
          <w:sz w:val="18"/>
          <w:szCs w:val="18"/>
          <w:color w:val="auto"/>
        </w:rPr>
        <w:t>STOCK TRANSFER AGREEMENTS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6.7</w:t>
      </w:r>
      <w:r>
        <w:rPr>
          <w:sz w:val="20"/>
          <w:szCs w:val="20"/>
          <w:color w:val="auto"/>
        </w:rPr>
        <w:tab/>
      </w:r>
      <w:r>
        <w:rPr>
          <w:rFonts w:ascii="Times New Roman" w:cs="Times New Roman" w:eastAsia="Times New Roman" w:hAnsi="Times New Roman"/>
          <w:sz w:val="18"/>
          <w:szCs w:val="18"/>
          <w:color w:val="auto"/>
        </w:rPr>
        <w:t>REGISTERED STOCKHOLDERS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VII - MANNER OF GIVING NOTICE AND WAIVER</w:t>
      </w:r>
    </w:p>
    <w:p>
      <w:pPr>
        <w:spacing w:after="0" w:line="23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8"/>
          <w:szCs w:val="18"/>
          <w:color w:val="auto"/>
        </w:rPr>
        <w:t>NOTICE OF STOCKHOLDERS’ MEETINGS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NOTICE TO STOCKHOLDERS SHARING AN ADDRESS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7.3</w:t>
      </w:r>
      <w:r>
        <w:rPr>
          <w:sz w:val="20"/>
          <w:szCs w:val="20"/>
          <w:color w:val="auto"/>
        </w:rPr>
        <w:tab/>
      </w:r>
      <w:r>
        <w:rPr>
          <w:rFonts w:ascii="Times New Roman" w:cs="Times New Roman" w:eastAsia="Times New Roman" w:hAnsi="Times New Roman"/>
          <w:sz w:val="18"/>
          <w:szCs w:val="18"/>
          <w:color w:val="auto"/>
        </w:rPr>
        <w:t>NOTICE TO PERSON WITH WHOM COMMUNICATION IS UNLAWFUL</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7.4</w:t>
      </w:r>
      <w:r>
        <w:rPr>
          <w:sz w:val="20"/>
          <w:szCs w:val="20"/>
          <w:color w:val="auto"/>
        </w:rPr>
        <w:tab/>
      </w:r>
      <w:r>
        <w:rPr>
          <w:rFonts w:ascii="Times New Roman" w:cs="Times New Roman" w:eastAsia="Times New Roman" w:hAnsi="Times New Roman"/>
          <w:sz w:val="18"/>
          <w:szCs w:val="18"/>
          <w:color w:val="auto"/>
        </w:rPr>
        <w:t>WAIVER OF NOTICE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VIII - INDEMNIFICATION</w:t>
      </w:r>
    </w:p>
    <w:p>
      <w:pPr>
        <w:spacing w:after="0" w:line="23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18"/>
          <w:szCs w:val="18"/>
          <w:color w:val="auto"/>
        </w:rPr>
        <w:t>INDEMNIFICATION OF DIRECTORS AND OFFICERS IN THIRD PARTY PROCEEDINGS</w:t>
      </w:r>
    </w:p>
    <w:p>
      <w:pPr>
        <w:spacing w:after="0" w:line="259" w:lineRule="exact"/>
        <w:rPr>
          <w:sz w:val="20"/>
          <w:szCs w:val="20"/>
          <w:color w:val="auto"/>
        </w:rPr>
      </w:pPr>
    </w:p>
    <w:p>
      <w:pPr>
        <w:ind w:right="20" w:firstLine="619"/>
        <w:spacing w:after="0" w:line="269" w:lineRule="auto"/>
        <w:rPr>
          <w:sz w:val="20"/>
          <w:szCs w:val="20"/>
          <w:color w:val="auto"/>
        </w:rPr>
      </w:pPr>
      <w:r>
        <w:rPr>
          <w:rFonts w:ascii="Times New Roman" w:cs="Times New Roman" w:eastAsia="Times New Roman" w:hAnsi="Times New Roman"/>
          <w:sz w:val="19"/>
          <w:szCs w:val="19"/>
          <w:color w:val="auto"/>
        </w:rPr>
        <w:t>8.2 INDEMNIFICATION OF DIRECTORS AND OFFICERS IN ACTIONS BY OR IN THE RIGHT OF THE CORPORATION</w:t>
      </w:r>
    </w:p>
    <w:p>
      <w:pPr>
        <w:spacing w:after="0" w:line="168"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8.3</w:t>
      </w:r>
      <w:r>
        <w:rPr>
          <w:sz w:val="20"/>
          <w:szCs w:val="20"/>
          <w:color w:val="auto"/>
        </w:rPr>
        <w:tab/>
      </w:r>
      <w:r>
        <w:rPr>
          <w:rFonts w:ascii="Times New Roman" w:cs="Times New Roman" w:eastAsia="Times New Roman" w:hAnsi="Times New Roman"/>
          <w:sz w:val="18"/>
          <w:szCs w:val="18"/>
          <w:color w:val="auto"/>
        </w:rPr>
        <w:t>SUCCESSFUL DEFENSE</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8.4</w:t>
      </w:r>
      <w:r>
        <w:rPr>
          <w:sz w:val="20"/>
          <w:szCs w:val="20"/>
          <w:color w:val="auto"/>
        </w:rPr>
        <w:tab/>
      </w:r>
      <w:r>
        <w:rPr>
          <w:rFonts w:ascii="Times New Roman" w:cs="Times New Roman" w:eastAsia="Times New Roman" w:hAnsi="Times New Roman"/>
          <w:sz w:val="18"/>
          <w:szCs w:val="18"/>
          <w:color w:val="auto"/>
        </w:rPr>
        <w:t>INDEMNIFICATION OF OTHERS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8"/>
          <w:szCs w:val="18"/>
          <w:color w:val="auto"/>
        </w:rPr>
        <w:t>ADVANCE PAYMENT OF EXPENSES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8.6</w:t>
      </w:r>
      <w:r>
        <w:rPr>
          <w:sz w:val="20"/>
          <w:szCs w:val="20"/>
          <w:color w:val="auto"/>
        </w:rPr>
        <w:tab/>
      </w:r>
      <w:r>
        <w:rPr>
          <w:rFonts w:ascii="Times New Roman" w:cs="Times New Roman" w:eastAsia="Times New Roman" w:hAnsi="Times New Roman"/>
          <w:sz w:val="18"/>
          <w:szCs w:val="18"/>
          <w:color w:val="auto"/>
        </w:rPr>
        <w:t>LIMITATION ON INDEMNIFICATION</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8.7</w:t>
      </w:r>
      <w:r>
        <w:rPr>
          <w:sz w:val="20"/>
          <w:szCs w:val="20"/>
          <w:color w:val="auto"/>
        </w:rPr>
        <w:tab/>
      </w:r>
      <w:r>
        <w:rPr>
          <w:rFonts w:ascii="Times New Roman" w:cs="Times New Roman" w:eastAsia="Times New Roman" w:hAnsi="Times New Roman"/>
          <w:sz w:val="18"/>
          <w:szCs w:val="18"/>
          <w:color w:val="auto"/>
        </w:rPr>
        <w:t>DETERMINATION; CLAIM</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8.8</w:t>
      </w:r>
      <w:r>
        <w:rPr>
          <w:sz w:val="20"/>
          <w:szCs w:val="20"/>
          <w:color w:val="auto"/>
        </w:rPr>
        <w:tab/>
      </w:r>
      <w:r>
        <w:rPr>
          <w:rFonts w:ascii="Times New Roman" w:cs="Times New Roman" w:eastAsia="Times New Roman" w:hAnsi="Times New Roman"/>
          <w:sz w:val="18"/>
          <w:szCs w:val="18"/>
          <w:color w:val="auto"/>
        </w:rPr>
        <w:t>NON-EXCLUSIVITY OF RIGHTS</w:t>
      </w:r>
    </w:p>
    <w:p>
      <w:pPr>
        <w:spacing w:after="0" w:line="259"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8"/>
          <w:szCs w:val="18"/>
          <w:color w:val="auto"/>
        </w:rPr>
        <w:t>INSURANCE</w:t>
      </w:r>
    </w:p>
    <w:p>
      <w:pPr>
        <w:spacing w:after="0" w:line="25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8.10</w:t>
      </w:r>
      <w:r>
        <w:rPr>
          <w:sz w:val="20"/>
          <w:szCs w:val="20"/>
          <w:color w:val="auto"/>
        </w:rPr>
        <w:tab/>
      </w:r>
      <w:r>
        <w:rPr>
          <w:rFonts w:ascii="Times New Roman" w:cs="Times New Roman" w:eastAsia="Times New Roman" w:hAnsi="Times New Roman"/>
          <w:sz w:val="17"/>
          <w:szCs w:val="17"/>
          <w:color w:val="auto"/>
        </w:rPr>
        <w:t>SURVIVAL</w:t>
      </w:r>
    </w:p>
    <w:p>
      <w:pPr>
        <w:spacing w:after="0" w:line="259" w:lineRule="exact"/>
        <w:rPr>
          <w:sz w:val="20"/>
          <w:szCs w:val="20"/>
          <w:color w:val="auto"/>
        </w:rPr>
      </w:pPr>
    </w:p>
    <w:p>
      <w:pPr>
        <w:ind w:left="620"/>
        <w:spacing w:after="0"/>
        <w:tabs>
          <w:tab w:leader="none" w:pos="1100" w:val="left"/>
        </w:tabs>
        <w:rPr>
          <w:sz w:val="20"/>
          <w:szCs w:val="20"/>
          <w:color w:val="auto"/>
        </w:rPr>
      </w:pPr>
      <w:r>
        <w:rPr>
          <w:rFonts w:ascii="Times New Roman" w:cs="Times New Roman" w:eastAsia="Times New Roman" w:hAnsi="Times New Roman"/>
          <w:sz w:val="19"/>
          <w:szCs w:val="19"/>
          <w:color w:val="auto"/>
        </w:rPr>
        <w:t>8.11</w:t>
      </w:r>
      <w:r>
        <w:rPr>
          <w:sz w:val="20"/>
          <w:szCs w:val="20"/>
          <w:color w:val="auto"/>
        </w:rPr>
        <w:tab/>
      </w:r>
      <w:r>
        <w:rPr>
          <w:rFonts w:ascii="Times New Roman" w:cs="Times New Roman" w:eastAsia="Times New Roman" w:hAnsi="Times New Roman"/>
          <w:sz w:val="18"/>
          <w:szCs w:val="18"/>
          <w:color w:val="auto"/>
        </w:rPr>
        <w:t>EFFECT OF REPEAL OR MODIFICATION</w:t>
      </w:r>
    </w:p>
    <w:p>
      <w:pPr>
        <w:spacing w:after="0" w:line="259"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19"/>
          <w:szCs w:val="19"/>
          <w:color w:val="auto"/>
        </w:rPr>
        <w:t>8.12</w:t>
      </w:r>
      <w:r>
        <w:rPr>
          <w:sz w:val="20"/>
          <w:szCs w:val="20"/>
          <w:color w:val="auto"/>
        </w:rPr>
        <w:tab/>
      </w:r>
      <w:r>
        <w:rPr>
          <w:rFonts w:ascii="Times New Roman" w:cs="Times New Roman" w:eastAsia="Times New Roman" w:hAnsi="Times New Roman"/>
          <w:sz w:val="18"/>
          <w:szCs w:val="18"/>
          <w:color w:val="auto"/>
        </w:rPr>
        <w:t>CERTAIN DEFINITIONS</w:t>
      </w:r>
    </w:p>
    <w:p>
      <w:pPr>
        <w:spacing w:after="0" w:line="2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ARTICLE IX - GENERAL MATTERS</w:t>
      </w:r>
    </w:p>
    <w:p>
      <w:pPr>
        <w:spacing w:after="0" w:line="233"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9"/>
          <w:szCs w:val="19"/>
          <w:color w:val="auto"/>
        </w:rPr>
        <w:t>9 1</w:t>
      </w:r>
      <w:r>
        <w:rPr>
          <w:sz w:val="20"/>
          <w:szCs w:val="20"/>
          <w:color w:val="auto"/>
        </w:rPr>
        <w:tab/>
      </w:r>
      <w:r>
        <w:rPr>
          <w:rFonts w:ascii="Times New Roman" w:cs="Times New Roman" w:eastAsia="Times New Roman" w:hAnsi="Times New Roman"/>
          <w:sz w:val="18"/>
          <w:szCs w:val="18"/>
          <w:color w:val="auto"/>
        </w:rPr>
        <w:t>EXECUTION OF CORPORATE CONTRACTS AND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14</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16</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19</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19</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19</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19</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22</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22</w:t>
      </w:r>
    </w:p>
    <w:p>
      <w:pPr>
        <w:sectPr>
          <w:pgSz w:w="11900" w:h="17014" w:orient="portrait"/>
          <w:cols w:equalWidth="0" w:num="2">
            <w:col w:w="9720" w:space="720"/>
            <w:col w:w="740"/>
          </w:cols>
          <w:pgMar w:left="380" w:top="101" w:right="3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61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FISCAL YEAR</w:t>
            </w:r>
          </w:p>
        </w:tc>
        <w:tc>
          <w:tcPr>
            <w:tcW w:w="3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477"/>
        </w:trPr>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61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SEAL</w:t>
            </w:r>
          </w:p>
        </w:tc>
        <w:tc>
          <w:tcPr>
            <w:tcW w:w="3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477"/>
        </w:trPr>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618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CONSTRUCTION; DEFINITIONS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451"/>
        </w:trPr>
        <w:tc>
          <w:tcPr>
            <w:tcW w:w="7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 - AMENDMENTS</w:t>
            </w:r>
          </w:p>
        </w:tc>
        <w:tc>
          <w:tcPr>
            <w:tcW w:w="3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451"/>
        </w:trPr>
        <w:tc>
          <w:tcPr>
            <w:tcW w:w="7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XI - EXCLUSIVE FORUM</w:t>
            </w:r>
          </w:p>
        </w:tc>
        <w:tc>
          <w:tcPr>
            <w:tcW w:w="3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640"/>
          </w:cols>
          <w:pgMar w:left="380" w:top="480" w:right="879" w:bottom="1440" w:gutter="0" w:footer="0" w:header="0"/>
        </w:sectPr>
      </w:pPr>
    </w:p>
    <w:bookmarkStart w:id="9" w:name="page10"/>
    <w:bookmarkEnd w:id="9"/>
    <w:p>
      <w:pPr>
        <w:spacing w:after="0" w:line="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BYLAWS OF DROPBOX, INC.</w:t>
      </w:r>
    </w:p>
    <w:p>
      <w:pPr>
        <w:spacing w:after="0" w:line="17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 -  CORPORATE OFFICES</w:t>
      </w:r>
    </w:p>
    <w:p>
      <w:pPr>
        <w:spacing w:after="0" w:line="21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8"/>
          <w:szCs w:val="18"/>
          <w:color w:val="auto"/>
        </w:rPr>
        <w:t>REGISTERED OFFICE</w:t>
      </w:r>
    </w:p>
    <w:p>
      <w:pPr>
        <w:spacing w:after="0" w:line="21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9"/>
          <w:szCs w:val="19"/>
          <w:color w:val="auto"/>
        </w:rPr>
        <w:t>The registered office of Dropbox, Inc.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shall be fixed in the corporation’s certificate of incorporation, as the same may be amended from time to time (the “</w:t>
      </w:r>
      <w:r>
        <w:rPr>
          <w:rFonts w:ascii="Times New Roman" w:cs="Times New Roman" w:eastAsia="Times New Roman" w:hAnsi="Times New Roman"/>
          <w:sz w:val="19"/>
          <w:szCs w:val="19"/>
          <w:b w:val="1"/>
          <w:bCs w:val="1"/>
          <w:color w:val="auto"/>
        </w:rPr>
        <w:t>certificate of incorporation</w:t>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8"/>
          <w:szCs w:val="18"/>
          <w:color w:val="auto"/>
        </w:rPr>
        <w:t>OTHER OFFICES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corporation may at any time establish other offices at any place or places.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 - MEETINGS OF STOCKHOLDERS</w:t>
      </w:r>
    </w:p>
    <w:p>
      <w:pPr>
        <w:spacing w:after="0" w:line="22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8"/>
          <w:szCs w:val="18"/>
          <w:color w:val="auto"/>
        </w:rPr>
        <w:t>PLACE OF MEETINGS</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Meetings of stockholders shall be held at any place, within or outside the State of Delaware, designated by the corporation’s board of directors (the “</w:t>
      </w:r>
      <w:r>
        <w:rPr>
          <w:rFonts w:ascii="Times New Roman" w:cs="Times New Roman" w:eastAsia="Times New Roman" w:hAnsi="Times New Roman"/>
          <w:sz w:val="19"/>
          <w:szCs w:val="19"/>
          <w:b w:val="1"/>
          <w:bCs w:val="1"/>
          <w:color w:val="auto"/>
        </w:rPr>
        <w:t>board of directors</w:t>
      </w:r>
      <w:r>
        <w:rPr>
          <w:rFonts w:ascii="Times New Roman" w:cs="Times New Roman" w:eastAsia="Times New Roman" w:hAnsi="Times New Roman"/>
          <w:sz w:val="19"/>
          <w:szCs w:val="19"/>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9"/>
          <w:szCs w:val="19"/>
          <w:b w:val="1"/>
          <w:bCs w:val="1"/>
          <w:color w:val="auto"/>
        </w:rPr>
        <w:t>DGCL</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8"/>
          <w:szCs w:val="18"/>
          <w:color w:val="auto"/>
        </w:rPr>
        <w:t>ANNUAL MEETING</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of stockholders at any time, before or after the notice for such meeting has been sent to the stockholders. For purposes of these bylaws, the term “</w:t>
      </w:r>
      <w:r>
        <w:rPr>
          <w:rFonts w:ascii="Times New Roman" w:cs="Times New Roman" w:eastAsia="Times New Roman" w:hAnsi="Times New Roman"/>
          <w:sz w:val="19"/>
          <w:szCs w:val="19"/>
          <w:b w:val="1"/>
          <w:bCs w:val="1"/>
          <w:color w:val="auto"/>
        </w:rPr>
        <w:t>Whole Board</w:t>
      </w:r>
      <w:r>
        <w:rPr>
          <w:rFonts w:ascii="Times New Roman" w:cs="Times New Roman" w:eastAsia="Times New Roman" w:hAnsi="Times New Roman"/>
          <w:sz w:val="19"/>
          <w:szCs w:val="19"/>
          <w:color w:val="auto"/>
        </w:rPr>
        <w:t>” shall mean the total number of authorized directors whether or not there exist any vacancies or unfilled seats in previously authorized directorships.</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2.3</w:t>
      </w:r>
      <w:r>
        <w:rPr>
          <w:sz w:val="20"/>
          <w:szCs w:val="20"/>
          <w:color w:val="auto"/>
        </w:rPr>
        <w:tab/>
      </w:r>
      <w:r>
        <w:rPr>
          <w:rFonts w:ascii="Times New Roman" w:cs="Times New Roman" w:eastAsia="Times New Roman" w:hAnsi="Times New Roman"/>
          <w:sz w:val="18"/>
          <w:szCs w:val="18"/>
          <w:color w:val="auto"/>
        </w:rPr>
        <w:t>SPECIAL MEETING</w:t>
      </w:r>
    </w:p>
    <w:p>
      <w:pPr>
        <w:spacing w:after="0" w:line="220" w:lineRule="exact"/>
        <w:rPr>
          <w:sz w:val="20"/>
          <w:szCs w:val="20"/>
          <w:color w:val="auto"/>
        </w:rPr>
      </w:pPr>
    </w:p>
    <w:p>
      <w:pPr>
        <w:jc w:val="both"/>
        <w:ind w:firstLine="1241"/>
        <w:spacing w:after="0" w:line="252" w:lineRule="auto"/>
        <w:tabs>
          <w:tab w:leader="none" w:pos="185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special meeting of the stockholders, other than as required by statute, may be called at any time by (a) the board of directors, acting pursuant to a resolution adopted by a majority of the Whole Board, (b) the chairperson of the board of directors, (c) the chief executive officer or the president (in the absence of a chief executive officer) or (d) prior to the Final Conversion Date (as such term is defined in the certificate of incorporation), by written request of the holders of at least 30% of the voting power of the corporation’s Class A Common Stock and Class B Common Stock, voting together as a single class, provided that such written request is in compliance with the requirements of Section 2.3(ii) of these bylaws, but a special meeting may not be called by any other person or persons.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75"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person(s) other than the board of directors calls a special meeting, the request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39" w:lineRule="exact"/>
        <w:rPr>
          <w:sz w:val="20"/>
          <w:szCs w:val="20"/>
          <w:color w:val="auto"/>
        </w:rPr>
      </w:pPr>
    </w:p>
    <w:p>
      <w:pPr>
        <w:ind w:left="2460" w:hanging="600"/>
        <w:spacing w:after="0"/>
        <w:tabs>
          <w:tab w:leader="none" w:pos="24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in writing;</w:t>
      </w:r>
    </w:p>
    <w:p>
      <w:pPr>
        <w:spacing w:after="0" w:line="206" w:lineRule="exact"/>
        <w:rPr>
          <w:rFonts w:ascii="Times New Roman" w:cs="Times New Roman" w:eastAsia="Times New Roman" w:hAnsi="Times New Roman"/>
          <w:sz w:val="19"/>
          <w:szCs w:val="19"/>
          <w:color w:val="auto"/>
        </w:rPr>
      </w:pPr>
    </w:p>
    <w:p>
      <w:pPr>
        <w:ind w:firstLine="1860"/>
        <w:spacing w:after="0" w:line="283" w:lineRule="auto"/>
        <w:tabs>
          <w:tab w:leader="none" w:pos="246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specify the general nature of the business proposed to be transacted, subject to any additional applicable requirements as are set forth in Section 2.4(iii) and in Section 2.4(i)(b) (for the proposal of business other than nominations); and</w:t>
      </w:r>
    </w:p>
    <w:p>
      <w:pPr>
        <w:spacing w:after="0" w:line="142" w:lineRule="exact"/>
        <w:rPr>
          <w:rFonts w:ascii="Times New Roman" w:cs="Times New Roman" w:eastAsia="Times New Roman" w:hAnsi="Times New Roman"/>
          <w:sz w:val="19"/>
          <w:szCs w:val="19"/>
          <w:color w:val="auto"/>
        </w:rPr>
      </w:pPr>
    </w:p>
    <w:p>
      <w:pPr>
        <w:ind w:left="2460" w:hanging="600"/>
        <w:spacing w:after="0"/>
        <w:tabs>
          <w:tab w:leader="none" w:pos="24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delivered personally or sent by registered mail to the secretary of the corporation.</w:t>
      </w:r>
    </w:p>
    <w:p>
      <w:pPr>
        <w:spacing w:after="0" w:line="220"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19"/>
          <w:szCs w:val="19"/>
          <w:color w:val="auto"/>
        </w:rPr>
        <w:t>Upon receipt of such a request, the board of directors shall determine the date, time and place (if any) of such special meeting, which must be scheduled to be held on a date that is not less than thirty (30) and not more than ninety (90) days after receipt by the secretary of the request therefor, and the secretary of the corporation shall prepare a proper notice thereof. No business may be transacted at such special meeting other than the business specified in the notice to stockholders of such meeting. A request to call a special meeting by any person other than the board of directors will not be valid unless made in accordance with the requirements and procedures set forth in this Section 2.3(ii).</w:t>
      </w:r>
    </w:p>
    <w:p>
      <w:pPr>
        <w:spacing w:after="0" w:line="185" w:lineRule="exact"/>
        <w:rPr>
          <w:sz w:val="20"/>
          <w:szCs w:val="20"/>
          <w:color w:val="auto"/>
        </w:rPr>
      </w:pPr>
    </w:p>
    <w:p>
      <w:pPr>
        <w:jc w:val="both"/>
        <w:ind w:firstLine="1241"/>
        <w:spacing w:after="0" w:line="254" w:lineRule="auto"/>
        <w:tabs>
          <w:tab w:leader="none" w:pos="185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notice of a special meeting shall include the purpose for which the meeting is called. Only such business shall be conducted at a special meeting of stockholders as shall have been brought before the meeting by or at the direction of the board of directors, acting pursuant to a resolution adopted by a majority of the Whole Board, chairperson of the board of directors, chief executive officer or president (in the absence of a chief executive officer) or in the notice specified in Section 2.3(ii) above. Nothing contained in this Section 2.3(iii) shall be construed as limiting, fixing or affecting the time when a meeting of stockholders called by action of the board of directors may be held.</w:t>
      </w:r>
    </w:p>
    <w:p>
      <w:pPr>
        <w:spacing w:after="0" w:line="18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2.4</w:t>
      </w:r>
      <w:r>
        <w:rPr>
          <w:sz w:val="20"/>
          <w:szCs w:val="20"/>
          <w:color w:val="auto"/>
        </w:rPr>
        <w:tab/>
      </w:r>
      <w:r>
        <w:rPr>
          <w:rFonts w:ascii="Times New Roman" w:cs="Times New Roman" w:eastAsia="Times New Roman" w:hAnsi="Times New Roman"/>
          <w:sz w:val="18"/>
          <w:szCs w:val="18"/>
          <w:color w:val="auto"/>
        </w:rPr>
        <w:t>ADVANCE NOTICE PROCEDURES</w:t>
      </w:r>
    </w:p>
    <w:p>
      <w:pPr>
        <w:spacing w:after="0" w:line="203" w:lineRule="exact"/>
        <w:rPr>
          <w:sz w:val="20"/>
          <w:szCs w:val="20"/>
          <w:color w:val="auto"/>
        </w:rPr>
      </w:pPr>
    </w:p>
    <w:p>
      <w:pPr>
        <w:jc w:val="both"/>
        <w:ind w:firstLine="1241"/>
        <w:spacing w:after="0" w:line="252" w:lineRule="auto"/>
        <w:tabs>
          <w:tab w:leader="none" w:pos="185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Advance Notice of Stockholder Business. </w:t>
      </w:r>
      <w:r>
        <w:rPr>
          <w:rFonts w:ascii="Times New Roman" w:cs="Times New Roman" w:eastAsia="Times New Roman" w:hAnsi="Times New Roman"/>
          <w:sz w:val="19"/>
          <w:szCs w:val="19"/>
          <w:color w:val="auto"/>
        </w:rPr>
        <w:t>At an annual meeting of the stockholders, only such business shall be conducted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shall have been properly brought before the meeting. To be properly brought before an annual meeting, business must be brought: (A) pursuant to the corporation’s notice of annual meeting (or any supplement thereto), (B) by or at the direction of the board of directors, or (C) by a stockholder of the corporation who (1) is a stockholder of record at the time of the giving of the notice required by this Section 2.4(i), on the record date for the determination of stockholders entitled to notice of the annual meeting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For the avoidance of doubt, clause (C) above shall be the exclusive means for a stockholder to bring business (other than business included in the corporation’s proxy materials pursuant to Rule 14a-8 under the Securities Exchange Act of 1934, and the rules and regulations thereunder, as amended and inclusive of such rules and regulations and any successor thereto (the “</w:t>
      </w:r>
      <w:r>
        <w:rPr>
          <w:rFonts w:ascii="Times New Roman" w:cs="Times New Roman" w:eastAsia="Times New Roman" w:hAnsi="Times New Roman"/>
          <w:sz w:val="19"/>
          <w:szCs w:val="19"/>
          <w:b w:val="1"/>
          <w:bCs w:val="1"/>
          <w:color w:val="auto"/>
        </w:rPr>
        <w:t>1934 Act</w:t>
      </w:r>
      <w:r>
        <w:rPr>
          <w:rFonts w:ascii="Times New Roman" w:cs="Times New Roman" w:eastAsia="Times New Roman" w:hAnsi="Times New Roman"/>
          <w:sz w:val="19"/>
          <w:szCs w:val="19"/>
          <w:color w:val="auto"/>
        </w:rPr>
        <w:t>”)) before an annual meeting of stockholders.</w:t>
      </w:r>
    </w:p>
    <w:p>
      <w:pPr>
        <w:spacing w:after="0" w:line="187" w:lineRule="exact"/>
        <w:rPr>
          <w:rFonts w:ascii="Times New Roman" w:cs="Times New Roman" w:eastAsia="Times New Roman" w:hAnsi="Times New Roman"/>
          <w:sz w:val="19"/>
          <w:szCs w:val="19"/>
          <w:color w:val="auto"/>
        </w:rPr>
      </w:pPr>
    </w:p>
    <w:p>
      <w:pPr>
        <w:jc w:val="both"/>
        <w:ind w:firstLine="1860"/>
        <w:spacing w:after="0" w:line="252" w:lineRule="auto"/>
        <w:tabs>
          <w:tab w:leader="none" w:pos="2466"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rescheduling or postponement of an annual meeting or the announcement thereof commence a new time period for the giving of a stockholder’s notice as described in this Section 2.4(i)(a). “</w:t>
      </w:r>
      <w:r>
        <w:rPr>
          <w:rFonts w:ascii="Times New Roman" w:cs="Times New Roman" w:eastAsia="Times New Roman" w:hAnsi="Times New Roman"/>
          <w:sz w:val="19"/>
          <w:szCs w:val="19"/>
          <w:b w:val="1"/>
          <w:bCs w:val="1"/>
          <w:color w:val="auto"/>
        </w:rPr>
        <w:t>Public Announcement</w:t>
      </w:r>
      <w:r>
        <w:rPr>
          <w:rFonts w:ascii="Times New Roman" w:cs="Times New Roman" w:eastAsia="Times New Roman" w:hAnsi="Times New Roman"/>
          <w:sz w:val="19"/>
          <w:szCs w:val="19"/>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1934 Act.</w:t>
      </w:r>
    </w:p>
    <w:p>
      <w:pPr>
        <w:spacing w:after="0" w:line="173" w:lineRule="exact"/>
        <w:rPr>
          <w:sz w:val="20"/>
          <w:szCs w:val="20"/>
          <w:color w:val="auto"/>
        </w:rPr>
      </w:pPr>
    </w:p>
    <w:p>
      <w:pPr>
        <w:jc w:val="both"/>
        <w:ind w:firstLine="1860"/>
        <w:spacing w:after="0" w:line="250" w:lineRule="auto"/>
        <w:tabs>
          <w:tab w:leader="none" w:pos="2463"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the text of the proposed business (including the text of any resolutions proposed for consideration) and the reasons for conducting such business at the annual meeting, (2) the name and address, as they appear on the corporation’s books, of the 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Times New Roman" w:cs="Times New Roman" w:eastAsia="Times New Roman" w:hAnsi="Times New Roman"/>
          <w:sz w:val="19"/>
          <w:szCs w:val="19"/>
          <w:b w:val="1"/>
          <w:bCs w:val="1"/>
          <w:color w:val="auto"/>
        </w:rPr>
        <w:t>Business Solicitation Statement</w:t>
      </w:r>
      <w:r>
        <w:rPr>
          <w:rFonts w:ascii="Times New Roman" w:cs="Times New Roman" w:eastAsia="Times New Roman" w:hAnsi="Times New Roman"/>
          <w:sz w:val="19"/>
          <w:szCs w:val="19"/>
          <w:color w:val="auto"/>
        </w:rPr>
        <w:t>”). In addition, to be in proper written form, a stockholder’s notice to the secretary must be supplemented not later than ten days following the record date for the determination of stockholders entitled to notice of the meeting to disclose the information contained in clauses (3) and (4) above as of such record date. For purposes of this Section 2.4, a “</w:t>
      </w:r>
      <w:r>
        <w:rPr>
          <w:rFonts w:ascii="Times New Roman" w:cs="Times New Roman" w:eastAsia="Times New Roman" w:hAnsi="Times New Roman"/>
          <w:sz w:val="19"/>
          <w:szCs w:val="19"/>
          <w:b w:val="1"/>
          <w:bCs w:val="1"/>
          <w:color w:val="auto"/>
        </w:rPr>
        <w:t>Stockholder Associated Person</w:t>
      </w:r>
      <w:r>
        <w:rPr>
          <w:rFonts w:ascii="Times New Roman" w:cs="Times New Roman" w:eastAsia="Times New Roman" w:hAnsi="Times New Roman"/>
          <w:sz w:val="19"/>
          <w:szCs w:val="19"/>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92" w:lineRule="exact"/>
        <w:rPr>
          <w:rFonts w:ascii="Times New Roman" w:cs="Times New Roman" w:eastAsia="Times New Roman" w:hAnsi="Times New Roman"/>
          <w:sz w:val="19"/>
          <w:szCs w:val="19"/>
          <w:color w:val="auto"/>
        </w:rPr>
      </w:pPr>
    </w:p>
    <w:p>
      <w:pPr>
        <w:jc w:val="both"/>
        <w:ind w:firstLine="1860"/>
        <w:spacing w:after="0" w:line="252" w:lineRule="auto"/>
        <w:tabs>
          <w:tab w:leader="none" w:pos="2466"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exception, no business shall be conducted at any annual meeting except in accordance with the provisions set forth in this Section 2.4.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 and, if the chairperson should so determine, the chairperson shall so declare at the annual meeting that any such business not properly brought before the annual meeting shall not be conducted.</w:t>
      </w:r>
    </w:p>
    <w:p>
      <w:pPr>
        <w:spacing w:after="0" w:line="184" w:lineRule="exact"/>
        <w:rPr>
          <w:rFonts w:ascii="Times New Roman" w:cs="Times New Roman" w:eastAsia="Times New Roman" w:hAnsi="Times New Roman"/>
          <w:sz w:val="19"/>
          <w:szCs w:val="19"/>
          <w:color w:val="auto"/>
        </w:rPr>
      </w:pPr>
    </w:p>
    <w:p>
      <w:pPr>
        <w:jc w:val="both"/>
        <w:ind w:firstLine="1241"/>
        <w:spacing w:after="0" w:line="264" w:lineRule="auto"/>
        <w:tabs>
          <w:tab w:leader="none" w:pos="1855"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Advance Notice of Director Nominations at Annual Meetings. </w:t>
      </w:r>
      <w:r>
        <w:rPr>
          <w:rFonts w:ascii="Times New Roman" w:cs="Times New Roman" w:eastAsia="Times New Roman" w:hAnsi="Times New Roman"/>
          <w:sz w:val="19"/>
          <w:szCs w:val="19"/>
          <w:color w:val="auto"/>
        </w:rPr>
        <w:t>Notwithstanding anything in these bylaws to the contrary,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only persons who are nominated in accordance with the procedures set forth in this Section 2.4(ii) shall be eligible for election or re-election as directors at an annual meeting of stockholders.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of persons for election to the board of directors of the corporation shall be made at an annual meeting of stockholders only (A) by or at the direction of the board of directors or (B) by a stockholder of the corporation who (1) is a stockholder of record at the time of the giving of the notice required by this Section 2.4(ii), on the record date for the determination of stockholders entitled to notice of the annual meeting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73" w:lineRule="exact"/>
        <w:rPr>
          <w:sz w:val="20"/>
          <w:szCs w:val="20"/>
          <w:color w:val="auto"/>
        </w:rPr>
      </w:pPr>
    </w:p>
    <w:p>
      <w:pPr>
        <w:jc w:val="both"/>
        <w:ind w:firstLine="1860"/>
        <w:spacing w:after="0" w:line="253" w:lineRule="auto"/>
        <w:tabs>
          <w:tab w:leader="none" w:pos="2466"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 provided, however, that in the event that the number of directors to be elected to the board of directors is increased and there is no Public Announcement naming all of the nominees for director or specifying the size of the increased board made by the corporation at least ten (10) days before the last day a stockholder may deliver a notice of nomination pursuant to the foregoing provisions, a stockholder’s notice required by this Section 2.4(ii)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70" w:lineRule="exact"/>
        <w:rPr>
          <w:rFonts w:ascii="Times New Roman" w:cs="Times New Roman" w:eastAsia="Times New Roman" w:hAnsi="Times New Roman"/>
          <w:sz w:val="19"/>
          <w:szCs w:val="19"/>
          <w:color w:val="auto"/>
        </w:rPr>
      </w:pPr>
    </w:p>
    <w:p>
      <w:pPr>
        <w:ind w:left="2460" w:hanging="600"/>
        <w:spacing w:after="0"/>
        <w:tabs>
          <w:tab w:leader="none" w:pos="24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in proper written form, such stockholder’s notice to the secretary must set forth:</w:t>
      </w:r>
    </w:p>
    <w:p>
      <w:pPr>
        <w:spacing w:after="0" w:line="215" w:lineRule="exact"/>
        <w:rPr>
          <w:rFonts w:ascii="Times New Roman" w:cs="Times New Roman" w:eastAsia="Times New Roman" w:hAnsi="Times New Roman"/>
          <w:sz w:val="19"/>
          <w:szCs w:val="19"/>
          <w:color w:val="auto"/>
        </w:rPr>
      </w:pPr>
    </w:p>
    <w:p>
      <w:pPr>
        <w:ind w:left="3080" w:hanging="602"/>
        <w:spacing w:after="0"/>
        <w:tabs>
          <w:tab w:leader="none" w:pos="3080"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person (a “</w:t>
      </w:r>
      <w:r>
        <w:rPr>
          <w:rFonts w:ascii="Times New Roman" w:cs="Times New Roman" w:eastAsia="Times New Roman" w:hAnsi="Times New Roman"/>
          <w:sz w:val="19"/>
          <w:szCs w:val="19"/>
          <w:b w:val="1"/>
          <w:bCs w:val="1"/>
          <w:color w:val="auto"/>
        </w:rPr>
        <w:t>nominee</w:t>
      </w:r>
      <w:r>
        <w:rPr>
          <w:rFonts w:ascii="Times New Roman" w:cs="Times New Roman" w:eastAsia="Times New Roman" w:hAnsi="Times New Roman"/>
          <w:sz w:val="19"/>
          <w:szCs w:val="19"/>
          <w:color w:val="auto"/>
        </w:rPr>
        <w:t>”) whom the stockholder proposes to nominate for election or re-election 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director: (A) the name, age, business address and residence address of the nominee, (B) the principal occupation or employment of the nominee,</w:t>
      </w:r>
    </w:p>
    <w:p>
      <w:pPr>
        <w:spacing w:after="0" w:line="8" w:lineRule="exact"/>
        <w:rPr>
          <w:sz w:val="20"/>
          <w:szCs w:val="20"/>
          <w:color w:val="auto"/>
        </w:rPr>
      </w:pPr>
    </w:p>
    <w:p>
      <w:pPr>
        <w:jc w:val="both"/>
        <w:ind w:firstLine="3"/>
        <w:spacing w:after="0" w:line="249" w:lineRule="auto"/>
        <w:tabs>
          <w:tab w:leader="none" w:pos="305"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class and number of shares of the corporation that are held of record or are beneficially owned by the nominee and any derivative positions held or beneficially held by the nominee,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or among the stockholder, any nominee or any other person or persons (naming such person or persons) pursuant to which the nominations are to be made by the stockholder, including a description of any compensatory, payment or other financial agreement, arrangement or understanding involving the nominee and of any compensation or other payment received by or on behalf of the nominee, in each case in connection with candidacy or service as a director of the corporation (such agreement, arrangement or understanding, a “</w:t>
      </w:r>
      <w:r>
        <w:rPr>
          <w:rFonts w:ascii="Times New Roman" w:cs="Times New Roman" w:eastAsia="Times New Roman" w:hAnsi="Times New Roman"/>
          <w:sz w:val="19"/>
          <w:szCs w:val="19"/>
          <w:b w:val="1"/>
          <w:bCs w:val="1"/>
          <w:color w:val="auto"/>
        </w:rPr>
        <w:t>Third-Party Compensation Arrangement</w:t>
      </w:r>
      <w:r>
        <w:rPr>
          <w:rFonts w:ascii="Times New Roman" w:cs="Times New Roman" w:eastAsia="Times New Roman" w:hAnsi="Times New Roman"/>
          <w:sz w:val="19"/>
          <w:szCs w:val="19"/>
          <w:color w:val="auto"/>
        </w:rPr>
        <w:t>”), (F) a written statement executed by the nominee consenting to (x) being named as a nominee of such stockholder, (y) serving as a director of the corporation if elected and (z) being named in the corporation’s form of proxy pursuant to Rule 14a-19 under the 1934 Act (“</w:t>
      </w:r>
      <w:r>
        <w:rPr>
          <w:rFonts w:ascii="Times New Roman" w:cs="Times New Roman" w:eastAsia="Times New Roman" w:hAnsi="Times New Roman"/>
          <w:sz w:val="19"/>
          <w:szCs w:val="19"/>
          <w:b w:val="1"/>
          <w:bCs w:val="1"/>
          <w:color w:val="auto"/>
        </w:rPr>
        <w:t>Rule 14a-19</w:t>
      </w:r>
      <w:r>
        <w:rPr>
          <w:rFonts w:ascii="Times New Roman" w:cs="Times New Roman" w:eastAsia="Times New Roman" w:hAnsi="Times New Roman"/>
          <w:sz w:val="19"/>
          <w:szCs w:val="19"/>
          <w:color w:val="auto"/>
        </w:rPr>
        <w:t>”) , and (H) any other information relating to the nominee that would be required to be disclosed about such nominee if proxies were being solicited for the election or re-election of the nominee as a director, or that is otherwise required, in each case pursuant to Section 14 of the 1934 Act; and</w:t>
      </w:r>
    </w:p>
    <w:p>
      <w:pPr>
        <w:spacing w:after="0" w:line="197" w:lineRule="exact"/>
        <w:rPr>
          <w:rFonts w:ascii="Times New Roman" w:cs="Times New Roman" w:eastAsia="Times New Roman" w:hAnsi="Times New Roman"/>
          <w:sz w:val="19"/>
          <w:szCs w:val="19"/>
          <w:color w:val="auto"/>
        </w:rPr>
      </w:pPr>
    </w:p>
    <w:p>
      <w:pPr>
        <w:jc w:val="both"/>
        <w:ind w:firstLine="2478"/>
        <w:spacing w:after="0" w:line="254" w:lineRule="auto"/>
        <w:tabs>
          <w:tab w:leader="none" w:pos="3082"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such stockholder giving notice, (A) the information required to be provided pursuant to clauses (2) through (5) of Section 2.4(i)(b) above, and the update and supplement referenced in the second sentence of Section 2.4(i)(b) above (except that the references to “business” in such clauses shall instead refer to nominations of directors for purposes of this paragraph), and (B) a representation and undertaking as to whether such stockholder or Stockholder Associated Person or others acting in concert with them intends, or are part of a group that intends, to (x) deliver a proxy statement or form of proxy to or otherwise solicit proxies from holders of at least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percentage of the voting power of the corporation’s then-outstanding stock required to elect such nominee(s) (which representation and undertaking must include a statement as to whether such stockholder or any Stockholder Associated Person intends to solicit the requisite percentage of the voting power of the corporation’s stock under Rule 14a-19), or (y) otherwise solicit proxies from stockholders in support of such nomination (such information provided and statements made as required by Section 2.4(ii)(b)(1) and this Section 2.4(ii)(b)(2), a “</w:t>
      </w:r>
      <w:r>
        <w:rPr>
          <w:rFonts w:ascii="Times New Roman" w:cs="Times New Roman" w:eastAsia="Times New Roman" w:hAnsi="Times New Roman"/>
          <w:sz w:val="19"/>
          <w:szCs w:val="19"/>
          <w:b w:val="1"/>
          <w:bCs w:val="1"/>
          <w:color w:val="auto"/>
        </w:rPr>
        <w:t>Nominee Solicitation Statement</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860"/>
        <w:spacing w:after="0" w:line="252" w:lineRule="auto"/>
        <w:tabs>
          <w:tab w:leader="none" w:pos="2466"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board of directors, any person nominated by a stockholder for election as a director must furnish to the secretary of the corporation (1) that information required to be set forth in the stockholder’s notice of nomination of such person as a director as of a date subsequent to the date on which the notice of such person’s nomination was given, (2) a written representation and undertaking that, unless previously disclosed to the corporation, such nominee is not, and will not become, a party to any Third-Party Compensation Arrangement and (3)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In the absence of the timely furnishing of any such information, if requested, such stockholder’s nomination shall not be considered in proper form and shall be ineligible for consideration at the annual meeting pursuant to this Section 2.4(ii).</w:t>
      </w:r>
    </w:p>
    <w:p>
      <w:pPr>
        <w:spacing w:after="0" w:line="188" w:lineRule="exact"/>
        <w:rPr>
          <w:rFonts w:ascii="Times New Roman" w:cs="Times New Roman" w:eastAsia="Times New Roman" w:hAnsi="Times New Roman"/>
          <w:sz w:val="19"/>
          <w:szCs w:val="19"/>
          <w:color w:val="auto"/>
        </w:rPr>
      </w:pPr>
    </w:p>
    <w:p>
      <w:pPr>
        <w:jc w:val="both"/>
        <w:ind w:firstLine="1860"/>
        <w:spacing w:after="0" w:line="251" w:lineRule="auto"/>
        <w:tabs>
          <w:tab w:leader="none" w:pos="2463"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exception, no person shall be eligible for election or re-election as a director of the corporation at an annual meeting of stockholders unless nominated in accordance with the provisions set forth in this Section 2.4.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w:t>
      </w:r>
    </w:p>
    <w:p>
      <w:pPr>
        <w:spacing w:after="0" w:line="186" w:lineRule="exact"/>
        <w:rPr>
          <w:rFonts w:ascii="Times New Roman" w:cs="Times New Roman" w:eastAsia="Times New Roman" w:hAnsi="Times New Roman"/>
          <w:sz w:val="19"/>
          <w:szCs w:val="19"/>
          <w:color w:val="auto"/>
        </w:rPr>
      </w:pPr>
    </w:p>
    <w:p>
      <w:pPr>
        <w:jc w:val="both"/>
        <w:ind w:firstLine="1860"/>
        <w:spacing w:after="0" w:line="252" w:lineRule="auto"/>
        <w:tabs>
          <w:tab w:leader="none" w:pos="2466"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five business days prior to the annual meeting or any adjournment, rescheduling, postponement or other delay thereof, a stockholder nominating individuals for election as a director will provide the corporation with reasonable evidence that such stockholder has met the requirements of Rule 14a-19. The failure to timely provide such update, supplement, evidence or additional information shall result in such nominee(s)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w:t>
      </w:r>
    </w:p>
    <w:p>
      <w:pPr>
        <w:spacing w:after="0" w:line="184"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Advance Notice of Director Nominations for Special Meetings.</w:t>
      </w:r>
    </w:p>
    <w:p>
      <w:pPr>
        <w:spacing w:after="0" w:line="210" w:lineRule="exact"/>
        <w:rPr>
          <w:rFonts w:ascii="Times New Roman" w:cs="Times New Roman" w:eastAsia="Times New Roman" w:hAnsi="Times New Roman"/>
          <w:sz w:val="19"/>
          <w:szCs w:val="19"/>
          <w:color w:val="auto"/>
        </w:rPr>
      </w:pPr>
    </w:p>
    <w:p>
      <w:pPr>
        <w:jc w:val="both"/>
        <w:ind w:firstLine="1860"/>
        <w:spacing w:after="0" w:line="258" w:lineRule="auto"/>
        <w:tabs>
          <w:tab w:leader="none" w:pos="2466"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 special meeting of stockholders at which directors are to be elected pursuant to Section 2.3, nominations of persons for election to the board of directors shall be made only (1) by or at the direction of the board of directors or (2) by any stockholder of the corporation who (A) is a stockholder of record at the time of the giving of the notice required by this Section 2.4(iii), on the record date for the determination of stockholders entitled to notice of the special meeting and on the record date for the determination of stockholders entitled to vote at the special meeting and (B) delivers a timely written notice of the nomination to the secretary of the corporation that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information set forth in Sections 2.4(ii)(b) and (ii)(c) above(with references therein to “annual meeting” deemed to mean “special meeting” for the purposes of this Section 2.4(iii)).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at such meeting. In no event shall any adjournment, rescheduling or postponement of a special meeting or the announcement thereof commence a new time period (or extend any time period) for the giving of a stockholder’s notice as described above.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in any other notice to the corporation or if the Nominee Solicitation Statement applicable to such nominee or any other information provided to the corporation by or on behalf of such nominee contains an untrue statement of a material fact or omits to state a material fact necessary to make the statements therein not misleading. Any person nominated in accordance with this Section 2.4(iii) is subject to, and must comply with, the provisions of Section 2.4(ii)(c).</w:t>
      </w:r>
    </w:p>
    <w:p>
      <w:pPr>
        <w:spacing w:after="0" w:line="175" w:lineRule="exact"/>
        <w:rPr>
          <w:sz w:val="20"/>
          <w:szCs w:val="20"/>
          <w:color w:val="auto"/>
        </w:rPr>
      </w:pPr>
    </w:p>
    <w:p>
      <w:pPr>
        <w:jc w:val="both"/>
        <w:ind w:firstLine="1860"/>
        <w:spacing w:after="0" w:line="262" w:lineRule="auto"/>
        <w:tabs>
          <w:tab w:leader="none" w:pos="2463"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170"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Other Requirements and Procedures.</w:t>
      </w:r>
    </w:p>
    <w:p>
      <w:pPr>
        <w:spacing w:after="0" w:line="223" w:lineRule="exact"/>
        <w:rPr>
          <w:rFonts w:ascii="Times New Roman" w:cs="Times New Roman" w:eastAsia="Times New Roman" w:hAnsi="Times New Roman"/>
          <w:sz w:val="19"/>
          <w:szCs w:val="19"/>
          <w:color w:val="auto"/>
        </w:rPr>
      </w:pPr>
    </w:p>
    <w:p>
      <w:pPr>
        <w:jc w:val="both"/>
        <w:ind w:firstLine="1860"/>
        <w:spacing w:after="0" w:line="254" w:lineRule="auto"/>
        <w:tabs>
          <w:tab w:leader="none" w:pos="2466"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provisions of this Section 2.4, a stockholder must also comply with all applicable requirements of state law and of the 1934 Act and the rules and regulations thereunder with respect to the matters set forth in this Section 2.4. Nothing in this Section 2.4 shall be deemed to affect any rights of: (1) a stockholder to request the inclusion of proposals in the corporation’s proxy statement pursuant to Rule 14a-8 (or any successor provision) under the 1934 Act or (2) the corporation to omit a proposal from the corporation’s proxy statement pursuant to Rule 14a-8 (or any successor provision) under the 1934 Act.</w:t>
      </w:r>
    </w:p>
    <w:p>
      <w:pPr>
        <w:spacing w:after="0" w:line="18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2.5</w:t>
      </w:r>
      <w:r>
        <w:rPr>
          <w:sz w:val="20"/>
          <w:szCs w:val="20"/>
          <w:color w:val="auto"/>
        </w:rPr>
        <w:tab/>
      </w:r>
      <w:r>
        <w:rPr>
          <w:rFonts w:ascii="Times New Roman" w:cs="Times New Roman" w:eastAsia="Times New Roman" w:hAnsi="Times New Roman"/>
          <w:sz w:val="18"/>
          <w:szCs w:val="18"/>
          <w:color w:val="auto"/>
        </w:rPr>
        <w:t>NOTICE OF STOCKHOLDERS’ MEETINGS</w:t>
      </w:r>
    </w:p>
    <w:p>
      <w:pPr>
        <w:spacing w:after="0" w:line="20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in accordance with Section 232 of the DGCL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2.6</w:t>
      </w:r>
      <w:r>
        <w:rPr>
          <w:sz w:val="20"/>
          <w:szCs w:val="20"/>
          <w:color w:val="auto"/>
        </w:rPr>
        <w:tab/>
      </w:r>
      <w:r>
        <w:rPr>
          <w:rFonts w:ascii="Times New Roman" w:cs="Times New Roman" w:eastAsia="Times New Roman" w:hAnsi="Times New Roman"/>
          <w:sz w:val="18"/>
          <w:szCs w:val="18"/>
          <w:color w:val="auto"/>
        </w:rPr>
        <w:t>QUORUM</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certificate of incorporation, these bylaws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corporation’s securities are listed.</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however, such quorum is not present or represented at any meeting of the stockholders, then either (i) the chairperson of the meeting, or</w:t>
      </w:r>
    </w:p>
    <w:p>
      <w:pPr>
        <w:spacing w:after="0" w:line="26" w:lineRule="exact"/>
        <w:rPr>
          <w:sz w:val="20"/>
          <w:szCs w:val="20"/>
          <w:color w:val="auto"/>
        </w:rPr>
      </w:pPr>
    </w:p>
    <w:p>
      <w:pPr>
        <w:jc w:val="both"/>
        <w:ind w:firstLine="3"/>
        <w:spacing w:after="0" w:line="255" w:lineRule="auto"/>
        <w:tabs>
          <w:tab w:leader="none" w:pos="282"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2.7</w:t>
      </w:r>
      <w:r>
        <w:rPr>
          <w:sz w:val="20"/>
          <w:szCs w:val="20"/>
          <w:color w:val="auto"/>
        </w:rPr>
        <w:tab/>
      </w:r>
      <w:r>
        <w:rPr>
          <w:rFonts w:ascii="Times New Roman" w:cs="Times New Roman" w:eastAsia="Times New Roman" w:hAnsi="Times New Roman"/>
          <w:sz w:val="18"/>
          <w:szCs w:val="18"/>
          <w:color w:val="auto"/>
        </w:rPr>
        <w:t>ADJOURNED MEETING; NOTICE</w:t>
      </w:r>
    </w:p>
    <w:p>
      <w:pPr>
        <w:spacing w:after="0" w:line="22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2.8</w:t>
      </w:r>
      <w:r>
        <w:rPr>
          <w:sz w:val="20"/>
          <w:szCs w:val="20"/>
          <w:color w:val="auto"/>
        </w:rPr>
        <w:tab/>
      </w:r>
      <w:r>
        <w:rPr>
          <w:rFonts w:ascii="Times New Roman" w:cs="Times New Roman" w:eastAsia="Times New Roman" w:hAnsi="Times New Roman"/>
          <w:sz w:val="18"/>
          <w:szCs w:val="18"/>
          <w:color w:val="auto"/>
        </w:rPr>
        <w:t>CONDUCT OF BUSINESS</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have the power to adjourn the meeting to another place, if any, date or time, whether or not a quorum is present. The chairperson of any meeting of stockholders shall be designated by the board of directors; in the absence of such designation, the chairperson of the board, if any, or the chief executive officer (in the absence of the chairperson of the board), or the president (in the absence of the chairperson of the board and the chief executive officer), or in their absence any other executive officer of the corporation, shall serve as chairperson of the stockholder meeting.</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2.9</w:t>
      </w:r>
      <w:r>
        <w:rPr>
          <w:sz w:val="20"/>
          <w:szCs w:val="20"/>
          <w:color w:val="auto"/>
        </w:rPr>
        <w:tab/>
      </w:r>
      <w:r>
        <w:rPr>
          <w:rFonts w:ascii="Times New Roman" w:cs="Times New Roman" w:eastAsia="Times New Roman" w:hAnsi="Times New Roman"/>
          <w:sz w:val="18"/>
          <w:szCs w:val="18"/>
          <w:color w:val="auto"/>
        </w:rPr>
        <w:t>VOTING</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2.10</w:t>
      </w:r>
      <w:r>
        <w:rPr>
          <w:sz w:val="20"/>
          <w:szCs w:val="20"/>
          <w:color w:val="auto"/>
        </w:rPr>
        <w:tab/>
      </w:r>
      <w:r>
        <w:rPr>
          <w:rFonts w:ascii="Times New Roman" w:cs="Times New Roman" w:eastAsia="Times New Roman" w:hAnsi="Times New Roman"/>
          <w:sz w:val="18"/>
          <w:szCs w:val="18"/>
          <w:color w:val="auto"/>
        </w:rPr>
        <w:t>STOCKHOLDER ACTION BY CONSENT WITHOUT A MEETING</w:t>
      </w:r>
    </w:p>
    <w:p>
      <w:pPr>
        <w:spacing w:after="0" w:line="22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Unless otherwise provided in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the manner provided by Section 228(d) of the DGCL. Prompt notice of the taking of the corporate action without a meeting by less than unanimous consent shall be provided to stockholders to the extent required by law. No consent shall be effective to take the corporate action referred to therein unless consents signed by a sufficient number of stockholders to take such action are delivered to the corporation in the manner prescribed in this Section 2.10 and applicable law within sixty (60) days of the first date on which a consent is so delivered to the corporation.</w:t>
      </w:r>
    </w:p>
    <w:p>
      <w:pPr>
        <w:spacing w:after="0" w:line="176"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8"/>
          <w:szCs w:val="18"/>
          <w:color w:val="auto"/>
        </w:rPr>
        <w:t>RECORD DATES</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6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determining stockholders for any such purpose shall be at the close of business on the day on which the board of directors adopts the resolution relating thereto.</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2.12</w:t>
      </w:r>
      <w:r>
        <w:rPr>
          <w:sz w:val="20"/>
          <w:szCs w:val="20"/>
          <w:color w:val="auto"/>
        </w:rPr>
        <w:tab/>
      </w:r>
      <w:r>
        <w:rPr>
          <w:rFonts w:ascii="Times New Roman" w:cs="Times New Roman" w:eastAsia="Times New Roman" w:hAnsi="Times New Roman"/>
          <w:sz w:val="18"/>
          <w:szCs w:val="18"/>
          <w:color w:val="auto"/>
        </w:rPr>
        <w:t>PROXIES</w:t>
      </w:r>
    </w:p>
    <w:p>
      <w:pPr>
        <w:spacing w:after="0" w:line="20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Each stockholder entitled to vote at a meeting of stockholders, or such stockholder’s authorized director, officer,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2.13</w:t>
      </w:r>
      <w:r>
        <w:rPr>
          <w:sz w:val="20"/>
          <w:szCs w:val="20"/>
          <w:color w:val="auto"/>
        </w:rPr>
        <w:tab/>
      </w:r>
      <w:r>
        <w:rPr>
          <w:rFonts w:ascii="Times New Roman" w:cs="Times New Roman" w:eastAsia="Times New Roman" w:hAnsi="Times New Roman"/>
          <w:sz w:val="18"/>
          <w:szCs w:val="18"/>
          <w:color w:val="auto"/>
        </w:rPr>
        <w:t>LIST OF STOCKHOLDERS ENTITLED TO VOTE</w:t>
      </w:r>
    </w:p>
    <w:p>
      <w:pPr>
        <w:spacing w:after="0" w:line="220"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 xml:space="preserve">The corporation shall prepare, no later than the tenth day before each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w:t>
      </w:r>
    </w:p>
    <w:p>
      <w:pPr>
        <w:spacing w:after="0" w:line="16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color w:val="auto"/>
        </w:rPr>
        <w:t>2.14</w:t>
      </w:r>
      <w:r>
        <w:rPr>
          <w:sz w:val="20"/>
          <w:szCs w:val="20"/>
          <w:color w:val="auto"/>
        </w:rPr>
        <w:tab/>
      </w:r>
      <w:r>
        <w:rPr>
          <w:rFonts w:ascii="Times New Roman" w:cs="Times New Roman" w:eastAsia="Times New Roman" w:hAnsi="Times New Roman"/>
          <w:sz w:val="18"/>
          <w:szCs w:val="18"/>
          <w:color w:val="auto"/>
        </w:rPr>
        <w:t>INSPECTORS OF ELECTION</w:t>
      </w:r>
    </w:p>
    <w:p>
      <w:pPr>
        <w:spacing w:after="0" w:line="22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(1) or more persons as alternate inspectors to replace any inspector who fails to act. Such inspectors shall take all actions as contemplated under Section 231 of the DGCL or any successor provision thereto.</w:t>
      </w:r>
    </w:p>
    <w:p>
      <w:pPr>
        <w:spacing w:after="0" w:line="15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41" w:lineRule="exact"/>
        <w:rPr>
          <w:sz w:val="20"/>
          <w:szCs w:val="20"/>
          <w:color w:val="auto"/>
        </w:rPr>
      </w:pPr>
    </w:p>
    <w:p>
      <w:pPr>
        <w:ind w:left="4140"/>
        <w:spacing w:after="0"/>
        <w:tabs>
          <w:tab w:leader="none" w:pos="5960" w:val="left"/>
        </w:tabs>
        <w:rPr>
          <w:sz w:val="20"/>
          <w:szCs w:val="20"/>
          <w:color w:val="auto"/>
        </w:rPr>
      </w:pPr>
      <w:r>
        <w:rPr>
          <w:rFonts w:ascii="Times New Roman" w:cs="Times New Roman" w:eastAsia="Times New Roman" w:hAnsi="Times New Roman"/>
          <w:sz w:val="19"/>
          <w:szCs w:val="19"/>
          <w:b w:val="1"/>
          <w:bCs w:val="1"/>
          <w:color w:val="auto"/>
        </w:rPr>
        <w:t>ARTICLE III -</w:t>
      </w:r>
      <w:r>
        <w:rPr>
          <w:sz w:val="20"/>
          <w:szCs w:val="20"/>
          <w:color w:val="auto"/>
        </w:rPr>
        <w:tab/>
      </w:r>
      <w:r>
        <w:rPr>
          <w:rFonts w:ascii="Times New Roman" w:cs="Times New Roman" w:eastAsia="Times New Roman" w:hAnsi="Times New Roman"/>
          <w:sz w:val="18"/>
          <w:szCs w:val="18"/>
          <w:b w:val="1"/>
          <w:bCs w:val="1"/>
          <w:color w:val="auto"/>
        </w:rPr>
        <w:t>DIRECTORS</w:t>
      </w:r>
    </w:p>
    <w:p>
      <w:pPr>
        <w:spacing w:after="0" w:line="21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8"/>
          <w:szCs w:val="18"/>
          <w:color w:val="auto"/>
        </w:rPr>
        <w:t>POWERS</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business and affairs of the corporation shall be managed by or under the direction of the board of directors, except as may be otherwise provided in the DGCL or the certificate of incorporation.</w:t>
      </w:r>
    </w:p>
    <w:p>
      <w:pPr>
        <w:spacing w:after="0" w:line="168"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8"/>
          <w:szCs w:val="18"/>
          <w:color w:val="auto"/>
        </w:rPr>
        <w:t>NUMBER OF DIRECTORS</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board of directors shall consist of one or more members, each of whom shall be a natural person. Unless the certificate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18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8"/>
          <w:szCs w:val="18"/>
          <w:color w:val="auto"/>
        </w:rPr>
        <w:t>ELECTION, QUALIFICATION AND TERM OF OFFICE OF DIRECTORS</w:t>
      </w:r>
    </w:p>
    <w:p>
      <w:pPr>
        <w:spacing w:after="0" w:line="20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7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If so provided in the certificate of incorporation, the directors of the corporation shall be divided into three classes. Until such time, the directors of the corporation shall be elected at each annual meeting of stockholders to hold office until the next annual meeting and until their successors have been duly elected and qualified or until their earlier resignation or removal.</w:t>
      </w:r>
    </w:p>
    <w:p>
      <w:pPr>
        <w:spacing w:after="0" w:line="17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3.4</w:t>
      </w:r>
      <w:r>
        <w:rPr>
          <w:sz w:val="20"/>
          <w:szCs w:val="20"/>
          <w:color w:val="auto"/>
        </w:rPr>
        <w:tab/>
      </w:r>
      <w:r>
        <w:rPr>
          <w:rFonts w:ascii="Times New Roman" w:cs="Times New Roman" w:eastAsia="Times New Roman" w:hAnsi="Times New Roman"/>
          <w:sz w:val="18"/>
          <w:szCs w:val="18"/>
          <w:color w:val="auto"/>
        </w:rPr>
        <w:t>RESIGNATION AND VACANCIES</w:t>
      </w:r>
    </w:p>
    <w:p>
      <w:pPr>
        <w:spacing w:after="0" w:line="20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Any director may resign at any time upon notice given in writing or by electronic transmission to the chairperson of the board of directors (or, if none, to the chief executive officer of the corporation) or to the secretary of the corporation. A resignation is effective when the resignation is delivered unless the resignation specifies a later 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Unless otherwise provided in the certificate of incorporation or these bylaws or permitted in the specific case by resolution of the board of directors, and subject to the rights of holders of Preferred Stock, vacancies occurring on the board of directors for any reason and newly created directorships resulting from any increase in the authorized number of directors may be filled only by a vote of a majority of the remaining members of the board of directors, although less than a quorum, or by a sole remaining director, at any meeting of the board of directors, and not by stockholders. If the directors are divided into classes as provided by the certificate of incorporation, a person so chosen to fill a vacancy or newly created directorship shall hold office until the next election of the class for which such director shall have been chosen and until such director’s successor shall have been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3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3.5</w:t>
      </w:r>
      <w:r>
        <w:rPr>
          <w:sz w:val="20"/>
          <w:szCs w:val="20"/>
          <w:color w:val="auto"/>
        </w:rPr>
        <w:tab/>
      </w:r>
      <w:r>
        <w:rPr>
          <w:rFonts w:ascii="Times New Roman" w:cs="Times New Roman" w:eastAsia="Times New Roman" w:hAnsi="Times New Roman"/>
          <w:sz w:val="18"/>
          <w:szCs w:val="18"/>
          <w:color w:val="auto"/>
        </w:rPr>
        <w:t>PLACE OF MEETINGS; MEETINGS BY TELEPHONE</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board of directors may hold meetings, both regular and special, either within or outside the State of Delaware.</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7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3.6</w:t>
      </w:r>
      <w:r>
        <w:rPr>
          <w:sz w:val="20"/>
          <w:szCs w:val="20"/>
          <w:color w:val="auto"/>
        </w:rPr>
        <w:tab/>
      </w:r>
      <w:r>
        <w:rPr>
          <w:rFonts w:ascii="Times New Roman" w:cs="Times New Roman" w:eastAsia="Times New Roman" w:hAnsi="Times New Roman"/>
          <w:sz w:val="18"/>
          <w:szCs w:val="18"/>
          <w:color w:val="auto"/>
        </w:rPr>
        <w:t>REGULAR MEETINGS</w:t>
      </w:r>
    </w:p>
    <w:p>
      <w:pPr>
        <w:spacing w:after="0" w:line="20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Regular meetings of the board of directors may be held without notice at such time and at such place as shall from time to time be determined by the board of directors.</w:t>
      </w:r>
    </w:p>
    <w:p>
      <w:pPr>
        <w:spacing w:after="0" w:line="142"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3.7</w:t>
      </w:r>
      <w:r>
        <w:rPr>
          <w:sz w:val="20"/>
          <w:szCs w:val="20"/>
          <w:color w:val="auto"/>
        </w:rPr>
        <w:tab/>
      </w:r>
      <w:r>
        <w:rPr>
          <w:rFonts w:ascii="Times New Roman" w:cs="Times New Roman" w:eastAsia="Times New Roman" w:hAnsi="Times New Roman"/>
          <w:sz w:val="18"/>
          <w:szCs w:val="18"/>
          <w:color w:val="auto"/>
        </w:rPr>
        <w:t>SPECIAL MEETINGS; NOTICE</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Notice of the time and place of special meetings of the board of directors shall be:</w:t>
      </w:r>
    </w:p>
    <w:p>
      <w:pPr>
        <w:spacing w:after="0" w:line="220" w:lineRule="exact"/>
        <w:rPr>
          <w:sz w:val="20"/>
          <w:szCs w:val="20"/>
          <w:color w:val="auto"/>
        </w:rPr>
      </w:pPr>
    </w:p>
    <w:p>
      <w:pPr>
        <w:ind w:left="1840" w:hanging="352"/>
        <w:spacing w:after="0"/>
        <w:tabs>
          <w:tab w:leader="none" w:pos="18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personally by hand or by courier;</w:t>
      </w:r>
    </w:p>
    <w:p>
      <w:pPr>
        <w:spacing w:after="0" w:line="206" w:lineRule="exact"/>
        <w:rPr>
          <w:rFonts w:ascii="Times New Roman" w:cs="Times New Roman" w:eastAsia="Times New Roman" w:hAnsi="Times New Roman"/>
          <w:sz w:val="19"/>
          <w:szCs w:val="19"/>
          <w:color w:val="auto"/>
        </w:rPr>
      </w:pPr>
    </w:p>
    <w:p>
      <w:pPr>
        <w:ind w:left="1840" w:hanging="352"/>
        <w:spacing w:after="0"/>
        <w:tabs>
          <w:tab w:leader="none" w:pos="18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sent by United States first-class mail, postage prepaid;</w:t>
      </w:r>
    </w:p>
    <w:p>
      <w:pPr>
        <w:spacing w:after="0" w:line="219" w:lineRule="exact"/>
        <w:rPr>
          <w:rFonts w:ascii="Times New Roman" w:cs="Times New Roman" w:eastAsia="Times New Roman" w:hAnsi="Times New Roman"/>
          <w:sz w:val="19"/>
          <w:szCs w:val="19"/>
          <w:color w:val="auto"/>
        </w:rPr>
      </w:pPr>
    </w:p>
    <w:p>
      <w:pPr>
        <w:ind w:left="1840" w:hanging="352"/>
        <w:spacing w:after="0"/>
        <w:tabs>
          <w:tab w:leader="none" w:pos="18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sent by facsimile;</w:t>
      </w:r>
    </w:p>
    <w:p>
      <w:pPr>
        <w:spacing w:after="0" w:line="206" w:lineRule="exact"/>
        <w:rPr>
          <w:rFonts w:ascii="Times New Roman" w:cs="Times New Roman" w:eastAsia="Times New Roman" w:hAnsi="Times New Roman"/>
          <w:sz w:val="19"/>
          <w:szCs w:val="19"/>
          <w:color w:val="auto"/>
        </w:rPr>
      </w:pPr>
    </w:p>
    <w:p>
      <w:pPr>
        <w:ind w:left="1860" w:hanging="372"/>
        <w:spacing w:after="0"/>
        <w:tabs>
          <w:tab w:leader="none" w:pos="18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sent by electronic mail; or</w:t>
      </w:r>
    </w:p>
    <w:p>
      <w:pPr>
        <w:spacing w:after="0" w:line="219" w:lineRule="exact"/>
        <w:rPr>
          <w:rFonts w:ascii="Times New Roman" w:cs="Times New Roman" w:eastAsia="Times New Roman" w:hAnsi="Times New Roman"/>
          <w:sz w:val="19"/>
          <w:szCs w:val="19"/>
          <w:color w:val="auto"/>
        </w:rPr>
      </w:pPr>
    </w:p>
    <w:p>
      <w:pPr>
        <w:ind w:left="1860" w:hanging="372"/>
        <w:spacing w:after="0"/>
        <w:tabs>
          <w:tab w:leader="none" w:pos="186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otherwise given by electronic transmission (as defined in Section 232 of the DGCL),</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directed to each director at that director’s address, facsimile number, electronic mail address or other contact for notice by electronic transmission, as the case may be, as shown on the corporation’s records.</w:t>
      </w:r>
    </w:p>
    <w:p>
      <w:pPr>
        <w:spacing w:after="0" w:line="16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If the notice is (i) delivered personally by hand or by courier,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oral notice is given in person or by telephone at least 24 hours before the time of the holding of the special meeting. The notice need not specify the place of the meeting (if the meeting is to be held at the corporation’s principal executive office) nor the purpose of the meeting, unless required by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3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3.8</w:t>
      </w:r>
      <w:r>
        <w:rPr>
          <w:sz w:val="20"/>
          <w:szCs w:val="20"/>
          <w:color w:val="auto"/>
        </w:rPr>
        <w:tab/>
      </w:r>
      <w:r>
        <w:rPr>
          <w:rFonts w:ascii="Times New Roman" w:cs="Times New Roman" w:eastAsia="Times New Roman" w:hAnsi="Times New Roman"/>
          <w:sz w:val="18"/>
          <w:szCs w:val="18"/>
          <w:color w:val="auto"/>
        </w:rPr>
        <w:t>QUORUM; VOTING</w:t>
      </w:r>
    </w:p>
    <w:p>
      <w:pPr>
        <w:spacing w:after="0" w:line="20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42"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3.9</w:t>
      </w:r>
      <w:r>
        <w:rPr>
          <w:sz w:val="20"/>
          <w:szCs w:val="20"/>
          <w:color w:val="auto"/>
        </w:rPr>
        <w:tab/>
      </w:r>
      <w:r>
        <w:rPr>
          <w:rFonts w:ascii="Times New Roman" w:cs="Times New Roman" w:eastAsia="Times New Roman" w:hAnsi="Times New Roman"/>
          <w:sz w:val="18"/>
          <w:szCs w:val="18"/>
          <w:color w:val="auto"/>
        </w:rPr>
        <w:t>BOARD ACTION BY WRITTEN CONSENT WITHOUT A MEETING</w:t>
      </w:r>
    </w:p>
    <w:p>
      <w:pPr>
        <w:spacing w:after="0" w:line="22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(i) any action required or permitted to be taken at any meeting of the board of directors may be taken without a meeting if all members of the board of directors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in the same paper or electronic form as the minutes are maintained.</w:t>
      </w:r>
    </w:p>
    <w:p>
      <w:pPr>
        <w:spacing w:after="0" w:line="187"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9"/>
          <w:szCs w:val="19"/>
          <w:color w:val="auto"/>
        </w:rPr>
        <w:t>3.10</w:t>
      </w:r>
      <w:r>
        <w:rPr>
          <w:sz w:val="20"/>
          <w:szCs w:val="20"/>
          <w:color w:val="auto"/>
        </w:rPr>
        <w:tab/>
      </w:r>
      <w:r>
        <w:rPr>
          <w:rFonts w:ascii="Times New Roman" w:cs="Times New Roman" w:eastAsia="Times New Roman" w:hAnsi="Times New Roman"/>
          <w:sz w:val="18"/>
          <w:szCs w:val="18"/>
          <w:color w:val="auto"/>
        </w:rPr>
        <w:t>FEES AND COMPENSATION OF DIRECTORS</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the board of directors shall have the authority to fix the compensation of directors.</w:t>
      </w:r>
    </w:p>
    <w:p>
      <w:pPr>
        <w:spacing w:after="0" w:line="168"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9"/>
          <w:szCs w:val="19"/>
          <w:color w:val="auto"/>
        </w:rPr>
        <w:t>3.11</w:t>
      </w:r>
      <w:r>
        <w:rPr>
          <w:sz w:val="20"/>
          <w:szCs w:val="20"/>
          <w:color w:val="auto"/>
        </w:rPr>
        <w:tab/>
      </w:r>
      <w:r>
        <w:rPr>
          <w:rFonts w:ascii="Times New Roman" w:cs="Times New Roman" w:eastAsia="Times New Roman" w:hAnsi="Times New Roman"/>
          <w:sz w:val="18"/>
          <w:szCs w:val="18"/>
          <w:color w:val="auto"/>
        </w:rPr>
        <w:t>REMOVAL OF DIRECTORS</w:t>
      </w:r>
    </w:p>
    <w:p>
      <w:pPr>
        <w:spacing w:after="0" w:line="20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Any director may be removed from office at any time, with or without cause, by the affirmative vote of the holders of at least a majority of the voting power of the outstanding shares then entitled to vote for the election of directors; provided, however, for so long as the directors of the corporation are divided into classes, any director may be removed from office by the stockholders of the corporation only for cause.</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No reduction of the authorized number of directors shall have the effect of removing any director prior to the expiration of such director’s term of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41" w:lineRule="exact"/>
        <w:rPr>
          <w:sz w:val="20"/>
          <w:szCs w:val="20"/>
          <w:color w:val="auto"/>
        </w:rPr>
      </w:pPr>
    </w:p>
    <w:p>
      <w:pPr>
        <w:ind w:left="4040"/>
        <w:spacing w:after="0"/>
        <w:tabs>
          <w:tab w:leader="none" w:pos="5860" w:val="left"/>
        </w:tabs>
        <w:rPr>
          <w:sz w:val="20"/>
          <w:szCs w:val="20"/>
          <w:color w:val="auto"/>
        </w:rPr>
      </w:pPr>
      <w:r>
        <w:rPr>
          <w:rFonts w:ascii="Times New Roman" w:cs="Times New Roman" w:eastAsia="Times New Roman" w:hAnsi="Times New Roman"/>
          <w:sz w:val="19"/>
          <w:szCs w:val="19"/>
          <w:b w:val="1"/>
          <w:bCs w:val="1"/>
          <w:color w:val="auto"/>
        </w:rPr>
        <w:t>ARTICLE IV -</w:t>
      </w:r>
      <w:r>
        <w:rPr>
          <w:sz w:val="20"/>
          <w:szCs w:val="20"/>
          <w:color w:val="auto"/>
        </w:rPr>
        <w:tab/>
      </w:r>
      <w:r>
        <w:rPr>
          <w:rFonts w:ascii="Times New Roman" w:cs="Times New Roman" w:eastAsia="Times New Roman" w:hAnsi="Times New Roman"/>
          <w:sz w:val="18"/>
          <w:szCs w:val="18"/>
          <w:b w:val="1"/>
          <w:bCs w:val="1"/>
          <w:color w:val="auto"/>
        </w:rPr>
        <w:t>COMMITTEES</w:t>
      </w:r>
    </w:p>
    <w:p>
      <w:pPr>
        <w:spacing w:after="0" w:line="21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8"/>
          <w:szCs w:val="18"/>
          <w:color w:val="auto"/>
        </w:rPr>
        <w:t>COMMITTEES OF DIRECTORS</w:t>
      </w:r>
    </w:p>
    <w:p>
      <w:pPr>
        <w:spacing w:after="0" w:line="22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The board of directors may, by resolution adopted by the affirmative vote of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7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4.2</w:t>
      </w:r>
      <w:r>
        <w:rPr>
          <w:sz w:val="20"/>
          <w:szCs w:val="20"/>
          <w:color w:val="auto"/>
        </w:rPr>
        <w:tab/>
      </w:r>
      <w:r>
        <w:rPr>
          <w:rFonts w:ascii="Times New Roman" w:cs="Times New Roman" w:eastAsia="Times New Roman" w:hAnsi="Times New Roman"/>
          <w:sz w:val="18"/>
          <w:szCs w:val="18"/>
          <w:color w:val="auto"/>
        </w:rPr>
        <w:t>COMMITTEE MINUTES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Each committee shall keep regular minutes of its meetings.</w:t>
      </w:r>
    </w:p>
    <w:p>
      <w:pPr>
        <w:spacing w:after="0" w:line="207"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4.3</w:t>
      </w:r>
      <w:r>
        <w:rPr>
          <w:sz w:val="20"/>
          <w:szCs w:val="20"/>
          <w:color w:val="auto"/>
        </w:rPr>
        <w:tab/>
      </w:r>
      <w:r>
        <w:rPr>
          <w:rFonts w:ascii="Times New Roman" w:cs="Times New Roman" w:eastAsia="Times New Roman" w:hAnsi="Times New Roman"/>
          <w:sz w:val="18"/>
          <w:szCs w:val="18"/>
          <w:color w:val="auto"/>
        </w:rPr>
        <w:t>MEETINGS AND ACTION OF COMMITTEES</w:t>
      </w:r>
    </w:p>
    <w:p>
      <w:pPr>
        <w:spacing w:after="0" w:line="22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Unless otherwise specified by the board of directors, meetings and actions of committees shall be governed by, and held and taken in accordance with, the provisions of:</w:t>
      </w:r>
    </w:p>
    <w:p>
      <w:pPr>
        <w:spacing w:after="0" w:line="142" w:lineRule="exact"/>
        <w:rPr>
          <w:sz w:val="20"/>
          <w:szCs w:val="20"/>
          <w:color w:val="auto"/>
        </w:rPr>
      </w:pPr>
    </w:p>
    <w:p>
      <w:pPr>
        <w:ind w:left="1840" w:hanging="352"/>
        <w:spacing w:after="0"/>
        <w:tabs>
          <w:tab w:leader="none" w:pos="18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3.5 (place of meetings and meetings by telephone);</w:t>
      </w:r>
    </w:p>
    <w:p>
      <w:pPr>
        <w:spacing w:after="0" w:line="219" w:lineRule="exact"/>
        <w:rPr>
          <w:rFonts w:ascii="Times New Roman" w:cs="Times New Roman" w:eastAsia="Times New Roman" w:hAnsi="Times New Roman"/>
          <w:sz w:val="19"/>
          <w:szCs w:val="19"/>
          <w:color w:val="auto"/>
        </w:rPr>
      </w:pPr>
    </w:p>
    <w:p>
      <w:pPr>
        <w:ind w:left="1840" w:hanging="352"/>
        <w:spacing w:after="0"/>
        <w:tabs>
          <w:tab w:leader="none" w:pos="18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3.6 (regular meetings);</w:t>
      </w:r>
    </w:p>
    <w:p>
      <w:pPr>
        <w:spacing w:after="0" w:line="206" w:lineRule="exact"/>
        <w:rPr>
          <w:rFonts w:ascii="Times New Roman" w:cs="Times New Roman" w:eastAsia="Times New Roman" w:hAnsi="Times New Roman"/>
          <w:sz w:val="19"/>
          <w:szCs w:val="19"/>
          <w:color w:val="auto"/>
        </w:rPr>
      </w:pPr>
    </w:p>
    <w:p>
      <w:pPr>
        <w:ind w:left="1840" w:hanging="352"/>
        <w:spacing w:after="0"/>
        <w:tabs>
          <w:tab w:leader="none" w:pos="18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3.7 (special meetings and notice);</w:t>
      </w:r>
    </w:p>
    <w:p>
      <w:pPr>
        <w:spacing w:after="0" w:line="219" w:lineRule="exact"/>
        <w:rPr>
          <w:rFonts w:ascii="Times New Roman" w:cs="Times New Roman" w:eastAsia="Times New Roman" w:hAnsi="Times New Roman"/>
          <w:sz w:val="19"/>
          <w:szCs w:val="19"/>
          <w:color w:val="auto"/>
        </w:rPr>
      </w:pPr>
    </w:p>
    <w:p>
      <w:pPr>
        <w:ind w:left="1860" w:hanging="372"/>
        <w:spacing w:after="0"/>
        <w:tabs>
          <w:tab w:leader="none" w:pos="18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3.8 (quorum; voting);</w:t>
      </w:r>
    </w:p>
    <w:p>
      <w:pPr>
        <w:spacing w:after="0" w:line="219" w:lineRule="exact"/>
        <w:rPr>
          <w:rFonts w:ascii="Times New Roman" w:cs="Times New Roman" w:eastAsia="Times New Roman" w:hAnsi="Times New Roman"/>
          <w:sz w:val="19"/>
          <w:szCs w:val="19"/>
          <w:color w:val="auto"/>
        </w:rPr>
      </w:pPr>
    </w:p>
    <w:p>
      <w:pPr>
        <w:ind w:left="1860" w:hanging="372"/>
        <w:spacing w:after="0"/>
        <w:tabs>
          <w:tab w:leader="none" w:pos="18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3.9 (action without a meeting); and</w:t>
      </w:r>
    </w:p>
    <w:p>
      <w:pPr>
        <w:spacing w:after="0" w:line="206" w:lineRule="exact"/>
        <w:rPr>
          <w:rFonts w:ascii="Times New Roman" w:cs="Times New Roman" w:eastAsia="Times New Roman" w:hAnsi="Times New Roman"/>
          <w:sz w:val="19"/>
          <w:szCs w:val="19"/>
          <w:color w:val="auto"/>
        </w:rPr>
      </w:pPr>
    </w:p>
    <w:p>
      <w:pPr>
        <w:ind w:left="1860" w:hanging="372"/>
        <w:spacing w:after="0"/>
        <w:tabs>
          <w:tab w:leader="none" w:pos="18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7.4 (waiver of notice)</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 xml:space="preserve">with such changes in the context of those bylaws as are necessary to substitute the committee and its members for the board of directors and its members.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firstLine="1241"/>
        <w:spacing w:after="0" w:line="283" w:lineRule="auto"/>
        <w:tabs>
          <w:tab w:leader="none" w:pos="185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time and place of regular meetings of committees may be determined either by resolution of the board of directors or by resolution of the committee;</w:t>
      </w:r>
    </w:p>
    <w:p>
      <w:pPr>
        <w:spacing w:after="0" w:line="142"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special meetings of committees may also be called by resolution of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39" w:lineRule="exact"/>
        <w:rPr>
          <w:sz w:val="20"/>
          <w:szCs w:val="20"/>
          <w:color w:val="auto"/>
        </w:rPr>
      </w:pPr>
    </w:p>
    <w:p>
      <w:pPr>
        <w:jc w:val="both"/>
        <w:ind w:firstLine="1241"/>
        <w:spacing w:after="0" w:line="262" w:lineRule="auto"/>
        <w:tabs>
          <w:tab w:leader="none" w:pos="1856"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6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4.4</w:t>
      </w:r>
      <w:r>
        <w:rPr>
          <w:sz w:val="20"/>
          <w:szCs w:val="20"/>
          <w:color w:val="auto"/>
        </w:rPr>
        <w:tab/>
      </w:r>
      <w:r>
        <w:rPr>
          <w:rFonts w:ascii="Times New Roman" w:cs="Times New Roman" w:eastAsia="Times New Roman" w:hAnsi="Times New Roman"/>
          <w:sz w:val="18"/>
          <w:szCs w:val="18"/>
          <w:color w:val="auto"/>
        </w:rPr>
        <w:t>SUBCOMMITTEES</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V - OFFICERS</w:t>
      </w:r>
    </w:p>
    <w:p>
      <w:pPr>
        <w:spacing w:after="0" w:line="21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5.1</w:t>
      </w:r>
      <w:r>
        <w:rPr>
          <w:sz w:val="20"/>
          <w:szCs w:val="20"/>
          <w:color w:val="auto"/>
        </w:rPr>
        <w:tab/>
      </w:r>
      <w:r>
        <w:rPr>
          <w:rFonts w:ascii="Times New Roman" w:cs="Times New Roman" w:eastAsia="Times New Roman" w:hAnsi="Times New Roman"/>
          <w:sz w:val="18"/>
          <w:szCs w:val="18"/>
          <w:color w:val="auto"/>
        </w:rPr>
        <w:t>OFFICERS</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officers of the corporation shall be a chief executive officer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with such other titles as may be appointed from time to time in accordance with the provisions of these bylaws. Any number of offices may be held by the same person.</w:t>
      </w:r>
    </w:p>
    <w:p>
      <w:pPr>
        <w:spacing w:after="0" w:line="185"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9"/>
          <w:szCs w:val="19"/>
          <w:color w:val="auto"/>
        </w:rPr>
        <w:t>5.2</w:t>
      </w:r>
      <w:r>
        <w:rPr>
          <w:sz w:val="20"/>
          <w:szCs w:val="20"/>
          <w:color w:val="auto"/>
        </w:rPr>
        <w:tab/>
      </w:r>
      <w:r>
        <w:rPr>
          <w:rFonts w:ascii="Times New Roman" w:cs="Times New Roman" w:eastAsia="Times New Roman" w:hAnsi="Times New Roman"/>
          <w:sz w:val="18"/>
          <w:szCs w:val="18"/>
          <w:color w:val="auto"/>
        </w:rPr>
        <w:t>APPOINTMENT OF OFFICERS</w:t>
      </w:r>
    </w:p>
    <w:p>
      <w:pPr>
        <w:spacing w:after="0" w:line="20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board of directors shall appoint the officers of the corporation, except such officers as may be appointed in accordance with the provisions of Section 5.3 of these bylaws, subject to the rights, if any, of an officer under any contract of employment.</w:t>
      </w:r>
    </w:p>
    <w:p>
      <w:pPr>
        <w:spacing w:after="0" w:line="15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5.3</w:t>
      </w:r>
      <w:r>
        <w:rPr>
          <w:sz w:val="20"/>
          <w:szCs w:val="20"/>
          <w:color w:val="auto"/>
        </w:rPr>
        <w:tab/>
      </w:r>
      <w:r>
        <w:rPr>
          <w:rFonts w:ascii="Times New Roman" w:cs="Times New Roman" w:eastAsia="Times New Roman" w:hAnsi="Times New Roman"/>
          <w:sz w:val="18"/>
          <w:szCs w:val="18"/>
          <w:color w:val="auto"/>
        </w:rPr>
        <w:t>SUBORDINATE OFFICERS</w:t>
      </w:r>
    </w:p>
    <w:p>
      <w:pPr>
        <w:spacing w:after="0" w:line="20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board of directors may appoint, or empower the chief executive officer or, in the absence of a chief executive officer, the president, to appoint, such other officers as the business of the corporation may require. Each of such officers shall hold office for such period, have such authority, and perform such duties as are provided in these bylaws or as the board of directors may from time to time determine.</w:t>
      </w:r>
    </w:p>
    <w:p>
      <w:pPr>
        <w:spacing w:after="0" w:line="17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5.4</w:t>
      </w:r>
      <w:r>
        <w:rPr>
          <w:sz w:val="20"/>
          <w:szCs w:val="20"/>
          <w:color w:val="auto"/>
        </w:rPr>
        <w:tab/>
      </w:r>
      <w:r>
        <w:rPr>
          <w:rFonts w:ascii="Times New Roman" w:cs="Times New Roman" w:eastAsia="Times New Roman" w:hAnsi="Times New Roman"/>
          <w:sz w:val="18"/>
          <w:szCs w:val="18"/>
          <w:color w:val="auto"/>
        </w:rPr>
        <w:t>REMOVAL AND RESIGNATION OF OFFICERS</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Subject to the rights, if any, of an officer under any contract of employment, any officer may be removed, either with or without cause, by the board of directors or, except in the case of an officer chosen by the board of directors unless as otherwise provided by resolution of the board of directors, by any officer upon whom such power of removal may be conferred by the board of directors.</w:t>
      </w:r>
    </w:p>
    <w:p>
      <w:pPr>
        <w:spacing w:after="0" w:line="16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26"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5.5</w:t>
      </w:r>
      <w:r>
        <w:rPr>
          <w:sz w:val="20"/>
          <w:szCs w:val="20"/>
          <w:color w:val="auto"/>
        </w:rPr>
        <w:tab/>
      </w:r>
      <w:r>
        <w:rPr>
          <w:rFonts w:ascii="Times New Roman" w:cs="Times New Roman" w:eastAsia="Times New Roman" w:hAnsi="Times New Roman"/>
          <w:sz w:val="18"/>
          <w:szCs w:val="18"/>
          <w:color w:val="auto"/>
        </w:rPr>
        <w:t>VACANCIES IN OFFICES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Any vacancy occurring in any office of the corporation shall be filled by the board of directors or as provided in Section 5.3.</w:t>
      </w:r>
    </w:p>
    <w:p>
      <w:pPr>
        <w:spacing w:after="0" w:line="220"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5.6</w:t>
      </w:r>
      <w:r>
        <w:rPr>
          <w:sz w:val="20"/>
          <w:szCs w:val="20"/>
          <w:color w:val="auto"/>
        </w:rPr>
        <w:tab/>
      </w:r>
      <w:r>
        <w:rPr>
          <w:rFonts w:ascii="Times New Roman" w:cs="Times New Roman" w:eastAsia="Times New Roman" w:hAnsi="Times New Roman"/>
          <w:sz w:val="18"/>
          <w:szCs w:val="18"/>
          <w:color w:val="auto"/>
        </w:rPr>
        <w:t>REPRESENTATION OF SECURITIES OF OTHER ENTITIES</w:t>
      </w:r>
    </w:p>
    <w:p>
      <w:pPr>
        <w:spacing w:after="0" w:line="20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chairperson of the board of directors, the chief executive officer, the president, any vice president, the chief financial officer or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this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6"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19"/>
          <w:szCs w:val="19"/>
          <w:color w:val="auto"/>
        </w:rPr>
        <w:t>5.7</w:t>
      </w:r>
      <w:r>
        <w:rPr>
          <w:sz w:val="20"/>
          <w:szCs w:val="20"/>
          <w:color w:val="auto"/>
        </w:rPr>
        <w:tab/>
      </w:r>
      <w:r>
        <w:rPr>
          <w:rFonts w:ascii="Times New Roman" w:cs="Times New Roman" w:eastAsia="Times New Roman" w:hAnsi="Times New Roman"/>
          <w:sz w:val="18"/>
          <w:szCs w:val="18"/>
          <w:color w:val="auto"/>
        </w:rPr>
        <w:t>AUTHORITY AND DUTIES OF OFFICERS</w:t>
      </w:r>
    </w:p>
    <w:p>
      <w:pPr>
        <w:spacing w:after="0" w:line="20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376" w:lineRule="exact"/>
        <w:rPr>
          <w:sz w:val="20"/>
          <w:szCs w:val="20"/>
          <w:color w:val="auto"/>
        </w:rPr>
      </w:pPr>
    </w:p>
    <w:p>
      <w:pPr>
        <w:ind w:left="4380"/>
        <w:spacing w:after="0"/>
        <w:tabs>
          <w:tab w:leader="none" w:pos="6200" w:val="left"/>
        </w:tabs>
        <w:rPr>
          <w:sz w:val="20"/>
          <w:szCs w:val="20"/>
          <w:color w:val="auto"/>
        </w:rPr>
      </w:pPr>
      <w:r>
        <w:rPr>
          <w:rFonts w:ascii="Times New Roman" w:cs="Times New Roman" w:eastAsia="Times New Roman" w:hAnsi="Times New Roman"/>
          <w:sz w:val="19"/>
          <w:szCs w:val="19"/>
          <w:b w:val="1"/>
          <w:bCs w:val="1"/>
          <w:color w:val="auto"/>
        </w:rPr>
        <w:t>ARTICLE VI -</w:t>
      </w:r>
      <w:r>
        <w:rPr>
          <w:sz w:val="20"/>
          <w:szCs w:val="20"/>
          <w:color w:val="auto"/>
        </w:rPr>
        <w:tab/>
      </w:r>
      <w:r>
        <w:rPr>
          <w:rFonts w:ascii="Times New Roman" w:cs="Times New Roman" w:eastAsia="Times New Roman" w:hAnsi="Times New Roman"/>
          <w:sz w:val="18"/>
          <w:szCs w:val="18"/>
          <w:b w:val="1"/>
          <w:bCs w:val="1"/>
          <w:color w:val="auto"/>
        </w:rPr>
        <w:t>STOCK</w:t>
      </w:r>
    </w:p>
    <w:p>
      <w:pPr>
        <w:spacing w:after="0" w:line="172"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18"/>
          <w:szCs w:val="18"/>
          <w:color w:val="auto"/>
        </w:rPr>
        <w:t>STOCK CERTIFICATES; PARTLY PAID SHARES</w:t>
      </w:r>
    </w:p>
    <w:p>
      <w:pPr>
        <w:spacing w:after="0" w:line="155"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2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8"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6.2</w:t>
      </w:r>
      <w:r>
        <w:rPr>
          <w:sz w:val="20"/>
          <w:szCs w:val="20"/>
          <w:color w:val="auto"/>
        </w:rPr>
        <w:tab/>
      </w:r>
      <w:r>
        <w:rPr>
          <w:rFonts w:ascii="Times New Roman" w:cs="Times New Roman" w:eastAsia="Times New Roman" w:hAnsi="Times New Roman"/>
          <w:sz w:val="18"/>
          <w:szCs w:val="18"/>
          <w:color w:val="auto"/>
        </w:rPr>
        <w:t>SPECIAL DESIGNATION ON CERTIFICATES</w:t>
      </w:r>
    </w:p>
    <w:p>
      <w:pPr>
        <w:spacing w:after="0" w:line="155"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7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6.3</w:t>
      </w:r>
      <w:r>
        <w:rPr>
          <w:sz w:val="20"/>
          <w:szCs w:val="20"/>
          <w:color w:val="auto"/>
        </w:rPr>
        <w:tab/>
      </w:r>
      <w:r>
        <w:rPr>
          <w:rFonts w:ascii="Times New Roman" w:cs="Times New Roman" w:eastAsia="Times New Roman" w:hAnsi="Times New Roman"/>
          <w:sz w:val="18"/>
          <w:szCs w:val="18"/>
          <w:color w:val="auto"/>
        </w:rPr>
        <w:t>LOST CERTIFICATES</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6.4</w:t>
      </w:r>
      <w:r>
        <w:rPr>
          <w:sz w:val="20"/>
          <w:szCs w:val="20"/>
          <w:color w:val="auto"/>
        </w:rPr>
        <w:tab/>
      </w:r>
      <w:r>
        <w:rPr>
          <w:rFonts w:ascii="Times New Roman" w:cs="Times New Roman" w:eastAsia="Times New Roman" w:hAnsi="Times New Roman"/>
          <w:sz w:val="18"/>
          <w:szCs w:val="18"/>
          <w:color w:val="auto"/>
        </w:rPr>
        <w:t>DIVIDENDS</w:t>
      </w:r>
    </w:p>
    <w:p>
      <w:pPr>
        <w:spacing w:after="0" w:line="20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of directors may set apart out of any of the funds of the corporation available for dividends a reserve or reserves for any proper purpose and may abolish any such reserve.</w:t>
      </w:r>
    </w:p>
    <w:p>
      <w:pPr>
        <w:spacing w:after="0" w:line="17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6.5</w:t>
      </w:r>
      <w:r>
        <w:rPr>
          <w:sz w:val="20"/>
          <w:szCs w:val="20"/>
          <w:color w:val="auto"/>
        </w:rPr>
        <w:tab/>
      </w:r>
      <w:r>
        <w:rPr>
          <w:rFonts w:ascii="Times New Roman" w:cs="Times New Roman" w:eastAsia="Times New Roman" w:hAnsi="Times New Roman"/>
          <w:sz w:val="18"/>
          <w:szCs w:val="18"/>
          <w:color w:val="auto"/>
        </w:rPr>
        <w:t>TRANSFER OF STOCK</w:t>
      </w:r>
    </w:p>
    <w:p>
      <w:pPr>
        <w:spacing w:after="0" w:line="20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Transfers of record of shares of stock of the corporation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3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6.6</w:t>
      </w:r>
      <w:r>
        <w:rPr>
          <w:sz w:val="20"/>
          <w:szCs w:val="20"/>
          <w:color w:val="auto"/>
        </w:rPr>
        <w:tab/>
      </w:r>
      <w:r>
        <w:rPr>
          <w:rFonts w:ascii="Times New Roman" w:cs="Times New Roman" w:eastAsia="Times New Roman" w:hAnsi="Times New Roman"/>
          <w:sz w:val="18"/>
          <w:szCs w:val="18"/>
          <w:color w:val="auto"/>
        </w:rPr>
        <w:t>STOCK TRANSFER AGREEMENTS</w:t>
      </w:r>
    </w:p>
    <w:p>
      <w:pPr>
        <w:spacing w:after="0" w:line="20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7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6.7</w:t>
      </w:r>
      <w:r>
        <w:rPr>
          <w:sz w:val="20"/>
          <w:szCs w:val="20"/>
          <w:color w:val="auto"/>
        </w:rPr>
        <w:tab/>
      </w:r>
      <w:r>
        <w:rPr>
          <w:rFonts w:ascii="Times New Roman" w:cs="Times New Roman" w:eastAsia="Times New Roman" w:hAnsi="Times New Roman"/>
          <w:sz w:val="18"/>
          <w:szCs w:val="18"/>
          <w:color w:val="auto"/>
        </w:rPr>
        <w:t>REGISTERED STOCKHOLDERS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corporation:</w:t>
      </w:r>
    </w:p>
    <w:p>
      <w:pPr>
        <w:spacing w:after="0" w:line="207" w:lineRule="exact"/>
        <w:rPr>
          <w:sz w:val="20"/>
          <w:szCs w:val="20"/>
          <w:color w:val="auto"/>
        </w:rPr>
      </w:pPr>
    </w:p>
    <w:p>
      <w:pPr>
        <w:ind w:firstLine="1488"/>
        <w:spacing w:after="0" w:line="283" w:lineRule="auto"/>
        <w:tabs>
          <w:tab w:leader="none" w:pos="184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be entitled to recognize the exclusive right of a person registered on its books as the owner of shares to receive dividends and notices and to vote as such owner; and</w:t>
      </w:r>
    </w:p>
    <w:p>
      <w:pPr>
        <w:spacing w:after="0" w:line="142" w:lineRule="exact"/>
        <w:rPr>
          <w:rFonts w:ascii="Times New Roman" w:cs="Times New Roman" w:eastAsia="Times New Roman" w:hAnsi="Times New Roman"/>
          <w:sz w:val="19"/>
          <w:szCs w:val="19"/>
          <w:color w:val="auto"/>
        </w:rPr>
      </w:pPr>
    </w:p>
    <w:p>
      <w:pPr>
        <w:ind w:firstLine="1488"/>
        <w:spacing w:after="0" w:line="283" w:lineRule="auto"/>
        <w:tabs>
          <w:tab w:leader="none" w:pos="184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45" w:lineRule="exact"/>
        <w:rPr>
          <w:sz w:val="20"/>
          <w:szCs w:val="20"/>
          <w:color w:val="auto"/>
        </w:rPr>
      </w:pPr>
    </w:p>
    <w:p>
      <w:pPr>
        <w:ind w:left="2700"/>
        <w:spacing w:after="0"/>
        <w:tabs>
          <w:tab w:leader="none" w:pos="4520" w:val="left"/>
        </w:tabs>
        <w:rPr>
          <w:sz w:val="20"/>
          <w:szCs w:val="20"/>
          <w:color w:val="auto"/>
        </w:rPr>
      </w:pPr>
      <w:r>
        <w:rPr>
          <w:rFonts w:ascii="Times New Roman" w:cs="Times New Roman" w:eastAsia="Times New Roman" w:hAnsi="Times New Roman"/>
          <w:sz w:val="19"/>
          <w:szCs w:val="19"/>
          <w:b w:val="1"/>
          <w:bCs w:val="1"/>
          <w:color w:val="auto"/>
        </w:rPr>
        <w:t>ARTICLE VII -</w:t>
      </w:r>
      <w:r>
        <w:rPr>
          <w:sz w:val="20"/>
          <w:szCs w:val="20"/>
          <w:color w:val="auto"/>
        </w:rPr>
        <w:tab/>
      </w:r>
      <w:r>
        <w:rPr>
          <w:rFonts w:ascii="Times New Roman" w:cs="Times New Roman" w:eastAsia="Times New Roman" w:hAnsi="Times New Roman"/>
          <w:sz w:val="18"/>
          <w:szCs w:val="18"/>
          <w:b w:val="1"/>
          <w:bCs w:val="1"/>
          <w:color w:val="auto"/>
        </w:rPr>
        <w:t>MANNER OF GIVING NOTICE AND WAIVER</w:t>
      </w:r>
    </w:p>
    <w:p>
      <w:pPr>
        <w:spacing w:after="0" w:line="22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7.1</w:t>
      </w:r>
      <w:r>
        <w:rPr>
          <w:sz w:val="20"/>
          <w:szCs w:val="20"/>
          <w:color w:val="auto"/>
        </w:rPr>
        <w:tab/>
      </w:r>
      <w:r>
        <w:rPr>
          <w:rFonts w:ascii="Times New Roman" w:cs="Times New Roman" w:eastAsia="Times New Roman" w:hAnsi="Times New Roman"/>
          <w:sz w:val="18"/>
          <w:szCs w:val="18"/>
          <w:color w:val="auto"/>
        </w:rPr>
        <w:t>NOTICE TO STOCKHOLDERS</w:t>
      </w:r>
    </w:p>
    <w:p>
      <w:pPr>
        <w:spacing w:after="0" w:line="22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Any notice to stockholders given by the corporation under any provision of the DGCL, the certificate of incorporation or these bylaws may be given in the manner set forth in Section 232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3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7.2</w:t>
      </w:r>
      <w:r>
        <w:rPr>
          <w:sz w:val="20"/>
          <w:szCs w:val="20"/>
          <w:color w:val="auto"/>
        </w:rPr>
        <w:tab/>
      </w:r>
      <w:r>
        <w:rPr>
          <w:rFonts w:ascii="Times New Roman" w:cs="Times New Roman" w:eastAsia="Times New Roman" w:hAnsi="Times New Roman"/>
          <w:sz w:val="18"/>
          <w:szCs w:val="18"/>
          <w:color w:val="auto"/>
        </w:rPr>
        <w:t>NOTICE TO STOCKHOLDERS SHARING AN ADDRESS</w:t>
      </w:r>
    </w:p>
    <w:p>
      <w:pPr>
        <w:spacing w:after="0" w:line="20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Sections 164, 296, 311, 312 or 324 of the DGCL.</w:t>
      </w:r>
    </w:p>
    <w:p>
      <w:pPr>
        <w:spacing w:after="0" w:line="17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7.3</w:t>
      </w:r>
      <w:r>
        <w:rPr>
          <w:sz w:val="20"/>
          <w:szCs w:val="20"/>
          <w:color w:val="auto"/>
        </w:rPr>
        <w:tab/>
      </w:r>
      <w:r>
        <w:rPr>
          <w:rFonts w:ascii="Times New Roman" w:cs="Times New Roman" w:eastAsia="Times New Roman" w:hAnsi="Times New Roman"/>
          <w:sz w:val="18"/>
          <w:szCs w:val="18"/>
          <w:color w:val="auto"/>
        </w:rPr>
        <w:t>NOTICE TO PERSON WITH WHOM COMMUNICATION IS UNLAWFUL</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73"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7.4</w:t>
      </w:r>
      <w:r>
        <w:rPr>
          <w:sz w:val="20"/>
          <w:szCs w:val="20"/>
          <w:color w:val="auto"/>
        </w:rPr>
        <w:tab/>
      </w:r>
      <w:r>
        <w:rPr>
          <w:rFonts w:ascii="Times New Roman" w:cs="Times New Roman" w:eastAsia="Times New Roman" w:hAnsi="Times New Roman"/>
          <w:sz w:val="18"/>
          <w:szCs w:val="18"/>
          <w:color w:val="auto"/>
        </w:rPr>
        <w:t>WAIVER OF NOTICE</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or a committee thereof, as the case may be,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41" w:lineRule="exact"/>
        <w:rPr>
          <w:sz w:val="20"/>
          <w:szCs w:val="20"/>
          <w:color w:val="auto"/>
        </w:rPr>
      </w:pPr>
    </w:p>
    <w:p>
      <w:pPr>
        <w:ind w:left="3800"/>
        <w:spacing w:after="0"/>
        <w:tabs>
          <w:tab w:leader="none" w:pos="5620" w:val="left"/>
        </w:tabs>
        <w:rPr>
          <w:sz w:val="20"/>
          <w:szCs w:val="20"/>
          <w:color w:val="auto"/>
        </w:rPr>
      </w:pPr>
      <w:r>
        <w:rPr>
          <w:rFonts w:ascii="Times New Roman" w:cs="Times New Roman" w:eastAsia="Times New Roman" w:hAnsi="Times New Roman"/>
          <w:sz w:val="19"/>
          <w:szCs w:val="19"/>
          <w:b w:val="1"/>
          <w:bCs w:val="1"/>
          <w:color w:val="auto"/>
        </w:rPr>
        <w:t>ARTICLE VIII -</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211"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8.1</w:t>
      </w:r>
      <w:r>
        <w:rPr>
          <w:sz w:val="20"/>
          <w:szCs w:val="20"/>
          <w:color w:val="auto"/>
        </w:rPr>
        <w:tab/>
      </w:r>
      <w:r>
        <w:rPr>
          <w:rFonts w:ascii="Times New Roman" w:cs="Times New Roman" w:eastAsia="Times New Roman" w:hAnsi="Times New Roman"/>
          <w:sz w:val="18"/>
          <w:szCs w:val="18"/>
          <w:color w:val="auto"/>
        </w:rPr>
        <w:t>INDEMNIFICATION OF DIRECTORS AND OFFICERS IN THIRD PARTY PROCEEDINGS</w:t>
      </w:r>
    </w:p>
    <w:p>
      <w:pPr>
        <w:spacing w:after="0" w:line="22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9"/>
          <w:szCs w:val="19"/>
          <w:b w:val="1"/>
          <w:bCs w:val="1"/>
          <w:color w:val="auto"/>
        </w:rPr>
        <w:t>Proceeding</w:t>
      </w:r>
      <w:r>
        <w:rPr>
          <w:rFonts w:ascii="Times New Roman" w:cs="Times New Roman" w:eastAsia="Times New Roman" w:hAnsi="Times New Roman"/>
          <w:sz w:val="19"/>
          <w:szCs w:val="19"/>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8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8.2</w:t>
      </w:r>
      <w:r>
        <w:rPr>
          <w:sz w:val="20"/>
          <w:szCs w:val="20"/>
          <w:color w:val="auto"/>
        </w:rPr>
        <w:tab/>
      </w:r>
      <w:r>
        <w:rPr>
          <w:rFonts w:ascii="Times New Roman" w:cs="Times New Roman" w:eastAsia="Times New Roman" w:hAnsi="Times New Roman"/>
          <w:sz w:val="18"/>
          <w:szCs w:val="18"/>
          <w:color w:val="auto"/>
        </w:rPr>
        <w:t>INDEMNIFICATION OF DIRECTORS AND OFFICERS IN ACTIONS BY OR IN THE RIGHT OF THE CORPORATION</w:t>
      </w:r>
    </w:p>
    <w:p>
      <w:pPr>
        <w:spacing w:after="0" w:line="20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8.3</w:t>
      </w:r>
      <w:r>
        <w:rPr>
          <w:sz w:val="20"/>
          <w:szCs w:val="20"/>
          <w:color w:val="auto"/>
        </w:rPr>
        <w:tab/>
      </w:r>
      <w:r>
        <w:rPr>
          <w:rFonts w:ascii="Times New Roman" w:cs="Times New Roman" w:eastAsia="Times New Roman" w:hAnsi="Times New Roman"/>
          <w:sz w:val="18"/>
          <w:szCs w:val="18"/>
          <w:color w:val="auto"/>
        </w:rPr>
        <w:t>SUCCESSFUL DEFENSE</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To the extent that a present or former director or officer (for the purposes of this Section 8.3 only, as such term is defined in Section 145(c)</w:t>
      </w:r>
    </w:p>
    <w:p>
      <w:pPr>
        <w:spacing w:after="0" w:line="21" w:lineRule="exact"/>
        <w:rPr>
          <w:sz w:val="20"/>
          <w:szCs w:val="20"/>
          <w:color w:val="auto"/>
        </w:rPr>
      </w:pPr>
    </w:p>
    <w:p>
      <w:pPr>
        <w:jc w:val="both"/>
        <w:ind w:firstLine="3"/>
        <w:spacing w:after="0" w:line="250" w:lineRule="auto"/>
        <w:tabs>
          <w:tab w:leader="none" w:pos="295"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DGCL) of the corporation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Proceeding described in Section 8.1 or Section 8.2 of these bylaws or in defense of any claim, issue or matter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3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8.4</w:t>
      </w:r>
      <w:r>
        <w:rPr>
          <w:sz w:val="20"/>
          <w:szCs w:val="20"/>
          <w:color w:val="auto"/>
        </w:rPr>
        <w:tab/>
      </w:r>
      <w:r>
        <w:rPr>
          <w:rFonts w:ascii="Times New Roman" w:cs="Times New Roman" w:eastAsia="Times New Roman" w:hAnsi="Times New Roman"/>
          <w:sz w:val="18"/>
          <w:szCs w:val="18"/>
          <w:color w:val="auto"/>
        </w:rPr>
        <w:t>INDEMNIFICATION OF OTHERS</w:t>
      </w:r>
    </w:p>
    <w:p>
      <w:pPr>
        <w:spacing w:after="0" w:line="20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Subject to the other provisions of this Article VIII, the corporation shall have power to advance expenses to and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 or receive an advancement of expenses.</w:t>
      </w:r>
    </w:p>
    <w:p>
      <w:pPr>
        <w:spacing w:after="0" w:line="17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8.5</w:t>
      </w:r>
      <w:r>
        <w:rPr>
          <w:sz w:val="20"/>
          <w:szCs w:val="20"/>
          <w:color w:val="auto"/>
        </w:rPr>
        <w:tab/>
      </w:r>
      <w:r>
        <w:rPr>
          <w:rFonts w:ascii="Times New Roman" w:cs="Times New Roman" w:eastAsia="Times New Roman" w:hAnsi="Times New Roman"/>
          <w:sz w:val="18"/>
          <w:szCs w:val="18"/>
          <w:color w:val="auto"/>
        </w:rPr>
        <w:t>ADVANCE PAYMENT OF EXPENSES</w:t>
      </w:r>
    </w:p>
    <w:p>
      <w:pPr>
        <w:spacing w:after="0" w:line="20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90"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8.6</w:t>
      </w:r>
      <w:r>
        <w:rPr>
          <w:sz w:val="20"/>
          <w:szCs w:val="20"/>
          <w:color w:val="auto"/>
        </w:rPr>
        <w:tab/>
      </w:r>
      <w:r>
        <w:rPr>
          <w:rFonts w:ascii="Times New Roman" w:cs="Times New Roman" w:eastAsia="Times New Roman" w:hAnsi="Times New Roman"/>
          <w:sz w:val="18"/>
          <w:szCs w:val="18"/>
          <w:color w:val="auto"/>
        </w:rPr>
        <w:t>LIMITATION ON INDEMNIFICATION</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Subject to the requirements in Section 8.3 and the DGCL, the corporation shall not be obligated to indemnify any person pursuant to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Article VIII in connection with any Proceeding (or any part of any Proceeding):</w:t>
      </w:r>
    </w:p>
    <w:p>
      <w:pPr>
        <w:spacing w:after="0" w:line="200" w:lineRule="exact"/>
        <w:rPr>
          <w:sz w:val="20"/>
          <w:szCs w:val="20"/>
          <w:color w:val="auto"/>
        </w:rPr>
      </w:pPr>
    </w:p>
    <w:p>
      <w:pPr>
        <w:ind w:firstLine="1241"/>
        <w:spacing w:after="0" w:line="269" w:lineRule="auto"/>
        <w:tabs>
          <w:tab w:leader="none" w:pos="185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which payment has actually been made to or on behalf of such person under any statute, insurance policy, indemnity provision, vote or otherwise, except with respect to any excess beyond the amount paid;</w:t>
      </w:r>
    </w:p>
    <w:p>
      <w:pPr>
        <w:spacing w:after="0" w:line="167" w:lineRule="exact"/>
        <w:rPr>
          <w:rFonts w:ascii="Times New Roman" w:cs="Times New Roman" w:eastAsia="Times New Roman" w:hAnsi="Times New Roman"/>
          <w:sz w:val="19"/>
          <w:szCs w:val="19"/>
          <w:color w:val="auto"/>
        </w:rPr>
      </w:pPr>
    </w:p>
    <w:p>
      <w:pPr>
        <w:ind w:firstLine="1241"/>
        <w:spacing w:after="0" w:line="283" w:lineRule="auto"/>
        <w:tabs>
          <w:tab w:leader="none" w:pos="185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42" w:lineRule="exact"/>
        <w:rPr>
          <w:rFonts w:ascii="Times New Roman" w:cs="Times New Roman" w:eastAsia="Times New Roman" w:hAnsi="Times New Roman"/>
          <w:sz w:val="19"/>
          <w:szCs w:val="19"/>
          <w:color w:val="auto"/>
        </w:rPr>
      </w:pPr>
    </w:p>
    <w:p>
      <w:pPr>
        <w:jc w:val="both"/>
        <w:ind w:firstLine="1241"/>
        <w:spacing w:after="0" w:line="276" w:lineRule="auto"/>
        <w:tabs>
          <w:tab w:leader="none" w:pos="18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50" w:lineRule="exact"/>
        <w:rPr>
          <w:rFonts w:ascii="Times New Roman" w:cs="Times New Roman" w:eastAsia="Times New Roman" w:hAnsi="Times New Roman"/>
          <w:sz w:val="18"/>
          <w:szCs w:val="18"/>
          <w:color w:val="auto"/>
        </w:rPr>
      </w:pPr>
    </w:p>
    <w:p>
      <w:pPr>
        <w:jc w:val="both"/>
        <w:ind w:firstLine="1241"/>
        <w:spacing w:after="0" w:line="259" w:lineRule="auto"/>
        <w:tabs>
          <w:tab w:leader="none" w:pos="184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39" w:lineRule="exact"/>
        <w:rPr>
          <w:sz w:val="20"/>
          <w:szCs w:val="20"/>
          <w:color w:val="auto"/>
        </w:rPr>
      </w:pPr>
    </w:p>
    <w:p>
      <w:pPr>
        <w:ind w:left="1840" w:hanging="599"/>
        <w:spacing w:after="0"/>
        <w:tabs>
          <w:tab w:leader="none" w:pos="18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prohibited by applicable law.</w:t>
      </w:r>
    </w:p>
    <w:p>
      <w:pPr>
        <w:spacing w:after="0" w:line="206"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8.7   DETERMINATION; CLAIM</w:t>
      </w:r>
    </w:p>
    <w:p>
      <w:pPr>
        <w:spacing w:after="0" w:line="22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86"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8.8</w:t>
      </w:r>
      <w:r>
        <w:rPr>
          <w:sz w:val="20"/>
          <w:szCs w:val="20"/>
          <w:color w:val="auto"/>
        </w:rPr>
        <w:tab/>
      </w:r>
      <w:r>
        <w:rPr>
          <w:rFonts w:ascii="Times New Roman" w:cs="Times New Roman" w:eastAsia="Times New Roman" w:hAnsi="Times New Roman"/>
          <w:sz w:val="18"/>
          <w:szCs w:val="18"/>
          <w:color w:val="auto"/>
        </w:rPr>
        <w:t>NON-EXCLUSIVITY OF RIGHTS</w:t>
      </w:r>
    </w:p>
    <w:p>
      <w:pPr>
        <w:spacing w:after="0" w:line="20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5"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8.9</w:t>
      </w:r>
      <w:r>
        <w:rPr>
          <w:sz w:val="20"/>
          <w:szCs w:val="20"/>
          <w:color w:val="auto"/>
        </w:rPr>
        <w:tab/>
      </w:r>
      <w:r>
        <w:rPr>
          <w:rFonts w:ascii="Times New Roman" w:cs="Times New Roman" w:eastAsia="Times New Roman" w:hAnsi="Times New Roman"/>
          <w:sz w:val="18"/>
          <w:szCs w:val="18"/>
          <w:color w:val="auto"/>
        </w:rPr>
        <w:t>INSURANCE</w:t>
      </w:r>
    </w:p>
    <w:p>
      <w:pPr>
        <w:spacing w:after="0" w:line="22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corporation may purchase and maintain insurance to the fullest extent permitted by the DGCL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8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9"/>
          <w:szCs w:val="19"/>
          <w:color w:val="auto"/>
        </w:rPr>
        <w:t>8.10</w:t>
      </w:r>
      <w:r>
        <w:rPr>
          <w:sz w:val="20"/>
          <w:szCs w:val="20"/>
          <w:color w:val="auto"/>
        </w:rPr>
        <w:tab/>
      </w:r>
      <w:r>
        <w:rPr>
          <w:rFonts w:ascii="Times New Roman" w:cs="Times New Roman" w:eastAsia="Times New Roman" w:hAnsi="Times New Roman"/>
          <w:sz w:val="18"/>
          <w:szCs w:val="18"/>
          <w:color w:val="auto"/>
        </w:rPr>
        <w:t>SURVIVAL</w:t>
      </w:r>
    </w:p>
    <w:p>
      <w:pPr>
        <w:spacing w:after="0" w:line="20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42"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9"/>
          <w:szCs w:val="19"/>
          <w:color w:val="auto"/>
        </w:rPr>
        <w:t>8.11</w:t>
      </w:r>
      <w:r>
        <w:rPr>
          <w:sz w:val="20"/>
          <w:szCs w:val="20"/>
          <w:color w:val="auto"/>
        </w:rPr>
        <w:tab/>
      </w:r>
      <w:r>
        <w:rPr>
          <w:rFonts w:ascii="Times New Roman" w:cs="Times New Roman" w:eastAsia="Times New Roman" w:hAnsi="Times New Roman"/>
          <w:sz w:val="18"/>
          <w:szCs w:val="18"/>
          <w:color w:val="auto"/>
        </w:rPr>
        <w:t>EFFECT OF REPEAL OR MODIFICATION</w:t>
      </w:r>
    </w:p>
    <w:p>
      <w:pPr>
        <w:spacing w:after="0" w:line="22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39"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9"/>
          <w:szCs w:val="19"/>
          <w:color w:val="auto"/>
        </w:rPr>
        <w:t>8.12</w:t>
      </w:r>
      <w:r>
        <w:rPr>
          <w:sz w:val="20"/>
          <w:szCs w:val="20"/>
          <w:color w:val="auto"/>
        </w:rPr>
        <w:tab/>
      </w:r>
      <w:r>
        <w:rPr>
          <w:rFonts w:ascii="Times New Roman" w:cs="Times New Roman" w:eastAsia="Times New Roman" w:hAnsi="Times New Roman"/>
          <w:sz w:val="18"/>
          <w:szCs w:val="18"/>
          <w:color w:val="auto"/>
        </w:rPr>
        <w:t>CERTAIN DEFINITIONS</w:t>
      </w:r>
    </w:p>
    <w:p>
      <w:pPr>
        <w:spacing w:after="0" w:line="203"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For purposes of this Article VIII, references to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19"/>
          <w:szCs w:val="19"/>
          <w:b w:val="1"/>
          <w:bCs w:val="1"/>
          <w:color w:val="auto"/>
        </w:rPr>
        <w:t>other enterprises</w:t>
      </w:r>
      <w:r>
        <w:rPr>
          <w:rFonts w:ascii="Times New Roman" w:cs="Times New Roman" w:eastAsia="Times New Roman" w:hAnsi="Times New Roman"/>
          <w:sz w:val="19"/>
          <w:szCs w:val="19"/>
          <w:color w:val="auto"/>
        </w:rPr>
        <w:t>” shall include employee benefit plans; references to “</w:t>
      </w:r>
      <w:r>
        <w:rPr>
          <w:rFonts w:ascii="Times New Roman" w:cs="Times New Roman" w:eastAsia="Times New Roman" w:hAnsi="Times New Roman"/>
          <w:sz w:val="19"/>
          <w:szCs w:val="19"/>
          <w:b w:val="1"/>
          <w:bCs w:val="1"/>
          <w:color w:val="auto"/>
        </w:rPr>
        <w:t>fines</w:t>
      </w:r>
      <w:r>
        <w:rPr>
          <w:rFonts w:ascii="Times New Roman" w:cs="Times New Roman" w:eastAsia="Times New Roman" w:hAnsi="Times New Roman"/>
          <w:sz w:val="19"/>
          <w:szCs w:val="19"/>
          <w:color w:val="auto"/>
        </w:rPr>
        <w:t>” shall include any excise taxes assessed on a person with respect to an employee benefit plan; and references to “</w:t>
      </w:r>
      <w:r>
        <w:rPr>
          <w:rFonts w:ascii="Times New Roman" w:cs="Times New Roman" w:eastAsia="Times New Roman" w:hAnsi="Times New Roman"/>
          <w:sz w:val="19"/>
          <w:szCs w:val="19"/>
          <w:b w:val="1"/>
          <w:bCs w:val="1"/>
          <w:color w:val="auto"/>
        </w:rPr>
        <w:t>serving at the request of the corporation</w:t>
      </w:r>
      <w:r>
        <w:rPr>
          <w:rFonts w:ascii="Times New Roman" w:cs="Times New Roman" w:eastAsia="Times New Roman" w:hAnsi="Times New Roman"/>
          <w:sz w:val="19"/>
          <w:szCs w:val="19"/>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9"/>
          <w:szCs w:val="19"/>
          <w:b w:val="1"/>
          <w:bCs w:val="1"/>
          <w:color w:val="auto"/>
        </w:rPr>
        <w:t>not opposed to the best interests of the corporation</w:t>
      </w:r>
      <w:r>
        <w:rPr>
          <w:rFonts w:ascii="Times New Roman" w:cs="Times New Roman" w:eastAsia="Times New Roman" w:hAnsi="Times New Roman"/>
          <w:sz w:val="19"/>
          <w:szCs w:val="19"/>
          <w:color w:val="auto"/>
        </w:rPr>
        <w:t>” as referred to in this Article VIII.</w:t>
      </w:r>
    </w:p>
    <w:p>
      <w:pPr>
        <w:spacing w:after="0" w:line="380" w:lineRule="exact"/>
        <w:rPr>
          <w:sz w:val="20"/>
          <w:szCs w:val="20"/>
          <w:color w:val="auto"/>
        </w:rPr>
      </w:pPr>
    </w:p>
    <w:p>
      <w:pPr>
        <w:ind w:left="3740"/>
        <w:spacing w:after="0"/>
        <w:tabs>
          <w:tab w:leader="none" w:pos="5580" w:val="left"/>
        </w:tabs>
        <w:rPr>
          <w:sz w:val="20"/>
          <w:szCs w:val="20"/>
          <w:color w:val="auto"/>
        </w:rPr>
      </w:pPr>
      <w:r>
        <w:rPr>
          <w:rFonts w:ascii="Times New Roman" w:cs="Times New Roman" w:eastAsia="Times New Roman" w:hAnsi="Times New Roman"/>
          <w:sz w:val="19"/>
          <w:szCs w:val="19"/>
          <w:b w:val="1"/>
          <w:bCs w:val="1"/>
          <w:color w:val="auto"/>
        </w:rPr>
        <w:t>ARTICLE IX -</w:t>
      </w:r>
      <w:r>
        <w:rPr>
          <w:sz w:val="20"/>
          <w:szCs w:val="20"/>
          <w:color w:val="auto"/>
        </w:rPr>
        <w:tab/>
      </w:r>
      <w:r>
        <w:rPr>
          <w:rFonts w:ascii="Times New Roman" w:cs="Times New Roman" w:eastAsia="Times New Roman" w:hAnsi="Times New Roman"/>
          <w:sz w:val="18"/>
          <w:szCs w:val="18"/>
          <w:b w:val="1"/>
          <w:bCs w:val="1"/>
          <w:color w:val="auto"/>
        </w:rPr>
        <w:t>GENERAL MATTERS</w:t>
      </w:r>
    </w:p>
    <w:p>
      <w:pPr>
        <w:spacing w:after="0" w:line="224"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9.1</w:t>
      </w:r>
      <w:r>
        <w:rPr>
          <w:sz w:val="20"/>
          <w:szCs w:val="20"/>
          <w:color w:val="auto"/>
        </w:rPr>
        <w:tab/>
      </w:r>
      <w:r>
        <w:rPr>
          <w:rFonts w:ascii="Times New Roman" w:cs="Times New Roman" w:eastAsia="Times New Roman" w:hAnsi="Times New Roman"/>
          <w:sz w:val="18"/>
          <w:szCs w:val="18"/>
          <w:color w:val="auto"/>
        </w:rPr>
        <w:t>EXECUTION OF CORPORATE CONTRACTS AND INSTRUMENTS</w:t>
      </w:r>
    </w:p>
    <w:p>
      <w:pPr>
        <w:spacing w:after="0" w:line="2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166"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9.2</w:t>
      </w:r>
      <w:r>
        <w:rPr>
          <w:sz w:val="20"/>
          <w:szCs w:val="20"/>
          <w:color w:val="auto"/>
        </w:rPr>
        <w:tab/>
      </w:r>
      <w:r>
        <w:rPr>
          <w:rFonts w:ascii="Times New Roman" w:cs="Times New Roman" w:eastAsia="Times New Roman" w:hAnsi="Times New Roman"/>
          <w:sz w:val="18"/>
          <w:szCs w:val="18"/>
          <w:color w:val="auto"/>
        </w:rPr>
        <w:t>FISCAL YEAR</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fiscal year of the corporation shall be fixed by resolution of the board of directors and may be changed by the board of directors.</w:t>
      </w:r>
    </w:p>
    <w:p>
      <w:pPr>
        <w:spacing w:after="0" w:line="220"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9.3</w:t>
      </w:r>
      <w:r>
        <w:rPr>
          <w:sz w:val="20"/>
          <w:szCs w:val="20"/>
          <w:color w:val="auto"/>
        </w:rPr>
        <w:tab/>
      </w:r>
      <w:r>
        <w:rPr>
          <w:rFonts w:ascii="Times New Roman" w:cs="Times New Roman" w:eastAsia="Times New Roman" w:hAnsi="Times New Roman"/>
          <w:sz w:val="18"/>
          <w:szCs w:val="18"/>
          <w:color w:val="auto"/>
        </w:rPr>
        <w:t>SEAL</w:t>
      </w:r>
    </w:p>
    <w:p>
      <w:pPr>
        <w:spacing w:after="0" w:line="20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39" w:lineRule="exact"/>
        <w:rPr>
          <w:sz w:val="20"/>
          <w:szCs w:val="20"/>
          <w:color w:val="auto"/>
        </w:rPr>
      </w:pPr>
    </w:p>
    <w:p>
      <w:pPr>
        <w:ind w:left="620"/>
        <w:spacing w:after="0"/>
        <w:tabs>
          <w:tab w:leader="none" w:pos="1080" w:val="left"/>
        </w:tabs>
        <w:rPr>
          <w:sz w:val="20"/>
          <w:szCs w:val="20"/>
          <w:color w:val="auto"/>
        </w:rPr>
      </w:pPr>
      <w:r>
        <w:rPr>
          <w:rFonts w:ascii="Times New Roman" w:cs="Times New Roman" w:eastAsia="Times New Roman" w:hAnsi="Times New Roman"/>
          <w:sz w:val="19"/>
          <w:szCs w:val="19"/>
          <w:color w:val="auto"/>
        </w:rPr>
        <w:t>9.4</w:t>
      </w:r>
      <w:r>
        <w:rPr>
          <w:sz w:val="20"/>
          <w:szCs w:val="20"/>
          <w:color w:val="auto"/>
        </w:rPr>
        <w:tab/>
      </w:r>
      <w:r>
        <w:rPr>
          <w:rFonts w:ascii="Times New Roman" w:cs="Times New Roman" w:eastAsia="Times New Roman" w:hAnsi="Times New Roman"/>
          <w:sz w:val="18"/>
          <w:szCs w:val="18"/>
          <w:color w:val="auto"/>
        </w:rPr>
        <w:t>CONSTRUCTION; DEFINITIONS</w:t>
      </w:r>
    </w:p>
    <w:p>
      <w:pPr>
        <w:spacing w:after="0" w:line="2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X - AMENDMENTS</w:t>
      </w:r>
    </w:p>
    <w:p>
      <w:pPr>
        <w:spacing w:after="0" w:line="2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9"/>
          <w:szCs w:val="19"/>
          <w:color w:val="auto"/>
        </w:rPr>
        <w:t xml:space="preserve">These bylaws may be adopted, amended or repealed by the stockholders entitled to vote;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affirmative vote of the holders of at least two-thirds (2/3) of the total voting power of outstanding voting securities, voting together as a single class, shall be required for the stockholders of the corporation to alter, amend or repeal, or adopt any provision of these bylaws. However,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 bylaw amendment adopted by stockholders which specifies the votes that shall be necessary for the election of directors shall not be further amended or repealed by the board of directors.</w:t>
      </w:r>
    </w:p>
    <w:p>
      <w:pPr>
        <w:spacing w:after="0" w:line="370" w:lineRule="exact"/>
        <w:rPr>
          <w:sz w:val="20"/>
          <w:szCs w:val="20"/>
          <w:color w:val="auto"/>
        </w:rPr>
      </w:pPr>
    </w:p>
    <w:p>
      <w:pPr>
        <w:ind w:left="3760"/>
        <w:spacing w:after="0"/>
        <w:tabs>
          <w:tab w:leader="none" w:pos="5600" w:val="left"/>
        </w:tabs>
        <w:rPr>
          <w:sz w:val="20"/>
          <w:szCs w:val="20"/>
          <w:color w:val="auto"/>
        </w:rPr>
      </w:pPr>
      <w:r>
        <w:rPr>
          <w:rFonts w:ascii="Times New Roman" w:cs="Times New Roman" w:eastAsia="Times New Roman" w:hAnsi="Times New Roman"/>
          <w:sz w:val="19"/>
          <w:szCs w:val="19"/>
          <w:b w:val="1"/>
          <w:bCs w:val="1"/>
          <w:color w:val="auto"/>
        </w:rPr>
        <w:t>ARTICLE XI -</w:t>
      </w:r>
      <w:r>
        <w:rPr>
          <w:sz w:val="20"/>
          <w:szCs w:val="20"/>
          <w:color w:val="auto"/>
        </w:rPr>
        <w:tab/>
      </w:r>
      <w:r>
        <w:rPr>
          <w:rFonts w:ascii="Times New Roman" w:cs="Times New Roman" w:eastAsia="Times New Roman" w:hAnsi="Times New Roman"/>
          <w:sz w:val="18"/>
          <w:szCs w:val="18"/>
          <w:b w:val="1"/>
          <w:bCs w:val="1"/>
          <w:color w:val="auto"/>
        </w:rPr>
        <w:t>EXCLUSIVE FORUM</w:t>
      </w:r>
    </w:p>
    <w:p>
      <w:pPr>
        <w:spacing w:after="0" w:line="21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Unless the corporation expressly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stockholder or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(10) days following such determination).</w:t>
      </w:r>
    </w:p>
    <w:p>
      <w:pPr>
        <w:spacing w:after="0" w:line="17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Unless the corporation consents in writing to the selection of an alternative forum, the federal district courts of the United States of America shall be the sole and exclusive forum for the resolution of any claim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w:t>
      </w:r>
    </w:p>
    <w:p>
      <w:pPr>
        <w:spacing w:after="0" w:line="17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Any person or entity purchasing or otherwise acquiring or holding any interest in any security of the corporation shall be deemed to have notice of and consented to the provisions of this Article XI. This provision shall be enforceable by any party to a claim covered by the provisions of this 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40"/>
          </w:cols>
          <w:pgMar w:left="320" w:top="144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Welcome Dr. Andrew Moore to the Dropbox Board of Directors!</w:t>
      </w:r>
    </w:p>
    <w:p>
      <w:pPr>
        <w:spacing w:after="0" w:line="22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20"/>
          <w:szCs w:val="20"/>
          <w:color w:val="auto"/>
        </w:rPr>
        <w:t>We’re excited to welcome Dr. Andrew Moore, former VP of Google Cloud and the former Dean of the Carnegie Mellon University School of Computer Science, to the Dropbox Board of Directors. As a leading expert in AI, machine learning, and robotics, Andrew brings a unique mix of deep academic experience, product knowledge, and engineering leadership to our Board.</w:t>
      </w:r>
    </w:p>
    <w:p>
      <w:pPr>
        <w:spacing w:after="0" w:line="178"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1"/>
          <w:szCs w:val="21"/>
          <w:color w:val="auto"/>
        </w:rPr>
        <w:t>Andrew’s technical expertise building AI-powered products will offer invaluable perspective as we invest in AI internally across our product portfolio, and externally through Dropbox Ventures. He’s dedicated his life to understanding how we can apply AI for good, and his passion for responsible AI development will help guide our team as we work to preserve customer trust while building new product capabilities.</w:t>
      </w:r>
    </w:p>
    <w:p>
      <w:pPr>
        <w:spacing w:after="0" w:line="185"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Andrew is one of the most well-respected authorities on AI and machine-learning, and continues to be sought after for his expertise in both the public and private sector. He is the founder and CEO of Lovelace AI, a start-up currently in stealth mode focused on developing an AI platform and solutions to support situations where this technology can help keep people safe, such as in natural disasters. Earlier this year, he joined the U.S. Central Command as an advisor, and from 2019 to January 2023 was the VP of Google Cloud Artificial Intelligence &amp; Industry Solutions. He holds a Ph.D. in Computer Science and a B.A. in Mathematics and Computer Science from the University of Cambridge. He’s written over 200 academic papers focused on AI and co-authored the book, “The Handbook of Biosurveillance.” In 2005, he was elected as a Fellow for the American Association for Artificial Intelligence.</w:t>
      </w:r>
    </w:p>
    <w:p>
      <w:pPr>
        <w:spacing w:after="0" w:line="193" w:lineRule="exact"/>
        <w:rPr>
          <w:sz w:val="20"/>
          <w:szCs w:val="20"/>
          <w:color w:val="auto"/>
        </w:rPr>
      </w:pPr>
    </w:p>
    <w:p>
      <w:pPr>
        <w:ind w:right="880"/>
        <w:spacing w:after="0" w:line="256" w:lineRule="auto"/>
        <w:rPr>
          <w:sz w:val="20"/>
          <w:szCs w:val="20"/>
          <w:color w:val="auto"/>
        </w:rPr>
      </w:pPr>
      <w:r>
        <w:rPr>
          <w:rFonts w:ascii="Times New Roman" w:cs="Times New Roman" w:eastAsia="Times New Roman" w:hAnsi="Times New Roman"/>
          <w:sz w:val="21"/>
          <w:szCs w:val="21"/>
          <w:color w:val="auto"/>
        </w:rPr>
        <w:t>As one of the brightest minds in the field, we’re thrilled for the opportunity to tap into Andrew’s knowledge. Please join us in welcoming Andrew to the Dropbox Board!</w:t>
      </w:r>
    </w:p>
    <w:sectPr>
      <w:pgSz w:w="11900" w:h="16838" w:orient="portrait"/>
      <w:cols w:equalWidth="0" w:num="1">
        <w:col w:w="11240"/>
      </w:cols>
      <w:pgMar w:left="320" w:top="8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Roman"/>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1)"/>
      <w:numFmt w:val="lowerLetter"/>
      <w:start w:val="9"/>
    </w:lvl>
    <w:lvl w:ilvl="1">
      <w:lvlJc w:val="left"/>
      <w:lvlText w:val="(%2)"/>
      <w:numFmt w:val="lowerLetter"/>
      <w:start w:val="1"/>
    </w:lvl>
  </w:abstractNum>
  <w:abstractNum w:abstractNumId="6">
    <w:nsid w:val="1BEFD79F"/>
    <w:multiLevelType w:val="hybridMultilevel"/>
    <w:lvl w:ilvl="0">
      <w:lvlJc w:val="left"/>
      <w:lvlText w:val="%1"/>
      <w:numFmt w:val="lowerLetter"/>
      <w:start w:val="1"/>
    </w:lvl>
    <w:lvl w:ilvl="1">
      <w:lvlJc w:val="left"/>
      <w:lvlText w:val="(%2)"/>
      <w:numFmt w:val="lowerLetter"/>
      <w:start w:val="2"/>
    </w:lvl>
  </w:abstractNum>
  <w:abstractNum w:abstractNumId="7">
    <w:nsid w:val="41A7C4C9"/>
    <w:multiLevelType w:val="hybridMultilevel"/>
    <w:lvl w:ilvl="0">
      <w:lvlJc w:val="left"/>
      <w:lvlText w:val="(%1)"/>
      <w:numFmt w:val="lowerLetter"/>
      <w:start w:val="35"/>
    </w:lvl>
    <w:lvl w:ilvl="1">
      <w:lvlJc w:val="left"/>
      <w:lvlText w:val="%2"/>
      <w:numFmt w:val="lowerLetter"/>
      <w:start w:val="1"/>
    </w:lvl>
  </w:abstractNum>
  <w:abstractNum w:abstractNumId="8">
    <w:nsid w:val="6B68079A"/>
    <w:multiLevelType w:val="hybridMultilevel"/>
    <w:lvl w:ilvl="0">
      <w:lvlJc w:val="left"/>
      <w:lvlText w:val="(%1)"/>
      <w:numFmt w:val="lowerLetter"/>
      <w:start w:val="1"/>
    </w:lvl>
    <w:lvl w:ilvl="1">
      <w:lvlJc w:val="left"/>
      <w:lvlText w:val="(%2)"/>
      <w:numFmt w:val="decimal"/>
      <w:start w:val="1"/>
    </w:lvl>
  </w:abstractNum>
  <w:abstractNum w:abstractNumId="9">
    <w:nsid w:val="4E6AFB66"/>
    <w:multiLevelType w:val="hybridMultilevel"/>
    <w:lvl w:ilvl="0">
      <w:lvlJc w:val="left"/>
      <w:lvlText w:val="(%1)"/>
      <w:numFmt w:val="upperLetter"/>
      <w:start w:val="3"/>
    </w:lvl>
    <w:lvl w:ilvl="1">
      <w:lvlJc w:val="left"/>
      <w:lvlText w:val="(%2)"/>
      <w:numFmt w:val="decimal"/>
      <w:start w:val="2"/>
    </w:lvl>
  </w:abstractNum>
  <w:abstractNum w:abstractNumId="10">
    <w:nsid w:val="25E45D32"/>
    <w:multiLevelType w:val="hybridMultilevel"/>
    <w:lvl w:ilvl="0">
      <w:lvlJc w:val="left"/>
      <w:lvlText w:val="%1"/>
      <w:numFmt w:val="lowerLetter"/>
      <w:start w:val="1"/>
    </w:lvl>
    <w:lvl w:ilvl="1">
      <w:lvlJc w:val="left"/>
      <w:lvlText w:val="(%2)"/>
      <w:numFmt w:val="lowerLetter"/>
      <w:start w:val="3"/>
    </w:lvl>
  </w:abstractNum>
  <w:abstractNum w:abstractNumId="11">
    <w:nsid w:val="519B500D"/>
    <w:multiLevelType w:val="hybridMultilevel"/>
    <w:lvl w:ilvl="0">
      <w:lvlJc w:val="left"/>
      <w:lvlText w:val="(%1)"/>
      <w:numFmt w:val="lowerLetter"/>
      <w:start w:val="61"/>
    </w:lvl>
    <w:lvl w:ilvl="1">
      <w:lvlJc w:val="left"/>
      <w:lvlText w:val="(%2)"/>
      <w:numFmt w:val="lowerLetter"/>
      <w:start w:val="1"/>
    </w:lvl>
  </w:abstractNum>
  <w:abstractNum w:abstractNumId="12">
    <w:nsid w:val="431BD7B7"/>
    <w:multiLevelType w:val="hybridMultilevel"/>
    <w:lvl w:ilvl="0">
      <w:lvlJc w:val="left"/>
      <w:lvlText w:val="%1"/>
      <w:numFmt w:val="lowerRoman"/>
      <w:start w:val="1"/>
    </w:lvl>
    <w:lvl w:ilvl="1">
      <w:lvlJc w:val="left"/>
      <w:lvlText w:val="(%2)"/>
      <w:numFmt w:val="lowerLetter"/>
      <w:start w:val="2"/>
    </w:lvl>
  </w:abstractNum>
  <w:abstractNum w:abstractNumId="13">
    <w:nsid w:val="3F2DBA31"/>
    <w:multiLevelType w:val="hybridMultilevel"/>
    <w:lvl w:ilvl="0">
      <w:lvlJc w:val="left"/>
      <w:lvlText w:val="(%1)"/>
      <w:numFmt w:val="lowerRoman"/>
      <w:start w:val="4"/>
    </w:lvl>
    <w:lvl w:ilvl="1">
      <w:lvlJc w:val="left"/>
      <w:lvlText w:val="(%2)"/>
      <w:numFmt w:val="lowerLetter"/>
      <w:start w:val="1"/>
    </w:lvl>
  </w:abstractNum>
  <w:abstractNum w:abstractNumId="14">
    <w:nsid w:val="7C83E458"/>
    <w:multiLevelType w:val="hybridMultilevel"/>
    <w:lvl w:ilvl="0">
      <w:lvlJc w:val="left"/>
      <w:lvlText w:val="(%1)"/>
      <w:numFmt w:val="lowerRoman"/>
      <w:start w:val="2"/>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1)"/>
      <w:numFmt w:val="lowerRoman"/>
      <w:start w:val="3"/>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2023-12-15T08:19:33Z</dcterms:created>
  <dcterms:modified xsi:type="dcterms:W3CDTF">2023-12-15T08:19:33Z</dcterms:modified>
</cp:coreProperties>
</file>