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April 30, 2021</w:t>
      </w:r>
    </w:p>
    <w:p>
      <w:pPr>
        <w:spacing w:after="0" w:line="55" w:lineRule="exact"/>
        <w:rPr>
          <w:sz w:val="24"/>
          <w:szCs w:val="24"/>
          <w:color w:val="auto"/>
        </w:rPr>
      </w:pPr>
    </w:p>
    <w:p>
      <w:pPr>
        <w:ind w:left="912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-74930</wp:posOffset>
            </wp:positionH>
            <wp:positionV relativeFrom="paragraph">
              <wp:posOffset>81280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32"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4"/>
          <w:szCs w:val="24"/>
          <w:color w:val="auto"/>
        </w:rPr>
      </w:pPr>
    </w:p>
    <w:p>
      <w:pPr>
        <w:jc w:val="center"/>
        <w:ind w:right="-19"/>
        <w:spacing w:after="0" w:line="311" w:lineRule="exact"/>
        <w:rPr>
          <w:sz w:val="20"/>
          <w:szCs w:val="20"/>
          <w:color w:val="auto"/>
        </w:rPr>
      </w:pPr>
      <w:r>
        <w:rPr>
          <w:rFonts w:ascii="Arial" w:cs="Arial" w:eastAsia="Arial" w:hAnsi="Arial"/>
          <w:sz w:val="27"/>
          <w:szCs w:val="27"/>
          <w:b w:val="1"/>
          <w:bCs w:val="1"/>
          <w:color w:val="auto"/>
        </w:rPr>
        <w:t>FORM S</w:t>
      </w:r>
      <w:r>
        <w:rPr>
          <w:rFonts w:ascii="MS PGothic" w:cs="MS PGothic" w:eastAsia="MS PGothic" w:hAnsi="MS PGothic"/>
          <w:sz w:val="27"/>
          <w:szCs w:val="27"/>
          <w:b w:val="1"/>
          <w:bCs w:val="1"/>
          <w:color w:val="auto"/>
        </w:rPr>
        <w:t>‑</w:t>
      </w:r>
      <w:r>
        <w:rPr>
          <w:rFonts w:ascii="Arial" w:cs="Arial" w:eastAsia="Arial" w:hAnsi="Arial"/>
          <w:sz w:val="27"/>
          <w:szCs w:val="27"/>
          <w:b w:val="1"/>
          <w:bCs w:val="1"/>
          <w:color w:val="auto"/>
        </w:rPr>
        <w:t>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REGISTRATION STATEMENT</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UNDER</w:t>
      </w:r>
    </w:p>
    <w:p>
      <w:pPr>
        <w:jc w:val="center"/>
        <w:ind w:right="-1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DROPBOX,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900" w:h="16838" w:orient="portrait"/>
          <w:cols w:equalWidth="0" w:num="1">
            <w:col w:w="11060"/>
          </w:cols>
          <w:pgMar w:left="460" w:top="697" w:right="379" w:bottom="1440" w:gutter="0" w:footer="0" w:header="0"/>
        </w:sectPr>
      </w:pPr>
    </w:p>
    <w:p>
      <w:pPr>
        <w:spacing w:after="0" w:line="294" w:lineRule="exact"/>
        <w:rPr>
          <w:sz w:val="24"/>
          <w:szCs w:val="24"/>
          <w:color w:val="auto"/>
        </w:rPr>
      </w:pPr>
    </w:p>
    <w:p>
      <w:pPr>
        <w:ind w:left="13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26-0138832</w:t>
      </w:r>
    </w:p>
    <w:p>
      <w:pPr>
        <w:spacing w:after="0" w:line="48" w:lineRule="exact"/>
        <w:rPr>
          <w:sz w:val="24"/>
          <w:szCs w:val="24"/>
          <w:color w:val="auto"/>
        </w:rPr>
      </w:pPr>
    </w:p>
    <w:p>
      <w:pPr>
        <w:sectPr>
          <w:pgSz w:w="11900" w:h="16838" w:orient="portrait"/>
          <w:cols w:equalWidth="0" w:num="2">
            <w:col w:w="8300" w:space="720"/>
            <w:col w:w="2040"/>
          </w:cols>
          <w:pgMar w:left="460" w:top="697" w:right="379" w:bottom="1440" w:gutter="0" w:footer="0" w:header="0"/>
          <w:type w:val="continuous"/>
        </w:sectPr>
      </w:pPr>
    </w:p>
    <w:p>
      <w:pPr>
        <w:spacing w:after="0" w:line="2" w:lineRule="exact"/>
        <w:rPr>
          <w:sz w:val="24"/>
          <w:szCs w:val="24"/>
          <w:color w:val="auto"/>
        </w:rPr>
      </w:pPr>
    </w:p>
    <w:p>
      <w:pPr>
        <w:ind w:left="840"/>
        <w:spacing w:after="0"/>
        <w:rPr>
          <w:sz w:val="20"/>
          <w:szCs w:val="20"/>
          <w:color w:val="auto"/>
        </w:rPr>
      </w:pPr>
      <w:r>
        <w:rPr>
          <w:rFonts w:ascii="Arial" w:cs="Arial" w:eastAsia="Arial" w:hAnsi="Arial"/>
          <w:sz w:val="10"/>
          <w:szCs w:val="10"/>
          <w:b w:val="1"/>
          <w:bCs w:val="1"/>
          <w:color w:val="auto"/>
        </w:rPr>
        <w:t>(State or other jurisdiction of</w:t>
      </w:r>
    </w:p>
    <w:p>
      <w:pPr>
        <w:spacing w:after="0" w:line="21" w:lineRule="exact"/>
        <w:rPr>
          <w:sz w:val="24"/>
          <w:szCs w:val="24"/>
          <w:color w:val="auto"/>
        </w:rPr>
      </w:pPr>
    </w:p>
    <w:p>
      <w:pPr>
        <w:ind w:left="82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55" w:lineRule="exact"/>
        <w:rPr>
          <w:sz w:val="24"/>
          <w:szCs w:val="24"/>
          <w:color w:val="auto"/>
        </w:rPr>
      </w:pPr>
    </w:p>
    <w:p>
      <w:pPr>
        <w:sectPr>
          <w:pgSz w:w="11900" w:h="16838" w:orient="portrait"/>
          <w:cols w:equalWidth="0" w:num="2">
            <w:col w:w="8200" w:space="720"/>
            <w:col w:w="2140"/>
          </w:cols>
          <w:pgMar w:left="460" w:top="697" w:right="3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Dropbox, Inc.</w:t>
      </w:r>
    </w:p>
    <w:p>
      <w:pPr>
        <w:jc w:val="center"/>
        <w:ind w:right="-19"/>
        <w:spacing w:after="0" w:line="211" w:lineRule="auto"/>
        <w:rPr>
          <w:sz w:val="20"/>
          <w:szCs w:val="20"/>
          <w:color w:val="auto"/>
        </w:rPr>
      </w:pPr>
      <w:r>
        <w:rPr>
          <w:rFonts w:ascii="Arial" w:cs="Arial" w:eastAsia="Arial" w:hAnsi="Arial"/>
          <w:sz w:val="16"/>
          <w:szCs w:val="16"/>
          <w:b w:val="1"/>
          <w:bCs w:val="1"/>
          <w:color w:val="auto"/>
        </w:rPr>
        <w:t>1800 Owens Street</w:t>
      </w:r>
    </w:p>
    <w:p>
      <w:pPr>
        <w:jc w:val="center"/>
        <w:ind w:right="-19"/>
        <w:spacing w:after="0" w:line="211" w:lineRule="auto"/>
        <w:rPr>
          <w:sz w:val="20"/>
          <w:szCs w:val="20"/>
          <w:color w:val="auto"/>
        </w:rPr>
      </w:pPr>
      <w:r>
        <w:rPr>
          <w:rFonts w:ascii="Arial" w:cs="Arial" w:eastAsia="Arial" w:hAnsi="Arial"/>
          <w:sz w:val="16"/>
          <w:szCs w:val="16"/>
          <w:b w:val="1"/>
          <w:bCs w:val="1"/>
          <w:color w:val="auto"/>
        </w:rPr>
        <w:t>San Francisco, California 94158</w:t>
      </w:r>
    </w:p>
    <w:p>
      <w:pPr>
        <w:jc w:val="center"/>
        <w:ind w:right="-19"/>
        <w:spacing w:after="0"/>
        <w:rPr>
          <w:sz w:val="20"/>
          <w:szCs w:val="20"/>
          <w:color w:val="auto"/>
        </w:rPr>
      </w:pPr>
      <w:r>
        <w:rPr>
          <w:rFonts w:ascii="Arial" w:cs="Arial" w:eastAsia="Arial" w:hAnsi="Arial"/>
          <w:sz w:val="16"/>
          <w:szCs w:val="16"/>
          <w:b w:val="1"/>
          <w:bCs w:val="1"/>
          <w:color w:val="auto"/>
        </w:rPr>
        <w:t>(415) 857-6800</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 including zip code)</w:t>
      </w:r>
    </w:p>
    <w:p>
      <w:pPr>
        <w:sectPr>
          <w:pgSz w:w="11900" w:h="16838" w:orient="portrait"/>
          <w:cols w:equalWidth="0" w:num="1">
            <w:col w:w="11060"/>
          </w:cols>
          <w:pgMar w:left="460" w:top="697" w:right="379" w:bottom="1440" w:gutter="0" w:footer="0" w:header="0"/>
          <w:type w:val="continuous"/>
        </w:sect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DocSend, Inc. 2013 Stock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DocSend, Inc. 2015 Stock Option and Grant Plan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(Full title of the plan)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Andrew W. Houston</w:t>
      </w:r>
    </w:p>
    <w:p>
      <w:pPr>
        <w:jc w:val="center"/>
        <w:spacing w:after="0" w:line="211" w:lineRule="auto"/>
        <w:rPr>
          <w:sz w:val="20"/>
          <w:szCs w:val="20"/>
          <w:color w:val="auto"/>
        </w:rPr>
      </w:pPr>
      <w:r>
        <w:rPr>
          <w:rFonts w:ascii="Arial" w:cs="Arial" w:eastAsia="Arial" w:hAnsi="Arial"/>
          <w:sz w:val="16"/>
          <w:szCs w:val="16"/>
          <w:b w:val="1"/>
          <w:bCs w:val="1"/>
          <w:color w:val="auto"/>
        </w:rPr>
        <w:t>Chief Executive Officer</w:t>
      </w:r>
    </w:p>
    <w:p>
      <w:pPr>
        <w:jc w:val="center"/>
        <w:spacing w:after="0" w:line="211" w:lineRule="auto"/>
        <w:rPr>
          <w:sz w:val="20"/>
          <w:szCs w:val="20"/>
          <w:color w:val="auto"/>
        </w:rPr>
      </w:pPr>
      <w:r>
        <w:rPr>
          <w:rFonts w:ascii="Arial" w:cs="Arial" w:eastAsia="Arial" w:hAnsi="Arial"/>
          <w:sz w:val="16"/>
          <w:szCs w:val="16"/>
          <w:b w:val="1"/>
          <w:bCs w:val="1"/>
          <w:color w:val="auto"/>
        </w:rPr>
        <w:t>Dropbox, Inc.</w:t>
      </w:r>
    </w:p>
    <w:p>
      <w:pPr>
        <w:jc w:val="center"/>
        <w:spacing w:after="0" w:line="211" w:lineRule="auto"/>
        <w:rPr>
          <w:sz w:val="20"/>
          <w:szCs w:val="20"/>
          <w:color w:val="auto"/>
        </w:rPr>
      </w:pPr>
      <w:r>
        <w:rPr>
          <w:rFonts w:ascii="Arial" w:cs="Arial" w:eastAsia="Arial" w:hAnsi="Arial"/>
          <w:sz w:val="16"/>
          <w:szCs w:val="16"/>
          <w:b w:val="1"/>
          <w:bCs w:val="1"/>
          <w:color w:val="auto"/>
        </w:rPr>
        <w:t>1800 Owens Street</w:t>
      </w:r>
    </w:p>
    <w:p>
      <w:pPr>
        <w:jc w:val="center"/>
        <w:spacing w:after="0" w:line="212" w:lineRule="auto"/>
        <w:rPr>
          <w:sz w:val="20"/>
          <w:szCs w:val="20"/>
          <w:color w:val="auto"/>
        </w:rPr>
      </w:pPr>
      <w:r>
        <w:rPr>
          <w:rFonts w:ascii="Arial" w:cs="Arial" w:eastAsia="Arial" w:hAnsi="Arial"/>
          <w:sz w:val="16"/>
          <w:szCs w:val="16"/>
          <w:b w:val="1"/>
          <w:bCs w:val="1"/>
          <w:color w:val="auto"/>
        </w:rPr>
        <w:t>San Francisco, California 94158</w:t>
      </w:r>
    </w:p>
    <w:p>
      <w:pPr>
        <w:jc w:val="center"/>
        <w:spacing w:after="0"/>
        <w:rPr>
          <w:sz w:val="20"/>
          <w:szCs w:val="20"/>
          <w:color w:val="auto"/>
        </w:rPr>
      </w:pPr>
      <w:r>
        <w:rPr>
          <w:rFonts w:ascii="Arial" w:cs="Arial" w:eastAsia="Arial" w:hAnsi="Arial"/>
          <w:sz w:val="16"/>
          <w:szCs w:val="16"/>
          <w:b w:val="1"/>
          <w:bCs w:val="1"/>
          <w:color w:val="auto"/>
        </w:rPr>
        <w:t>(415) 857-6800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304" w:lineRule="exact"/>
        <w:rPr>
          <w:sz w:val="24"/>
          <w:szCs w:val="24"/>
          <w:color w:val="auto"/>
        </w:rPr>
      </w:pPr>
    </w:p>
    <w:tbl>
      <w:tblPr>
        <w:tblLayout w:type="fixed"/>
        <w:tblInd w:w="1160" w:type="dxa"/>
        <w:tblCellMar>
          <w:top w:w="0" w:type="dxa"/>
          <w:left w:w="0" w:type="dxa"/>
          <w:bottom w:w="0" w:type="dxa"/>
          <w:right w:w="0" w:type="dxa"/>
        </w:tblCellMar>
      </w:tblPr>
      <w:tr>
        <w:trPr>
          <w:trHeight w:val="206"/>
        </w:trPr>
        <w:tc>
          <w:tcPr>
            <w:tcW w:w="3380" w:type="dxa"/>
            <w:vAlign w:val="bottom"/>
          </w:tcPr>
          <w:p>
            <w:pPr>
              <w:spacing w:after="0"/>
              <w:rPr>
                <w:sz w:val="17"/>
                <w:szCs w:val="17"/>
                <w:color w:val="auto"/>
              </w:rPr>
            </w:pPr>
          </w:p>
        </w:tc>
        <w:tc>
          <w:tcPr>
            <w:tcW w:w="4660" w:type="dxa"/>
            <w:vAlign w:val="bottom"/>
          </w:tcPr>
          <w:p>
            <w:pPr>
              <w:ind w:left="640"/>
              <w:spacing w:after="0"/>
              <w:rPr>
                <w:sz w:val="20"/>
                <w:szCs w:val="20"/>
                <w:color w:val="auto"/>
              </w:rPr>
            </w:pPr>
            <w:r>
              <w:rPr>
                <w:rFonts w:ascii="Arial" w:cs="Arial" w:eastAsia="Arial" w:hAnsi="Arial"/>
                <w:sz w:val="16"/>
                <w:szCs w:val="16"/>
                <w:i w:val="1"/>
                <w:iCs w:val="1"/>
                <w:color w:val="auto"/>
              </w:rPr>
              <w:t>Copies to:</w:t>
            </w:r>
          </w:p>
        </w:tc>
      </w:tr>
      <w:tr>
        <w:trPr>
          <w:trHeight w:val="181"/>
        </w:trPr>
        <w:tc>
          <w:tcPr>
            <w:tcW w:w="3380" w:type="dxa"/>
            <w:vAlign w:val="bottom"/>
          </w:tcPr>
          <w:p>
            <w:pPr>
              <w:jc w:val="center"/>
              <w:ind w:right="539"/>
              <w:spacing w:after="0" w:line="181" w:lineRule="exact"/>
              <w:rPr>
                <w:sz w:val="20"/>
                <w:szCs w:val="20"/>
                <w:color w:val="auto"/>
              </w:rPr>
            </w:pPr>
            <w:r>
              <w:rPr>
                <w:rFonts w:ascii="Arial" w:cs="Arial" w:eastAsia="Arial" w:hAnsi="Arial"/>
                <w:sz w:val="16"/>
                <w:szCs w:val="16"/>
                <w:b w:val="1"/>
                <w:bCs w:val="1"/>
                <w:color w:val="auto"/>
                <w:w w:val="89"/>
              </w:rPr>
              <w:t>Tony Jeffries, Esq.</w:t>
            </w:r>
          </w:p>
        </w:tc>
        <w:tc>
          <w:tcPr>
            <w:tcW w:w="4660" w:type="dxa"/>
            <w:vAlign w:val="bottom"/>
          </w:tcPr>
          <w:p>
            <w:pPr>
              <w:spacing w:after="0"/>
              <w:rPr>
                <w:sz w:val="15"/>
                <w:szCs w:val="15"/>
                <w:color w:val="auto"/>
              </w:rPr>
            </w:pPr>
          </w:p>
        </w:tc>
      </w:tr>
      <w:tr>
        <w:trPr>
          <w:trHeight w:val="189"/>
        </w:trPr>
        <w:tc>
          <w:tcPr>
            <w:tcW w:w="3380" w:type="dxa"/>
            <w:vAlign w:val="bottom"/>
          </w:tcPr>
          <w:p>
            <w:pPr>
              <w:jc w:val="center"/>
              <w:ind w:right="539"/>
              <w:spacing w:after="0"/>
              <w:rPr>
                <w:sz w:val="20"/>
                <w:szCs w:val="20"/>
                <w:color w:val="auto"/>
              </w:rPr>
            </w:pPr>
            <w:r>
              <w:rPr>
                <w:rFonts w:ascii="Arial" w:cs="Arial" w:eastAsia="Arial" w:hAnsi="Arial"/>
                <w:sz w:val="16"/>
                <w:szCs w:val="16"/>
                <w:b w:val="1"/>
                <w:bCs w:val="1"/>
                <w:color w:val="auto"/>
                <w:w w:val="92"/>
              </w:rPr>
              <w:t>Lisa L. Stimmell, Esq.</w:t>
            </w:r>
          </w:p>
        </w:tc>
        <w:tc>
          <w:tcPr>
            <w:tcW w:w="4660" w:type="dxa"/>
            <w:vAlign w:val="bottom"/>
          </w:tcPr>
          <w:p>
            <w:pPr>
              <w:jc w:val="center"/>
              <w:ind w:left="2379"/>
              <w:spacing w:after="0"/>
              <w:rPr>
                <w:sz w:val="20"/>
                <w:szCs w:val="20"/>
                <w:color w:val="auto"/>
              </w:rPr>
            </w:pPr>
            <w:r>
              <w:rPr>
                <w:rFonts w:ascii="Arial" w:cs="Arial" w:eastAsia="Arial" w:hAnsi="Arial"/>
                <w:sz w:val="16"/>
                <w:szCs w:val="16"/>
                <w:b w:val="1"/>
                <w:bCs w:val="1"/>
                <w:color w:val="auto"/>
                <w:w w:val="93"/>
              </w:rPr>
              <w:t>Bart E. Volkmer, Esq.</w:t>
            </w:r>
          </w:p>
        </w:tc>
      </w:tr>
      <w:tr>
        <w:trPr>
          <w:trHeight w:val="176"/>
        </w:trPr>
        <w:tc>
          <w:tcPr>
            <w:tcW w:w="3380" w:type="dxa"/>
            <w:vAlign w:val="bottom"/>
          </w:tcPr>
          <w:p>
            <w:pPr>
              <w:jc w:val="center"/>
              <w:ind w:right="539"/>
              <w:spacing w:after="0" w:line="175" w:lineRule="exact"/>
              <w:rPr>
                <w:sz w:val="20"/>
                <w:szCs w:val="20"/>
                <w:color w:val="auto"/>
              </w:rPr>
            </w:pPr>
            <w:r>
              <w:rPr>
                <w:rFonts w:ascii="Arial" w:cs="Arial" w:eastAsia="Arial" w:hAnsi="Arial"/>
                <w:sz w:val="16"/>
                <w:szCs w:val="16"/>
                <w:b w:val="1"/>
                <w:bCs w:val="1"/>
                <w:color w:val="auto"/>
                <w:w w:val="91"/>
              </w:rPr>
              <w:t>Shannon R. Delahaye, Esq.</w:t>
            </w:r>
          </w:p>
        </w:tc>
        <w:tc>
          <w:tcPr>
            <w:tcW w:w="4660" w:type="dxa"/>
            <w:vAlign w:val="bottom"/>
          </w:tcPr>
          <w:p>
            <w:pPr>
              <w:jc w:val="center"/>
              <w:ind w:left="2379"/>
              <w:spacing w:after="0" w:line="175" w:lineRule="exact"/>
              <w:rPr>
                <w:sz w:val="20"/>
                <w:szCs w:val="20"/>
                <w:color w:val="auto"/>
              </w:rPr>
            </w:pPr>
            <w:r>
              <w:rPr>
                <w:rFonts w:ascii="Arial" w:cs="Arial" w:eastAsia="Arial" w:hAnsi="Arial"/>
                <w:sz w:val="16"/>
                <w:szCs w:val="16"/>
                <w:b w:val="1"/>
                <w:bCs w:val="1"/>
                <w:color w:val="auto"/>
                <w:w w:val="93"/>
              </w:rPr>
              <w:t>Cara M. Angelmar, Esq.</w:t>
            </w:r>
          </w:p>
        </w:tc>
      </w:tr>
      <w:tr>
        <w:trPr>
          <w:trHeight w:val="175"/>
        </w:trPr>
        <w:tc>
          <w:tcPr>
            <w:tcW w:w="3380" w:type="dxa"/>
            <w:vAlign w:val="bottom"/>
          </w:tcPr>
          <w:p>
            <w:pPr>
              <w:jc w:val="center"/>
              <w:ind w:right="539"/>
              <w:spacing w:after="0" w:line="175" w:lineRule="exact"/>
              <w:rPr>
                <w:sz w:val="20"/>
                <w:szCs w:val="20"/>
                <w:color w:val="auto"/>
              </w:rPr>
            </w:pPr>
            <w:r>
              <w:rPr>
                <w:rFonts w:ascii="Arial" w:cs="Arial" w:eastAsia="Arial" w:hAnsi="Arial"/>
                <w:sz w:val="16"/>
                <w:szCs w:val="16"/>
                <w:b w:val="1"/>
                <w:bCs w:val="1"/>
                <w:color w:val="auto"/>
                <w:w w:val="92"/>
              </w:rPr>
              <w:t>Wilson Sonsini Goodrich &amp; Rosati, P.C.</w:t>
            </w:r>
          </w:p>
        </w:tc>
        <w:tc>
          <w:tcPr>
            <w:tcW w:w="4660" w:type="dxa"/>
            <w:vAlign w:val="bottom"/>
          </w:tcPr>
          <w:p>
            <w:pPr>
              <w:jc w:val="center"/>
              <w:ind w:left="2379"/>
              <w:spacing w:after="0" w:line="175" w:lineRule="exact"/>
              <w:rPr>
                <w:sz w:val="20"/>
                <w:szCs w:val="20"/>
                <w:color w:val="auto"/>
              </w:rPr>
            </w:pPr>
            <w:r>
              <w:rPr>
                <w:rFonts w:ascii="Arial" w:cs="Arial" w:eastAsia="Arial" w:hAnsi="Arial"/>
                <w:sz w:val="16"/>
                <w:szCs w:val="16"/>
                <w:b w:val="1"/>
                <w:bCs w:val="1"/>
                <w:color w:val="auto"/>
                <w:w w:val="93"/>
              </w:rPr>
              <w:t>Dropbox, Inc.</w:t>
            </w:r>
          </w:p>
        </w:tc>
      </w:tr>
      <w:tr>
        <w:trPr>
          <w:trHeight w:val="175"/>
        </w:trPr>
        <w:tc>
          <w:tcPr>
            <w:tcW w:w="3380" w:type="dxa"/>
            <w:vAlign w:val="bottom"/>
          </w:tcPr>
          <w:p>
            <w:pPr>
              <w:jc w:val="center"/>
              <w:ind w:right="539"/>
              <w:spacing w:after="0" w:line="175" w:lineRule="exact"/>
              <w:rPr>
                <w:sz w:val="20"/>
                <w:szCs w:val="20"/>
                <w:color w:val="auto"/>
              </w:rPr>
            </w:pPr>
            <w:r>
              <w:rPr>
                <w:rFonts w:ascii="Arial" w:cs="Arial" w:eastAsia="Arial" w:hAnsi="Arial"/>
                <w:sz w:val="16"/>
                <w:szCs w:val="16"/>
                <w:b w:val="1"/>
                <w:bCs w:val="1"/>
                <w:color w:val="auto"/>
                <w:w w:val="93"/>
              </w:rPr>
              <w:t>650 Page Mill Road</w:t>
            </w:r>
          </w:p>
        </w:tc>
        <w:tc>
          <w:tcPr>
            <w:tcW w:w="4660" w:type="dxa"/>
            <w:vAlign w:val="bottom"/>
          </w:tcPr>
          <w:p>
            <w:pPr>
              <w:jc w:val="center"/>
              <w:ind w:left="2379"/>
              <w:spacing w:after="0" w:line="175" w:lineRule="exact"/>
              <w:rPr>
                <w:sz w:val="20"/>
                <w:szCs w:val="20"/>
                <w:color w:val="auto"/>
              </w:rPr>
            </w:pPr>
            <w:r>
              <w:rPr>
                <w:rFonts w:ascii="Arial" w:cs="Arial" w:eastAsia="Arial" w:hAnsi="Arial"/>
                <w:sz w:val="16"/>
                <w:szCs w:val="16"/>
                <w:b w:val="1"/>
                <w:bCs w:val="1"/>
                <w:color w:val="auto"/>
                <w:w w:val="89"/>
              </w:rPr>
              <w:t>1800 Owens Street</w:t>
            </w:r>
          </w:p>
        </w:tc>
      </w:tr>
      <w:tr>
        <w:trPr>
          <w:trHeight w:val="175"/>
        </w:trPr>
        <w:tc>
          <w:tcPr>
            <w:tcW w:w="3380" w:type="dxa"/>
            <w:vAlign w:val="bottom"/>
          </w:tcPr>
          <w:p>
            <w:pPr>
              <w:jc w:val="center"/>
              <w:ind w:right="539"/>
              <w:spacing w:after="0" w:line="175" w:lineRule="exact"/>
              <w:rPr>
                <w:sz w:val="20"/>
                <w:szCs w:val="20"/>
                <w:color w:val="auto"/>
              </w:rPr>
            </w:pPr>
            <w:r>
              <w:rPr>
                <w:rFonts w:ascii="Arial" w:cs="Arial" w:eastAsia="Arial" w:hAnsi="Arial"/>
                <w:sz w:val="16"/>
                <w:szCs w:val="16"/>
                <w:b w:val="1"/>
                <w:bCs w:val="1"/>
                <w:color w:val="auto"/>
                <w:w w:val="93"/>
              </w:rPr>
              <w:t>Palo Alto, California 94304</w:t>
            </w:r>
          </w:p>
        </w:tc>
        <w:tc>
          <w:tcPr>
            <w:tcW w:w="4660" w:type="dxa"/>
            <w:vAlign w:val="bottom"/>
          </w:tcPr>
          <w:p>
            <w:pPr>
              <w:jc w:val="center"/>
              <w:ind w:left="2359"/>
              <w:spacing w:after="0" w:line="175" w:lineRule="exact"/>
              <w:rPr>
                <w:sz w:val="20"/>
                <w:szCs w:val="20"/>
                <w:color w:val="auto"/>
              </w:rPr>
            </w:pPr>
            <w:r>
              <w:rPr>
                <w:rFonts w:ascii="Arial" w:cs="Arial" w:eastAsia="Arial" w:hAnsi="Arial"/>
                <w:sz w:val="16"/>
                <w:szCs w:val="16"/>
                <w:b w:val="1"/>
                <w:bCs w:val="1"/>
                <w:color w:val="auto"/>
                <w:w w:val="92"/>
              </w:rPr>
              <w:t>San Francisco, California 94158</w:t>
            </w:r>
          </w:p>
        </w:tc>
      </w:tr>
      <w:tr>
        <w:trPr>
          <w:trHeight w:val="223"/>
        </w:trPr>
        <w:tc>
          <w:tcPr>
            <w:tcW w:w="3380" w:type="dxa"/>
            <w:vAlign w:val="bottom"/>
          </w:tcPr>
          <w:p>
            <w:pPr>
              <w:jc w:val="center"/>
              <w:ind w:right="539"/>
              <w:spacing w:after="0"/>
              <w:rPr>
                <w:sz w:val="20"/>
                <w:szCs w:val="20"/>
                <w:color w:val="auto"/>
              </w:rPr>
            </w:pPr>
            <w:r>
              <w:rPr>
                <w:rFonts w:ascii="Arial" w:cs="Arial" w:eastAsia="Arial" w:hAnsi="Arial"/>
                <w:sz w:val="16"/>
                <w:szCs w:val="16"/>
                <w:b w:val="1"/>
                <w:bCs w:val="1"/>
                <w:color w:val="auto"/>
                <w:w w:val="91"/>
              </w:rPr>
              <w:t>(650) 493-9300</w:t>
            </w:r>
          </w:p>
        </w:tc>
        <w:tc>
          <w:tcPr>
            <w:tcW w:w="4660" w:type="dxa"/>
            <w:vAlign w:val="bottom"/>
          </w:tcPr>
          <w:p>
            <w:pPr>
              <w:jc w:val="center"/>
              <w:ind w:left="2379"/>
              <w:spacing w:after="0"/>
              <w:rPr>
                <w:sz w:val="20"/>
                <w:szCs w:val="20"/>
                <w:color w:val="auto"/>
              </w:rPr>
            </w:pPr>
            <w:r>
              <w:rPr>
                <w:rFonts w:ascii="Arial" w:cs="Arial" w:eastAsia="Arial" w:hAnsi="Arial"/>
                <w:sz w:val="16"/>
                <w:szCs w:val="16"/>
                <w:b w:val="1"/>
                <w:bCs w:val="1"/>
                <w:color w:val="auto"/>
                <w:w w:val="91"/>
              </w:rPr>
              <w:t>(415) 857-6800</w:t>
            </w:r>
          </w:p>
        </w:tc>
      </w:tr>
    </w:tbl>
    <w:p>
      <w:pPr>
        <w:spacing w:after="0" w:line="392" w:lineRule="exact"/>
        <w:rPr>
          <w:sz w:val="24"/>
          <w:szCs w:val="24"/>
          <w:color w:val="auto"/>
        </w:rPr>
      </w:pPr>
    </w:p>
    <w:p>
      <w:pPr>
        <w:ind w:right="30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60"/>
          </w:cols>
          <w:pgMar w:left="460" w:top="697" w:right="379" w:bottom="1440" w:gutter="0" w:footer="0" w:header="0"/>
          <w:type w:val="continuous"/>
        </w:sectPr>
      </w:pPr>
    </w:p>
    <w:p>
      <w:pPr>
        <w:spacing w:after="0" w:line="48"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5" w:lineRule="exact"/>
        <w:rPr>
          <w:sz w:val="24"/>
          <w:szCs w:val="24"/>
          <w:color w:val="auto"/>
        </w:rPr>
      </w:pPr>
    </w:p>
    <w:p>
      <w:pPr>
        <w:sectPr>
          <w:pgSz w:w="11900" w:h="16838" w:orient="portrait"/>
          <w:cols w:equalWidth="0" w:num="2">
            <w:col w:w="5560" w:space="720"/>
            <w:col w:w="4780"/>
          </w:cols>
          <w:pgMar w:left="460" w:top="697" w:right="379" w:bottom="1440" w:gutter="0" w:footer="0" w:header="0"/>
          <w:type w:val="continuous"/>
        </w:sectPr>
      </w:pPr>
    </w:p>
    <w:p>
      <w:pPr>
        <w:ind w:left="6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 w:lineRule="exact"/>
        <w:rPr>
          <w:sz w:val="24"/>
          <w:szCs w:val="24"/>
          <w:color w:val="auto"/>
        </w:rPr>
      </w:pPr>
    </w:p>
    <w:p>
      <w:pPr>
        <w:sectPr>
          <w:pgSz w:w="11900" w:h="16838" w:orient="portrait"/>
          <w:cols w:equalWidth="0" w:num="2">
            <w:col w:w="5560" w:space="720"/>
            <w:col w:w="4780"/>
          </w:cols>
          <w:pgMar w:left="460" w:top="697" w:right="379" w:bottom="1440" w:gutter="0" w:footer="0" w:header="0"/>
          <w:type w:val="continuous"/>
        </w:sectPr>
      </w:pPr>
    </w:p>
    <w:p>
      <w:pPr>
        <w:ind w:left="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060"/>
          </w:cols>
          <w:pgMar w:left="460" w:top="697" w:right="379" w:bottom="1440" w:gutter="0" w:footer="0" w:header="0"/>
          <w:type w:val="continuous"/>
        </w:sectPr>
      </w:pPr>
    </w:p>
    <w:p>
      <w:pPr>
        <w:spacing w:after="0" w:line="206"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60"/>
          </w:cols>
          <w:pgMar w:left="460" w:top="697" w:right="37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32385</wp:posOffset>
            </wp:positionV>
            <wp:extent cx="8255" cy="1465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1465580"/>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32385</wp:posOffset>
            </wp:positionV>
            <wp:extent cx="8255" cy="1465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146558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8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3540" w:type="dxa"/>
            <w:vAlign w:val="bottom"/>
            <w:tcBorders>
              <w:top w:val="single" w:sz="8" w:color="auto"/>
              <w:bottom w:val="single" w:sz="8" w:color="auto"/>
              <w:right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500" w:type="dxa"/>
            <w:vAlign w:val="bottom"/>
            <w:tcBorders>
              <w:top w:val="single" w:sz="8" w:color="auto"/>
              <w:bottom w:val="single" w:sz="8" w:color="auto"/>
              <w:right w:val="single" w:sz="8" w:color="auto"/>
            </w:tcBorders>
          </w:tcPr>
          <w:p>
            <w:pPr>
              <w:spacing w:after="0"/>
              <w:rPr>
                <w:sz w:val="3"/>
                <w:szCs w:val="3"/>
                <w:color w:val="auto"/>
              </w:rPr>
            </w:pPr>
          </w:p>
        </w:tc>
        <w:tc>
          <w:tcPr>
            <w:tcW w:w="2140" w:type="dxa"/>
            <w:vAlign w:val="bottom"/>
            <w:tcBorders>
              <w:top w:val="single" w:sz="8" w:color="auto"/>
              <w:bottom w:val="single" w:sz="8" w:color="auto"/>
              <w:right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520" w:type="dxa"/>
            <w:vAlign w:val="bottom"/>
            <w:tcBorders>
              <w:top w:val="single" w:sz="8" w:color="auto"/>
              <w:bottom w:val="single" w:sz="8" w:color="auto"/>
              <w:right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right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4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3"/>
                <w:szCs w:val="13"/>
                <w:b w:val="1"/>
                <w:bCs w:val="1"/>
                <w:color w:val="auto"/>
                <w:w w:val="97"/>
              </w:rPr>
              <w:t>Amount</w:t>
            </w:r>
          </w:p>
        </w:tc>
        <w:tc>
          <w:tcPr>
            <w:tcW w:w="214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89"/>
              </w:rPr>
              <w:t>Proposed</w:t>
            </w:r>
          </w:p>
        </w:tc>
        <w:tc>
          <w:tcPr>
            <w:tcW w:w="4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89"/>
              </w:rPr>
              <w:t>Proposed</w:t>
            </w:r>
          </w:p>
        </w:tc>
        <w:tc>
          <w:tcPr>
            <w:tcW w:w="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vMerge w:val="restart"/>
          </w:tcPr>
          <w:p>
            <w:pPr>
              <w:jc w:val="center"/>
              <w:ind w:right="13"/>
              <w:spacing w:after="0"/>
              <w:rPr>
                <w:sz w:val="20"/>
                <w:szCs w:val="20"/>
                <w:color w:val="auto"/>
              </w:rPr>
            </w:pPr>
            <w:r>
              <w:rPr>
                <w:rFonts w:ascii="Arial" w:cs="Arial" w:eastAsia="Arial" w:hAnsi="Arial"/>
                <w:sz w:val="13"/>
                <w:szCs w:val="13"/>
                <w:b w:val="1"/>
                <w:bCs w:val="1"/>
                <w:color w:val="auto"/>
                <w:w w:val="95"/>
              </w:rPr>
              <w:t>Amount of</w:t>
            </w:r>
          </w:p>
        </w:tc>
        <w:tc>
          <w:tcPr>
            <w:tcW w:w="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1"/>
              </w:rPr>
              <w:t>Title of Securities to be Registered</w:t>
            </w: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214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9"/>
              </w:rPr>
              <w:t>Maximum Offering</w:t>
            </w:r>
          </w:p>
        </w:tc>
        <w:tc>
          <w:tcPr>
            <w:tcW w:w="4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5"/>
              </w:rPr>
              <w:t>Maximum Aggregate</w:t>
            </w:r>
          </w:p>
        </w:tc>
        <w:tc>
          <w:tcPr>
            <w:tcW w:w="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540" w:type="dxa"/>
            <w:vAlign w:val="bottom"/>
            <w:tcBorders>
              <w:bottom w:val="single" w:sz="8" w:color="auto"/>
              <w:right w:val="single" w:sz="8" w:color="auto"/>
            </w:tcBorders>
            <w:vMerge w:val="continue"/>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to be Registered</w:t>
            </w:r>
            <w:r>
              <w:rPr>
                <w:rFonts w:ascii="Arial" w:cs="Arial" w:eastAsia="Arial" w:hAnsi="Arial"/>
                <w:sz w:val="17"/>
                <w:szCs w:val="17"/>
                <w:b w:val="1"/>
                <w:bCs w:val="1"/>
                <w:color w:val="auto"/>
                <w:w w:val="86"/>
                <w:vertAlign w:val="superscript"/>
              </w:rPr>
              <w:t>(1)(2)</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Price Per Share</w:t>
            </w:r>
          </w:p>
        </w:tc>
        <w:tc>
          <w:tcPr>
            <w:tcW w:w="4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Offering Price</w:t>
            </w:r>
          </w:p>
        </w:tc>
        <w:tc>
          <w:tcPr>
            <w:tcW w:w="4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Registration Fee</w:t>
            </w:r>
          </w:p>
        </w:tc>
        <w:tc>
          <w:tcPr>
            <w:tcW w:w="4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3680" w:type="dxa"/>
            <w:vAlign w:val="bottom"/>
            <w:tcBorders>
              <w:right w:val="single" w:sz="8" w:color="auto"/>
            </w:tcBorders>
            <w:gridSpan w:val="3"/>
          </w:tcPr>
          <w:p>
            <w:pPr>
              <w:spacing w:after="0" w:line="131" w:lineRule="exact"/>
              <w:rPr>
                <w:sz w:val="20"/>
                <w:szCs w:val="20"/>
                <w:color w:val="auto"/>
              </w:rPr>
            </w:pPr>
            <w:r>
              <w:rPr>
                <w:rFonts w:ascii="Arial" w:cs="Arial" w:eastAsia="Arial" w:hAnsi="Arial"/>
                <w:sz w:val="13"/>
                <w:szCs w:val="13"/>
                <w:color w:val="auto"/>
                <w:w w:val="93"/>
              </w:rPr>
              <w:t>Class A Common Stock, $0.00001 par value per share, reserved for</w:t>
            </w: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2"/>
              </w:rPr>
              <w:t>issuance pursuant to the DocSend, Inc. 2013 Stock Plan</w:t>
            </w: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w:t>
            </w:r>
            <w:r>
              <w:rPr>
                <w:rFonts w:ascii="Arial" w:cs="Arial" w:eastAsia="Arial" w:hAnsi="Arial"/>
                <w:sz w:val="13"/>
                <w:szCs w:val="13"/>
                <w:b w:val="1"/>
                <w:bCs w:val="1"/>
                <w:color w:val="auto"/>
                <w:w w:val="95"/>
              </w:rPr>
              <w:t>DocSend 2013 Plan</w:t>
            </w:r>
            <w:r>
              <w:rPr>
                <w:rFonts w:ascii="Arial" w:cs="Arial" w:eastAsia="Arial" w:hAnsi="Arial"/>
                <w:sz w:val="13"/>
                <w:szCs w:val="13"/>
                <w:color w:val="auto"/>
                <w:w w:val="95"/>
              </w:rPr>
              <w:t>")</w:t>
            </w:r>
          </w:p>
        </w:tc>
        <w:tc>
          <w:tcPr>
            <w:tcW w:w="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31,947</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 xml:space="preserve">$0.44 </w:t>
            </w:r>
            <w:r>
              <w:rPr>
                <w:rFonts w:ascii="Arial" w:cs="Arial" w:eastAsia="Arial" w:hAnsi="Arial"/>
                <w:sz w:val="17"/>
                <w:szCs w:val="17"/>
                <w:color w:val="auto"/>
                <w:w w:val="87"/>
                <w:vertAlign w:val="superscript"/>
              </w:rPr>
              <w:t>(3)</w:t>
            </w:r>
          </w:p>
        </w:tc>
        <w:tc>
          <w:tcPr>
            <w:tcW w:w="4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$14,057</w:t>
            </w:r>
          </w:p>
        </w:tc>
        <w:tc>
          <w:tcPr>
            <w:tcW w:w="4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$2.00</w:t>
            </w:r>
          </w:p>
        </w:tc>
        <w:tc>
          <w:tcPr>
            <w:tcW w:w="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3680" w:type="dxa"/>
            <w:vAlign w:val="bottom"/>
            <w:tcBorders>
              <w:right w:val="single" w:sz="8" w:color="auto"/>
            </w:tcBorders>
            <w:gridSpan w:val="3"/>
          </w:tcPr>
          <w:p>
            <w:pPr>
              <w:spacing w:after="0" w:line="131" w:lineRule="exact"/>
              <w:rPr>
                <w:sz w:val="20"/>
                <w:szCs w:val="20"/>
                <w:color w:val="auto"/>
              </w:rPr>
            </w:pPr>
            <w:r>
              <w:rPr>
                <w:rFonts w:ascii="Arial" w:cs="Arial" w:eastAsia="Arial" w:hAnsi="Arial"/>
                <w:sz w:val="13"/>
                <w:szCs w:val="13"/>
                <w:color w:val="auto"/>
                <w:w w:val="93"/>
              </w:rPr>
              <w:t>Class A Common Stock, $0.00001 par value per share, reserved for</w:t>
            </w: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4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3"/>
                <w:szCs w:val="13"/>
                <w:color w:val="auto"/>
                <w:w w:val="93"/>
              </w:rPr>
              <w:t>issuance pursuant to the DocSend, Inc. 2015 Stock Option and</w:t>
            </w: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337,830</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 xml:space="preserve">$2.34 </w:t>
            </w:r>
            <w:r>
              <w:rPr>
                <w:rFonts w:ascii="Arial" w:cs="Arial" w:eastAsia="Arial" w:hAnsi="Arial"/>
                <w:sz w:val="17"/>
                <w:szCs w:val="17"/>
                <w:color w:val="auto"/>
                <w:w w:val="87"/>
                <w:vertAlign w:val="superscript"/>
              </w:rPr>
              <w:t>(4)</w:t>
            </w:r>
          </w:p>
        </w:tc>
        <w:tc>
          <w:tcPr>
            <w:tcW w:w="4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$790,523</w:t>
            </w:r>
          </w:p>
        </w:tc>
        <w:tc>
          <w:tcPr>
            <w:tcW w:w="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$87.00</w:t>
            </w:r>
          </w:p>
        </w:tc>
        <w:tc>
          <w:tcPr>
            <w:tcW w:w="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Grant Plan ("</w:t>
            </w:r>
            <w:r>
              <w:rPr>
                <w:rFonts w:ascii="Arial" w:cs="Arial" w:eastAsia="Arial" w:hAnsi="Arial"/>
                <w:sz w:val="13"/>
                <w:szCs w:val="13"/>
                <w:b w:val="1"/>
                <w:bCs w:val="1"/>
                <w:color w:val="auto"/>
                <w:w w:val="95"/>
              </w:rPr>
              <w:t>DocSend 2015 Plan</w:t>
            </w:r>
            <w:r>
              <w:rPr>
                <w:rFonts w:ascii="Arial" w:cs="Arial" w:eastAsia="Arial" w:hAnsi="Arial"/>
                <w:sz w:val="13"/>
                <w:szCs w:val="13"/>
                <w:color w:val="auto"/>
                <w:w w:val="95"/>
              </w:rPr>
              <w:t>") — (Stock Options)</w:t>
            </w:r>
          </w:p>
        </w:tc>
        <w:tc>
          <w:tcPr>
            <w:tcW w:w="4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vMerge w:val="continue"/>
          </w:tcPr>
          <w:p>
            <w:pPr>
              <w:spacing w:after="0"/>
              <w:rPr>
                <w:sz w:val="16"/>
                <w:szCs w:val="16"/>
                <w:color w:val="auto"/>
              </w:rPr>
            </w:pPr>
          </w:p>
        </w:tc>
        <w:tc>
          <w:tcPr>
            <w:tcW w:w="2140" w:type="dxa"/>
            <w:vAlign w:val="bottom"/>
            <w:tcBorders>
              <w:bottom w:val="single" w:sz="8" w:color="auto"/>
              <w:right w:val="single" w:sz="8" w:color="auto"/>
            </w:tcBorders>
            <w:vMerge w:val="continue"/>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vMerge w:val="continue"/>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vMerge w:val="continue"/>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3680" w:type="dxa"/>
            <w:vAlign w:val="bottom"/>
            <w:tcBorders>
              <w:right w:val="single" w:sz="8" w:color="auto"/>
            </w:tcBorders>
            <w:gridSpan w:val="3"/>
          </w:tcPr>
          <w:p>
            <w:pPr>
              <w:spacing w:after="0" w:line="131" w:lineRule="exact"/>
              <w:rPr>
                <w:sz w:val="20"/>
                <w:szCs w:val="20"/>
                <w:color w:val="auto"/>
              </w:rPr>
            </w:pPr>
            <w:r>
              <w:rPr>
                <w:rFonts w:ascii="Arial" w:cs="Arial" w:eastAsia="Arial" w:hAnsi="Arial"/>
                <w:sz w:val="13"/>
                <w:szCs w:val="13"/>
                <w:color w:val="auto"/>
                <w:w w:val="93"/>
              </w:rPr>
              <w:t>Class A Common Stock, $0.00001 par value per share, reserved for</w:t>
            </w: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0"/>
              </w:rPr>
              <w:t>14,871</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87"/>
              </w:rPr>
              <w:t xml:space="preserve">$26.19 </w:t>
            </w:r>
            <w:r>
              <w:rPr>
                <w:rFonts w:ascii="Arial" w:cs="Arial" w:eastAsia="Arial" w:hAnsi="Arial"/>
                <w:sz w:val="17"/>
                <w:szCs w:val="17"/>
                <w:color w:val="auto"/>
                <w:w w:val="87"/>
                <w:vertAlign w:val="superscript"/>
              </w:rPr>
              <w:t>(5)</w:t>
            </w:r>
          </w:p>
        </w:tc>
        <w:tc>
          <w:tcPr>
            <w:tcW w:w="4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$389,472</w:t>
            </w:r>
          </w:p>
        </w:tc>
        <w:tc>
          <w:tcPr>
            <w:tcW w:w="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$43.00</w:t>
            </w:r>
          </w:p>
        </w:tc>
        <w:tc>
          <w:tcPr>
            <w:tcW w:w="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issuance pursuant to the DocSend, Inc. 2015 Plan — (RSUs)</w:t>
            </w:r>
          </w:p>
        </w:tc>
        <w:tc>
          <w:tcPr>
            <w:tcW w:w="4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vMerge w:val="continue"/>
          </w:tcPr>
          <w:p>
            <w:pPr>
              <w:spacing w:after="0"/>
              <w:rPr>
                <w:sz w:val="16"/>
                <w:szCs w:val="16"/>
                <w:color w:val="auto"/>
              </w:rPr>
            </w:pPr>
          </w:p>
        </w:tc>
        <w:tc>
          <w:tcPr>
            <w:tcW w:w="2140" w:type="dxa"/>
            <w:vAlign w:val="bottom"/>
            <w:tcBorders>
              <w:bottom w:val="single" w:sz="8" w:color="auto"/>
              <w:right w:val="single" w:sz="8" w:color="auto"/>
            </w:tcBorders>
            <w:vMerge w:val="continue"/>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vMerge w:val="continue"/>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vMerge w:val="continue"/>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TOTAL:</w:t>
            </w:r>
          </w:p>
        </w:tc>
        <w:tc>
          <w:tcPr>
            <w:tcW w:w="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384,648</w:t>
            </w:r>
          </w:p>
        </w:tc>
        <w:tc>
          <w:tcPr>
            <w:tcW w:w="21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$1,194,052</w:t>
            </w:r>
          </w:p>
        </w:tc>
        <w:tc>
          <w:tcPr>
            <w:tcW w:w="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$132.00</w:t>
            </w:r>
          </w:p>
        </w:tc>
        <w:tc>
          <w:tcPr>
            <w:tcW w:w="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780" w:right="240" w:hanging="330"/>
        <w:spacing w:after="0" w:line="221" w:lineRule="auto"/>
        <w:tabs>
          <w:tab w:leader="none" w:pos="767"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Pursuant to Rule 416(a) of the Securities Act of 1933, as amended, this Registration Statement covers any additional shares of the Registrant’s Class A common stock (“</w:t>
      </w:r>
      <w:r>
        <w:rPr>
          <w:rFonts w:ascii="Arial" w:cs="Arial" w:eastAsia="Arial" w:hAnsi="Arial"/>
          <w:sz w:val="14"/>
          <w:szCs w:val="14"/>
          <w:b w:val="1"/>
          <w:bCs w:val="1"/>
          <w:color w:val="auto"/>
        </w:rPr>
        <w:t>Class A Common Stock</w:t>
      </w:r>
      <w:r>
        <w:rPr>
          <w:rFonts w:ascii="Arial" w:cs="Arial" w:eastAsia="Arial" w:hAnsi="Arial"/>
          <w:sz w:val="14"/>
          <w:szCs w:val="14"/>
          <w:color w:val="auto"/>
        </w:rPr>
        <w:t>”) that become issuable under the DocSend 2013 Plan or the DocSend 2015 Plan by reason of any stock dividend, stock split, recapitalization or other similar transaction effected without the Registrant’s receipt of consideration which results in an increase in the number of the outstanding shares of Class A Common Stock.</w:t>
      </w:r>
    </w:p>
    <w:p>
      <w:pPr>
        <w:spacing w:after="0" w:line="250" w:lineRule="exact"/>
        <w:rPr>
          <w:rFonts w:ascii="Arial" w:cs="Arial" w:eastAsia="Arial" w:hAnsi="Arial"/>
          <w:sz w:val="21"/>
          <w:szCs w:val="21"/>
          <w:color w:val="auto"/>
          <w:vertAlign w:val="superscript"/>
        </w:rPr>
      </w:pPr>
    </w:p>
    <w:p>
      <w:pPr>
        <w:ind w:left="780" w:right="180" w:hanging="330"/>
        <w:spacing w:after="0" w:line="225" w:lineRule="auto"/>
        <w:tabs>
          <w:tab w:leader="none" w:pos="767"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Pursuant to the Agreement and Plan of Merger entered into as of March 8, 2021 (the “Merger Agreement”), by and among the Registrant, DocSend, Inc., Dolphin Merger Sub, Inc., and certain other parties, the Registrant assumed certain outstanding options to purchase common stock under the DocSend 2013 Plan and outstanding options to purchase common stock and restricted stock units (“RSUs”) under the DocSend 2015 Plan and such options and RSUs were automatically converted into options and RSUs to purchase shares of the Registrant’s Class A Common Stock, subject to appropriate adjustments to the number of shares issuable pursuant to such options and the exercise price of such options as provided in the Merger Agreement.</w:t>
      </w:r>
    </w:p>
    <w:p>
      <w:pPr>
        <w:spacing w:after="0" w:line="141" w:lineRule="exact"/>
        <w:rPr>
          <w:rFonts w:ascii="Arial" w:cs="Arial" w:eastAsia="Arial" w:hAnsi="Arial"/>
          <w:sz w:val="21"/>
          <w:szCs w:val="21"/>
          <w:color w:val="auto"/>
          <w:vertAlign w:val="superscript"/>
        </w:rPr>
      </w:pPr>
    </w:p>
    <w:p>
      <w:pPr>
        <w:ind w:left="780" w:right="220" w:hanging="330"/>
        <w:spacing w:after="0" w:line="217" w:lineRule="auto"/>
        <w:tabs>
          <w:tab w:leader="none" w:pos="767" w:val="left"/>
        </w:tabs>
        <w:numPr>
          <w:ilvl w:val="0"/>
          <w:numId w:val="1"/>
        </w:numPr>
        <w:rPr>
          <w:rFonts w:ascii="Arial" w:cs="Arial" w:eastAsia="Arial" w:hAnsi="Arial"/>
          <w:sz w:val="19"/>
          <w:szCs w:val="19"/>
          <w:color w:val="auto"/>
          <w:vertAlign w:val="superscript"/>
        </w:rPr>
      </w:pPr>
      <w:r>
        <w:rPr>
          <w:rFonts w:ascii="Arial" w:cs="Arial" w:eastAsia="Arial" w:hAnsi="Arial"/>
          <w:sz w:val="14"/>
          <w:szCs w:val="14"/>
          <w:color w:val="auto"/>
        </w:rPr>
        <w:t>Estimated in accordance with Rule 457(h) solely for the purpose of calculating the registration fee on the basis of $0.44 per share, the weighted-average exercise price of stock option awards outstanding under the DocSend 2013 Plan as of the date of this Registration Statement.</w:t>
      </w:r>
    </w:p>
    <w:p>
      <w:pPr>
        <w:spacing w:after="0" w:line="142" w:lineRule="exact"/>
        <w:rPr>
          <w:rFonts w:ascii="Arial" w:cs="Arial" w:eastAsia="Arial" w:hAnsi="Arial"/>
          <w:sz w:val="19"/>
          <w:szCs w:val="19"/>
          <w:color w:val="auto"/>
          <w:vertAlign w:val="superscript"/>
        </w:rPr>
      </w:pPr>
    </w:p>
    <w:p>
      <w:pPr>
        <w:ind w:left="780" w:right="220" w:hanging="330"/>
        <w:spacing w:after="0" w:line="217" w:lineRule="auto"/>
        <w:tabs>
          <w:tab w:leader="none" w:pos="767" w:val="left"/>
        </w:tabs>
        <w:numPr>
          <w:ilvl w:val="0"/>
          <w:numId w:val="1"/>
        </w:numPr>
        <w:rPr>
          <w:rFonts w:ascii="Arial" w:cs="Arial" w:eastAsia="Arial" w:hAnsi="Arial"/>
          <w:sz w:val="19"/>
          <w:szCs w:val="19"/>
          <w:color w:val="auto"/>
          <w:vertAlign w:val="superscript"/>
        </w:rPr>
      </w:pPr>
      <w:r>
        <w:rPr>
          <w:rFonts w:ascii="Arial" w:cs="Arial" w:eastAsia="Arial" w:hAnsi="Arial"/>
          <w:sz w:val="14"/>
          <w:szCs w:val="14"/>
          <w:color w:val="auto"/>
        </w:rPr>
        <w:t>Estimated in accordance with Rule 457(h) solely for the purpose of calculating the registration fee on the basis of $2.34 per share, the weighted-average exercise price of stock option awards outstanding under the DocSend 2015 Plan as of the date of this Registration Statement.</w:t>
      </w:r>
    </w:p>
    <w:p>
      <w:pPr>
        <w:spacing w:after="0" w:line="143" w:lineRule="exact"/>
        <w:rPr>
          <w:sz w:val="20"/>
          <w:szCs w:val="20"/>
          <w:color w:val="auto"/>
        </w:rPr>
      </w:pPr>
    </w:p>
    <w:p>
      <w:pPr>
        <w:ind w:left="780" w:right="300" w:hanging="330"/>
        <w:spacing w:after="0" w:line="217" w:lineRule="auto"/>
        <w:tabs>
          <w:tab w:leader="none" w:pos="767"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Estimated in accordance with Rule 457(h) solely for the purpose of calculating the registration fee on the basis of $26.19 per share, the average of the high and low sale prices of the Registrant’s Class A Common Stock as reported on the NASDAQ Global Select Stock Market on April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17145</wp:posOffset>
            </wp:positionV>
            <wp:extent cx="6737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42545</wp:posOffset>
            </wp:positionV>
            <wp:extent cx="6737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ectPr>
          <w:pgSz w:w="11900" w:h="16838" w:orient="portrait"/>
          <w:cols w:equalWidth="0" w:num="1">
            <w:col w:w="10720"/>
          </w:cols>
          <w:pgMar w:left="220" w:top="657" w:right="959" w:bottom="1440" w:gutter="0" w:footer="0" w:header="0"/>
        </w:sectPr>
      </w:pPr>
    </w:p>
    <w:bookmarkStart w:id="2" w:name="page3"/>
    <w:bookmarkEnd w:id="2"/>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56"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Securities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238" w:lineRule="exact"/>
        <w:rPr>
          <w:sz w:val="20"/>
          <w:szCs w:val="20"/>
          <w:color w:val="auto"/>
        </w:rPr>
      </w:pPr>
    </w:p>
    <w:p>
      <w:pPr>
        <w:ind w:left="920" w:hanging="264"/>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fiscal year ended December 31, 2020, filed with the Commission on February 19, 2021;</w:t>
      </w:r>
    </w:p>
    <w:p>
      <w:pPr>
        <w:spacing w:after="0" w:line="257" w:lineRule="exact"/>
        <w:rPr>
          <w:rFonts w:ascii="Arial" w:cs="Arial" w:eastAsia="Arial" w:hAnsi="Arial"/>
          <w:sz w:val="16"/>
          <w:szCs w:val="16"/>
          <w:color w:val="auto"/>
        </w:rPr>
      </w:pPr>
    </w:p>
    <w:p>
      <w:pPr>
        <w:ind w:right="20" w:firstLine="656"/>
        <w:spacing w:after="0" w:line="250" w:lineRule="auto"/>
        <w:tabs>
          <w:tab w:leader="none" w:pos="903"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reports of the Registrant filed pursuant to Section 13(a) or 15(d) of the Securities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since the end of the fiscal year covered by the Registrant’s Annual Report referred to in (1) above (other than the portions of these documents not</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filed); and</w:t>
      </w:r>
    </w:p>
    <w:p>
      <w:pPr>
        <w:spacing w:after="0" w:line="207" w:lineRule="exact"/>
        <w:rPr>
          <w:rFonts w:ascii="Arial" w:cs="Arial" w:eastAsia="Arial" w:hAnsi="Arial"/>
          <w:sz w:val="18"/>
          <w:szCs w:val="18"/>
          <w:color w:val="auto"/>
        </w:rPr>
      </w:pPr>
    </w:p>
    <w:p>
      <w:pPr>
        <w:ind w:right="400" w:firstLine="656"/>
        <w:spacing w:after="0" w:line="248" w:lineRule="auto"/>
        <w:tabs>
          <w:tab w:leader="none" w:pos="90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Class A Common Stock filed as Exhibit 4.1 to its Quarterly Report on Form 10-Q for the fiscal quarter ended June 30, 2020, filed with the Commission on August 7, 2020, and any subsequent amendment or report filed for the purpose of updating such description.</w:t>
      </w:r>
    </w:p>
    <w:p>
      <w:pPr>
        <w:spacing w:after="0" w:line="35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 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4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Registrant’s amended and restated certificate of incorporation contains provisions that limit the liability of its directors for monetary damages to the fullest extent permitted by Delaware law. Consequently, the Registrant’s directors will not be personally liable to the Registrant or its stockholders for monetary damages for any breach of fiduciary duties as directors, except liability for the following:</w:t>
      </w:r>
    </w:p>
    <w:p>
      <w:pPr>
        <w:spacing w:after="0" w:line="200" w:lineRule="exact"/>
        <w:rPr>
          <w:sz w:val="20"/>
          <w:szCs w:val="20"/>
          <w:color w:val="auto"/>
        </w:rPr>
      </w:pPr>
    </w:p>
    <w:p>
      <w:pPr>
        <w:spacing w:after="0" w:line="23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any breach of their duty of loyalty to the Registrant or its stockholders;</w:t>
      </w:r>
    </w:p>
    <w:p>
      <w:pPr>
        <w:spacing w:after="0" w:line="242" w:lineRule="exact"/>
        <w:rPr>
          <w:rFonts w:ascii="Arial" w:cs="Arial" w:eastAsia="Arial" w:hAnsi="Arial"/>
          <w:sz w:val="22"/>
          <w:szCs w:val="22"/>
          <w:color w:val="auto"/>
        </w:rPr>
      </w:pPr>
    </w:p>
    <w:p>
      <w:pPr>
        <w:ind w:left="960" w:hanging="304"/>
        <w:spacing w:after="0"/>
        <w:tabs>
          <w:tab w:leader="none" w:pos="960" w:val="left"/>
        </w:tabs>
        <w:numPr>
          <w:ilvl w:val="0"/>
          <w:numId w:val="4"/>
        </w:numPr>
        <w:rPr>
          <w:rFonts w:ascii="Arial" w:cs="Arial" w:eastAsia="Arial" w:hAnsi="Arial"/>
          <w:sz w:val="20"/>
          <w:szCs w:val="20"/>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9" w:lineRule="exact"/>
        <w:rPr>
          <w:rFonts w:ascii="Arial" w:cs="Arial" w:eastAsia="Arial" w:hAnsi="Arial"/>
          <w:sz w:val="20"/>
          <w:szCs w:val="20"/>
          <w:color w:val="auto"/>
        </w:rPr>
      </w:pPr>
    </w:p>
    <w:p>
      <w:pPr>
        <w:ind w:left="980" w:right="860" w:hanging="324"/>
        <w:spacing w:after="0" w:line="237" w:lineRule="auto"/>
        <w:tabs>
          <w:tab w:leader="none" w:pos="968" w:val="left"/>
        </w:tabs>
        <w:numPr>
          <w:ilvl w:val="0"/>
          <w:numId w:val="4"/>
        </w:numPr>
        <w:rPr>
          <w:rFonts w:ascii="Arial" w:cs="Arial" w:eastAsia="Arial" w:hAnsi="Arial"/>
          <w:sz w:val="20"/>
          <w:szCs w:val="20"/>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216" w:lineRule="exact"/>
        <w:rPr>
          <w:rFonts w:ascii="Arial" w:cs="Arial" w:eastAsia="Arial" w:hAnsi="Arial"/>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00" w:lineRule="exact"/>
        <w:rPr>
          <w:sz w:val="20"/>
          <w:szCs w:val="20"/>
          <w:color w:val="auto"/>
        </w:rPr>
      </w:pPr>
    </w:p>
    <w:p>
      <w:pPr>
        <w:spacing w:after="0" w:line="282" w:lineRule="exact"/>
        <w:rPr>
          <w:sz w:val="20"/>
          <w:szCs w:val="20"/>
          <w:color w:val="auto"/>
        </w:rPr>
      </w:pPr>
    </w:p>
    <w:p>
      <w:pPr>
        <w:ind w:right="200" w:firstLine="648"/>
        <w:spacing w:after="0" w:line="243"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215"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In addition, the Registrant’s amended and restated bylaws will indemnify, to the fullest extent permitted by law, any person who is or was a party or is threatened to be made a party to any action, suit, or proceeding by reason of the fact that he or she is or was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will also provide that the Registrant must advance expenses incurred by or on behalf of a director or officer in advance of the final disposition of any action or proceeding, subject to limited exceptions.</w:t>
      </w:r>
    </w:p>
    <w:p>
      <w:pPr>
        <w:spacing w:after="0" w:line="208"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The Registrant believes that these agreements are necessary to attract and retain qualified individuals to serve as directors and executive officers.</w:t>
      </w:r>
    </w:p>
    <w:p>
      <w:pPr>
        <w:spacing w:after="0" w:line="216" w:lineRule="exact"/>
        <w:rPr>
          <w:sz w:val="20"/>
          <w:szCs w:val="20"/>
          <w:color w:val="auto"/>
        </w:rPr>
      </w:pPr>
    </w:p>
    <w:p>
      <w:pPr>
        <w:ind w:right="60" w:firstLine="648"/>
        <w:spacing w:after="0" w:line="272" w:lineRule="auto"/>
        <w:rPr>
          <w:sz w:val="20"/>
          <w:szCs w:val="20"/>
          <w:color w:val="auto"/>
        </w:rPr>
      </w:pPr>
      <w:r>
        <w:rPr>
          <w:rFonts w:ascii="Arial" w:cs="Arial" w:eastAsia="Arial" w:hAnsi="Arial"/>
          <w:sz w:val="16"/>
          <w:szCs w:val="16"/>
          <w:color w:val="auto"/>
        </w:rPr>
        <w:t>The limitation of liability and indemnification provisions in the Registrant’s amended and restated certificate of incorporation, amended and restated bylaws, and the indemnification agreements that the Registrant has entered into with its directors and executive officers may discourage stockholders from bringing a lawsuit against the Registrant’s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the Registrant’s directors, officers, employees, or other agents or is or was serving at its request as a director, officer, employee, or agent of another corporation, partnership, joint venture, trust, or other</w:t>
      </w:r>
    </w:p>
    <w:p>
      <w:pPr>
        <w:sectPr>
          <w:pgSz w:w="11900" w:h="16838" w:orient="portrait"/>
          <w:cols w:equalWidth="0" w:num="1">
            <w:col w:w="11240"/>
          </w:cols>
          <w:pgMar w:left="320" w:top="1440" w:right="339" w:bottom="1440" w:gutter="0" w:footer="0" w:header="0"/>
        </w:sectPr>
      </w:pPr>
    </w:p>
    <w:bookmarkStart w:id="4" w:name="page5"/>
    <w:bookmarkEnd w:id="4"/>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enterprise, for which indemnification is sought, and the Registrant is not aware of any threatened litigation that may result in claims for indemnification.</w:t>
      </w:r>
    </w:p>
    <w:p>
      <w:pPr>
        <w:spacing w:after="0" w:line="262" w:lineRule="exact"/>
        <w:rPr>
          <w:sz w:val="20"/>
          <w:szCs w:val="20"/>
          <w:color w:val="auto"/>
        </w:rPr>
      </w:pPr>
    </w:p>
    <w:p>
      <w:pPr>
        <w:ind w:firstLine="648"/>
        <w:spacing w:after="0" w:line="262" w:lineRule="auto"/>
        <w:rPr>
          <w:sz w:val="20"/>
          <w:szCs w:val="20"/>
          <w:color w:val="auto"/>
        </w:rPr>
      </w:pPr>
      <w:r>
        <w:rPr>
          <w:rFonts w:ascii="Arial" w:cs="Arial" w:eastAsia="Arial" w:hAnsi="Arial"/>
          <w:sz w:val="17"/>
          <w:szCs w:val="17"/>
          <w:color w:val="auto"/>
        </w:rPr>
        <w:t>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w:t>
      </w:r>
    </w:p>
    <w:p>
      <w:pPr>
        <w:spacing w:after="0" w:line="199"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Item 8. Exhibits.</w:t>
            </w: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440" w:type="dxa"/>
            <w:vAlign w:val="bottom"/>
          </w:tcPr>
          <w:p>
            <w:pPr>
              <w:ind w:left="4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4"/>
        </w:trPr>
        <w:tc>
          <w:tcPr>
            <w:tcW w:w="1440" w:type="dxa"/>
            <w:vAlign w:val="bottom"/>
          </w:tcPr>
          <w:p>
            <w:pPr>
              <w:ind w:left="40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4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440" w:type="dxa"/>
            <w:vAlign w:val="bottom"/>
          </w:tcPr>
          <w:p>
            <w:pPr>
              <w:jc w:val="center"/>
              <w:spacing w:after="0" w:line="183" w:lineRule="exact"/>
              <w:rPr>
                <w:sz w:val="20"/>
                <w:szCs w:val="20"/>
                <w:color w:val="auto"/>
              </w:rPr>
            </w:pPr>
            <w:r>
              <w:rPr>
                <w:rFonts w:ascii="Arial" w:cs="Arial" w:eastAsia="Arial" w:hAnsi="Arial"/>
                <w:sz w:val="17"/>
                <w:szCs w:val="17"/>
                <w:color w:val="auto"/>
                <w:w w:val="88"/>
              </w:rPr>
              <w:t>4.1</w:t>
            </w:r>
            <w:r>
              <w:rPr>
                <w:rFonts w:ascii="Arial" w:cs="Arial" w:eastAsia="Arial" w:hAnsi="Arial"/>
                <w:sz w:val="21"/>
                <w:szCs w:val="21"/>
                <w:color w:val="auto"/>
                <w:w w:val="88"/>
                <w:vertAlign w:val="superscript"/>
              </w:rPr>
              <w:t>(1)</w:t>
            </w:r>
          </w:p>
        </w:tc>
        <w:tc>
          <w:tcPr>
            <w:tcW w:w="20" w:type="dxa"/>
            <w:vAlign w:val="bottom"/>
          </w:tcPr>
          <w:p>
            <w:pPr>
              <w:spacing w:after="0"/>
              <w:rPr>
                <w:sz w:val="15"/>
                <w:szCs w:val="15"/>
                <w:color w:val="auto"/>
              </w:rPr>
            </w:pPr>
          </w:p>
        </w:tc>
        <w:tc>
          <w:tcPr>
            <w:tcW w:w="3100" w:type="dxa"/>
            <w:vAlign w:val="bottom"/>
            <w:tcBorders>
              <w:bottom w:val="single" w:sz="8" w:color="0000FF"/>
            </w:tcBorders>
            <w:gridSpan w:val="2"/>
          </w:tcPr>
          <w:p>
            <w:pPr>
              <w:spacing w:after="0" w:line="169"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Form of Class A common stock certificate.</w:t>
              </w:r>
            </w:hyperlink>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4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0" w:type="dxa"/>
            <w:vAlign w:val="bottom"/>
          </w:tcPr>
          <w:p>
            <w:pPr>
              <w:spacing w:after="0"/>
              <w:rPr>
                <w:sz w:val="24"/>
                <w:szCs w:val="24"/>
                <w:color w:val="auto"/>
              </w:rPr>
            </w:pPr>
          </w:p>
        </w:tc>
        <w:tc>
          <w:tcPr>
            <w:tcW w:w="2240" w:type="dxa"/>
            <w:vAlign w:val="bottom"/>
            <w:tcBorders>
              <w:bottom w:val="single" w:sz="8" w:color="0000FF"/>
            </w:tcBorders>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DocSend, Inc. 2013 Stock Plan</w:t>
              </w:r>
            </w:hyperlink>
          </w:p>
        </w:tc>
        <w:tc>
          <w:tcPr>
            <w:tcW w:w="13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0" w:type="dxa"/>
            <w:vAlign w:val="bottom"/>
          </w:tcPr>
          <w:p>
            <w:pPr>
              <w:spacing w:after="0"/>
              <w:rPr>
                <w:sz w:val="24"/>
                <w:szCs w:val="24"/>
                <w:color w:val="auto"/>
              </w:rPr>
            </w:pPr>
          </w:p>
        </w:tc>
        <w:tc>
          <w:tcPr>
            <w:tcW w:w="356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DocSend, Inc. 2015 Stock Option and Grant Plan</w:t>
              </w:r>
            </w:hyperlink>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4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20" w:type="dxa"/>
            <w:vAlign w:val="bottom"/>
          </w:tcPr>
          <w:p>
            <w:pPr>
              <w:spacing w:after="0"/>
              <w:rPr>
                <w:sz w:val="24"/>
                <w:szCs w:val="24"/>
                <w:color w:val="auto"/>
              </w:rPr>
            </w:pPr>
          </w:p>
        </w:tc>
        <w:tc>
          <w:tcPr>
            <w:tcW w:w="37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81">
              <w:r>
                <w:rPr>
                  <w:rFonts w:ascii="Arial" w:cs="Arial" w:eastAsia="Arial" w:hAnsi="Arial"/>
                  <w:sz w:val="18"/>
                  <w:szCs w:val="18"/>
                  <w:color w:val="0000FF"/>
                  <w:w w:val="92"/>
                </w:rPr>
                <w:t>Opinion of Wilson Sonsini Goodrich &amp; Rosati, P.C.</w:t>
              </w:r>
            </w:hyperlink>
          </w:p>
        </w:tc>
        <w:tc>
          <w:tcPr>
            <w:tcW w:w="60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0" w:type="dxa"/>
            <w:vAlign w:val="bottom"/>
          </w:tcPr>
          <w:p>
            <w:pPr>
              <w:spacing w:after="0"/>
              <w:rPr>
                <w:sz w:val="24"/>
                <w:szCs w:val="24"/>
                <w:color w:val="auto"/>
              </w:rPr>
            </w:pPr>
          </w:p>
        </w:tc>
        <w:tc>
          <w:tcPr>
            <w:tcW w:w="432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82">
              <w:r>
                <w:rPr>
                  <w:rFonts w:ascii="Arial" w:cs="Arial" w:eastAsia="Arial" w:hAnsi="Arial"/>
                  <w:sz w:val="18"/>
                  <w:szCs w:val="18"/>
                  <w:color w:val="0000FF"/>
                  <w:w w:val="90"/>
                </w:rPr>
                <w:t>Consent of Independent Registered Public Accounting Firm</w:t>
              </w:r>
            </w:hyperlink>
          </w:p>
        </w:tc>
        <w:tc>
          <w:tcPr>
            <w:tcW w:w="54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4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20" w:type="dxa"/>
            <w:vAlign w:val="bottom"/>
          </w:tcPr>
          <w:p>
            <w:pPr>
              <w:spacing w:after="0"/>
              <w:rPr>
                <w:sz w:val="24"/>
                <w:szCs w:val="24"/>
                <w:color w:val="auto"/>
              </w:rPr>
            </w:pPr>
          </w:p>
        </w:tc>
        <w:tc>
          <w:tcPr>
            <w:tcW w:w="710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81">
              <w:r>
                <w:rPr>
                  <w:rFonts w:ascii="Arial" w:cs="Arial" w:eastAsia="Arial" w:hAnsi="Arial"/>
                  <w:sz w:val="18"/>
                  <w:szCs w:val="18"/>
                  <w:color w:val="0000FF"/>
                  <w:w w:val="92"/>
                </w:rPr>
                <w:t>Consent of Wilson Sonsini Goodrich &amp; Rosati, Professional Corporation (included in Exhibit 5.1).</w:t>
              </w:r>
            </w:hyperlink>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4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20" w:type="dxa"/>
            <w:vAlign w:val="bottom"/>
          </w:tcPr>
          <w:p>
            <w:pPr>
              <w:spacing w:after="0"/>
              <w:rPr>
                <w:sz w:val="24"/>
                <w:szCs w:val="24"/>
                <w:color w:val="auto"/>
              </w:rPr>
            </w:pPr>
          </w:p>
        </w:tc>
        <w:tc>
          <w:tcPr>
            <w:tcW w:w="40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Power of Attorney (contained on signature page hereto).</w:t>
              </w:r>
            </w:hyperlink>
          </w:p>
        </w:tc>
        <w:tc>
          <w:tcPr>
            <w:tcW w:w="57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right="120" w:hanging="172"/>
        <w:spacing w:after="0" w:line="267" w:lineRule="auto"/>
        <w:tabs>
          <w:tab w:leader="none" w:pos="18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Incorporated by reference to Exhibit 4.1 filed with the Registrant’s Registration Statement on Form S-1/A (Registration No. 333-223182), filed with the Commission on March 12, 2018.</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040" w:hanging="384"/>
        <w:spacing w:after="0"/>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660" w:hanging="356"/>
        <w:spacing w:after="0"/>
        <w:tabs>
          <w:tab w:leader="none" w:pos="166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76" w:lineRule="exact"/>
        <w:rPr>
          <w:rFonts w:ascii="Arial" w:cs="Arial" w:eastAsia="Arial" w:hAnsi="Arial"/>
          <w:sz w:val="18"/>
          <w:szCs w:val="18"/>
          <w:color w:val="auto"/>
        </w:rPr>
      </w:pPr>
    </w:p>
    <w:p>
      <w:pPr>
        <w:ind w:left="1960" w:hanging="656"/>
        <w:spacing w:after="0" w:line="291" w:lineRule="auto"/>
        <w:tabs>
          <w:tab w:leader="none" w:pos="1708" w:val="left"/>
        </w:tabs>
        <w:numPr>
          <w:ilvl w:val="2"/>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 w:lineRule="exact"/>
        <w:rPr>
          <w:rFonts w:ascii="Arial" w:cs="Arial" w:eastAsia="Arial" w:hAnsi="Arial"/>
          <w:sz w:val="16"/>
          <w:szCs w:val="16"/>
          <w:color w:val="auto"/>
        </w:rPr>
      </w:pPr>
    </w:p>
    <w:p>
      <w:pPr>
        <w:ind w:left="1960" w:right="100" w:hanging="656"/>
        <w:spacing w:after="0" w:line="277" w:lineRule="auto"/>
        <w:tabs>
          <w:tab w:leader="none" w:pos="1758"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35" w:lineRule="exact"/>
        <w:rPr>
          <w:sz w:val="20"/>
          <w:szCs w:val="20"/>
          <w:color w:val="auto"/>
        </w:rPr>
      </w:pPr>
    </w:p>
    <w:p>
      <w:pPr>
        <w:ind w:left="1140" w:right="360" w:hanging="484"/>
        <w:spacing w:after="0" w:line="263" w:lineRule="auto"/>
        <w:tabs>
          <w:tab w:leader="none" w:pos="1044"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35" w:lineRule="exact"/>
        <w:rPr>
          <w:rFonts w:ascii="Arial" w:cs="Arial" w:eastAsia="Arial" w:hAnsi="Arial"/>
          <w:sz w:val="18"/>
          <w:szCs w:val="18"/>
          <w:color w:val="auto"/>
        </w:rPr>
      </w:pPr>
    </w:p>
    <w:p>
      <w:pPr>
        <w:ind w:left="1140" w:right="200" w:hanging="484"/>
        <w:spacing w:after="0" w:line="277" w:lineRule="auto"/>
        <w:tabs>
          <w:tab w:leader="none" w:pos="1044" w:val="left"/>
        </w:tabs>
        <w:numPr>
          <w:ilvl w:val="1"/>
          <w:numId w:val="7"/>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hanging="652"/>
        <w:spacing w:after="0" w:line="257" w:lineRule="auto"/>
        <w:tabs>
          <w:tab w:leader="none" w:pos="35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660" w:right="20" w:hanging="652"/>
        <w:spacing w:after="0" w:line="271" w:lineRule="auto"/>
        <w:tabs>
          <w:tab w:leader="none" w:pos="357"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180"/>
          </w:cols>
          <w:pgMar w:left="320" w:top="1440" w:right="399" w:bottom="1440" w:gutter="0" w:footer="0" w:header="0"/>
        </w:sectPr>
      </w:pPr>
    </w:p>
    <w:bookmarkStart w:id="6" w:name="page7"/>
    <w:bookmarkEnd w:id="6"/>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San Francisco, California, on the 30th day of April, 2021.</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DROPBOX, INC.</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-10160</wp:posOffset>
            </wp:positionV>
            <wp:extent cx="1090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ind w:left="4720"/>
        <w:spacing w:after="0"/>
        <w:rPr>
          <w:sz w:val="20"/>
          <w:szCs w:val="20"/>
          <w:color w:val="auto"/>
        </w:rPr>
      </w:pPr>
      <w:r>
        <w:rPr>
          <w:rFonts w:ascii="Arial" w:cs="Arial" w:eastAsia="Arial" w:hAnsi="Arial"/>
          <w:sz w:val="18"/>
          <w:szCs w:val="18"/>
          <w:color w:val="auto"/>
        </w:rPr>
        <w:t>Timothy J. Regan</w:t>
      </w:r>
    </w:p>
    <w:p>
      <w:pPr>
        <w:ind w:left="4720"/>
        <w:spacing w:after="0"/>
        <w:rPr>
          <w:sz w:val="20"/>
          <w:szCs w:val="20"/>
          <w:color w:val="auto"/>
        </w:rPr>
      </w:pPr>
      <w:r>
        <w:rPr>
          <w:rFonts w:ascii="Arial" w:cs="Arial" w:eastAsia="Arial" w:hAnsi="Arial"/>
          <w:sz w:val="18"/>
          <w:szCs w:val="18"/>
          <w:color w:val="auto"/>
        </w:rPr>
        <w:t>Chief Financial Officer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Andrew W. Houston, Timothy J. Regan, and Bart E. Volkmer,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 in fact, proxy and agent, or the individual’s substitute, may lawfully do or cause to be done by virtue 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requirements of the Securities Act of 1933, as amended, this Registration Statement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S-8 has been signed by the following persons in the capacities and on the dates indicated:</w:t>
      </w:r>
    </w:p>
    <w:p>
      <w:pPr>
        <w:sectPr>
          <w:pgSz w:w="11900" w:h="16838" w:orient="portrait"/>
          <w:cols w:equalWidth="0" w:num="1">
            <w:col w:w="11220"/>
          </w:cols>
          <w:pgMar w:left="320" w:top="1440" w:right="359" w:bottom="1440" w:gutter="0" w:footer="0" w:header="0"/>
        </w:sectPr>
      </w:pPr>
    </w:p>
    <w:bookmarkStart w:id="7" w:name="page8"/>
    <w:bookmarkEnd w:id="7"/>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18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520" w:type="dxa"/>
            <w:vAlign w:val="bottom"/>
            <w:gridSpan w:val="3"/>
          </w:tcPr>
          <w:p>
            <w:pPr>
              <w:ind w:left="460"/>
              <w:spacing w:after="0"/>
              <w:rPr>
                <w:sz w:val="20"/>
                <w:szCs w:val="20"/>
                <w:color w:val="auto"/>
              </w:rPr>
            </w:pPr>
            <w:r>
              <w:rPr>
                <w:rFonts w:ascii="Arial" w:cs="Arial" w:eastAsia="Arial" w:hAnsi="Arial"/>
                <w:sz w:val="18"/>
                <w:szCs w:val="18"/>
                <w:b w:val="1"/>
                <w:bCs w:val="1"/>
                <w:color w:val="auto"/>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9"/>
        </w:trPr>
        <w:tc>
          <w:tcPr>
            <w:tcW w:w="3920" w:type="dxa"/>
            <w:vAlign w:val="bottom"/>
            <w:gridSpan w:val="11"/>
          </w:tcPr>
          <w:p>
            <w:pPr>
              <w:spacing w:after="0"/>
              <w:rPr>
                <w:sz w:val="20"/>
                <w:szCs w:val="20"/>
                <w:color w:val="auto"/>
              </w:rPr>
            </w:pPr>
            <w:r>
              <w:rPr>
                <w:rFonts w:ascii="Arial" w:cs="Arial" w:eastAsia="Arial" w:hAnsi="Arial"/>
                <w:sz w:val="18"/>
                <w:szCs w:val="18"/>
                <w:color w:val="auto"/>
              </w:rPr>
              <w:t>/s/ Andrew W. Houston______________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Chief Executive Officer and Chairman</w:t>
            </w:r>
          </w:p>
        </w:tc>
        <w:tc>
          <w:tcPr>
            <w:tcW w:w="1520" w:type="dxa"/>
            <w:vAlign w:val="bottom"/>
            <w:gridSpan w:val="3"/>
          </w:tcPr>
          <w:p>
            <w:pPr>
              <w:ind w:left="460"/>
              <w:spacing w:after="0"/>
              <w:rPr>
                <w:sz w:val="20"/>
                <w:szCs w:val="20"/>
                <w:color w:val="auto"/>
              </w:rPr>
            </w:pPr>
            <w:r>
              <w:rPr>
                <w:rFonts w:ascii="Arial" w:cs="Arial" w:eastAsia="Arial" w:hAnsi="Arial"/>
                <w:sz w:val="18"/>
                <w:szCs w:val="18"/>
                <w:color w:val="auto"/>
                <w:w w:val="93"/>
              </w:rPr>
              <w:t>April 30, 2021</w:t>
            </w:r>
          </w:p>
        </w:tc>
      </w:tr>
      <w:tr>
        <w:trPr>
          <w:trHeight w:val="224"/>
        </w:trPr>
        <w:tc>
          <w:tcPr>
            <w:tcW w:w="16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Andrew W. Houston</w:t>
            </w:r>
          </w:p>
        </w:tc>
        <w:tc>
          <w:tcPr>
            <w:tcW w:w="2240" w:type="dxa"/>
            <w:vAlign w:val="bottom"/>
          </w:tcPr>
          <w:p>
            <w:pPr>
              <w:spacing w:after="0"/>
              <w:rPr>
                <w:sz w:val="19"/>
                <w:szCs w:val="19"/>
                <w:color w:val="auto"/>
              </w:rPr>
            </w:pPr>
          </w:p>
        </w:tc>
        <w:tc>
          <w:tcPr>
            <w:tcW w:w="4620" w:type="dxa"/>
            <w:vAlign w:val="bottom"/>
            <w:gridSpan w:val="3"/>
          </w:tcPr>
          <w:p>
            <w:pPr>
              <w:ind w:left="860"/>
              <w:spacing w:after="0"/>
              <w:rPr>
                <w:sz w:val="20"/>
                <w:szCs w:val="20"/>
                <w:color w:val="auto"/>
              </w:rPr>
            </w:pPr>
            <w:r>
              <w:rPr>
                <w:rFonts w:ascii="Arial" w:cs="Arial" w:eastAsia="Arial" w:hAnsi="Arial"/>
                <w:sz w:val="18"/>
                <w:szCs w:val="18"/>
                <w:i w:val="1"/>
                <w:iCs w:val="1"/>
                <w:color w:val="auto"/>
              </w:rPr>
              <w:t>(Principal Executive Officer)</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Timothy J. Regan</w:t>
            </w:r>
            <w:r>
              <w:rPr>
                <w:rFonts w:ascii="Arial" w:cs="Arial" w:eastAsia="Arial" w:hAnsi="Arial"/>
                <w:sz w:val="12"/>
                <w:szCs w:val="12"/>
                <w:color w:val="auto"/>
              </w:rPr>
              <w:t>_______________________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Chief Financial Officer</w:t>
            </w:r>
          </w:p>
        </w:tc>
        <w:tc>
          <w:tcPr>
            <w:tcW w:w="1520" w:type="dxa"/>
            <w:vAlign w:val="bottom"/>
            <w:gridSpan w:val="3"/>
          </w:tcPr>
          <w:p>
            <w:pPr>
              <w:ind w:left="460"/>
              <w:spacing w:after="0"/>
              <w:rPr>
                <w:sz w:val="20"/>
                <w:szCs w:val="20"/>
                <w:color w:val="auto"/>
              </w:rPr>
            </w:pPr>
            <w:r>
              <w:rPr>
                <w:rFonts w:ascii="Arial" w:cs="Arial" w:eastAsia="Arial" w:hAnsi="Arial"/>
                <w:sz w:val="18"/>
                <w:szCs w:val="18"/>
                <w:color w:val="auto"/>
                <w:w w:val="93"/>
              </w:rPr>
              <w:t>April 30, 2021</w:t>
            </w:r>
          </w:p>
        </w:tc>
      </w:tr>
      <w:tr>
        <w:trPr>
          <w:trHeight w:val="224"/>
        </w:trPr>
        <w:tc>
          <w:tcPr>
            <w:tcW w:w="14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Timothy J. Regan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2"/>
          </w:tcPr>
          <w:p>
            <w:pPr>
              <w:spacing w:after="0"/>
              <w:rPr>
                <w:sz w:val="19"/>
                <w:szCs w:val="19"/>
                <w:color w:val="auto"/>
              </w:rPr>
            </w:pPr>
          </w:p>
        </w:tc>
        <w:tc>
          <w:tcPr>
            <w:tcW w:w="4620" w:type="dxa"/>
            <w:vAlign w:val="bottom"/>
            <w:gridSpan w:val="3"/>
          </w:tcPr>
          <w:p>
            <w:pPr>
              <w:ind w:left="860"/>
              <w:spacing w:after="0"/>
              <w:rPr>
                <w:sz w:val="20"/>
                <w:szCs w:val="20"/>
                <w:color w:val="auto"/>
              </w:rPr>
            </w:pPr>
            <w:r>
              <w:rPr>
                <w:rFonts w:ascii="Arial" w:cs="Arial" w:eastAsia="Arial" w:hAnsi="Arial"/>
                <w:sz w:val="18"/>
                <w:szCs w:val="18"/>
                <w:i w:val="1"/>
                <w:iCs w:val="1"/>
                <w:color w:val="auto"/>
              </w:rPr>
              <w:t>(Principal Accounting and Financial Officer)</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Donald W. Blair__________________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ind w:left="460"/>
              <w:spacing w:after="0"/>
              <w:rPr>
                <w:sz w:val="20"/>
                <w:szCs w:val="20"/>
                <w:color w:val="auto"/>
              </w:rPr>
            </w:pPr>
            <w:r>
              <w:rPr>
                <w:rFonts w:ascii="Arial" w:cs="Arial" w:eastAsia="Arial" w:hAnsi="Arial"/>
                <w:sz w:val="18"/>
                <w:szCs w:val="18"/>
                <w:color w:val="auto"/>
                <w:w w:val="93"/>
              </w:rPr>
              <w:t>April 30, 2021</w:t>
            </w:r>
          </w:p>
        </w:tc>
      </w:tr>
      <w:tr>
        <w:trPr>
          <w:trHeight w:val="224"/>
        </w:trPr>
        <w:tc>
          <w:tcPr>
            <w:tcW w:w="13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Donald W. Blair</w:t>
            </w:r>
          </w:p>
        </w:tc>
        <w:tc>
          <w:tcPr>
            <w:tcW w:w="1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Lisa Campbell___________________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ind w:left="460"/>
              <w:spacing w:after="0"/>
              <w:rPr>
                <w:sz w:val="20"/>
                <w:szCs w:val="20"/>
                <w:color w:val="auto"/>
              </w:rPr>
            </w:pPr>
            <w:r>
              <w:rPr>
                <w:rFonts w:ascii="Arial" w:cs="Arial" w:eastAsia="Arial" w:hAnsi="Arial"/>
                <w:sz w:val="18"/>
                <w:szCs w:val="18"/>
                <w:color w:val="auto"/>
                <w:w w:val="93"/>
              </w:rPr>
              <w:t>April 30, 2021</w:t>
            </w:r>
          </w:p>
        </w:tc>
      </w:tr>
      <w:tr>
        <w:trPr>
          <w:trHeight w:val="224"/>
        </w:trPr>
        <w:tc>
          <w:tcPr>
            <w:tcW w:w="12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Lisa Campbell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31"/>
        </w:trPr>
        <w:tc>
          <w:tcPr>
            <w:tcW w:w="3920" w:type="dxa"/>
            <w:vAlign w:val="bottom"/>
            <w:gridSpan w:val="11"/>
          </w:tcPr>
          <w:p>
            <w:pPr>
              <w:spacing w:after="0"/>
              <w:rPr>
                <w:sz w:val="20"/>
                <w:szCs w:val="20"/>
                <w:color w:val="auto"/>
              </w:rPr>
            </w:pPr>
            <w:r>
              <w:rPr>
                <w:rFonts w:ascii="Arial" w:cs="Arial" w:eastAsia="Arial" w:hAnsi="Arial"/>
                <w:sz w:val="18"/>
                <w:szCs w:val="18"/>
                <w:color w:val="auto"/>
              </w:rPr>
              <w:t>/s/ Paul E. Jacobs___________________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ind w:left="460"/>
              <w:spacing w:after="0"/>
              <w:rPr>
                <w:sz w:val="20"/>
                <w:szCs w:val="20"/>
                <w:color w:val="auto"/>
              </w:rPr>
            </w:pPr>
            <w:r>
              <w:rPr>
                <w:rFonts w:ascii="Arial" w:cs="Arial" w:eastAsia="Arial" w:hAnsi="Arial"/>
                <w:sz w:val="18"/>
                <w:szCs w:val="18"/>
                <w:color w:val="auto"/>
                <w:w w:val="93"/>
              </w:rPr>
              <w:t>April 30, 2021</w:t>
            </w:r>
          </w:p>
        </w:tc>
      </w:tr>
      <w:tr>
        <w:trPr>
          <w:trHeight w:val="224"/>
        </w:trPr>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Paul E. Jacobs</w:t>
            </w: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Robert J. Mylod, Jr._______________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ind w:left="460"/>
              <w:spacing w:after="0"/>
              <w:rPr>
                <w:sz w:val="20"/>
                <w:szCs w:val="20"/>
                <w:color w:val="auto"/>
              </w:rPr>
            </w:pPr>
            <w:r>
              <w:rPr>
                <w:rFonts w:ascii="Arial" w:cs="Arial" w:eastAsia="Arial" w:hAnsi="Arial"/>
                <w:sz w:val="18"/>
                <w:szCs w:val="18"/>
                <w:color w:val="auto"/>
                <w:w w:val="93"/>
              </w:rPr>
              <w:t>April 30, 2021</w:t>
            </w:r>
          </w:p>
        </w:tc>
      </w:tr>
      <w:tr>
        <w:trPr>
          <w:trHeight w:val="224"/>
        </w:trPr>
        <w:tc>
          <w:tcPr>
            <w:tcW w:w="164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Robert J. Mylod, Jr.</w:t>
            </w:r>
          </w:p>
        </w:tc>
        <w:tc>
          <w:tcPr>
            <w:tcW w:w="22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Karen Peacock___________________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ind w:left="460"/>
              <w:spacing w:after="0"/>
              <w:rPr>
                <w:sz w:val="20"/>
                <w:szCs w:val="20"/>
                <w:color w:val="auto"/>
              </w:rPr>
            </w:pPr>
            <w:r>
              <w:rPr>
                <w:rFonts w:ascii="Arial" w:cs="Arial" w:eastAsia="Arial" w:hAnsi="Arial"/>
                <w:sz w:val="18"/>
                <w:szCs w:val="18"/>
                <w:color w:val="auto"/>
                <w:w w:val="93"/>
              </w:rPr>
              <w:t>April 30, 2021</w:t>
            </w:r>
          </w:p>
        </w:tc>
      </w:tr>
      <w:tr>
        <w:trPr>
          <w:trHeight w:val="224"/>
        </w:trPr>
        <w:tc>
          <w:tcPr>
            <w:tcW w:w="13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Karen Peacock</w:t>
            </w:r>
          </w:p>
        </w:tc>
        <w:tc>
          <w:tcPr>
            <w:tcW w:w="20" w:type="dxa"/>
            <w:vAlign w:val="bottom"/>
          </w:tcPr>
          <w:p>
            <w:pPr>
              <w:spacing w:after="0"/>
              <w:rPr>
                <w:sz w:val="19"/>
                <w:szCs w:val="19"/>
                <w:color w:val="auto"/>
              </w:rPr>
            </w:pPr>
          </w:p>
        </w:tc>
        <w:tc>
          <w:tcPr>
            <w:tcW w:w="200" w:type="dxa"/>
            <w:vAlign w:val="bottom"/>
            <w:gridSpan w:val="3"/>
          </w:tcPr>
          <w:p>
            <w:pPr>
              <w:spacing w:after="0"/>
              <w:rPr>
                <w:sz w:val="19"/>
                <w:szCs w:val="19"/>
                <w:color w:val="auto"/>
              </w:rPr>
            </w:pPr>
          </w:p>
        </w:tc>
        <w:tc>
          <w:tcPr>
            <w:tcW w:w="2400" w:type="dxa"/>
            <w:vAlign w:val="bottom"/>
            <w:gridSpan w:val="3"/>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Condoleezza Rice_________________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ind w:left="460"/>
              <w:spacing w:after="0"/>
              <w:rPr>
                <w:sz w:val="20"/>
                <w:szCs w:val="20"/>
                <w:color w:val="auto"/>
              </w:rPr>
            </w:pPr>
            <w:r>
              <w:rPr>
                <w:rFonts w:ascii="Arial" w:cs="Arial" w:eastAsia="Arial" w:hAnsi="Arial"/>
                <w:sz w:val="18"/>
                <w:szCs w:val="18"/>
                <w:color w:val="auto"/>
                <w:w w:val="93"/>
              </w:rPr>
              <w:t>April 30, 2021</w:t>
            </w:r>
          </w:p>
        </w:tc>
      </w:tr>
      <w:tr>
        <w:trPr>
          <w:trHeight w:val="224"/>
        </w:trPr>
        <w:tc>
          <w:tcPr>
            <w:tcW w:w="15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Condoleezza Rice</w:t>
            </w:r>
          </w:p>
        </w:tc>
        <w:tc>
          <w:tcPr>
            <w:tcW w:w="2400" w:type="dxa"/>
            <w:vAlign w:val="bottom"/>
            <w:gridSpan w:val="3"/>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77"/>
        </w:trPr>
        <w:tc>
          <w:tcPr>
            <w:tcW w:w="3920" w:type="dxa"/>
            <w:vAlign w:val="bottom"/>
            <w:gridSpan w:val="11"/>
          </w:tcPr>
          <w:p>
            <w:pPr>
              <w:spacing w:after="0"/>
              <w:rPr>
                <w:sz w:val="20"/>
                <w:szCs w:val="20"/>
                <w:color w:val="auto"/>
              </w:rPr>
            </w:pPr>
            <w:r>
              <w:rPr>
                <w:rFonts w:ascii="Arial" w:cs="Arial" w:eastAsia="Arial" w:hAnsi="Arial"/>
                <w:sz w:val="18"/>
                <w:szCs w:val="18"/>
                <w:color w:val="auto"/>
              </w:rPr>
              <w:t>/s/ Michael Seibel_________________</w:t>
            </w:r>
          </w:p>
        </w:tc>
        <w:tc>
          <w:tcPr>
            <w:tcW w:w="4620" w:type="dxa"/>
            <w:vAlign w:val="bottom"/>
            <w:gridSpan w:val="3"/>
          </w:tcPr>
          <w:p>
            <w:pPr>
              <w:ind w:left="860"/>
              <w:spacing w:after="0"/>
              <w:rPr>
                <w:sz w:val="20"/>
                <w:szCs w:val="20"/>
                <w:color w:val="auto"/>
              </w:rPr>
            </w:pPr>
            <w:r>
              <w:rPr>
                <w:rFonts w:ascii="Arial" w:cs="Arial" w:eastAsia="Arial" w:hAnsi="Arial"/>
                <w:sz w:val="18"/>
                <w:szCs w:val="18"/>
                <w:color w:val="auto"/>
              </w:rPr>
              <w:t>Director</w:t>
            </w:r>
          </w:p>
        </w:tc>
        <w:tc>
          <w:tcPr>
            <w:tcW w:w="1520" w:type="dxa"/>
            <w:vAlign w:val="bottom"/>
            <w:gridSpan w:val="3"/>
          </w:tcPr>
          <w:p>
            <w:pPr>
              <w:ind w:left="460"/>
              <w:spacing w:after="0"/>
              <w:rPr>
                <w:sz w:val="20"/>
                <w:szCs w:val="20"/>
                <w:color w:val="auto"/>
              </w:rPr>
            </w:pPr>
            <w:r>
              <w:rPr>
                <w:rFonts w:ascii="Arial" w:cs="Arial" w:eastAsia="Arial" w:hAnsi="Arial"/>
                <w:sz w:val="18"/>
                <w:szCs w:val="18"/>
                <w:color w:val="auto"/>
                <w:w w:val="93"/>
              </w:rPr>
              <w:t>April 30, 2021</w:t>
            </w:r>
          </w:p>
        </w:tc>
      </w:tr>
      <w:tr>
        <w:trPr>
          <w:trHeight w:val="224"/>
        </w:trPr>
        <w:tc>
          <w:tcPr>
            <w:tcW w:w="13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Michael Seibel</w:t>
            </w:r>
          </w:p>
        </w:tc>
        <w:tc>
          <w:tcPr>
            <w:tcW w:w="2600" w:type="dxa"/>
            <w:vAlign w:val="bottom"/>
            <w:gridSpan w:val="6"/>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ectPr>
          <w:pgSz w:w="11900" w:h="16838" w:orient="portrait"/>
          <w:cols w:equalWidth="0" w:num="1">
            <w:col w:w="10060"/>
          </w:cols>
          <w:pgMar w:left="400" w:top="1440" w:right="14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4.2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DOCSEND,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2013 STOCK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ADOPTED ON OCTOBER ,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DOCSEND,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2013 STOCK PLAN</w:t>
      </w:r>
    </w:p>
    <w:p>
      <w:pPr>
        <w:spacing w:after="0" w:line="29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9"/>
          <w:szCs w:val="19"/>
          <w:b w:val="1"/>
          <w:bCs w:val="1"/>
          <w:color w:val="auto"/>
        </w:rPr>
        <w:t>ESTABLISHMENT AND PURPOSE.</w:t>
      </w:r>
    </w:p>
    <w:p>
      <w:pPr>
        <w:spacing w:after="0" w:line="249"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The purpose of the Plan is to offer selected persons an opportunity to acquire a proprietary interest in the success of the Company, or to increase such interest, by purchasing Shares of the Company’s Stock. The Plan provides both for the direct award or sale of Shares and for the grant of Options to purchase Shares. Options granted under the Plan may include Nonstatutory Options as well as ISOs intended to qualify under Section 422 of the Code.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Capitalized terms are defined in Section 12.</w:t>
      </w:r>
    </w:p>
    <w:p>
      <w:pPr>
        <w:spacing w:after="0" w:line="237"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SECTION 2.</w:t>
        <w:tab/>
        <w:t>ADMINISTRATION.</w:t>
      </w:r>
    </w:p>
    <w:p>
      <w:pPr>
        <w:spacing w:after="0" w:line="243" w:lineRule="exact"/>
        <w:rPr>
          <w:sz w:val="20"/>
          <w:szCs w:val="20"/>
          <w:color w:val="auto"/>
        </w:rPr>
      </w:pPr>
    </w:p>
    <w:p>
      <w:pPr>
        <w:ind w:right="160" w:firstLine="486"/>
        <w:spacing w:after="0" w:line="280" w:lineRule="auto"/>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Committees of the Board of Directors.</w:t>
      </w:r>
      <w:r>
        <w:rPr>
          <w:rFonts w:ascii="Arial" w:cs="Arial" w:eastAsia="Arial" w:hAnsi="Arial"/>
          <w:sz w:val="18"/>
          <w:szCs w:val="18"/>
          <w:color w:val="auto"/>
        </w:rPr>
        <w:t xml:space="preserve"> The Plan may be administered by one or more Committees. Each Committee shall consist of 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shall be construed as a reference to the Committee (if any) to whom the Board of Directors has assigned a particular function.</w:t>
      </w:r>
    </w:p>
    <w:p>
      <w:pPr>
        <w:spacing w:after="0" w:line="183" w:lineRule="exact"/>
        <w:rPr>
          <w:sz w:val="20"/>
          <w:szCs w:val="20"/>
          <w:color w:val="auto"/>
        </w:rPr>
      </w:pPr>
    </w:p>
    <w:p>
      <w:pPr>
        <w:ind w:right="220" w:firstLine="494"/>
        <w:spacing w:after="0" w:line="248" w:lineRule="auto"/>
        <w:tabs>
          <w:tab w:leader="none" w:pos="914"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Authority of the Board of Directors. </w:t>
      </w:r>
      <w:r>
        <w:rPr>
          <w:rFonts w:ascii="Arial" w:cs="Arial" w:eastAsia="Arial" w:hAnsi="Arial"/>
          <w:sz w:val="20"/>
          <w:szCs w:val="20"/>
          <w:color w:val="auto"/>
        </w:rPr>
        <w:t>Subject to the provisions of the Plan, the Board of Directors shall have full authority and</w:t>
      </w:r>
      <w:r>
        <w:rPr>
          <w:rFonts w:ascii="Arial" w:cs="Arial" w:eastAsia="Arial" w:hAnsi="Arial"/>
          <w:sz w:val="20"/>
          <w:szCs w:val="20"/>
          <w:b w:val="1"/>
          <w:bCs w:val="1"/>
          <w:color w:val="auto"/>
        </w:rPr>
        <w:t xml:space="preserve"> </w:t>
      </w:r>
      <w:r>
        <w:rPr>
          <w:rFonts w:ascii="Arial" w:cs="Arial" w:eastAsia="Arial" w:hAnsi="Arial"/>
          <w:sz w:val="20"/>
          <w:szCs w:val="20"/>
          <w:color w:val="auto"/>
        </w:rPr>
        <w:t>discretion to take any actions it deems necessary or advisable for the administration of the Plan. All decisions, interpretations and other actions of the Board of Directors shall be final and binding on all Purchasers, all Optionees and all persons deriving their rights from a Purchaser or Optionee.</w:t>
      </w:r>
    </w:p>
    <w:p>
      <w:pPr>
        <w:spacing w:after="0" w:line="210"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20"/>
          <w:szCs w:val="20"/>
          <w:b w:val="1"/>
          <w:bCs w:val="1"/>
          <w:color w:val="auto"/>
        </w:rPr>
        <w:t>SECTION 3.</w:t>
        <w:tab/>
        <w:t>ELIGIBILITY.</w:t>
      </w:r>
    </w:p>
    <w:p>
      <w:pPr>
        <w:spacing w:after="0" w:line="243" w:lineRule="exact"/>
        <w:rPr>
          <w:sz w:val="20"/>
          <w:szCs w:val="20"/>
          <w:color w:val="auto"/>
        </w:rPr>
      </w:pPr>
    </w:p>
    <w:p>
      <w:pPr>
        <w:ind w:right="340" w:firstLine="486"/>
        <w:spacing w:after="0" w:line="267" w:lineRule="auto"/>
        <w:rPr>
          <w:sz w:val="20"/>
          <w:szCs w:val="20"/>
          <w:color w:val="auto"/>
        </w:rPr>
      </w:pPr>
      <w:r>
        <w:rPr>
          <w:rFonts w:ascii="Arial" w:cs="Arial" w:eastAsia="Arial" w:hAnsi="Arial"/>
          <w:sz w:val="20"/>
          <w:szCs w:val="20"/>
          <w:color w:val="auto"/>
        </w:rPr>
        <w:t>(a)</w:t>
      </w:r>
      <w:r>
        <w:rPr>
          <w:rFonts w:ascii="Arial" w:cs="Arial" w:eastAsia="Arial" w:hAnsi="Arial"/>
          <w:sz w:val="20"/>
          <w:szCs w:val="20"/>
          <w:b w:val="1"/>
          <w:bCs w:val="1"/>
          <w:color w:val="auto"/>
        </w:rPr>
        <w:t>General Rule.</w:t>
      </w:r>
      <w:r>
        <w:rPr>
          <w:rFonts w:ascii="Arial" w:cs="Arial" w:eastAsia="Arial" w:hAnsi="Arial"/>
          <w:sz w:val="20"/>
          <w:szCs w:val="20"/>
          <w:color w:val="auto"/>
        </w:rPr>
        <w:t xml:space="preserve"> Only Employees, Outside Directors and Consultants shall be eligible for the grant of Nonstatutory Options or the direct award or sale of Shares. Only Employees shall be eligible for the grant of ISOs.</w:t>
      </w:r>
    </w:p>
    <w:p>
      <w:pPr>
        <w:spacing w:after="0" w:line="190" w:lineRule="exact"/>
        <w:rPr>
          <w:sz w:val="20"/>
          <w:szCs w:val="20"/>
          <w:color w:val="auto"/>
        </w:rPr>
      </w:pPr>
    </w:p>
    <w:p>
      <w:pPr>
        <w:jc w:val="both"/>
        <w:ind w:right="160" w:firstLine="494"/>
        <w:spacing w:after="0" w:line="294" w:lineRule="auto"/>
        <w:tabs>
          <w:tab w:leader="none" w:pos="914"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TenPercent Stockholders. </w:t>
      </w:r>
      <w:r>
        <w:rPr>
          <w:rFonts w:ascii="Arial" w:cs="Arial" w:eastAsia="Arial" w:hAnsi="Arial"/>
          <w:sz w:val="18"/>
          <w:szCs w:val="18"/>
          <w:color w:val="auto"/>
        </w:rPr>
        <w:t>A person who owns more than 10% of the total combined voting power of all classes of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the Company, its Parent or any of its Subsidiaries shall not be eligible for the grant of an ISO unless (i) the Exercise Price is at least 110% of the Fair Market Value of a Share on the date of grant and (ii) such ISO by its terms is not exercisable after the expiration</w:t>
      </w:r>
    </w:p>
    <w:p>
      <w:pPr>
        <w:sectPr>
          <w:pgSz w:w="11900" w:h="16838" w:orient="portrait"/>
          <w:cols w:equalWidth="0" w:num="1">
            <w:col w:w="11240"/>
          </w:cols>
          <w:pgMar w:left="320" w:top="1413" w:right="339" w:bottom="1440" w:gutter="0" w:footer="0" w:header="0"/>
        </w:sectPr>
      </w:pPr>
    </w:p>
    <w:bookmarkStart w:id="9" w:name="page10"/>
    <w:bookmarkEnd w:id="9"/>
    <w:p>
      <w:pPr>
        <w:ind w:right="160"/>
        <w:spacing w:after="0" w:line="260" w:lineRule="auto"/>
        <w:rPr>
          <w:sz w:val="20"/>
          <w:szCs w:val="20"/>
          <w:color w:val="auto"/>
        </w:rPr>
      </w:pPr>
      <w:r>
        <w:rPr>
          <w:rFonts w:ascii="Arial" w:cs="Arial" w:eastAsia="Arial" w:hAnsi="Arial"/>
          <w:sz w:val="20"/>
          <w:szCs w:val="20"/>
          <w:color w:val="auto"/>
        </w:rPr>
        <w:t>of five (5) years from the date of grant. For purposes of this Subsection (b), in determining stock ownership, the attribution rules of Section 424(d) of the Code shall be applied.</w:t>
      </w:r>
    </w:p>
    <w:p>
      <w:pPr>
        <w:spacing w:after="0" w:line="198"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9"/>
          <w:szCs w:val="19"/>
          <w:b w:val="1"/>
          <w:bCs w:val="1"/>
          <w:color w:val="auto"/>
        </w:rPr>
        <w:t>STOCK SUBJECT TO PLAN.</w:t>
      </w:r>
    </w:p>
    <w:p>
      <w:pPr>
        <w:spacing w:after="0" w:line="243" w:lineRule="exact"/>
        <w:rPr>
          <w:sz w:val="20"/>
          <w:szCs w:val="20"/>
          <w:color w:val="auto"/>
        </w:rPr>
      </w:pPr>
    </w:p>
    <w:p>
      <w:pPr>
        <w:ind w:right="60" w:firstLine="486"/>
        <w:spacing w:after="0" w:line="262" w:lineRule="auto"/>
        <w:rPr>
          <w:sz w:val="20"/>
          <w:szCs w:val="20"/>
          <w:color w:val="auto"/>
        </w:rPr>
      </w:pPr>
      <w:r>
        <w:rPr>
          <w:rFonts w:ascii="Arial" w:cs="Arial" w:eastAsia="Arial" w:hAnsi="Arial"/>
          <w:sz w:val="19"/>
          <w:szCs w:val="19"/>
          <w:color w:val="auto"/>
        </w:rPr>
        <w:t>(a)</w:t>
      </w:r>
      <w:r>
        <w:rPr>
          <w:rFonts w:ascii="Arial" w:cs="Arial" w:eastAsia="Arial" w:hAnsi="Arial"/>
          <w:sz w:val="19"/>
          <w:szCs w:val="19"/>
          <w:b w:val="1"/>
          <w:bCs w:val="1"/>
          <w:color w:val="auto"/>
        </w:rPr>
        <w:t>Basic Limitation.</w:t>
      </w:r>
      <w:r>
        <w:rPr>
          <w:rFonts w:ascii="Arial" w:cs="Arial" w:eastAsia="Arial" w:hAnsi="Arial"/>
          <w:sz w:val="19"/>
          <w:szCs w:val="19"/>
          <w:color w:val="auto"/>
        </w:rPr>
        <w:t xml:space="preserve"> Not more than 525,854 Shares may be issued under the Plan (subject to Subsection (b) below and Section 8). All of these Shares may be issued upon the exercise of ISOs. The number of Shares that are subject to Options or other rights outstanding at any time under the Plan shall not exceed the number of Shares that then remain available for issuance under the Plan. The Company, during the term of the Plan, shall at all times reserve and keep available sufficient Shares to satisfy the requirements of the Plan. Shares offered under the Plan may be authorized but unissued Shares or treasury Shares.</w:t>
      </w:r>
    </w:p>
    <w:p>
      <w:pPr>
        <w:spacing w:after="0" w:line="198" w:lineRule="exact"/>
        <w:rPr>
          <w:sz w:val="20"/>
          <w:szCs w:val="20"/>
          <w:color w:val="auto"/>
        </w:rPr>
      </w:pPr>
    </w:p>
    <w:p>
      <w:pPr>
        <w:jc w:val="both"/>
        <w:ind w:right="40" w:firstLine="494"/>
        <w:spacing w:after="0" w:line="248" w:lineRule="auto"/>
        <w:tabs>
          <w:tab w:leader="none" w:pos="914"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Additional Shares. </w:t>
      </w:r>
      <w:r>
        <w:rPr>
          <w:rFonts w:ascii="Arial" w:cs="Arial" w:eastAsia="Arial" w:hAnsi="Arial"/>
          <w:sz w:val="20"/>
          <w:szCs w:val="20"/>
          <w:color w:val="auto"/>
        </w:rPr>
        <w:t>If Shares previously issued under the Plan are reacquired by the Company, such Shares shall be added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number of Shares then available for issuance under the Plan. If an outstanding Option or other right for any reason expires or is canceled, the Shares allocable to the unexercised portion of such Option or other right shall be added to the number of Shares then available for issuance under the Plan.</w:t>
      </w:r>
    </w:p>
    <w:p>
      <w:pPr>
        <w:spacing w:after="0" w:line="210"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9"/>
          <w:szCs w:val="19"/>
          <w:b w:val="1"/>
          <w:bCs w:val="1"/>
          <w:color w:val="auto"/>
        </w:rPr>
        <w:t>TERMS AND CONDITIONS OF AWARDS OR SALES.</w:t>
      </w:r>
    </w:p>
    <w:p>
      <w:pPr>
        <w:spacing w:after="0" w:line="243" w:lineRule="exact"/>
        <w:rPr>
          <w:sz w:val="20"/>
          <w:szCs w:val="20"/>
          <w:color w:val="auto"/>
        </w:rPr>
      </w:pPr>
    </w:p>
    <w:p>
      <w:pPr>
        <w:ind w:firstLine="486"/>
        <w:spacing w:after="0" w:line="246" w:lineRule="auto"/>
        <w:rPr>
          <w:sz w:val="20"/>
          <w:szCs w:val="20"/>
          <w:color w:val="auto"/>
        </w:rPr>
      </w:pPr>
      <w:r>
        <w:rPr>
          <w:rFonts w:ascii="Arial" w:cs="Arial" w:eastAsia="Arial" w:hAnsi="Arial"/>
          <w:sz w:val="20"/>
          <w:szCs w:val="20"/>
          <w:color w:val="auto"/>
        </w:rPr>
        <w:t>(a)</w:t>
      </w:r>
      <w:r>
        <w:rPr>
          <w:rFonts w:ascii="Arial" w:cs="Arial" w:eastAsia="Arial" w:hAnsi="Arial"/>
          <w:sz w:val="20"/>
          <w:szCs w:val="20"/>
          <w:b w:val="1"/>
          <w:bCs w:val="1"/>
          <w:color w:val="auto"/>
        </w:rPr>
        <w:t>Stock Purchase Agreement.</w:t>
      </w:r>
      <w:r>
        <w:rPr>
          <w:rFonts w:ascii="Arial" w:cs="Arial" w:eastAsia="Arial" w:hAnsi="Arial"/>
          <w:sz w:val="20"/>
          <w:szCs w:val="20"/>
          <w:color w:val="auto"/>
        </w:rPr>
        <w:t xml:space="preserve"> Each award or sale of Shares under the Plan (other than upon exercise of an Option)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Purchase Agreement. The provisions of the various Stock Purchase Agreements entered into under the Plan need not be identical.</w:t>
      </w:r>
    </w:p>
    <w:p>
      <w:pPr>
        <w:spacing w:after="0" w:line="212" w:lineRule="exact"/>
        <w:rPr>
          <w:sz w:val="20"/>
          <w:szCs w:val="20"/>
          <w:color w:val="auto"/>
        </w:rPr>
      </w:pPr>
    </w:p>
    <w:p>
      <w:pPr>
        <w:ind w:right="80" w:firstLine="494"/>
        <w:spacing w:after="0" w:line="294" w:lineRule="auto"/>
        <w:tabs>
          <w:tab w:leader="none" w:pos="914"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Duration of Offers and Nontransferability of Rights. </w:t>
      </w:r>
      <w:r>
        <w:rPr>
          <w:rFonts w:ascii="Arial" w:cs="Arial" w:eastAsia="Arial" w:hAnsi="Arial"/>
          <w:sz w:val="18"/>
          <w:szCs w:val="18"/>
          <w:color w:val="auto"/>
        </w:rPr>
        <w:t>Any right to acquire Shares under the Plan (other than an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expire if not exercised by the Purchaser within 30 days after the grant of such right was communicated to the Purchaser by the Company. Such right shall not be transferable and shall be exercisable only by the Purchaser to whom such right was granted.</w:t>
      </w:r>
    </w:p>
    <w:p>
      <w:pPr>
        <w:spacing w:after="0" w:line="171" w:lineRule="exact"/>
        <w:rPr>
          <w:sz w:val="20"/>
          <w:szCs w:val="20"/>
          <w:color w:val="auto"/>
        </w:rPr>
      </w:pPr>
    </w:p>
    <w:p>
      <w:pPr>
        <w:ind w:right="60" w:firstLine="486"/>
        <w:spacing w:after="0" w:line="253" w:lineRule="auto"/>
        <w:rPr>
          <w:sz w:val="20"/>
          <w:szCs w:val="20"/>
          <w:color w:val="auto"/>
        </w:rPr>
      </w:pPr>
      <w:r>
        <w:rPr>
          <w:rFonts w:ascii="Arial" w:cs="Arial" w:eastAsia="Arial" w:hAnsi="Arial"/>
          <w:sz w:val="20"/>
          <w:szCs w:val="20"/>
          <w:color w:val="auto"/>
        </w:rPr>
        <w:t>(c)</w:t>
      </w:r>
      <w:r>
        <w:rPr>
          <w:rFonts w:ascii="Arial" w:cs="Arial" w:eastAsia="Arial" w:hAnsi="Arial"/>
          <w:sz w:val="20"/>
          <w:szCs w:val="20"/>
          <w:b w:val="1"/>
          <w:bCs w:val="1"/>
          <w:color w:val="auto"/>
        </w:rPr>
        <w:t>Purchase Price.</w:t>
      </w:r>
      <w:r>
        <w:rPr>
          <w:rFonts w:ascii="Arial" w:cs="Arial" w:eastAsia="Arial" w:hAnsi="Arial"/>
          <w:sz w:val="20"/>
          <w:szCs w:val="20"/>
          <w:color w:val="auto"/>
        </w:rPr>
        <w:t xml:space="preserve"> The Purchase Price of Shares to be offered under the Plan, if newly issued, shall not be less than the par value of such Shares. Subject to the preceding sentence, the Board of Directors shall determine the Purchase Price at its sole discretion. The Purchase Price shall be payable in a form described in Section 7.</w:t>
      </w:r>
    </w:p>
    <w:p>
      <w:pPr>
        <w:spacing w:after="0" w:line="204" w:lineRule="exact"/>
        <w:rPr>
          <w:sz w:val="20"/>
          <w:szCs w:val="20"/>
          <w:color w:val="auto"/>
        </w:rPr>
      </w:pPr>
    </w:p>
    <w:p>
      <w:pPr>
        <w:ind w:right="100" w:firstLine="494"/>
        <w:spacing w:after="0" w:line="253" w:lineRule="auto"/>
        <w:tabs>
          <w:tab w:leader="none" w:pos="914"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As a condition to the purchase of Shares, the Purchaser shall make such arrangements as the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may require for the satisfaction of any federal, state, local or foreign withholding tax obligations that may arise in connection with such purchase.</w:t>
      </w:r>
    </w:p>
    <w:p>
      <w:pPr>
        <w:spacing w:after="0" w:line="204" w:lineRule="exact"/>
        <w:rPr>
          <w:sz w:val="20"/>
          <w:szCs w:val="20"/>
          <w:color w:val="auto"/>
        </w:rPr>
      </w:pPr>
    </w:p>
    <w:p>
      <w:pPr>
        <w:ind w:right="360" w:firstLine="486"/>
        <w:spacing w:after="0" w:line="246" w:lineRule="auto"/>
        <w:rPr>
          <w:sz w:val="20"/>
          <w:szCs w:val="20"/>
          <w:color w:val="auto"/>
        </w:rPr>
      </w:pPr>
      <w:r>
        <w:rPr>
          <w:rFonts w:ascii="Arial" w:cs="Arial" w:eastAsia="Arial" w:hAnsi="Arial"/>
          <w:sz w:val="20"/>
          <w:szCs w:val="20"/>
          <w:color w:val="auto"/>
        </w:rPr>
        <w:t>(e)</w:t>
      </w:r>
      <w:r>
        <w:rPr>
          <w:rFonts w:ascii="Arial" w:cs="Arial" w:eastAsia="Arial" w:hAnsi="Arial"/>
          <w:sz w:val="20"/>
          <w:szCs w:val="20"/>
          <w:b w:val="1"/>
          <w:bCs w:val="1"/>
          <w:color w:val="auto"/>
        </w:rPr>
        <w:t>Restrictions on Transfer of Shares.</w:t>
      </w:r>
      <w:r>
        <w:rPr>
          <w:rFonts w:ascii="Arial" w:cs="Arial" w:eastAsia="Arial" w:hAnsi="Arial"/>
          <w:sz w:val="20"/>
          <w:szCs w:val="20"/>
          <w:color w:val="auto"/>
        </w:rPr>
        <w:t xml:space="preserve"> Any Shares awarded or sold under the Plan shall be subject to such special forfeiture conditions, rights of repurchase, rights of first refusal and other transfer restrictions as the Board of Directors may determine. Such restrictions shall be set forth in the applicable Stock Purchase Agreement and shall apply in addition to any restrictions that may apply to holders of Shares generally. A Stock Purchase Agreement may provide for accelerated vesting in the event of the Purchaser’s death, disability, retirement or other events.</w:t>
      </w:r>
    </w:p>
    <w:p>
      <w:pPr>
        <w:sectPr>
          <w:pgSz w:w="11900" w:h="16838" w:orient="portrait"/>
          <w:cols w:equalWidth="0" w:num="1">
            <w:col w:w="11200"/>
          </w:cols>
          <w:pgMar w:left="320" w:top="1419" w:right="379" w:bottom="1440" w:gutter="0" w:footer="0" w:header="0"/>
        </w:sectPr>
      </w:pPr>
    </w:p>
    <w:bookmarkStart w:id="10" w:name="page11"/>
    <w:bookmarkEnd w:id="10"/>
    <w:p>
      <w:pPr>
        <w:ind w:left="500"/>
        <w:spacing w:after="0"/>
        <w:tabs>
          <w:tab w:leader="none" w:pos="176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9"/>
          <w:szCs w:val="19"/>
          <w:b w:val="1"/>
          <w:bCs w:val="1"/>
          <w:color w:val="auto"/>
        </w:rPr>
        <w:t>TERMS AND CONDITIONS OF OPTIONS.</w:t>
      </w:r>
    </w:p>
    <w:p>
      <w:pPr>
        <w:spacing w:after="0" w:line="243" w:lineRule="exact"/>
        <w:rPr>
          <w:sz w:val="20"/>
          <w:szCs w:val="20"/>
          <w:color w:val="auto"/>
        </w:rPr>
      </w:pPr>
    </w:p>
    <w:p>
      <w:pPr>
        <w:jc w:val="both"/>
        <w:ind w:right="200" w:firstLine="486"/>
        <w:spacing w:after="0" w:line="285" w:lineRule="auto"/>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Stock Option Agreement.</w:t>
      </w:r>
      <w:r>
        <w:rPr>
          <w:rFonts w:ascii="Arial" w:cs="Arial" w:eastAsia="Arial" w:hAnsi="Arial"/>
          <w:sz w:val="18"/>
          <w:szCs w:val="18"/>
          <w:color w:val="auto"/>
        </w:rPr>
        <w:t xml:space="preserve"> Each grant of an Option under the Plan shall be evidenced by a Stock Option Agreement between the Optionee and the Company. Such Option shall be subject to all applicable terms and conditions of the Plan and may be subject to any other terms and conditions which are not inconsistent with the Plan and which the Board of Directors deems appropriate for inclusion in a Stock Option Agreement. The provisions of the various Stock Option Agreements entered into under the Plan need not be identical.</w:t>
      </w:r>
    </w:p>
    <w:p>
      <w:pPr>
        <w:spacing w:after="0" w:line="178" w:lineRule="exact"/>
        <w:rPr>
          <w:sz w:val="20"/>
          <w:szCs w:val="20"/>
          <w:color w:val="auto"/>
        </w:rPr>
      </w:pPr>
    </w:p>
    <w:p>
      <w:pPr>
        <w:ind w:right="80" w:firstLine="494"/>
        <w:spacing w:after="0" w:line="253" w:lineRule="auto"/>
        <w:tabs>
          <w:tab w:leader="none" w:pos="914"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 xml:space="preserve">Number of Shares. </w:t>
      </w:r>
      <w:r>
        <w:rPr>
          <w:rFonts w:ascii="Arial" w:cs="Arial" w:eastAsia="Arial" w:hAnsi="Arial"/>
          <w:sz w:val="20"/>
          <w:szCs w:val="20"/>
          <w:color w:val="auto"/>
        </w:rPr>
        <w:t>Each Stock Option Agreement shall specify the number of Shares that are subject to the Option and shall</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for the adjustment of such number in accordance with Section 8. The Stock Option Agreement shall also specify whether the Option is an ISO or a Nonstatutory Option.</w:t>
      </w:r>
    </w:p>
    <w:p>
      <w:pPr>
        <w:spacing w:after="0" w:line="204" w:lineRule="exact"/>
        <w:rPr>
          <w:sz w:val="20"/>
          <w:szCs w:val="20"/>
          <w:color w:val="auto"/>
        </w:rPr>
      </w:pPr>
    </w:p>
    <w:p>
      <w:pPr>
        <w:ind w:right="160" w:firstLine="486"/>
        <w:spacing w:after="0" w:line="248" w:lineRule="auto"/>
        <w:rPr>
          <w:sz w:val="20"/>
          <w:szCs w:val="20"/>
          <w:color w:val="auto"/>
        </w:rPr>
      </w:pPr>
      <w:r>
        <w:rPr>
          <w:rFonts w:ascii="Arial" w:cs="Arial" w:eastAsia="Arial" w:hAnsi="Arial"/>
          <w:sz w:val="20"/>
          <w:szCs w:val="20"/>
          <w:color w:val="auto"/>
        </w:rPr>
        <w:t>(c)</w:t>
      </w:r>
      <w:r>
        <w:rPr>
          <w:rFonts w:ascii="Arial" w:cs="Arial" w:eastAsia="Arial" w:hAnsi="Arial"/>
          <w:sz w:val="20"/>
          <w:szCs w:val="20"/>
          <w:b w:val="1"/>
          <w:bCs w:val="1"/>
          <w:color w:val="auto"/>
        </w:rPr>
        <w:t>Exercise Price.</w:t>
      </w:r>
      <w:r>
        <w:rPr>
          <w:rFonts w:ascii="Arial" w:cs="Arial" w:eastAsia="Arial" w:hAnsi="Arial"/>
          <w:sz w:val="20"/>
          <w:szCs w:val="20"/>
          <w:color w:val="auto"/>
        </w:rPr>
        <w:t xml:space="preserve"> Each Stock Option Agreement shall specify the Exercise Price. The Exercise Price of any option shall not be less than 100% of the Fair Market Value of a Share on the date of grant, and a higher percentage may be required by Section 3(b). Subject to the preceding sentence, the Exercise Price shall be determined by the Board of Directors at its sole discretion. The Exercise Price shall be payable in a form described in Section 7.</w:t>
      </w:r>
    </w:p>
    <w:p>
      <w:pPr>
        <w:spacing w:after="0" w:line="210" w:lineRule="exact"/>
        <w:rPr>
          <w:sz w:val="20"/>
          <w:szCs w:val="20"/>
          <w:color w:val="auto"/>
        </w:rPr>
      </w:pPr>
    </w:p>
    <w:p>
      <w:pPr>
        <w:ind w:right="140" w:firstLine="494"/>
        <w:spacing w:after="0" w:line="246" w:lineRule="auto"/>
        <w:tabs>
          <w:tab w:leader="none" w:pos="914"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Exercisability. </w:t>
      </w:r>
      <w:r>
        <w:rPr>
          <w:rFonts w:ascii="Arial" w:cs="Arial" w:eastAsia="Arial" w:hAnsi="Arial"/>
          <w:sz w:val="20"/>
          <w:szCs w:val="20"/>
          <w:color w:val="auto"/>
        </w:rPr>
        <w:t>Each Stock Option Agreement shall specify the date when all or any installment of the Option is to become</w:t>
      </w:r>
      <w:r>
        <w:rPr>
          <w:rFonts w:ascii="Arial" w:cs="Arial" w:eastAsia="Arial" w:hAnsi="Arial"/>
          <w:sz w:val="20"/>
          <w:szCs w:val="20"/>
          <w:b w:val="1"/>
          <w:bCs w:val="1"/>
          <w:color w:val="auto"/>
        </w:rPr>
        <w:t xml:space="preserve"> </w:t>
      </w:r>
      <w:r>
        <w:rPr>
          <w:rFonts w:ascii="Arial" w:cs="Arial" w:eastAsia="Arial" w:hAnsi="Arial"/>
          <w:sz w:val="20"/>
          <w:szCs w:val="20"/>
          <w:color w:val="auto"/>
        </w:rPr>
        <w:t>exercisable. No Option shall be exercisable unless the Optionee (i) has delivered an executed copy of the Stock Option Agreement to the Company or (ii) otherwise agrees to be bound by the terms of the Stock Option Agreement. The Board of Directors shall determine the exercisability provisions of any Stock Option Agreement at its sole discretion. All of an Optionee's Options shall become exercisable in full if Section 8(b)(iv) applies.</w:t>
      </w:r>
    </w:p>
    <w:p>
      <w:pPr>
        <w:spacing w:after="0" w:line="212" w:lineRule="exact"/>
        <w:rPr>
          <w:sz w:val="20"/>
          <w:szCs w:val="20"/>
          <w:color w:val="auto"/>
        </w:rPr>
      </w:pPr>
    </w:p>
    <w:p>
      <w:pPr>
        <w:ind w:right="100" w:firstLine="486"/>
        <w:spacing w:after="0" w:line="248" w:lineRule="auto"/>
        <w:rPr>
          <w:sz w:val="20"/>
          <w:szCs w:val="20"/>
          <w:color w:val="auto"/>
        </w:rPr>
      </w:pPr>
      <w:r>
        <w:rPr>
          <w:rFonts w:ascii="Arial" w:cs="Arial" w:eastAsia="Arial" w:hAnsi="Arial"/>
          <w:sz w:val="20"/>
          <w:szCs w:val="20"/>
          <w:color w:val="auto"/>
        </w:rPr>
        <w:t>(e)</w:t>
      </w:r>
      <w:r>
        <w:rPr>
          <w:rFonts w:ascii="Arial" w:cs="Arial" w:eastAsia="Arial" w:hAnsi="Arial"/>
          <w:sz w:val="20"/>
          <w:szCs w:val="20"/>
          <w:b w:val="1"/>
          <w:bCs w:val="1"/>
          <w:color w:val="auto"/>
        </w:rPr>
        <w:t>Basic Term.</w:t>
      </w:r>
      <w:r>
        <w:rPr>
          <w:rFonts w:ascii="Arial" w:cs="Arial" w:eastAsia="Arial" w:hAnsi="Arial"/>
          <w:sz w:val="20"/>
          <w:szCs w:val="20"/>
          <w:color w:val="auto"/>
        </w:rPr>
        <w:t xml:space="preserve"> The Stock Option Agreement shall specify the term of the Option. The term shall not exceed 10 years from the date of grant, and in the case of an ISO a shorter term may be required by Section 3(b). Subject to the preceding sentence, the Board of Directors at its sole discretion shall determine when an Option is to expire. A Stock Option Agreement may provide for expiration before the end of its term in the event of the termination of the Optionee’s Service or death.</w:t>
      </w:r>
    </w:p>
    <w:p>
      <w:pPr>
        <w:spacing w:after="0" w:line="210" w:lineRule="exact"/>
        <w:rPr>
          <w:sz w:val="20"/>
          <w:szCs w:val="20"/>
          <w:color w:val="auto"/>
        </w:rPr>
      </w:pPr>
    </w:p>
    <w:p>
      <w:pPr>
        <w:ind w:firstLine="486"/>
        <w:spacing w:after="0" w:line="267" w:lineRule="auto"/>
        <w:rPr>
          <w:sz w:val="20"/>
          <w:szCs w:val="20"/>
          <w:color w:val="auto"/>
        </w:rPr>
      </w:pPr>
      <w:r>
        <w:rPr>
          <w:rFonts w:ascii="Arial" w:cs="Arial" w:eastAsia="Arial" w:hAnsi="Arial"/>
          <w:sz w:val="20"/>
          <w:szCs w:val="20"/>
          <w:color w:val="auto"/>
        </w:rPr>
        <w:t>(f)</w:t>
      </w:r>
      <w:r>
        <w:rPr>
          <w:rFonts w:ascii="Arial" w:cs="Arial" w:eastAsia="Arial" w:hAnsi="Arial"/>
          <w:sz w:val="20"/>
          <w:szCs w:val="20"/>
          <w:b w:val="1"/>
          <w:bCs w:val="1"/>
          <w:color w:val="auto"/>
        </w:rPr>
        <w:t>Termination of Service (Except by Death).</w:t>
      </w:r>
      <w:r>
        <w:rPr>
          <w:rFonts w:ascii="Arial" w:cs="Arial" w:eastAsia="Arial" w:hAnsi="Arial"/>
          <w:sz w:val="20"/>
          <w:szCs w:val="20"/>
          <w:color w:val="auto"/>
        </w:rPr>
        <w:t xml:space="preserve"> If an Optionee’s Service terminates for any reason other than the Optionee’s death, then the Optionee’s Options shall expire on the earliest of the following occasions:</w:t>
      </w:r>
    </w:p>
    <w:p>
      <w:pPr>
        <w:spacing w:after="0" w:line="196" w:lineRule="exact"/>
        <w:rPr>
          <w:sz w:val="20"/>
          <w:szCs w:val="20"/>
          <w:color w:val="auto"/>
        </w:rPr>
      </w:pPr>
    </w:p>
    <w:p>
      <w:pPr>
        <w:ind w:left="1520" w:hanging="378"/>
        <w:spacing w:after="0"/>
        <w:tabs>
          <w:tab w:leader="none" w:pos="15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expiration date determined pursuant to Subsection (e) above;</w:t>
      </w:r>
    </w:p>
    <w:p>
      <w:pPr>
        <w:spacing w:after="0" w:line="242" w:lineRule="exact"/>
        <w:rPr>
          <w:rFonts w:ascii="Arial" w:cs="Arial" w:eastAsia="Arial" w:hAnsi="Arial"/>
          <w:sz w:val="20"/>
          <w:szCs w:val="20"/>
          <w:color w:val="auto"/>
        </w:rPr>
      </w:pPr>
    </w:p>
    <w:p>
      <w:pPr>
        <w:ind w:right="300" w:firstLine="1142"/>
        <w:spacing w:after="0" w:line="260" w:lineRule="auto"/>
        <w:tabs>
          <w:tab w:leader="none" w:pos="157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date three months after the termination of the Optionee’s Service for any reason other than Cause or Disability, or such later date as the Board of Directors may determine;</w:t>
      </w:r>
    </w:p>
    <w:p>
      <w:pPr>
        <w:spacing w:after="0" w:line="203" w:lineRule="exact"/>
        <w:rPr>
          <w:rFonts w:ascii="Arial" w:cs="Arial" w:eastAsia="Arial" w:hAnsi="Arial"/>
          <w:sz w:val="20"/>
          <w:szCs w:val="20"/>
          <w:color w:val="auto"/>
        </w:rPr>
      </w:pPr>
    </w:p>
    <w:p>
      <w:pPr>
        <w:ind w:left="1640" w:hanging="498"/>
        <w:spacing w:after="0"/>
        <w:tabs>
          <w:tab w:leader="none" w:pos="16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date of the termination of the Optionee’s Service for Cause, or such later date as the Board of Directors may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determine; or</w:t>
      </w:r>
    </w:p>
    <w:p>
      <w:pPr>
        <w:spacing w:after="0" w:line="226" w:lineRule="exact"/>
        <w:rPr>
          <w:rFonts w:ascii="Arial" w:cs="Arial" w:eastAsia="Arial" w:hAnsi="Arial"/>
          <w:sz w:val="19"/>
          <w:szCs w:val="19"/>
          <w:color w:val="auto"/>
        </w:rPr>
      </w:pPr>
    </w:p>
    <w:p>
      <w:pPr>
        <w:ind w:right="80" w:firstLine="1142"/>
        <w:spacing w:after="0" w:line="260" w:lineRule="auto"/>
        <w:tabs>
          <w:tab w:leader="none" w:pos="1614"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date 6 months after the termination of the Optionee’s Service by reason of Disability, or such later date as the Board of Directors may determine.</w:t>
      </w:r>
    </w:p>
    <w:p>
      <w:pPr>
        <w:spacing w:after="0" w:line="204"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The Optionee may exercise all or part of the Optionee’s Options at any time before the expiration of such Options under the preceding sentence, but only to the extent that such Options had become exercisable</w:t>
      </w:r>
    </w:p>
    <w:p>
      <w:pPr>
        <w:sectPr>
          <w:pgSz w:w="11900" w:h="16838" w:orient="portrait"/>
          <w:cols w:equalWidth="0" w:num="1">
            <w:col w:w="11220"/>
          </w:cols>
          <w:pgMar w:left="320" w:top="1413" w:right="359" w:bottom="1440" w:gutter="0" w:footer="0" w:header="0"/>
        </w:sectPr>
      </w:pPr>
    </w:p>
    <w:bookmarkStart w:id="11" w:name="page12"/>
    <w:bookmarkEnd w:id="11"/>
    <w:p>
      <w:pPr>
        <w:spacing w:after="0" w:line="274" w:lineRule="auto"/>
        <w:rPr>
          <w:sz w:val="20"/>
          <w:szCs w:val="20"/>
          <w:color w:val="auto"/>
        </w:rPr>
      </w:pPr>
      <w:r>
        <w:rPr>
          <w:rFonts w:ascii="Arial" w:cs="Arial" w:eastAsia="Arial" w:hAnsi="Arial"/>
          <w:sz w:val="18"/>
          <w:szCs w:val="18"/>
          <w:color w:val="auto"/>
        </w:rPr>
        <w:t>before the Optionee’s Service terminated (or became exercisable as a result of the termination) and the underlying Shares had vested before the Optionee’s Service terminated (or vested as a result of the termination). The balance of such Options shall lapse when the Optionee’s Service terminates. If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w:t>
      </w:r>
    </w:p>
    <w:p>
      <w:pPr>
        <w:spacing w:after="0" w:line="189" w:lineRule="exact"/>
        <w:rPr>
          <w:sz w:val="20"/>
          <w:szCs w:val="20"/>
          <w:color w:val="auto"/>
        </w:rPr>
      </w:pPr>
    </w:p>
    <w:p>
      <w:pPr>
        <w:ind w:right="160" w:firstLine="494"/>
        <w:spacing w:after="0" w:line="272" w:lineRule="auto"/>
        <w:tabs>
          <w:tab w:leader="none" w:pos="914"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Leaves of Absence. </w:t>
      </w:r>
      <w:r>
        <w:rPr>
          <w:rFonts w:ascii="Arial" w:cs="Arial" w:eastAsia="Arial" w:hAnsi="Arial"/>
          <w:sz w:val="19"/>
          <w:szCs w:val="19"/>
          <w:color w:val="auto"/>
        </w:rPr>
        <w:t>For purposes of Subsection (f) above, Service shall be deemed to continue while the Optionee is on a bona</w:t>
      </w:r>
      <w:r>
        <w:rPr>
          <w:rFonts w:ascii="Arial" w:cs="Arial" w:eastAsia="Arial" w:hAnsi="Arial"/>
          <w:sz w:val="19"/>
          <w:szCs w:val="19"/>
          <w:b w:val="1"/>
          <w:bCs w:val="1"/>
          <w:color w:val="auto"/>
        </w:rPr>
        <w:t xml:space="preserve"> </w:t>
      </w:r>
      <w:r>
        <w:rPr>
          <w:rFonts w:ascii="Arial" w:cs="Arial" w:eastAsia="Arial" w:hAnsi="Arial"/>
          <w:sz w:val="19"/>
          <w:szCs w:val="19"/>
          <w:color w:val="auto"/>
        </w:rPr>
        <w:t>fide leave of absence, if such leave was approved by the Company in writing and if continued crediting of Service for this purpose is expressly required by the terms of such leave or by applicable law (as determined by the Company).</w:t>
      </w:r>
    </w:p>
    <w:p>
      <w:pPr>
        <w:spacing w:after="0" w:line="188" w:lineRule="exact"/>
        <w:rPr>
          <w:rFonts w:ascii="Arial" w:cs="Arial" w:eastAsia="Arial" w:hAnsi="Arial"/>
          <w:sz w:val="19"/>
          <w:szCs w:val="19"/>
          <w:color w:val="auto"/>
        </w:rPr>
      </w:pPr>
    </w:p>
    <w:p>
      <w:pPr>
        <w:ind w:right="140" w:firstLine="494"/>
        <w:spacing w:after="0" w:line="267" w:lineRule="auto"/>
        <w:tabs>
          <w:tab w:leader="none" w:pos="914"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 xml:space="preserve">Death of Optionee. </w:t>
      </w:r>
      <w:r>
        <w:rPr>
          <w:rFonts w:ascii="Arial" w:cs="Arial" w:eastAsia="Arial" w:hAnsi="Arial"/>
          <w:sz w:val="20"/>
          <w:szCs w:val="20"/>
          <w:color w:val="auto"/>
        </w:rPr>
        <w:t>If an Optionee dies while the Optionee is in Service, then the Optionee’s Options shall expire on the earlier</w:t>
      </w:r>
      <w:r>
        <w:rPr>
          <w:rFonts w:ascii="Arial" w:cs="Arial" w:eastAsia="Arial" w:hAnsi="Arial"/>
          <w:sz w:val="20"/>
          <w:szCs w:val="20"/>
          <w:b w:val="1"/>
          <w:bCs w:val="1"/>
          <w:color w:val="auto"/>
        </w:rPr>
        <w:t xml:space="preserve"> </w:t>
      </w:r>
      <w:r>
        <w:rPr>
          <w:rFonts w:ascii="Arial" w:cs="Arial" w:eastAsia="Arial" w:hAnsi="Arial"/>
          <w:sz w:val="20"/>
          <w:szCs w:val="20"/>
          <w:color w:val="auto"/>
        </w:rPr>
        <w:t>of the following dates:</w:t>
      </w:r>
    </w:p>
    <w:p>
      <w:pPr>
        <w:spacing w:after="0" w:line="196" w:lineRule="exact"/>
        <w:rPr>
          <w:rFonts w:ascii="Arial" w:cs="Arial" w:eastAsia="Arial" w:hAnsi="Arial"/>
          <w:sz w:val="20"/>
          <w:szCs w:val="20"/>
          <w:color w:val="auto"/>
        </w:rPr>
      </w:pPr>
    </w:p>
    <w:p>
      <w:pPr>
        <w:ind w:left="1520" w:hanging="378"/>
        <w:spacing w:after="0"/>
        <w:tabs>
          <w:tab w:leader="none" w:pos="1520"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expiration date determined pursuant to Subsection (e) above; or</w:t>
      </w:r>
    </w:p>
    <w:p>
      <w:pPr>
        <w:spacing w:after="0" w:line="242" w:lineRule="exact"/>
        <w:rPr>
          <w:rFonts w:ascii="Arial" w:cs="Arial" w:eastAsia="Arial" w:hAnsi="Arial"/>
          <w:sz w:val="20"/>
          <w:szCs w:val="20"/>
          <w:color w:val="auto"/>
        </w:rPr>
      </w:pPr>
    </w:p>
    <w:p>
      <w:pPr>
        <w:ind w:left="1580" w:hanging="438"/>
        <w:spacing w:after="0"/>
        <w:tabs>
          <w:tab w:leader="none" w:pos="15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date 12 months after the Optionee’s death, or such later date as the Board of Directors may determine.</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The balance of such Options shall lapse when the Optionee dies.</w:t>
      </w:r>
    </w:p>
    <w:p>
      <w:pPr>
        <w:spacing w:after="0" w:line="201" w:lineRule="exact"/>
        <w:rPr>
          <w:sz w:val="20"/>
          <w:szCs w:val="20"/>
          <w:color w:val="auto"/>
        </w:rPr>
      </w:pPr>
    </w:p>
    <w:p>
      <w:pPr>
        <w:ind w:right="320" w:firstLine="494"/>
        <w:spacing w:after="0" w:line="248" w:lineRule="auto"/>
        <w:tabs>
          <w:tab w:leader="none" w:pos="914" w:val="left"/>
        </w:tabs>
        <w:numPr>
          <w:ilvl w:val="1"/>
          <w:numId w:val="18"/>
        </w:numPr>
        <w:rPr>
          <w:rFonts w:ascii="Arial" w:cs="Arial" w:eastAsia="Arial" w:hAnsi="Arial"/>
          <w:sz w:val="20"/>
          <w:szCs w:val="20"/>
          <w:color w:val="auto"/>
        </w:rPr>
      </w:pPr>
      <w:r>
        <w:rPr>
          <w:rFonts w:ascii="Arial" w:cs="Arial" w:eastAsia="Arial" w:hAnsi="Arial"/>
          <w:sz w:val="20"/>
          <w:szCs w:val="20"/>
          <w:b w:val="1"/>
          <w:bCs w:val="1"/>
          <w:color w:val="auto"/>
        </w:rPr>
        <w:t xml:space="preserve">Restrictions on Transfer of Shares. </w:t>
      </w:r>
      <w:r>
        <w:rPr>
          <w:rFonts w:ascii="Arial" w:cs="Arial" w:eastAsia="Arial" w:hAnsi="Arial"/>
          <w:sz w:val="20"/>
          <w:szCs w:val="20"/>
          <w:color w:val="auto"/>
        </w:rPr>
        <w:t>Any Shares issued upon exercise of an Option shall be subject to such special forfeiture</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rights of repurchase, rights of first refusal and other transfer restrictions as the Board of Directors may determine. Such restrictions shall be set forth in the applicable Stock Option Agreement and shall apply in addition to any restrictions that may apply to holders of Shares generally.</w:t>
      </w:r>
    </w:p>
    <w:p>
      <w:pPr>
        <w:spacing w:after="0" w:line="210" w:lineRule="exact"/>
        <w:rPr>
          <w:rFonts w:ascii="Arial" w:cs="Arial" w:eastAsia="Arial" w:hAnsi="Arial"/>
          <w:sz w:val="20"/>
          <w:szCs w:val="20"/>
          <w:color w:val="auto"/>
        </w:rPr>
      </w:pPr>
    </w:p>
    <w:p>
      <w:pPr>
        <w:ind w:left="880" w:hanging="386"/>
        <w:spacing w:after="0"/>
        <w:tabs>
          <w:tab w:leader="none" w:pos="88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Transferability of Options. </w:t>
      </w:r>
      <w:r>
        <w:rPr>
          <w:rFonts w:ascii="Arial" w:cs="Arial" w:eastAsia="Arial" w:hAnsi="Arial"/>
          <w:sz w:val="18"/>
          <w:szCs w:val="18"/>
          <w:color w:val="auto"/>
        </w:rPr>
        <w:t>An Option shall be transferable by the Optionee only by (i) a beneficiary designation, (ii) a will or</w:t>
      </w:r>
    </w:p>
    <w:p>
      <w:pPr>
        <w:spacing w:after="0" w:line="44" w:lineRule="exact"/>
        <w:rPr>
          <w:rFonts w:ascii="Arial" w:cs="Arial" w:eastAsia="Arial" w:hAnsi="Arial"/>
          <w:sz w:val="18"/>
          <w:szCs w:val="18"/>
          <w:color w:val="auto"/>
        </w:rPr>
      </w:pPr>
    </w:p>
    <w:p>
      <w:pPr>
        <w:ind w:right="240" w:firstLine="8"/>
        <w:spacing w:after="0" w:line="281" w:lineRule="auto"/>
        <w:tabs>
          <w:tab w:leader="none" w:pos="3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laws of descent and distribution, except as provided in the next sentence. If the applicable Stock Option Agreement so provides, a Nonstatutory Option shall also be transferable by gift or domestic relations order to a Family Member of the Optionee. An ISO may be exercised during the lifetime of the Optionee only by the Optionee or by the Optionee's guardian or legal representative.</w:t>
      </w:r>
    </w:p>
    <w:p>
      <w:pPr>
        <w:spacing w:after="0" w:line="182" w:lineRule="exact"/>
        <w:rPr>
          <w:rFonts w:ascii="Arial" w:cs="Arial" w:eastAsia="Arial" w:hAnsi="Arial"/>
          <w:sz w:val="18"/>
          <w:szCs w:val="18"/>
          <w:color w:val="auto"/>
        </w:rPr>
      </w:pPr>
    </w:p>
    <w:p>
      <w:pPr>
        <w:ind w:right="60" w:firstLine="494"/>
        <w:spacing w:after="0" w:line="294" w:lineRule="auto"/>
        <w:tabs>
          <w:tab w:leader="none" w:pos="969"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As a condition to the exercise of an Option, the Optionee shall make such arrangements as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require for the satisfaction of any federal, state, local or foreign withholding tax obligations that may arise in connection with such exercise. The Optionee shall also make such arrangements as the Board of Directors may require for the satisfaction of any federal,</w:t>
      </w:r>
    </w:p>
    <w:p>
      <w:pPr>
        <w:sectPr>
          <w:pgSz w:w="11900" w:h="16838" w:orient="portrait"/>
          <w:cols w:equalWidth="0" w:num="1">
            <w:col w:w="11160"/>
          </w:cols>
          <w:pgMar w:left="320" w:top="1419" w:right="419" w:bottom="1440" w:gutter="0" w:footer="0" w:header="0"/>
        </w:sectPr>
      </w:pPr>
    </w:p>
    <w:bookmarkStart w:id="12" w:name="page13"/>
    <w:bookmarkEnd w:id="12"/>
    <w:p>
      <w:pPr>
        <w:ind w:right="540"/>
        <w:spacing w:after="0" w:line="260" w:lineRule="auto"/>
        <w:rPr>
          <w:sz w:val="20"/>
          <w:szCs w:val="20"/>
          <w:color w:val="auto"/>
        </w:rPr>
      </w:pPr>
      <w:r>
        <w:rPr>
          <w:rFonts w:ascii="Arial" w:cs="Arial" w:eastAsia="Arial" w:hAnsi="Arial"/>
          <w:sz w:val="20"/>
          <w:szCs w:val="20"/>
          <w:color w:val="auto"/>
        </w:rPr>
        <w:t>state, local or foreign withholding tax obligations that may arise in connection with the disposition of Shares acquired by exercising an Option.</w:t>
      </w:r>
    </w:p>
    <w:p>
      <w:pPr>
        <w:spacing w:after="0" w:line="198" w:lineRule="exact"/>
        <w:rPr>
          <w:sz w:val="20"/>
          <w:szCs w:val="20"/>
          <w:color w:val="auto"/>
        </w:rPr>
      </w:pPr>
    </w:p>
    <w:p>
      <w:pPr>
        <w:ind w:right="280" w:firstLine="494"/>
        <w:spacing w:after="0" w:line="253" w:lineRule="auto"/>
        <w:tabs>
          <w:tab w:leader="none" w:pos="914"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 xml:space="preserve">No Rights as a Stockholder. </w:t>
      </w:r>
      <w:r>
        <w:rPr>
          <w:rFonts w:ascii="Arial" w:cs="Arial" w:eastAsia="Arial" w:hAnsi="Arial"/>
          <w:sz w:val="20"/>
          <w:szCs w:val="20"/>
          <w:color w:val="auto"/>
        </w:rPr>
        <w:t>An Optionee, or a transferee of an Optionee, shall have no rights as a stockholder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any Shares covered by the Optionee’s Option until such person becomes entitled to receive such Shares by filing a notice of exercise and paying the Exercise Price pursuant to the terms of such Option.</w:t>
      </w:r>
    </w:p>
    <w:p>
      <w:pPr>
        <w:spacing w:after="0" w:line="204" w:lineRule="exact"/>
        <w:rPr>
          <w:rFonts w:ascii="Arial" w:cs="Arial" w:eastAsia="Arial" w:hAnsi="Arial"/>
          <w:sz w:val="20"/>
          <w:szCs w:val="20"/>
          <w:color w:val="auto"/>
        </w:rPr>
      </w:pPr>
    </w:p>
    <w:p>
      <w:pPr>
        <w:jc w:val="both"/>
        <w:ind w:right="140" w:firstLine="494"/>
        <w:spacing w:after="0" w:line="246" w:lineRule="auto"/>
        <w:tabs>
          <w:tab w:leader="none" w:pos="914"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 xml:space="preserve">Modification, Extension and Assumption of Options. </w:t>
      </w:r>
      <w:r>
        <w:rPr>
          <w:rFonts w:ascii="Arial" w:cs="Arial" w:eastAsia="Arial" w:hAnsi="Arial"/>
          <w:sz w:val="20"/>
          <w:szCs w:val="20"/>
          <w:color w:val="auto"/>
        </w:rPr>
        <w:t>Within the limitations of the Plan, the Board of Directors may modify,</w:t>
      </w:r>
      <w:r>
        <w:rPr>
          <w:rFonts w:ascii="Arial" w:cs="Arial" w:eastAsia="Arial" w:hAnsi="Arial"/>
          <w:sz w:val="20"/>
          <w:szCs w:val="20"/>
          <w:b w:val="1"/>
          <w:bCs w:val="1"/>
          <w:color w:val="auto"/>
        </w:rPr>
        <w:t xml:space="preserve"> </w:t>
      </w:r>
      <w:r>
        <w:rPr>
          <w:rFonts w:ascii="Arial" w:cs="Arial" w:eastAsia="Arial" w:hAnsi="Arial"/>
          <w:sz w:val="20"/>
          <w:szCs w:val="20"/>
          <w:color w:val="auto"/>
        </w:rPr>
        <w:t>extend or assume outstanding Options or may accept the cancellation of outstanding Options (whether granted by the Company or another issuer) in return for the grant of new Options for the same or a different number of Shares and at the same or a different Exercise Price. The foregoing notwithstanding, no modification of an Option shall, without the consent of the Optionee, impair the Optionee’s rights or increase the Optionee’s obligations under such Option.</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9"/>
          <w:szCs w:val="19"/>
          <w:b w:val="1"/>
          <w:bCs w:val="1"/>
          <w:color w:val="auto"/>
        </w:rPr>
        <w:t>PAYMENT FOR SHARES.</w:t>
      </w:r>
    </w:p>
    <w:p>
      <w:pPr>
        <w:spacing w:after="0" w:line="243" w:lineRule="exact"/>
        <w:rPr>
          <w:sz w:val="20"/>
          <w:szCs w:val="20"/>
          <w:color w:val="auto"/>
        </w:rPr>
      </w:pPr>
    </w:p>
    <w:p>
      <w:pPr>
        <w:ind w:right="580" w:firstLine="494"/>
        <w:spacing w:after="0" w:line="293" w:lineRule="auto"/>
        <w:tabs>
          <w:tab w:leader="none" w:pos="914"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General Rule. </w:t>
      </w:r>
      <w:r>
        <w:rPr>
          <w:rFonts w:ascii="Arial" w:cs="Arial" w:eastAsia="Arial" w:hAnsi="Arial"/>
          <w:sz w:val="19"/>
          <w:szCs w:val="19"/>
          <w:color w:val="auto"/>
        </w:rPr>
        <w:t>The entire Purchase Price or Exercise Price of Shares issued under the Plan shall be payable in cash or cash</w:t>
      </w:r>
      <w:r>
        <w:rPr>
          <w:rFonts w:ascii="Arial" w:cs="Arial" w:eastAsia="Arial" w:hAnsi="Arial"/>
          <w:sz w:val="19"/>
          <w:szCs w:val="19"/>
          <w:b w:val="1"/>
          <w:bCs w:val="1"/>
          <w:color w:val="auto"/>
        </w:rPr>
        <w:t xml:space="preserve"> </w:t>
      </w:r>
      <w:r>
        <w:rPr>
          <w:rFonts w:ascii="Arial" w:cs="Arial" w:eastAsia="Arial" w:hAnsi="Arial"/>
          <w:sz w:val="19"/>
          <w:szCs w:val="19"/>
          <w:color w:val="auto"/>
        </w:rPr>
        <w:t>equivalents at the time when such Shares are purchased, except as otherwise provided in this Section 7.</w:t>
      </w:r>
    </w:p>
    <w:p>
      <w:pPr>
        <w:spacing w:after="0" w:line="168" w:lineRule="exact"/>
        <w:rPr>
          <w:rFonts w:ascii="Arial" w:cs="Arial" w:eastAsia="Arial" w:hAnsi="Arial"/>
          <w:sz w:val="19"/>
          <w:szCs w:val="19"/>
          <w:color w:val="auto"/>
        </w:rPr>
      </w:pPr>
    </w:p>
    <w:p>
      <w:pPr>
        <w:ind w:right="620" w:firstLine="494"/>
        <w:spacing w:after="0" w:line="267" w:lineRule="auto"/>
        <w:tabs>
          <w:tab w:leader="none" w:pos="871"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 xml:space="preserve">Services Rendered. </w:t>
      </w:r>
      <w:r>
        <w:rPr>
          <w:rFonts w:ascii="Arial" w:cs="Arial" w:eastAsia="Arial" w:hAnsi="Arial"/>
          <w:sz w:val="20"/>
          <w:szCs w:val="20"/>
          <w:color w:val="auto"/>
        </w:rPr>
        <w:t>At the discretion of the Board of Directors, Shares may be awarded under the Plan in consideration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rendered to the Company, a Parent or a Subsidiary prior to the award.</w:t>
      </w:r>
    </w:p>
    <w:p>
      <w:pPr>
        <w:spacing w:after="0" w:line="190" w:lineRule="exact"/>
        <w:rPr>
          <w:rFonts w:ascii="Arial" w:cs="Arial" w:eastAsia="Arial" w:hAnsi="Arial"/>
          <w:sz w:val="20"/>
          <w:szCs w:val="20"/>
          <w:color w:val="auto"/>
        </w:rPr>
      </w:pPr>
    </w:p>
    <w:p>
      <w:pPr>
        <w:ind w:firstLine="494"/>
        <w:spacing w:after="0" w:line="277" w:lineRule="auto"/>
        <w:tabs>
          <w:tab w:leader="none" w:pos="969"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Promissory Note. </w:t>
      </w:r>
      <w:r>
        <w:rPr>
          <w:rFonts w:ascii="Arial" w:cs="Arial" w:eastAsia="Arial" w:hAnsi="Arial"/>
          <w:sz w:val="18"/>
          <w:szCs w:val="18"/>
          <w:color w:val="auto"/>
        </w:rPr>
        <w:t>At the discretion of the Board of Directors, all or a portion of the Purchase Price or Exercise Price (as the case</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of Shares issued under the Plan may be paid with a full-recourse promissory note. However, the par value of the Shares, if newly issued, shall be paid in cash or cash equivalents.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(at its sole discretion) shall specify the term, interest rate, amortization requirements (if any) and other provisions of such note.</w:t>
      </w:r>
    </w:p>
    <w:p>
      <w:pPr>
        <w:spacing w:after="0" w:line="186" w:lineRule="exact"/>
        <w:rPr>
          <w:rFonts w:ascii="Arial" w:cs="Arial" w:eastAsia="Arial" w:hAnsi="Arial"/>
          <w:sz w:val="18"/>
          <w:szCs w:val="18"/>
          <w:color w:val="auto"/>
        </w:rPr>
      </w:pPr>
    </w:p>
    <w:p>
      <w:pPr>
        <w:ind w:right="660" w:firstLine="494"/>
        <w:spacing w:after="0" w:line="294" w:lineRule="auto"/>
        <w:tabs>
          <w:tab w:leader="none" w:pos="914"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Surrender of Stock. </w:t>
      </w:r>
      <w:r>
        <w:rPr>
          <w:rFonts w:ascii="Arial" w:cs="Arial" w:eastAsia="Arial" w:hAnsi="Arial"/>
          <w:sz w:val="18"/>
          <w:szCs w:val="18"/>
          <w:color w:val="auto"/>
        </w:rPr>
        <w:t>At the discretion of the Board of Directors, all or any part of the Exercise Price may be paid by</w:t>
      </w:r>
      <w:r>
        <w:rPr>
          <w:rFonts w:ascii="Arial" w:cs="Arial" w:eastAsia="Arial" w:hAnsi="Arial"/>
          <w:sz w:val="18"/>
          <w:szCs w:val="18"/>
          <w:b w:val="1"/>
          <w:bCs w:val="1"/>
          <w:color w:val="auto"/>
        </w:rPr>
        <w:t xml:space="preserve"> </w:t>
      </w:r>
      <w:r>
        <w:rPr>
          <w:rFonts w:ascii="Arial" w:cs="Arial" w:eastAsia="Arial" w:hAnsi="Arial"/>
          <w:sz w:val="18"/>
          <w:szCs w:val="18"/>
          <w:color w:val="auto"/>
        </w:rPr>
        <w:t>surrendering, or attesting to the ownership of, Shares that are already owned by the Optionee. Such Shares shall be surrendered to the Company in good form for transfer and shall be valued at their Fair Market Value as of the date when the Option is exercised.</w:t>
      </w:r>
    </w:p>
    <w:p>
      <w:pPr>
        <w:spacing w:after="0" w:line="170" w:lineRule="exact"/>
        <w:rPr>
          <w:rFonts w:ascii="Arial" w:cs="Arial" w:eastAsia="Arial" w:hAnsi="Arial"/>
          <w:sz w:val="18"/>
          <w:szCs w:val="18"/>
          <w:color w:val="auto"/>
        </w:rPr>
      </w:pPr>
    </w:p>
    <w:p>
      <w:pPr>
        <w:ind w:firstLine="494"/>
        <w:spacing w:after="0" w:line="253" w:lineRule="auto"/>
        <w:tabs>
          <w:tab w:leader="none" w:pos="914"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 xml:space="preserve">Exercise/Sale. </w:t>
      </w:r>
      <w:r>
        <w:rPr>
          <w:rFonts w:ascii="Arial" w:cs="Arial" w:eastAsia="Arial" w:hAnsi="Arial"/>
          <w:sz w:val="20"/>
          <w:szCs w:val="20"/>
          <w:color w:val="auto"/>
        </w:rPr>
        <w:t>To the extent that a Stock Option Agreement so provides, and if Stock is publicly traded, all or part of the Exercise</w:t>
      </w:r>
      <w:r>
        <w:rPr>
          <w:rFonts w:ascii="Arial" w:cs="Arial" w:eastAsia="Arial" w:hAnsi="Arial"/>
          <w:sz w:val="20"/>
          <w:szCs w:val="20"/>
          <w:b w:val="1"/>
          <w:bCs w:val="1"/>
          <w:color w:val="auto"/>
        </w:rPr>
        <w:t xml:space="preserve"> </w:t>
      </w:r>
      <w:r>
        <w:rPr>
          <w:rFonts w:ascii="Arial" w:cs="Arial" w:eastAsia="Arial" w:hAnsi="Arial"/>
          <w:sz w:val="20"/>
          <w:szCs w:val="20"/>
          <w:color w:val="auto"/>
        </w:rPr>
        <w:t>Price may be paid by the delivery (on a form prescribed by the Company) of an irrevocable direction to a securities broker approved by the Company to sell Shares and to deliver all or part of the sales proceeds to the Company.</w:t>
      </w:r>
    </w:p>
    <w:p>
      <w:pPr>
        <w:spacing w:after="0" w:line="204" w:lineRule="exact"/>
        <w:rPr>
          <w:rFonts w:ascii="Arial" w:cs="Arial" w:eastAsia="Arial" w:hAnsi="Arial"/>
          <w:sz w:val="20"/>
          <w:szCs w:val="20"/>
          <w:color w:val="auto"/>
        </w:rPr>
      </w:pPr>
    </w:p>
    <w:p>
      <w:pPr>
        <w:ind w:right="80" w:firstLine="494"/>
        <w:spacing w:after="0" w:line="293" w:lineRule="auto"/>
        <w:tabs>
          <w:tab w:leader="none" w:pos="914"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Other Forms of Payment. </w:t>
      </w:r>
      <w:r>
        <w:rPr>
          <w:rFonts w:ascii="Arial" w:cs="Arial" w:eastAsia="Arial" w:hAnsi="Arial"/>
          <w:sz w:val="19"/>
          <w:szCs w:val="19"/>
          <w:color w:val="auto"/>
        </w:rPr>
        <w:t>To the extent that a Stock Purchase Agreement or Stock Option Agreement so provides, the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Price or Exercise Price of Shares issued under the Plan may be paid in any other form permitted by applicable laws.</w:t>
      </w:r>
    </w:p>
    <w:p>
      <w:pPr>
        <w:sectPr>
          <w:pgSz w:w="11900" w:h="16838" w:orient="portrait"/>
          <w:cols w:equalWidth="0" w:num="1">
            <w:col w:w="11220"/>
          </w:cols>
          <w:pgMar w:left="320" w:top="1419" w:right="359" w:bottom="1440" w:gutter="0" w:footer="0" w:header="0"/>
        </w:sectPr>
      </w:pPr>
    </w:p>
    <w:bookmarkStart w:id="13" w:name="page14"/>
    <w:bookmarkEnd w:id="13"/>
    <w:p>
      <w:pPr>
        <w:spacing w:after="0"/>
        <w:tabs>
          <w:tab w:leader="none" w:pos="126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9"/>
          <w:szCs w:val="19"/>
          <w:b w:val="1"/>
          <w:bCs w:val="1"/>
          <w:color w:val="auto"/>
        </w:rPr>
        <w:t>ADJUSTMENT OF SHARES.</w:t>
      </w:r>
    </w:p>
    <w:p>
      <w:pPr>
        <w:spacing w:after="0" w:line="243" w:lineRule="exact"/>
        <w:rPr>
          <w:sz w:val="20"/>
          <w:szCs w:val="20"/>
          <w:color w:val="auto"/>
        </w:rPr>
      </w:pPr>
    </w:p>
    <w:p>
      <w:pPr>
        <w:ind w:right="20" w:firstLine="494"/>
        <w:spacing w:after="0" w:line="272" w:lineRule="auto"/>
        <w:tabs>
          <w:tab w:leader="none" w:pos="914"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In the event of a subdivision of the outstanding Stock, a declaration of a dividend payable in Shares, a combination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of the outstanding Stock into a lesser number of Shares, a reclassification, or any other increase or decrease in the number of issued shares of Stock effected without receipt of consideration by the Company, proportionate adjustments shall automatically be made in each of (i) the number of Shares available for future grants under Section 4, (ii) the number of Shares covered by each outstanding Option and (iii) the Exercise Price under each outstanding Option.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(i) the number of Shares available for future grants under Section 4, (ii) the number of Shares covered by each outstanding Option or (iii) the Exercise Price under each outstanding Option; provided, however, that the Board of Directors shall in any event make such adjustments as may be required by California Corporations Code Reg. §§260.140.41 and .42.</w:t>
      </w:r>
    </w:p>
    <w:p>
      <w:pPr>
        <w:spacing w:after="0" w:line="192" w:lineRule="exact"/>
        <w:rPr>
          <w:rFonts w:ascii="Arial" w:cs="Arial" w:eastAsia="Arial" w:hAnsi="Arial"/>
          <w:sz w:val="18"/>
          <w:szCs w:val="18"/>
          <w:color w:val="auto"/>
        </w:rPr>
      </w:pPr>
    </w:p>
    <w:p>
      <w:pPr>
        <w:ind w:right="120" w:firstLine="494"/>
        <w:spacing w:after="0" w:line="277" w:lineRule="auto"/>
        <w:tabs>
          <w:tab w:leader="none" w:pos="871"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Mergers and Consolidations. </w:t>
      </w:r>
      <w:r>
        <w:rPr>
          <w:rFonts w:ascii="Arial" w:cs="Arial" w:eastAsia="Arial" w:hAnsi="Arial"/>
          <w:sz w:val="18"/>
          <w:szCs w:val="18"/>
          <w:color w:val="auto"/>
        </w:rPr>
        <w:t>If the Company is a party to a merger or consolidation, outstanding Options and Shares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shall be subject to the agreement of merger or consolidation, which need not treat all outstanding Options in an identical manner. Such agreement, without the Optionees' consent, may dispose of Options that are not exercisable as of the effective date of such merger or consolidation in any manner permitted by applicable law, including (without limitation) the cancellation of such Options without the payment of any consideration. Such agreement, without the Optionees' consent, shall provide for one or more of the following with respect to Options that are exercisable as of the effective date of such merger or consolidation:</w:t>
      </w:r>
    </w:p>
    <w:p>
      <w:pPr>
        <w:spacing w:after="0" w:line="192" w:lineRule="exact"/>
        <w:rPr>
          <w:rFonts w:ascii="Arial" w:cs="Arial" w:eastAsia="Arial" w:hAnsi="Arial"/>
          <w:sz w:val="18"/>
          <w:szCs w:val="18"/>
          <w:color w:val="auto"/>
        </w:rPr>
      </w:pPr>
    </w:p>
    <w:p>
      <w:pPr>
        <w:ind w:left="1520" w:hanging="378"/>
        <w:spacing w:after="0"/>
        <w:tabs>
          <w:tab w:leader="none" w:pos="1520"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continuation of such Options by the Company (if the Company is the surviving corporation).</w:t>
      </w:r>
    </w:p>
    <w:p>
      <w:pPr>
        <w:spacing w:after="0" w:line="242" w:lineRule="exact"/>
        <w:rPr>
          <w:rFonts w:ascii="Arial" w:cs="Arial" w:eastAsia="Arial" w:hAnsi="Arial"/>
          <w:sz w:val="20"/>
          <w:szCs w:val="20"/>
          <w:color w:val="auto"/>
        </w:rPr>
      </w:pPr>
    </w:p>
    <w:p>
      <w:pPr>
        <w:ind w:firstLine="1142"/>
        <w:spacing w:after="0" w:line="260" w:lineRule="auto"/>
        <w:tabs>
          <w:tab w:leader="none" w:pos="1570"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assumption of such Options by the surviving corporation or its parent in a manner that complies with Section 424(a) of the Code (whether or not such Options are ISOs).</w:t>
      </w:r>
    </w:p>
    <w:p>
      <w:pPr>
        <w:spacing w:after="0" w:line="203" w:lineRule="exact"/>
        <w:rPr>
          <w:rFonts w:ascii="Arial" w:cs="Arial" w:eastAsia="Arial" w:hAnsi="Arial"/>
          <w:sz w:val="20"/>
          <w:szCs w:val="20"/>
          <w:color w:val="auto"/>
        </w:rPr>
      </w:pPr>
    </w:p>
    <w:p>
      <w:pPr>
        <w:ind w:right="240" w:firstLine="1142"/>
        <w:spacing w:after="0" w:line="260" w:lineRule="auto"/>
        <w:tabs>
          <w:tab w:leader="none" w:pos="1625"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substitution by the surviving corporation or its parent of new options for such Options in a manner that complies with Section 424(a) of the Code (whether or not such Options are ISOs).</w:t>
      </w:r>
    </w:p>
    <w:p>
      <w:pPr>
        <w:spacing w:after="0" w:line="203" w:lineRule="exact"/>
        <w:rPr>
          <w:rFonts w:ascii="Arial" w:cs="Arial" w:eastAsia="Arial" w:hAnsi="Arial"/>
          <w:sz w:val="20"/>
          <w:szCs w:val="20"/>
          <w:color w:val="auto"/>
        </w:rPr>
      </w:pPr>
    </w:p>
    <w:p>
      <w:pPr>
        <w:ind w:firstLine="1142"/>
        <w:spacing w:after="0" w:line="246" w:lineRule="auto"/>
        <w:tabs>
          <w:tab w:leader="none" w:pos="1614"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cancellation of such Options and a payment to the Optionees equal to the excess of (A) the Fair Market Value of the Shares subject to such Options as of the effective date of such merger or consolidation over (B) their Exercise Price. Such payment shall be made in the form of cash, cash equivalents, or securities of the surviving corporation or its parent with a Fair Market Value equal to the required amount.</w:t>
      </w:r>
    </w:p>
    <w:p>
      <w:pPr>
        <w:spacing w:after="0" w:line="218" w:lineRule="exact"/>
        <w:rPr>
          <w:rFonts w:ascii="Arial" w:cs="Arial" w:eastAsia="Arial" w:hAnsi="Arial"/>
          <w:sz w:val="20"/>
          <w:szCs w:val="20"/>
          <w:color w:val="auto"/>
        </w:rPr>
      </w:pPr>
    </w:p>
    <w:p>
      <w:pPr>
        <w:ind w:right="20" w:firstLine="1142"/>
        <w:spacing w:after="0" w:line="260" w:lineRule="auto"/>
        <w:tabs>
          <w:tab w:leader="none" w:pos="1559"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cancellation of such Options. Any exercise of such Options prior to the closing date of such merger or consolidation may be contingent on the closing of such merger or consolidation.</w:t>
      </w:r>
    </w:p>
    <w:p>
      <w:pPr>
        <w:spacing w:after="0" w:line="197" w:lineRule="exact"/>
        <w:rPr>
          <w:rFonts w:ascii="Arial" w:cs="Arial" w:eastAsia="Arial" w:hAnsi="Arial"/>
          <w:sz w:val="20"/>
          <w:szCs w:val="20"/>
          <w:color w:val="auto"/>
        </w:rPr>
      </w:pPr>
    </w:p>
    <w:p>
      <w:pPr>
        <w:ind w:right="40" w:firstLine="494"/>
        <w:spacing w:after="0" w:line="265" w:lineRule="auto"/>
        <w:tabs>
          <w:tab w:leader="none" w:pos="969" w:val="left"/>
        </w:tabs>
        <w:numPr>
          <w:ilvl w:val="0"/>
          <w:numId w:val="22"/>
        </w:numPr>
        <w:rPr>
          <w:rFonts w:ascii="Arial" w:cs="Arial" w:eastAsia="Arial" w:hAnsi="Arial"/>
          <w:sz w:val="19"/>
          <w:szCs w:val="19"/>
          <w:color w:val="auto"/>
        </w:rPr>
      </w:pPr>
      <w:r>
        <w:rPr>
          <w:rFonts w:ascii="Arial" w:cs="Arial" w:eastAsia="Arial" w:hAnsi="Arial"/>
          <w:sz w:val="19"/>
          <w:szCs w:val="19"/>
          <w:b w:val="1"/>
          <w:bCs w:val="1"/>
          <w:color w:val="auto"/>
        </w:rPr>
        <w:t xml:space="preserve">Reservation of Rights. </w:t>
      </w:r>
      <w:r>
        <w:rPr>
          <w:rFonts w:ascii="Arial" w:cs="Arial" w:eastAsia="Arial" w:hAnsi="Arial"/>
          <w:sz w:val="19"/>
          <w:szCs w:val="19"/>
          <w:color w:val="auto"/>
        </w:rPr>
        <w:t>Except as provided in this Section 8, an Optionee or Purchaser shall have no rights by reason of (i) any</w:t>
      </w:r>
      <w:r>
        <w:rPr>
          <w:rFonts w:ascii="Arial" w:cs="Arial" w:eastAsia="Arial" w:hAnsi="Arial"/>
          <w:sz w:val="19"/>
          <w:szCs w:val="19"/>
          <w:b w:val="1"/>
          <w:bCs w:val="1"/>
          <w:color w:val="auto"/>
        </w:rPr>
        <w:t xml:space="preserve"> </w:t>
      </w:r>
      <w:r>
        <w:rPr>
          <w:rFonts w:ascii="Arial" w:cs="Arial" w:eastAsia="Arial" w:hAnsi="Arial"/>
          <w:sz w:val="19"/>
          <w:szCs w:val="19"/>
          <w:color w:val="auto"/>
        </w:rPr>
        <w:t>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w:t>
      </w:r>
    </w:p>
    <w:p>
      <w:pPr>
        <w:sectPr>
          <w:pgSz w:w="11900" w:h="16838" w:orient="portrait"/>
          <w:cols w:equalWidth="0" w:num="1">
            <w:col w:w="11140"/>
          </w:cols>
          <w:pgMar w:left="320" w:top="1413" w:right="439" w:bottom="1440" w:gutter="0" w:footer="0" w:header="0"/>
        </w:sectPr>
      </w:pPr>
    </w:p>
    <w:bookmarkStart w:id="14" w:name="page15"/>
    <w:bookmarkEnd w:id="14"/>
    <w:p>
      <w:pPr>
        <w:ind w:right="60"/>
        <w:spacing w:after="0" w:line="250" w:lineRule="auto"/>
        <w:rPr>
          <w:sz w:val="20"/>
          <w:szCs w:val="20"/>
          <w:color w:val="auto"/>
        </w:rPr>
      </w:pPr>
      <w:r>
        <w:rPr>
          <w:rFonts w:ascii="Arial" w:cs="Arial" w:eastAsia="Arial" w:hAnsi="Arial"/>
          <w:sz w:val="20"/>
          <w:szCs w:val="20"/>
          <w:color w:val="auto"/>
        </w:rPr>
        <w:t>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9"/>
          <w:szCs w:val="19"/>
          <w:b w:val="1"/>
          <w:bCs w:val="1"/>
          <w:color w:val="auto"/>
        </w:rPr>
        <w:t>SECURITIES LAW REQUIREMENTS.</w:t>
      </w:r>
    </w:p>
    <w:p>
      <w:pPr>
        <w:spacing w:after="0" w:line="249" w:lineRule="exact"/>
        <w:rPr>
          <w:sz w:val="20"/>
          <w:szCs w:val="20"/>
          <w:color w:val="auto"/>
        </w:rPr>
      </w:pPr>
    </w:p>
    <w:p>
      <w:pPr>
        <w:ind w:right="80" w:firstLine="486"/>
        <w:spacing w:after="0" w:line="246" w:lineRule="auto"/>
        <w:rPr>
          <w:sz w:val="20"/>
          <w:szCs w:val="20"/>
          <w:color w:val="auto"/>
        </w:rPr>
      </w:pPr>
      <w:r>
        <w:rPr>
          <w:rFonts w:ascii="Arial" w:cs="Arial" w:eastAsia="Arial" w:hAnsi="Arial"/>
          <w:sz w:val="20"/>
          <w:szCs w:val="20"/>
          <w:color w:val="auto"/>
        </w:rPr>
        <w:t>Shares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5.</w:t>
        <w:tab/>
        <w:t>NO RETENTION RIGHTS.</w:t>
      </w:r>
    </w:p>
    <w:p>
      <w:pPr>
        <w:spacing w:after="0" w:line="249" w:lineRule="exact"/>
        <w:rPr>
          <w:sz w:val="20"/>
          <w:szCs w:val="20"/>
          <w:color w:val="auto"/>
        </w:rPr>
      </w:pPr>
    </w:p>
    <w:p>
      <w:pPr>
        <w:ind w:right="40" w:firstLine="486"/>
        <w:spacing w:after="0" w:line="263" w:lineRule="auto"/>
        <w:rPr>
          <w:sz w:val="20"/>
          <w:szCs w:val="20"/>
          <w:color w:val="auto"/>
        </w:rPr>
      </w:pPr>
      <w:r>
        <w:rPr>
          <w:rFonts w:ascii="Arial" w:cs="Arial" w:eastAsia="Arial" w:hAnsi="Arial"/>
          <w:sz w:val="19"/>
          <w:szCs w:val="19"/>
          <w:color w:val="auto"/>
        </w:rPr>
        <w:t>Nothing in the Plan or in any right or Option granted under the Plan shall confer upon the Purchaser or Optionee any right to continue in Service for any period of specific duration or interfere with or otherwise restrict in any way the rights of the Company (or any Parent or Subsidiary employing or retaining the Purchaser or Optionee) or of the Purchaser or Optionee, which rights are hereby expressly reserved by each, to terminate his or her Service at any time and for any reason, with or without cause.</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9"/>
          <w:szCs w:val="19"/>
          <w:b w:val="1"/>
          <w:bCs w:val="1"/>
          <w:color w:val="auto"/>
        </w:rPr>
        <w:t>DURATION AND AMENDMENTS.</w:t>
      </w:r>
    </w:p>
    <w:p>
      <w:pPr>
        <w:spacing w:after="0" w:line="243" w:lineRule="exact"/>
        <w:rPr>
          <w:sz w:val="20"/>
          <w:szCs w:val="20"/>
          <w:color w:val="auto"/>
        </w:rPr>
      </w:pPr>
    </w:p>
    <w:p>
      <w:pPr>
        <w:ind w:right="60" w:firstLine="494"/>
        <w:spacing w:after="0" w:line="244" w:lineRule="auto"/>
        <w:tabs>
          <w:tab w:leader="none" w:pos="914"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 xml:space="preserve">Term of the Plan. </w:t>
      </w:r>
      <w:r>
        <w:rPr>
          <w:rFonts w:ascii="Arial" w:cs="Arial" w:eastAsia="Arial" w:hAnsi="Arial"/>
          <w:sz w:val="20"/>
          <w:szCs w:val="20"/>
          <w:color w:val="auto"/>
        </w:rPr>
        <w:t>The Plan, as set forth herein, shall become effective on the date of its adoption by the 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approval of the Company’s stockholders. If the stockholders fail to approve the Plan within 12 months after its adoption by the Board of Directors, then any grants, exercises or sales that have already occurred shall be rescinded and no additional grants, exercises or sales shall thereafter be made under the Plan.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 (b) below.</w:t>
      </w:r>
    </w:p>
    <w:p>
      <w:pPr>
        <w:spacing w:after="0" w:line="212" w:lineRule="exact"/>
        <w:rPr>
          <w:rFonts w:ascii="Arial" w:cs="Arial" w:eastAsia="Arial" w:hAnsi="Arial"/>
          <w:sz w:val="20"/>
          <w:szCs w:val="20"/>
          <w:color w:val="auto"/>
        </w:rPr>
      </w:pPr>
    </w:p>
    <w:p>
      <w:pPr>
        <w:ind w:firstLine="494"/>
        <w:spacing w:after="0" w:line="259" w:lineRule="auto"/>
        <w:tabs>
          <w:tab w:leader="none" w:pos="871"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 xml:space="preserve">Right to Amend or Terminate the Plan. </w:t>
      </w:r>
      <w:r>
        <w:rPr>
          <w:rFonts w:ascii="Arial" w:cs="Arial" w:eastAsia="Arial" w:hAnsi="Arial"/>
          <w:sz w:val="19"/>
          <w:szCs w:val="19"/>
          <w:color w:val="auto"/>
        </w:rPr>
        <w:t>The Board of Directors may amend, suspend or terminate the Plan at any time and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provided, however, that any amendment of the Plan shall be subject to the approval of the Company's stockholders if it (i) increases the number of Shares available for issuance under the Plan (except as provided in Section 8) or (ii) materially changes the class of persons who are eligible for the grant of ISOs. Stockholder approval shall not be required for any other amendment of the Plan. If the stockholders fail to approve an increase in the number of Shares reserved under Section 4 within 12 months after its adoption by the Board of Directors, then any grants, exercises or sales that have already occurred in reliance on such increase shall be rescinded and no additional grants, exercises or sales shall thereafter be made in reliance on such increase.</w:t>
      </w:r>
    </w:p>
    <w:p>
      <w:pPr>
        <w:spacing w:after="0" w:line="199" w:lineRule="exact"/>
        <w:rPr>
          <w:rFonts w:ascii="Arial" w:cs="Arial" w:eastAsia="Arial" w:hAnsi="Arial"/>
          <w:sz w:val="19"/>
          <w:szCs w:val="19"/>
          <w:color w:val="auto"/>
        </w:rPr>
      </w:pPr>
    </w:p>
    <w:p>
      <w:pPr>
        <w:jc w:val="both"/>
        <w:ind w:right="280" w:firstLine="494"/>
        <w:spacing w:after="0" w:line="253" w:lineRule="auto"/>
        <w:tabs>
          <w:tab w:leader="none" w:pos="969"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 xml:space="preserve">Effect of Amendment or Termination. </w:t>
      </w:r>
      <w:r>
        <w:rPr>
          <w:rFonts w:ascii="Arial" w:cs="Arial" w:eastAsia="Arial" w:hAnsi="Arial"/>
          <w:sz w:val="20"/>
          <w:szCs w:val="20"/>
          <w:color w:val="auto"/>
        </w:rPr>
        <w:t>No Shares shall be issued or sold under the Plan after the termination thereof, except</w:t>
      </w:r>
      <w:r>
        <w:rPr>
          <w:rFonts w:ascii="Arial" w:cs="Arial" w:eastAsia="Arial" w:hAnsi="Arial"/>
          <w:sz w:val="20"/>
          <w:szCs w:val="20"/>
          <w:b w:val="1"/>
          <w:bCs w:val="1"/>
          <w:color w:val="auto"/>
        </w:rPr>
        <w:t xml:space="preserve"> </w:t>
      </w:r>
      <w:r>
        <w:rPr>
          <w:rFonts w:ascii="Arial" w:cs="Arial" w:eastAsia="Arial" w:hAnsi="Arial"/>
          <w:sz w:val="20"/>
          <w:szCs w:val="20"/>
          <w:color w:val="auto"/>
        </w:rPr>
        <w:t>upon exercise of an Option granted prior to such termination. The termination of the Plan, or any amendment thereof, shall not affect any Share previously issued or any Option previously granted under the Plan.</w:t>
      </w:r>
    </w:p>
    <w:p>
      <w:pPr>
        <w:sectPr>
          <w:pgSz w:w="11900" w:h="16838" w:orient="portrait"/>
          <w:cols w:equalWidth="0" w:num="1">
            <w:col w:w="11200"/>
          </w:cols>
          <w:pgMar w:left="320" w:top="1419" w:right="379" w:bottom="1440" w:gutter="0" w:footer="0" w:header="0"/>
        </w:sectPr>
      </w:pPr>
    </w:p>
    <w:bookmarkStart w:id="15" w:name="page16"/>
    <w:bookmarkEnd w:id="15"/>
    <w:p>
      <w:pPr>
        <w:spacing w:after="0"/>
        <w:tabs>
          <w:tab w:leader="none" w:pos="1280" w:val="left"/>
        </w:tabs>
        <w:rPr>
          <w:sz w:val="20"/>
          <w:szCs w:val="20"/>
          <w:color w:val="auto"/>
        </w:rPr>
      </w:pPr>
      <w:r>
        <w:rPr>
          <w:rFonts w:ascii="Arial" w:cs="Arial" w:eastAsia="Arial" w:hAnsi="Arial"/>
          <w:sz w:val="20"/>
          <w:szCs w:val="20"/>
          <w:b w:val="1"/>
          <w:bCs w:val="1"/>
          <w:color w:val="auto"/>
        </w:rPr>
        <w:t>SECTION 7.</w:t>
        <w:tab/>
        <w:t>DEFINITIONS.</w:t>
      </w:r>
    </w:p>
    <w:p>
      <w:pPr>
        <w:spacing w:after="0" w:line="243" w:lineRule="exact"/>
        <w:rPr>
          <w:sz w:val="20"/>
          <w:szCs w:val="20"/>
          <w:color w:val="auto"/>
        </w:rPr>
      </w:pPr>
    </w:p>
    <w:p>
      <w:pPr>
        <w:ind w:left="920" w:hanging="426"/>
        <w:spacing w:after="0"/>
        <w:tabs>
          <w:tab w:leader="none" w:pos="920"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 xml:space="preserve">“Board of Directors” </w:t>
      </w:r>
      <w:r>
        <w:rPr>
          <w:rFonts w:ascii="Arial" w:cs="Arial" w:eastAsia="Arial" w:hAnsi="Arial"/>
          <w:sz w:val="20"/>
          <w:szCs w:val="20"/>
          <w:color w:val="auto"/>
        </w:rPr>
        <w:t>shall mean the Board of Directors of the Company, as constituted from time to time.</w:t>
      </w:r>
    </w:p>
    <w:p>
      <w:pPr>
        <w:spacing w:after="0" w:line="242" w:lineRule="exact"/>
        <w:rPr>
          <w:rFonts w:ascii="Arial" w:cs="Arial" w:eastAsia="Arial" w:hAnsi="Arial"/>
          <w:sz w:val="20"/>
          <w:szCs w:val="20"/>
          <w:color w:val="auto"/>
        </w:rPr>
      </w:pPr>
    </w:p>
    <w:p>
      <w:pPr>
        <w:ind w:left="880" w:hanging="386"/>
        <w:spacing w:after="0"/>
        <w:tabs>
          <w:tab w:leader="none" w:pos="880"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 xml:space="preserve">“Cause” </w:t>
      </w:r>
      <w:r>
        <w:rPr>
          <w:rFonts w:ascii="Arial" w:cs="Arial" w:eastAsia="Arial" w:hAnsi="Arial"/>
          <w:sz w:val="20"/>
          <w:szCs w:val="20"/>
          <w:color w:val="auto"/>
        </w:rPr>
        <w:t>shall mean:</w:t>
      </w:r>
    </w:p>
    <w:p>
      <w:pPr>
        <w:spacing w:after="0" w:line="248" w:lineRule="exact"/>
        <w:rPr>
          <w:rFonts w:ascii="Arial" w:cs="Arial" w:eastAsia="Arial" w:hAnsi="Arial"/>
          <w:sz w:val="20"/>
          <w:szCs w:val="20"/>
          <w:color w:val="auto"/>
        </w:rPr>
      </w:pPr>
    </w:p>
    <w:p>
      <w:pPr>
        <w:ind w:left="1140" w:right="100" w:firstLine="2"/>
        <w:spacing w:after="0" w:line="260" w:lineRule="auto"/>
        <w:tabs>
          <w:tab w:leader="none" w:pos="1514"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 unauthorized use or disclosure by the Optionee of the Company's confidential information or trade secrets, which use or disclosure causes material harm to the Company;</w:t>
      </w:r>
    </w:p>
    <w:p>
      <w:pPr>
        <w:spacing w:after="0" w:line="203" w:lineRule="exact"/>
        <w:rPr>
          <w:rFonts w:ascii="Arial" w:cs="Arial" w:eastAsia="Arial" w:hAnsi="Arial"/>
          <w:sz w:val="20"/>
          <w:szCs w:val="20"/>
          <w:color w:val="auto"/>
        </w:rPr>
      </w:pPr>
    </w:p>
    <w:p>
      <w:pPr>
        <w:ind w:left="1580" w:hanging="438"/>
        <w:spacing w:after="0"/>
        <w:tabs>
          <w:tab w:leader="none" w:pos="158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 material breach by the Optionee of any agreement between the Optionee and the Company;</w:t>
      </w:r>
    </w:p>
    <w:p>
      <w:pPr>
        <w:spacing w:after="0" w:line="242" w:lineRule="exact"/>
        <w:rPr>
          <w:rFonts w:ascii="Arial" w:cs="Arial" w:eastAsia="Arial" w:hAnsi="Arial"/>
          <w:sz w:val="20"/>
          <w:szCs w:val="20"/>
          <w:color w:val="auto"/>
        </w:rPr>
      </w:pPr>
    </w:p>
    <w:p>
      <w:pPr>
        <w:ind w:left="1620" w:hanging="478"/>
        <w:spacing w:after="0"/>
        <w:tabs>
          <w:tab w:leader="none" w:pos="162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 material failure by the Optionee to comply with the Company's written policies or rules;</w:t>
      </w:r>
    </w:p>
    <w:p>
      <w:pPr>
        <w:spacing w:after="0" w:line="242" w:lineRule="exact"/>
        <w:rPr>
          <w:rFonts w:ascii="Arial" w:cs="Arial" w:eastAsia="Arial" w:hAnsi="Arial"/>
          <w:sz w:val="20"/>
          <w:szCs w:val="20"/>
          <w:color w:val="auto"/>
        </w:rPr>
      </w:pPr>
    </w:p>
    <w:p>
      <w:pPr>
        <w:ind w:left="1140" w:right="180" w:firstLine="2"/>
        <w:spacing w:after="0" w:line="260" w:lineRule="auto"/>
        <w:tabs>
          <w:tab w:leader="none" w:pos="162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Optionee's conviction of, or plea of “guilty” or “no contest” to, a felony under the laws of the United States or any state thereof;</w:t>
      </w:r>
    </w:p>
    <w:p>
      <w:pPr>
        <w:spacing w:after="0" w:line="203" w:lineRule="exact"/>
        <w:rPr>
          <w:rFonts w:ascii="Arial" w:cs="Arial" w:eastAsia="Arial" w:hAnsi="Arial"/>
          <w:sz w:val="20"/>
          <w:szCs w:val="20"/>
          <w:color w:val="auto"/>
        </w:rPr>
      </w:pPr>
    </w:p>
    <w:p>
      <w:pPr>
        <w:ind w:left="1560" w:hanging="418"/>
        <w:spacing w:after="0"/>
        <w:tabs>
          <w:tab w:leader="none" w:pos="15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Optionee's gross negligence or willful misconduct; or</w:t>
      </w:r>
    </w:p>
    <w:p>
      <w:pPr>
        <w:spacing w:after="0" w:line="242" w:lineRule="exact"/>
        <w:rPr>
          <w:rFonts w:ascii="Arial" w:cs="Arial" w:eastAsia="Arial" w:hAnsi="Arial"/>
          <w:sz w:val="20"/>
          <w:szCs w:val="20"/>
          <w:color w:val="auto"/>
        </w:rPr>
      </w:pPr>
    </w:p>
    <w:p>
      <w:pPr>
        <w:ind w:left="1140" w:right="200" w:firstLine="2"/>
        <w:spacing w:after="0" w:line="260" w:lineRule="auto"/>
        <w:tabs>
          <w:tab w:leader="none" w:pos="1613" w:val="left"/>
        </w:tabs>
        <w:numPr>
          <w:ilvl w:val="1"/>
          <w:numId w:val="24"/>
        </w:numPr>
        <w:rPr>
          <w:rFonts w:ascii="Arial" w:cs="Arial" w:eastAsia="Arial" w:hAnsi="Arial"/>
          <w:sz w:val="20"/>
          <w:szCs w:val="20"/>
          <w:color w:val="auto"/>
        </w:rPr>
      </w:pPr>
      <w:r>
        <w:rPr>
          <w:rFonts w:ascii="Arial" w:cs="Arial" w:eastAsia="Arial" w:hAnsi="Arial"/>
          <w:sz w:val="20"/>
          <w:szCs w:val="20"/>
          <w:color w:val="auto"/>
        </w:rPr>
        <w:t>A continued failure by the Optionee to perform assigned duties after receiving written notification of such failure from the Board of Directors.</w:t>
      </w:r>
    </w:p>
    <w:p>
      <w:pPr>
        <w:spacing w:after="0" w:line="197" w:lineRule="exact"/>
        <w:rPr>
          <w:rFonts w:ascii="Arial" w:cs="Arial" w:eastAsia="Arial" w:hAnsi="Arial"/>
          <w:sz w:val="20"/>
          <w:szCs w:val="20"/>
          <w:color w:val="auto"/>
        </w:rPr>
      </w:pPr>
    </w:p>
    <w:p>
      <w:pPr>
        <w:ind w:left="980" w:hanging="486"/>
        <w:spacing w:after="0"/>
        <w:tabs>
          <w:tab w:leader="none" w:pos="980"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shall mean the Internal Revenue Code of 1986, as amended.</w:t>
      </w:r>
    </w:p>
    <w:p>
      <w:pPr>
        <w:spacing w:after="0" w:line="242" w:lineRule="exact"/>
        <w:rPr>
          <w:rFonts w:ascii="Arial" w:cs="Arial" w:eastAsia="Arial" w:hAnsi="Arial"/>
          <w:sz w:val="20"/>
          <w:szCs w:val="20"/>
          <w:color w:val="auto"/>
        </w:rPr>
      </w:pPr>
    </w:p>
    <w:p>
      <w:pPr>
        <w:ind w:left="920" w:hanging="426"/>
        <w:spacing w:after="0"/>
        <w:tabs>
          <w:tab w:leader="none" w:pos="920"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 xml:space="preserve">“Committee” </w:t>
      </w:r>
      <w:r>
        <w:rPr>
          <w:rFonts w:ascii="Arial" w:cs="Arial" w:eastAsia="Arial" w:hAnsi="Arial"/>
          <w:sz w:val="20"/>
          <w:szCs w:val="20"/>
          <w:color w:val="auto"/>
        </w:rPr>
        <w:t>shall mean a committee of the Board of Directors, as described in Section 2(a).</w:t>
      </w:r>
    </w:p>
    <w:p>
      <w:pPr>
        <w:spacing w:after="0" w:line="242" w:lineRule="exact"/>
        <w:rPr>
          <w:rFonts w:ascii="Arial" w:cs="Arial" w:eastAsia="Arial" w:hAnsi="Arial"/>
          <w:sz w:val="20"/>
          <w:szCs w:val="20"/>
          <w:color w:val="auto"/>
        </w:rPr>
      </w:pPr>
    </w:p>
    <w:p>
      <w:pPr>
        <w:ind w:left="920" w:hanging="426"/>
        <w:spacing w:after="0"/>
        <w:tabs>
          <w:tab w:leader="none" w:pos="920"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shall mean Docsend, Inc., a Delaware corporation.</w:t>
      </w:r>
    </w:p>
    <w:p>
      <w:pPr>
        <w:spacing w:after="0" w:line="242" w:lineRule="exact"/>
        <w:rPr>
          <w:rFonts w:ascii="Arial" w:cs="Arial" w:eastAsia="Arial" w:hAnsi="Arial"/>
          <w:sz w:val="20"/>
          <w:szCs w:val="20"/>
          <w:color w:val="auto"/>
        </w:rPr>
      </w:pPr>
    </w:p>
    <w:p>
      <w:pPr>
        <w:ind w:right="100" w:firstLine="494"/>
        <w:spacing w:after="0" w:line="267" w:lineRule="auto"/>
        <w:tabs>
          <w:tab w:leader="none" w:pos="914"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 xml:space="preserve">“Consultant” </w:t>
      </w:r>
      <w:r>
        <w:rPr>
          <w:rFonts w:ascii="Arial" w:cs="Arial" w:eastAsia="Arial" w:hAnsi="Arial"/>
          <w:sz w:val="20"/>
          <w:szCs w:val="20"/>
          <w:color w:val="auto"/>
        </w:rPr>
        <w:t>shall mean a person who performs bona fide services for the Company, a Parent or a Subsidiary as a consultant or</w:t>
      </w:r>
      <w:r>
        <w:rPr>
          <w:rFonts w:ascii="Arial" w:cs="Arial" w:eastAsia="Arial" w:hAnsi="Arial"/>
          <w:sz w:val="20"/>
          <w:szCs w:val="20"/>
          <w:b w:val="1"/>
          <w:bCs w:val="1"/>
          <w:color w:val="auto"/>
        </w:rPr>
        <w:t xml:space="preserve"> </w:t>
      </w:r>
      <w:r>
        <w:rPr>
          <w:rFonts w:ascii="Arial" w:cs="Arial" w:eastAsia="Arial" w:hAnsi="Arial"/>
          <w:sz w:val="20"/>
          <w:szCs w:val="20"/>
          <w:color w:val="auto"/>
        </w:rPr>
        <w:t>advisor, excluding Employees and Outside Directors.</w:t>
      </w:r>
    </w:p>
    <w:p>
      <w:pPr>
        <w:spacing w:after="0" w:line="190" w:lineRule="exact"/>
        <w:rPr>
          <w:rFonts w:ascii="Arial" w:cs="Arial" w:eastAsia="Arial" w:hAnsi="Arial"/>
          <w:sz w:val="20"/>
          <w:szCs w:val="20"/>
          <w:color w:val="auto"/>
        </w:rPr>
      </w:pPr>
    </w:p>
    <w:p>
      <w:pPr>
        <w:ind w:firstLine="494"/>
        <w:spacing w:after="0" w:line="262" w:lineRule="auto"/>
        <w:tabs>
          <w:tab w:leader="none" w:pos="914" w:val="left"/>
        </w:tabs>
        <w:numPr>
          <w:ilvl w:val="0"/>
          <w:numId w:val="24"/>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shall mean that the Optionee (i) is unable to engage in any substantial gainful activity by reason of any medically</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Company.</w:t>
      </w:r>
    </w:p>
    <w:p>
      <w:pPr>
        <w:spacing w:after="0" w:line="197" w:lineRule="exact"/>
        <w:rPr>
          <w:rFonts w:ascii="Arial" w:cs="Arial" w:eastAsia="Arial" w:hAnsi="Arial"/>
          <w:sz w:val="19"/>
          <w:szCs w:val="19"/>
          <w:color w:val="auto"/>
        </w:rPr>
      </w:pPr>
    </w:p>
    <w:p>
      <w:pPr>
        <w:ind w:left="880" w:hanging="386"/>
        <w:spacing w:after="0"/>
        <w:tabs>
          <w:tab w:leader="none" w:pos="880"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 xml:space="preserve">“Employee” </w:t>
      </w:r>
      <w:r>
        <w:rPr>
          <w:rFonts w:ascii="Arial" w:cs="Arial" w:eastAsia="Arial" w:hAnsi="Arial"/>
          <w:sz w:val="20"/>
          <w:szCs w:val="20"/>
          <w:color w:val="auto"/>
        </w:rPr>
        <w:t>shall mean any individual who is a commonlaw employee of the Company, a Parent or a Subsidiary.</w:t>
      </w:r>
    </w:p>
    <w:p>
      <w:pPr>
        <w:spacing w:after="0" w:line="242" w:lineRule="exact"/>
        <w:rPr>
          <w:rFonts w:ascii="Arial" w:cs="Arial" w:eastAsia="Arial" w:hAnsi="Arial"/>
          <w:sz w:val="20"/>
          <w:szCs w:val="20"/>
          <w:color w:val="auto"/>
        </w:rPr>
      </w:pPr>
    </w:p>
    <w:p>
      <w:pPr>
        <w:ind w:right="180" w:firstLine="494"/>
        <w:spacing w:after="0" w:line="267" w:lineRule="auto"/>
        <w:tabs>
          <w:tab w:leader="none" w:pos="892"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 xml:space="preserve">“Exercise Price” </w:t>
      </w:r>
      <w:r>
        <w:rPr>
          <w:rFonts w:ascii="Arial" w:cs="Arial" w:eastAsia="Arial" w:hAnsi="Arial"/>
          <w:sz w:val="20"/>
          <w:szCs w:val="20"/>
          <w:color w:val="auto"/>
        </w:rPr>
        <w:t>shall mean the amount for which one Share may be purchased upon exercise of an Option, as specified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Board of Directors in the applicable Stock Option Agreement.</w:t>
      </w:r>
    </w:p>
    <w:p>
      <w:pPr>
        <w:sectPr>
          <w:pgSz w:w="11900" w:h="16838" w:orient="portrait"/>
          <w:cols w:equalWidth="0" w:num="1">
            <w:col w:w="11200"/>
          </w:cols>
          <w:pgMar w:left="320" w:top="1413" w:right="379" w:bottom="1440" w:gutter="0" w:footer="0" w:header="0"/>
        </w:sectPr>
      </w:pPr>
    </w:p>
    <w:bookmarkStart w:id="16" w:name="page17"/>
    <w:bookmarkEnd w:id="16"/>
    <w:p>
      <w:pPr>
        <w:ind w:left="-494" w:right="320" w:firstLine="494"/>
        <w:spacing w:after="0" w:line="267" w:lineRule="auto"/>
        <w:tabs>
          <w:tab w:leader="none" w:pos="377"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“Fair Market Value” </w:t>
      </w:r>
      <w:r>
        <w:rPr>
          <w:rFonts w:ascii="Arial" w:cs="Arial" w:eastAsia="Arial" w:hAnsi="Arial"/>
          <w:sz w:val="20"/>
          <w:szCs w:val="20"/>
          <w:color w:val="auto"/>
        </w:rPr>
        <w:t>shall mean the fair market value of a Share, as determined by the Board of Directors in good faith. Such</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determination shall be conclusive and binding on all persons.</w:t>
      </w:r>
    </w:p>
    <w:p>
      <w:pPr>
        <w:spacing w:after="0" w:line="190" w:lineRule="exact"/>
        <w:rPr>
          <w:rFonts w:ascii="Arial" w:cs="Arial" w:eastAsia="Arial" w:hAnsi="Arial"/>
          <w:sz w:val="20"/>
          <w:szCs w:val="20"/>
          <w:color w:val="auto"/>
        </w:rPr>
      </w:pPr>
    </w:p>
    <w:p>
      <w:pPr>
        <w:ind w:left="-494" w:right="180" w:firstLine="494"/>
        <w:spacing w:after="0" w:line="245" w:lineRule="auto"/>
        <w:tabs>
          <w:tab w:leader="none" w:pos="42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“Family Member” </w:t>
      </w:r>
      <w:r>
        <w:rPr>
          <w:rFonts w:ascii="Arial" w:cs="Arial" w:eastAsia="Arial" w:hAnsi="Arial"/>
          <w:sz w:val="20"/>
          <w:szCs w:val="20"/>
          <w:color w:val="auto"/>
        </w:rPr>
        <w:t>shall mean (i) any child, stepchild, grandchild, parent, stepparent, grandparent, spouse, former spouse,</w:t>
      </w:r>
      <w:r>
        <w:rPr>
          <w:rFonts w:ascii="Arial" w:cs="Arial" w:eastAsia="Arial" w:hAnsi="Arial"/>
          <w:sz w:val="20"/>
          <w:szCs w:val="20"/>
          <w:b w:val="1"/>
          <w:bCs w:val="1"/>
          <w:color w:val="auto"/>
        </w:rPr>
        <w:t xml:space="preserve"> </w:t>
      </w:r>
      <w:r>
        <w:rPr>
          <w:rFonts w:ascii="Arial" w:cs="Arial" w:eastAsia="Arial" w:hAnsi="Arial"/>
          <w:sz w:val="20"/>
          <w:szCs w:val="20"/>
          <w:color w:val="auto"/>
        </w:rPr>
        <w:t>sibling, niece, nephew, motherinlaw, fatherinlaw, soninlaw, daughterinlaw, brotherinlaw or sisterinlaw, including adoptive relationships, (ii) any person sharing the Optionee's household (other than a tenant or employee), (iii) a trust in which persons described in Clause (i) or (ii) have more than 50% of the beneficial interest, (iv) a foundation in which persons described in Clause (i) or (ii) or the Optionee control the management of assets and (v) any other entity in which persons described in Clause (i) or (ii) or the Optionee own more than 50% of the voting interests.</w:t>
      </w:r>
    </w:p>
    <w:p>
      <w:pPr>
        <w:spacing w:after="0" w:line="211" w:lineRule="exact"/>
        <w:rPr>
          <w:rFonts w:ascii="Arial" w:cs="Arial" w:eastAsia="Arial" w:hAnsi="Arial"/>
          <w:sz w:val="20"/>
          <w:szCs w:val="20"/>
          <w:color w:val="auto"/>
        </w:rPr>
      </w:pPr>
    </w:p>
    <w:p>
      <w:pPr>
        <w:ind w:left="426" w:hanging="426"/>
        <w:spacing w:after="0"/>
        <w:tabs>
          <w:tab w:leader="none" w:pos="426"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“ISO” </w:t>
      </w:r>
      <w:r>
        <w:rPr>
          <w:rFonts w:ascii="Arial" w:cs="Arial" w:eastAsia="Arial" w:hAnsi="Arial"/>
          <w:sz w:val="20"/>
          <w:szCs w:val="20"/>
          <w:color w:val="auto"/>
        </w:rPr>
        <w:t>shall mean an employee incentive stock option described in Section 422(b) of the Code.</w:t>
      </w:r>
    </w:p>
    <w:p>
      <w:pPr>
        <w:spacing w:after="0" w:line="242" w:lineRule="exact"/>
        <w:rPr>
          <w:rFonts w:ascii="Arial" w:cs="Arial" w:eastAsia="Arial" w:hAnsi="Arial"/>
          <w:sz w:val="20"/>
          <w:szCs w:val="20"/>
          <w:color w:val="auto"/>
        </w:rPr>
      </w:pPr>
    </w:p>
    <w:p>
      <w:pPr>
        <w:ind w:left="466" w:hanging="466"/>
        <w:spacing w:after="0"/>
        <w:tabs>
          <w:tab w:leader="none" w:pos="466"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“Nonstatutory Option” </w:t>
      </w:r>
      <w:r>
        <w:rPr>
          <w:rFonts w:ascii="Arial" w:cs="Arial" w:eastAsia="Arial" w:hAnsi="Arial"/>
          <w:sz w:val="20"/>
          <w:szCs w:val="20"/>
          <w:color w:val="auto"/>
        </w:rPr>
        <w:t>shall mean a stock option not described in Sections 422(b) or 423(b) of the Code.</w:t>
      </w:r>
    </w:p>
    <w:p>
      <w:pPr>
        <w:spacing w:after="0" w:line="242" w:lineRule="exact"/>
        <w:rPr>
          <w:rFonts w:ascii="Arial" w:cs="Arial" w:eastAsia="Arial" w:hAnsi="Arial"/>
          <w:sz w:val="20"/>
          <w:szCs w:val="20"/>
          <w:color w:val="auto"/>
        </w:rPr>
      </w:pPr>
    </w:p>
    <w:p>
      <w:pPr>
        <w:ind w:left="426" w:hanging="426"/>
        <w:spacing w:after="0"/>
        <w:tabs>
          <w:tab w:leader="none" w:pos="426" w:val="left"/>
        </w:tabs>
        <w:numPr>
          <w:ilvl w:val="0"/>
          <w:numId w:val="25"/>
        </w:numPr>
        <w:rPr>
          <w:rFonts w:ascii="Arial" w:cs="Arial" w:eastAsia="Arial" w:hAnsi="Arial"/>
          <w:sz w:val="19"/>
          <w:szCs w:val="19"/>
          <w:color w:val="auto"/>
        </w:rPr>
      </w:pPr>
      <w:r>
        <w:rPr>
          <w:rFonts w:ascii="Arial" w:cs="Arial" w:eastAsia="Arial" w:hAnsi="Arial"/>
          <w:sz w:val="19"/>
          <w:szCs w:val="19"/>
          <w:b w:val="1"/>
          <w:bCs w:val="1"/>
          <w:color w:val="auto"/>
        </w:rPr>
        <w:t xml:space="preserve">“Option” </w:t>
      </w:r>
      <w:r>
        <w:rPr>
          <w:rFonts w:ascii="Arial" w:cs="Arial" w:eastAsia="Arial" w:hAnsi="Arial"/>
          <w:sz w:val="19"/>
          <w:szCs w:val="19"/>
          <w:color w:val="auto"/>
        </w:rPr>
        <w:t>shall mean an ISO or Nonstatutory Option granted under the Plan and entitling the holder to purchase Shares.</w:t>
      </w:r>
    </w:p>
    <w:p>
      <w:pPr>
        <w:spacing w:after="0" w:line="254" w:lineRule="exact"/>
        <w:rPr>
          <w:rFonts w:ascii="Arial" w:cs="Arial" w:eastAsia="Arial" w:hAnsi="Arial"/>
          <w:sz w:val="19"/>
          <w:szCs w:val="19"/>
          <w:color w:val="auto"/>
        </w:rPr>
      </w:pPr>
    </w:p>
    <w:p>
      <w:pPr>
        <w:ind w:left="426" w:hanging="426"/>
        <w:spacing w:after="0"/>
        <w:tabs>
          <w:tab w:leader="none" w:pos="426"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“Optionee” </w:t>
      </w:r>
      <w:r>
        <w:rPr>
          <w:rFonts w:ascii="Arial" w:cs="Arial" w:eastAsia="Arial" w:hAnsi="Arial"/>
          <w:sz w:val="20"/>
          <w:szCs w:val="20"/>
          <w:color w:val="auto"/>
        </w:rPr>
        <w:t>shall mean a person who holds an Option.</w:t>
      </w:r>
    </w:p>
    <w:p>
      <w:pPr>
        <w:spacing w:after="0" w:line="242" w:lineRule="exact"/>
        <w:rPr>
          <w:rFonts w:ascii="Arial" w:cs="Arial" w:eastAsia="Arial" w:hAnsi="Arial"/>
          <w:sz w:val="20"/>
          <w:szCs w:val="20"/>
          <w:color w:val="auto"/>
        </w:rPr>
      </w:pPr>
    </w:p>
    <w:p>
      <w:pPr>
        <w:ind w:left="426" w:hanging="426"/>
        <w:spacing w:after="0"/>
        <w:tabs>
          <w:tab w:leader="none" w:pos="426"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“Outside Director” </w:t>
      </w:r>
      <w:r>
        <w:rPr>
          <w:rFonts w:ascii="Arial" w:cs="Arial" w:eastAsia="Arial" w:hAnsi="Arial"/>
          <w:sz w:val="20"/>
          <w:szCs w:val="20"/>
          <w:color w:val="auto"/>
        </w:rPr>
        <w:t>shall mean a member of the Board of Directors who is not an Employee.</w:t>
      </w:r>
    </w:p>
    <w:p>
      <w:pPr>
        <w:spacing w:after="0" w:line="243" w:lineRule="exact"/>
        <w:rPr>
          <w:sz w:val="20"/>
          <w:szCs w:val="20"/>
          <w:color w:val="auto"/>
        </w:rPr>
      </w:pPr>
    </w:p>
    <w:p>
      <w:pPr>
        <w:ind w:left="-494" w:right="80" w:firstLine="494"/>
        <w:spacing w:after="0" w:line="248" w:lineRule="auto"/>
        <w:tabs>
          <w:tab w:leader="none" w:pos="497"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“Parent” </w:t>
      </w:r>
      <w:r>
        <w:rPr>
          <w:rFonts w:ascii="Arial" w:cs="Arial" w:eastAsia="Arial" w:hAnsi="Arial"/>
          <w:sz w:val="20"/>
          <w:szCs w:val="20"/>
          <w:color w:val="auto"/>
        </w:rPr>
        <w:t>shall mean any corporation (other than the Company) in an unbroken chain of corporations ending with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210" w:lineRule="exact"/>
        <w:rPr>
          <w:rFonts w:ascii="Arial" w:cs="Arial" w:eastAsia="Arial" w:hAnsi="Arial"/>
          <w:sz w:val="20"/>
          <w:szCs w:val="20"/>
          <w:color w:val="auto"/>
        </w:rPr>
      </w:pPr>
    </w:p>
    <w:p>
      <w:pPr>
        <w:ind w:left="526" w:hanging="526"/>
        <w:spacing w:after="0"/>
        <w:tabs>
          <w:tab w:leader="none" w:pos="526"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shall mean this DocSend, Inc. 2013 Stock Plan.</w:t>
      </w:r>
    </w:p>
    <w:p>
      <w:pPr>
        <w:spacing w:after="0" w:line="242" w:lineRule="exact"/>
        <w:rPr>
          <w:rFonts w:ascii="Arial" w:cs="Arial" w:eastAsia="Arial" w:hAnsi="Arial"/>
          <w:sz w:val="20"/>
          <w:szCs w:val="20"/>
          <w:color w:val="auto"/>
        </w:rPr>
      </w:pPr>
    </w:p>
    <w:p>
      <w:pPr>
        <w:ind w:left="-494" w:firstLine="494"/>
        <w:spacing w:after="0" w:line="267" w:lineRule="auto"/>
        <w:tabs>
          <w:tab w:leader="none" w:pos="497"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“Purchase Price” </w:t>
      </w:r>
      <w:r>
        <w:rPr>
          <w:rFonts w:ascii="Arial" w:cs="Arial" w:eastAsia="Arial" w:hAnsi="Arial"/>
          <w:sz w:val="20"/>
          <w:szCs w:val="20"/>
          <w:color w:val="auto"/>
        </w:rPr>
        <w:t>shall mean the consideration for which one Share may be acquired under the Plan (other than upon exercise of</w:t>
      </w:r>
      <w:r>
        <w:rPr>
          <w:rFonts w:ascii="Arial" w:cs="Arial" w:eastAsia="Arial" w:hAnsi="Arial"/>
          <w:sz w:val="20"/>
          <w:szCs w:val="20"/>
          <w:b w:val="1"/>
          <w:bCs w:val="1"/>
          <w:color w:val="auto"/>
        </w:rPr>
        <w:t xml:space="preserve"> </w:t>
      </w:r>
      <w:r>
        <w:rPr>
          <w:rFonts w:ascii="Arial" w:cs="Arial" w:eastAsia="Arial" w:hAnsi="Arial"/>
          <w:sz w:val="20"/>
          <w:szCs w:val="20"/>
          <w:color w:val="auto"/>
        </w:rPr>
        <w:t>an Option), as specified by the Board of Directors.</w:t>
      </w:r>
    </w:p>
    <w:p>
      <w:pPr>
        <w:spacing w:after="0" w:line="190" w:lineRule="exact"/>
        <w:rPr>
          <w:rFonts w:ascii="Arial" w:cs="Arial" w:eastAsia="Arial" w:hAnsi="Arial"/>
          <w:sz w:val="20"/>
          <w:szCs w:val="20"/>
          <w:color w:val="auto"/>
        </w:rPr>
      </w:pPr>
    </w:p>
    <w:p>
      <w:pPr>
        <w:ind w:left="-494" w:right="200" w:firstLine="494"/>
        <w:spacing w:after="0" w:line="267" w:lineRule="auto"/>
        <w:tabs>
          <w:tab w:leader="none" w:pos="519"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“Purchaser” </w:t>
      </w:r>
      <w:r>
        <w:rPr>
          <w:rFonts w:ascii="Arial" w:cs="Arial" w:eastAsia="Arial" w:hAnsi="Arial"/>
          <w:sz w:val="20"/>
          <w:szCs w:val="20"/>
          <w:color w:val="auto"/>
        </w:rPr>
        <w:t>shall mean a person to whom the Board of Directors has offered the right to acquire Shares under the Plan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than upon exercise of an Option).</w:t>
      </w:r>
    </w:p>
    <w:p>
      <w:pPr>
        <w:spacing w:after="0" w:line="190" w:lineRule="exact"/>
        <w:rPr>
          <w:rFonts w:ascii="Arial" w:cs="Arial" w:eastAsia="Arial" w:hAnsi="Arial"/>
          <w:sz w:val="20"/>
          <w:szCs w:val="20"/>
          <w:color w:val="auto"/>
        </w:rPr>
      </w:pPr>
    </w:p>
    <w:p>
      <w:pPr>
        <w:ind w:left="506" w:hanging="506"/>
        <w:spacing w:after="0"/>
        <w:tabs>
          <w:tab w:leader="none" w:pos="506"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“Service” </w:t>
      </w:r>
      <w:r>
        <w:rPr>
          <w:rFonts w:ascii="Arial" w:cs="Arial" w:eastAsia="Arial" w:hAnsi="Arial"/>
          <w:sz w:val="20"/>
          <w:szCs w:val="20"/>
          <w:color w:val="auto"/>
        </w:rPr>
        <w:t>shall mean service as an Employee, Outside Director or Consultant.</w:t>
      </w:r>
    </w:p>
    <w:p>
      <w:pPr>
        <w:spacing w:after="0" w:line="242" w:lineRule="exact"/>
        <w:rPr>
          <w:rFonts w:ascii="Arial" w:cs="Arial" w:eastAsia="Arial" w:hAnsi="Arial"/>
          <w:sz w:val="20"/>
          <w:szCs w:val="20"/>
          <w:color w:val="auto"/>
        </w:rPr>
      </w:pPr>
    </w:p>
    <w:p>
      <w:pPr>
        <w:ind w:left="466" w:hanging="466"/>
        <w:spacing w:after="0"/>
        <w:tabs>
          <w:tab w:leader="none" w:pos="466"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“Share” </w:t>
      </w:r>
      <w:r>
        <w:rPr>
          <w:rFonts w:ascii="Arial" w:cs="Arial" w:eastAsia="Arial" w:hAnsi="Arial"/>
          <w:sz w:val="20"/>
          <w:szCs w:val="20"/>
          <w:color w:val="auto"/>
        </w:rPr>
        <w:t>shall mean one share of Stock, as adjusted in accordance with Section 8 (if applicable).</w:t>
      </w:r>
    </w:p>
    <w:p>
      <w:pPr>
        <w:spacing w:after="0" w:line="242" w:lineRule="exact"/>
        <w:rPr>
          <w:rFonts w:ascii="Arial" w:cs="Arial" w:eastAsia="Arial" w:hAnsi="Arial"/>
          <w:sz w:val="20"/>
          <w:szCs w:val="20"/>
          <w:color w:val="auto"/>
        </w:rPr>
      </w:pPr>
    </w:p>
    <w:p>
      <w:pPr>
        <w:ind w:left="526" w:hanging="526"/>
        <w:spacing w:after="0"/>
        <w:tabs>
          <w:tab w:leader="none" w:pos="526"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“Stock” </w:t>
      </w:r>
      <w:r>
        <w:rPr>
          <w:rFonts w:ascii="Arial" w:cs="Arial" w:eastAsia="Arial" w:hAnsi="Arial"/>
          <w:sz w:val="20"/>
          <w:szCs w:val="20"/>
          <w:color w:val="auto"/>
        </w:rPr>
        <w:t>shall mean the Common Stock of the Company.</w:t>
      </w:r>
    </w:p>
    <w:p>
      <w:pPr>
        <w:spacing w:after="0" w:line="242" w:lineRule="exact"/>
        <w:rPr>
          <w:rFonts w:ascii="Arial" w:cs="Arial" w:eastAsia="Arial" w:hAnsi="Arial"/>
          <w:sz w:val="20"/>
          <w:szCs w:val="20"/>
          <w:color w:val="auto"/>
        </w:rPr>
      </w:pPr>
    </w:p>
    <w:p>
      <w:pPr>
        <w:ind w:left="-494" w:right="620" w:firstLine="494"/>
        <w:spacing w:after="0" w:line="267" w:lineRule="auto"/>
        <w:tabs>
          <w:tab w:leader="none" w:pos="519"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“Stock Option Agreement” </w:t>
      </w:r>
      <w:r>
        <w:rPr>
          <w:rFonts w:ascii="Arial" w:cs="Arial" w:eastAsia="Arial" w:hAnsi="Arial"/>
          <w:sz w:val="20"/>
          <w:szCs w:val="20"/>
          <w:color w:val="auto"/>
        </w:rPr>
        <w:t>shall mean the agreement between the Company and an Optionee which contains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and restrictions pertaining to the Optionee’s Option.</w:t>
      </w:r>
    </w:p>
    <w:p>
      <w:pPr>
        <w:sectPr>
          <w:pgSz w:w="11900" w:h="16838" w:orient="portrait"/>
          <w:cols w:equalWidth="0" w:num="1">
            <w:col w:w="10746"/>
          </w:cols>
          <w:pgMar w:left="814" w:top="1413" w:right="339" w:bottom="1440" w:gutter="0" w:footer="0" w:header="0"/>
        </w:sectPr>
      </w:pPr>
    </w:p>
    <w:bookmarkStart w:id="17" w:name="page18"/>
    <w:bookmarkEnd w:id="17"/>
    <w:p>
      <w:pPr>
        <w:ind w:firstLine="494"/>
        <w:spacing w:after="0" w:line="267" w:lineRule="auto"/>
        <w:tabs>
          <w:tab w:leader="none" w:pos="925"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 xml:space="preserve">“Stock Purchase Agreement” </w:t>
      </w:r>
      <w:r>
        <w:rPr>
          <w:rFonts w:ascii="Arial" w:cs="Arial" w:eastAsia="Arial" w:hAnsi="Arial"/>
          <w:sz w:val="20"/>
          <w:szCs w:val="20"/>
          <w:color w:val="auto"/>
        </w:rPr>
        <w:t>shall mean the agreement between the Company and a Purchaser who acquires Shares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which contains the terms, conditions and restrictions pertaining to the acquisition of such Shares.</w:t>
      </w:r>
    </w:p>
    <w:p>
      <w:pPr>
        <w:spacing w:after="0" w:line="190" w:lineRule="exact"/>
        <w:rPr>
          <w:rFonts w:ascii="Arial" w:cs="Arial" w:eastAsia="Arial" w:hAnsi="Arial"/>
          <w:sz w:val="20"/>
          <w:szCs w:val="20"/>
          <w:color w:val="auto"/>
        </w:rPr>
      </w:pPr>
    </w:p>
    <w:p>
      <w:pPr>
        <w:ind w:right="100" w:firstLine="494"/>
        <w:spacing w:after="0" w:line="285" w:lineRule="auto"/>
        <w:tabs>
          <w:tab w:leader="none" w:pos="92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mean any corporation (other than the Company) in an unbroken chain of corporations beginning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8.</w:t>
        <w:tab/>
        <w:t>EXECUTION.</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record the adoption of the Plan by the Board of Directors, the Company has caused its authorized officer to execute the same.</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DOCSEND, INC.</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 Delaware corporation</w:t>
      </w:r>
    </w:p>
    <w:p>
      <w:pPr>
        <w:spacing w:after="0" w:line="22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 ______________________________________</w:t>
      </w:r>
    </w:p>
    <w:p>
      <w:pPr>
        <w:spacing w:after="0" w:line="24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Name and Title: ____________________________</w:t>
      </w:r>
    </w:p>
    <w:p>
      <w:pPr>
        <w:sectPr>
          <w:pgSz w:w="11900" w:h="16838" w:orient="portrait"/>
          <w:cols w:equalWidth="0" w:num="1">
            <w:col w:w="11060"/>
          </w:cols>
          <w:pgMar w:left="320" w:top="1413" w:right="519" w:bottom="1440" w:gutter="0" w:footer="0" w:header="0"/>
        </w:sectPr>
      </w:pPr>
    </w:p>
    <w:bookmarkStart w:id="18" w:name="page19"/>
    <w:bookmarkEnd w:id="18"/>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DOCSEND, INC.</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2013 STOCK PLAN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NOTICE OF STOCK OPTION GRANT</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The Optionee identified below has been granted the following option to purchase Common Stock of DocSend,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2" w:lineRule="exact"/>
        <w:rPr>
          <w:sz w:val="20"/>
          <w:szCs w:val="20"/>
          <w:color w:val="auto"/>
        </w:rPr>
      </w:pPr>
    </w:p>
    <w:p>
      <w:pPr>
        <w:ind w:left="80"/>
        <w:spacing w:after="0"/>
        <w:tabs>
          <w:tab w:leader="none" w:pos="2040" w:val="left"/>
        </w:tabs>
        <w:rPr>
          <w:sz w:val="20"/>
          <w:szCs w:val="20"/>
          <w:color w:val="auto"/>
        </w:rPr>
      </w:pPr>
      <w:r>
        <w:rPr>
          <w:rFonts w:ascii="Arial" w:cs="Arial" w:eastAsia="Arial" w:hAnsi="Arial"/>
          <w:sz w:val="20"/>
          <w:szCs w:val="20"/>
          <w:color w:val="auto"/>
        </w:rPr>
        <w:t>Name of Optionee:</w:t>
      </w:r>
      <w:r>
        <w:rPr>
          <w:sz w:val="20"/>
          <w:szCs w:val="20"/>
          <w:color w:val="auto"/>
        </w:rPr>
        <w:tab/>
      </w:r>
      <w:r>
        <w:rPr>
          <w:rFonts w:ascii="Arial" w:cs="Arial" w:eastAsia="Arial" w:hAnsi="Arial"/>
          <w:sz w:val="16"/>
          <w:szCs w:val="16"/>
          <w:color w:val="auto"/>
        </w:rPr>
        <w:t>___________________________</w:t>
      </w:r>
    </w:p>
    <w:p>
      <w:pPr>
        <w:spacing w:after="0" w:line="243" w:lineRule="exact"/>
        <w:rPr>
          <w:sz w:val="20"/>
          <w:szCs w:val="20"/>
          <w:color w:val="auto"/>
        </w:rPr>
      </w:pPr>
    </w:p>
    <w:p>
      <w:pPr>
        <w:ind w:left="80"/>
        <w:spacing w:after="0"/>
        <w:tabs>
          <w:tab w:leader="none" w:pos="2220" w:val="left"/>
        </w:tabs>
        <w:rPr>
          <w:sz w:val="20"/>
          <w:szCs w:val="20"/>
          <w:color w:val="auto"/>
        </w:rPr>
      </w:pPr>
      <w:r>
        <w:rPr>
          <w:rFonts w:ascii="Arial" w:cs="Arial" w:eastAsia="Arial" w:hAnsi="Arial"/>
          <w:sz w:val="20"/>
          <w:szCs w:val="20"/>
          <w:color w:val="auto"/>
        </w:rPr>
        <w:t>Total Number of Shares:</w:t>
      </w:r>
      <w:r>
        <w:rPr>
          <w:sz w:val="20"/>
          <w:szCs w:val="20"/>
          <w:color w:val="auto"/>
        </w:rPr>
        <w:tab/>
      </w:r>
      <w:r>
        <w:rPr>
          <w:rFonts w:ascii="Arial" w:cs="Arial" w:eastAsia="Arial" w:hAnsi="Arial"/>
          <w:sz w:val="16"/>
          <w:szCs w:val="16"/>
          <w:color w:val="auto"/>
        </w:rPr>
        <w:t>___________________________</w:t>
      </w:r>
    </w:p>
    <w:p>
      <w:pPr>
        <w:spacing w:after="0" w:line="259" w:lineRule="exact"/>
        <w:rPr>
          <w:sz w:val="20"/>
          <w:szCs w:val="20"/>
          <w:color w:val="auto"/>
        </w:rPr>
      </w:pPr>
    </w:p>
    <w:p>
      <w:pPr>
        <w:ind w:left="80"/>
        <w:spacing w:after="0" w:line="230" w:lineRule="exact"/>
        <w:tabs>
          <w:tab w:leader="none" w:pos="1920" w:val="left"/>
        </w:tabs>
        <w:rPr>
          <w:sz w:val="20"/>
          <w:szCs w:val="20"/>
          <w:color w:val="auto"/>
        </w:rPr>
      </w:pPr>
      <w:r>
        <w:rPr>
          <w:rFonts w:ascii="Arial" w:cs="Arial" w:eastAsia="Arial" w:hAnsi="Arial"/>
          <w:sz w:val="20"/>
          <w:szCs w:val="20"/>
          <w:color w:val="auto"/>
        </w:rPr>
        <w:t>Type of Option:</w:t>
      </w:r>
      <w:r>
        <w:rPr>
          <w:sz w:val="20"/>
          <w:szCs w:val="20"/>
          <w:color w:val="auto"/>
        </w:rPr>
        <w:tab/>
      </w:r>
      <w:r>
        <w:rPr>
          <w:rFonts w:ascii="MS PGothic" w:cs="MS PGothic" w:eastAsia="MS PGothic" w:hAnsi="MS PGothic"/>
          <w:sz w:val="19"/>
          <w:szCs w:val="19"/>
          <w:color w:val="auto"/>
        </w:rPr>
        <w:t xml:space="preserve">☐  </w:t>
      </w:r>
      <w:r>
        <w:rPr>
          <w:rFonts w:ascii="Arial" w:cs="Arial" w:eastAsia="Arial" w:hAnsi="Arial"/>
          <w:sz w:val="19"/>
          <w:szCs w:val="19"/>
          <w:color w:val="auto"/>
        </w:rPr>
        <w:t>Incentive Stock Option</w:t>
      </w:r>
    </w:p>
    <w:p>
      <w:pPr>
        <w:spacing w:after="0" w:line="145" w:lineRule="exact"/>
        <w:rPr>
          <w:sz w:val="20"/>
          <w:szCs w:val="20"/>
          <w:color w:val="auto"/>
        </w:rPr>
      </w:pPr>
    </w:p>
    <w:p>
      <w:pPr>
        <w:ind w:left="3060" w:hanging="379"/>
        <w:spacing w:after="0"/>
        <w:tabs>
          <w:tab w:leader="none" w:pos="3060" w:val="left"/>
        </w:tabs>
        <w:numPr>
          <w:ilvl w:val="0"/>
          <w:numId w:val="28"/>
        </w:numPr>
        <w:rPr>
          <w:rFonts w:ascii="MS PGothic" w:cs="MS PGothic" w:eastAsia="MS PGothic" w:hAnsi="MS PGothic"/>
          <w:sz w:val="20"/>
          <w:szCs w:val="20"/>
          <w:color w:val="auto"/>
        </w:rPr>
      </w:pPr>
      <w:r>
        <w:rPr>
          <w:rFonts w:ascii="Arial" w:cs="Arial" w:eastAsia="Arial" w:hAnsi="Arial"/>
          <w:sz w:val="20"/>
          <w:szCs w:val="20"/>
          <w:color w:val="auto"/>
        </w:rPr>
        <w:t>Nonstatutory Stock Option</w:t>
      </w:r>
    </w:p>
    <w:p>
      <w:pPr>
        <w:spacing w:after="0" w:line="107" w:lineRule="exact"/>
        <w:rPr>
          <w:rFonts w:ascii="MS PGothic" w:cs="MS PGothic" w:eastAsia="MS PGothic" w:hAnsi="MS PGothic"/>
          <w:sz w:val="20"/>
          <w:szCs w:val="20"/>
          <w:color w:val="auto"/>
        </w:rPr>
      </w:pPr>
    </w:p>
    <w:p>
      <w:pPr>
        <w:ind w:left="80"/>
        <w:spacing w:after="0"/>
        <w:rPr>
          <w:rFonts w:ascii="MS PGothic" w:cs="MS PGothic" w:eastAsia="MS PGothic" w:hAnsi="MS PGothic"/>
          <w:sz w:val="20"/>
          <w:szCs w:val="20"/>
          <w:color w:val="auto"/>
        </w:rPr>
      </w:pPr>
      <w:r>
        <w:rPr>
          <w:rFonts w:ascii="Arial" w:cs="Arial" w:eastAsia="Arial" w:hAnsi="Arial"/>
          <w:sz w:val="20"/>
          <w:szCs w:val="20"/>
          <w:color w:val="auto"/>
        </w:rPr>
        <w:t>Exercise Price Per Share:  $ _____</w:t>
      </w:r>
    </w:p>
    <w:p>
      <w:pPr>
        <w:sectPr>
          <w:pgSz w:w="11900" w:h="16838" w:orient="portrait"/>
          <w:cols w:equalWidth="0" w:num="1">
            <w:col w:w="11140"/>
          </w:cols>
          <w:pgMar w:left="320" w:top="1440" w:right="439" w:bottom="1440" w:gutter="0" w:footer="0" w:header="0"/>
        </w:sectPr>
      </w:pPr>
    </w:p>
    <w:p>
      <w:pPr>
        <w:spacing w:after="0" w:line="108"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222" w:lineRule="exact"/>
        <w:rPr>
          <w:sz w:val="20"/>
          <w:szCs w:val="20"/>
          <w:color w:val="auto"/>
        </w:rPr>
      </w:pPr>
    </w:p>
    <w:p>
      <w:pPr>
        <w:sectPr>
          <w:pgSz w:w="11900" w:h="16838" w:orient="portrait"/>
          <w:cols w:equalWidth="0" w:num="2">
            <w:col w:w="1240" w:space="640"/>
            <w:col w:w="9260"/>
          </w:cols>
          <w:pgMar w:left="320" w:top="1440" w:right="439" w:bottom="1440" w:gutter="0" w:footer="0" w:header="0"/>
          <w:type w:val="continuous"/>
        </w:sectPr>
      </w:pPr>
    </w:p>
    <w:p>
      <w:pPr>
        <w:spacing w:after="0" w:line="120" w:lineRule="exact"/>
        <w:rPr>
          <w:sz w:val="20"/>
          <w:szCs w:val="20"/>
          <w:color w:val="auto"/>
        </w:rPr>
      </w:pPr>
    </w:p>
    <w:p>
      <w:pPr>
        <w:ind w:left="8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The Option vests and is therefore exercisable with respect to the first</w:t>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9"/>
          <w:szCs w:val="19"/>
          <w:color w:val="auto"/>
        </w:rPr>
        <w:t>% of the Shares subject to this option when the Optionee completes months of continuous Service</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beginning with the Vesting Commencement Date set forth above. The Option vests and is therefore</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exercisable with respect to an additional % of the Shares subject to this option when the Optionee</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completes each month of continuous Service thereafter. [</w:t>
      </w:r>
      <w:r>
        <w:rPr>
          <w:rFonts w:ascii="Arial" w:cs="Arial" w:eastAsia="Arial" w:hAnsi="Arial"/>
          <w:sz w:val="16"/>
          <w:szCs w:val="16"/>
          <w:b w:val="1"/>
          <w:bCs w:val="1"/>
          <w:color w:val="auto"/>
        </w:rPr>
        <w:t>The vesting of the Option may be accelerated</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under Section 2(a) of the Stock Option Agreement.</w:t>
      </w:r>
      <w:r>
        <w:rPr>
          <w:rFonts w:ascii="Arial" w:cs="Arial" w:eastAsia="Arial" w:hAnsi="Arial"/>
          <w:sz w:val="18"/>
          <w:szCs w:val="18"/>
          <w:color w:val="auto"/>
        </w:rPr>
        <w:t>] The number of Shares which may be purchased</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20"/>
          <w:szCs w:val="20"/>
          <w:color w:val="auto"/>
        </w:rPr>
        <w:t>upon exercise of this option shall at all times be rounded to the nearest whole Share.</w:t>
      </w:r>
    </w:p>
    <w:p>
      <w:pPr>
        <w:spacing w:after="0" w:line="200" w:lineRule="exact"/>
        <w:rPr>
          <w:sz w:val="20"/>
          <w:szCs w:val="20"/>
          <w:color w:val="auto"/>
        </w:rPr>
      </w:pPr>
    </w:p>
    <w:p>
      <w:pPr>
        <w:sectPr>
          <w:pgSz w:w="11900" w:h="16838" w:orient="portrait"/>
          <w:cols w:equalWidth="0" w:num="2">
            <w:col w:w="1520" w:space="380"/>
            <w:col w:w="9240"/>
          </w:cols>
          <w:pgMar w:left="320" w:top="1440" w:right="439" w:bottom="1440" w:gutter="0" w:footer="0" w:header="0"/>
          <w:type w:val="continuous"/>
        </w:sectPr>
      </w:pPr>
    </w:p>
    <w:p>
      <w:pPr>
        <w:spacing w:after="0" w:line="81" w:lineRule="exact"/>
        <w:rPr>
          <w:sz w:val="20"/>
          <w:szCs w:val="20"/>
          <w:color w:val="auto"/>
        </w:rPr>
      </w:pPr>
    </w:p>
    <w:p>
      <w:pPr>
        <w:ind w:left="80"/>
        <w:spacing w:after="0"/>
        <w:tabs>
          <w:tab w:leader="none" w:pos="2200" w:val="left"/>
        </w:tabs>
        <w:rPr>
          <w:sz w:val="20"/>
          <w:szCs w:val="20"/>
          <w:color w:val="auto"/>
        </w:rPr>
      </w:pPr>
      <w:r>
        <w:rPr>
          <w:rFonts w:ascii="Arial" w:cs="Arial" w:eastAsia="Arial" w:hAnsi="Arial"/>
          <w:sz w:val="20"/>
          <w:szCs w:val="20"/>
          <w:color w:val="auto"/>
        </w:rPr>
        <w:t>Vesting Commencement</w:t>
      </w:r>
      <w:r>
        <w:rPr>
          <w:sz w:val="20"/>
          <w:szCs w:val="20"/>
          <w:color w:val="auto"/>
        </w:rPr>
        <w:tab/>
      </w:r>
      <w:r>
        <w:rPr>
          <w:rFonts w:ascii="Arial" w:cs="Arial" w:eastAsia="Arial" w:hAnsi="Arial"/>
          <w:sz w:val="16"/>
          <w:szCs w:val="16"/>
          <w:color w:val="auto"/>
        </w:rPr>
        <w:t>__________________________</w:t>
      </w:r>
    </w:p>
    <w:p>
      <w:pPr>
        <w:spacing w:after="0" w:line="108" w:lineRule="exact"/>
        <w:rPr>
          <w:sz w:val="20"/>
          <w:szCs w:val="20"/>
          <w:color w:val="auto"/>
        </w:rPr>
      </w:pPr>
    </w:p>
    <w:p>
      <w:pPr>
        <w:ind w:left="80"/>
        <w:spacing w:after="0"/>
        <w:rPr>
          <w:sz w:val="20"/>
          <w:szCs w:val="20"/>
          <w:color w:val="auto"/>
        </w:rPr>
      </w:pPr>
      <w:r>
        <w:rPr>
          <w:rFonts w:ascii="Arial" w:cs="Arial" w:eastAsia="Arial" w:hAnsi="Arial"/>
          <w:sz w:val="20"/>
          <w:szCs w:val="20"/>
          <w:color w:val="auto"/>
        </w:rPr>
        <w:t>Date:</w:t>
      </w:r>
    </w:p>
    <w:p>
      <w:pPr>
        <w:spacing w:after="0" w:line="54" w:lineRule="exact"/>
        <w:rPr>
          <w:sz w:val="20"/>
          <w:szCs w:val="20"/>
          <w:color w:val="auto"/>
        </w:rPr>
      </w:pPr>
    </w:p>
    <w:p>
      <w:pPr>
        <w:ind w:left="80"/>
        <w:spacing w:after="0"/>
        <w:tabs>
          <w:tab w:leader="none" w:pos="1580" w:val="left"/>
        </w:tabs>
        <w:rPr>
          <w:sz w:val="20"/>
          <w:szCs w:val="20"/>
          <w:color w:val="auto"/>
        </w:rPr>
      </w:pPr>
      <w:r>
        <w:rPr>
          <w:rFonts w:ascii="Arial" w:cs="Arial" w:eastAsia="Arial" w:hAnsi="Arial"/>
          <w:sz w:val="20"/>
          <w:szCs w:val="20"/>
          <w:color w:val="auto"/>
        </w:rPr>
        <w:t>Expiration Date:</w:t>
      </w:r>
      <w:r>
        <w:rPr>
          <w:sz w:val="20"/>
          <w:szCs w:val="20"/>
          <w:color w:val="auto"/>
        </w:rPr>
        <w:tab/>
      </w:r>
      <w:r>
        <w:rPr>
          <w:rFonts w:ascii="Arial" w:cs="Arial" w:eastAsia="Arial" w:hAnsi="Arial"/>
          <w:sz w:val="16"/>
          <w:szCs w:val="16"/>
          <w:color w:val="auto"/>
        </w:rPr>
        <w:t>___________________________. The Option expires earlier if the Optionee's Service terminates earlier, as provided in</w:t>
      </w:r>
    </w:p>
    <w:p>
      <w:pPr>
        <w:spacing w:after="0" w:line="15"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Section 6 of the Stock Option Agreement.</w:t>
      </w:r>
    </w:p>
    <w:p>
      <w:pPr>
        <w:ind w:right="80"/>
        <w:spacing w:after="0" w:line="281" w:lineRule="auto"/>
        <w:rPr>
          <w:sz w:val="20"/>
          <w:szCs w:val="20"/>
          <w:color w:val="auto"/>
        </w:rPr>
      </w:pPr>
      <w:r>
        <w:rPr>
          <w:rFonts w:ascii="Arial" w:cs="Arial" w:eastAsia="Arial" w:hAnsi="Arial"/>
          <w:sz w:val="18"/>
          <w:szCs w:val="18"/>
          <w:color w:val="auto"/>
        </w:rPr>
        <w:t>By signing below, the Optionee and the Company agree that this option is granted under, and governed by the terms and conditions of, the 2013 Stock Plan and the Stock Option Agreement. Both of these documents are attached to, and made a part of, this Notice of Stock Option Grant. Section 13 of the Stock Option Agreement includes important acknowledgements of the Optionee.</w:t>
      </w:r>
    </w:p>
    <w:p>
      <w:pPr>
        <w:spacing w:after="0" w:line="182" w:lineRule="exact"/>
        <w:rPr>
          <w:sz w:val="20"/>
          <w:szCs w:val="20"/>
          <w:color w:val="auto"/>
        </w:rPr>
      </w:pPr>
    </w:p>
    <w:p>
      <w:pPr>
        <w:spacing w:after="0"/>
        <w:tabs>
          <w:tab w:leader="none" w:pos="2280" w:val="left"/>
        </w:tabs>
        <w:rPr>
          <w:sz w:val="20"/>
          <w:szCs w:val="20"/>
          <w:color w:val="auto"/>
        </w:rPr>
      </w:pPr>
      <w:r>
        <w:rPr>
          <w:rFonts w:ascii="Arial" w:cs="Arial" w:eastAsia="Arial" w:hAnsi="Arial"/>
          <w:sz w:val="20"/>
          <w:szCs w:val="20"/>
          <w:b w:val="1"/>
          <w:bCs w:val="1"/>
          <w:color w:val="auto"/>
        </w:rPr>
        <w:t>OPTIONEE:</w:t>
      </w:r>
      <w:r>
        <w:rPr>
          <w:sz w:val="20"/>
          <w:szCs w:val="20"/>
          <w:color w:val="auto"/>
        </w:rPr>
        <w:tab/>
      </w:r>
      <w:r>
        <w:rPr>
          <w:rFonts w:ascii="Arial" w:cs="Arial" w:eastAsia="Arial" w:hAnsi="Arial"/>
          <w:sz w:val="20"/>
          <w:szCs w:val="20"/>
          <w:b w:val="1"/>
          <w:bCs w:val="1"/>
          <w:color w:val="auto"/>
        </w:rPr>
        <w:t>DOCSEND, INC.</w:t>
      </w:r>
    </w:p>
    <w:p>
      <w:pPr>
        <w:spacing w:after="0" w:line="21" w:lineRule="exact"/>
        <w:rPr>
          <w:sz w:val="20"/>
          <w:szCs w:val="20"/>
          <w:color w:val="auto"/>
        </w:rPr>
      </w:pPr>
    </w:p>
    <w:p>
      <w:pPr>
        <w:spacing w:after="0"/>
        <w:tabs>
          <w:tab w:leader="none" w:pos="3700" w:val="left"/>
        </w:tabs>
        <w:rPr>
          <w:sz w:val="20"/>
          <w:szCs w:val="20"/>
          <w:color w:val="auto"/>
        </w:rPr>
      </w:pPr>
      <w:r>
        <w:rPr>
          <w:rFonts w:ascii="Arial" w:cs="Arial" w:eastAsia="Arial" w:hAnsi="Arial"/>
          <w:sz w:val="20"/>
          <w:szCs w:val="20"/>
          <w:color w:val="auto"/>
        </w:rPr>
        <w:t>_________________________________</w:t>
      </w:r>
      <w:r>
        <w:rPr>
          <w:sz w:val="20"/>
          <w:szCs w:val="20"/>
          <w:color w:val="auto"/>
        </w:rPr>
        <w:tab/>
      </w: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_________________________________</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 ____________________________</w:t>
      </w:r>
    </w:p>
    <w:p>
      <w:pPr>
        <w:sectPr>
          <w:pgSz w:w="11900" w:h="16838" w:orient="portrait"/>
          <w:cols w:equalWidth="0" w:num="1">
            <w:col w:w="11140"/>
          </w:cols>
          <w:pgMar w:left="320" w:top="1440" w:right="439" w:bottom="1440" w:gutter="0" w:footer="0" w:header="0"/>
          <w:type w:val="continuous"/>
        </w:sectPr>
      </w:pPr>
    </w:p>
    <w:bookmarkStart w:id="19" w:name="page20"/>
    <w:bookmarkEnd w:id="19"/>
    <w:p>
      <w:pPr>
        <w:spacing w:after="0" w:line="200" w:lineRule="exact"/>
        <w:rPr>
          <w:sz w:val="20"/>
          <w:szCs w:val="20"/>
          <w:color w:val="auto"/>
        </w:rPr>
      </w:pPr>
    </w:p>
    <w:p>
      <w:pPr>
        <w:spacing w:after="0" w:line="259" w:lineRule="exact"/>
        <w:rPr>
          <w:sz w:val="20"/>
          <w:szCs w:val="20"/>
          <w:color w:val="auto"/>
        </w:rPr>
      </w:pPr>
    </w:p>
    <w:p>
      <w:pPr>
        <w:ind w:left="1140"/>
        <w:spacing w:after="0" w:line="246" w:lineRule="auto"/>
        <w:rPr>
          <w:sz w:val="20"/>
          <w:szCs w:val="20"/>
          <w:color w:val="auto"/>
        </w:rPr>
      </w:pPr>
      <w:r>
        <w:rPr>
          <w:rFonts w:ascii="Arial" w:cs="Arial" w:eastAsia="Arial" w:hAnsi="Arial"/>
          <w:sz w:val="20"/>
          <w:szCs w:val="20"/>
          <w:b w:val="1"/>
          <w:bCs w:val="1"/>
          <w:color w:val="auto"/>
        </w:rPr>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DOCSEND, INC.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2013 STOCK PLAN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STOCK OPTION AGREEMENT</w:t>
      </w:r>
    </w:p>
    <w:p>
      <w:pPr>
        <w:spacing w:after="0" w:line="29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9"/>
          <w:szCs w:val="19"/>
          <w:b w:val="1"/>
          <w:bCs w:val="1"/>
          <w:color w:val="auto"/>
        </w:rPr>
        <w:t>GRANT OF OPTION.</w:t>
      </w:r>
    </w:p>
    <w:p>
      <w:pPr>
        <w:spacing w:after="0" w:line="243" w:lineRule="exact"/>
        <w:rPr>
          <w:sz w:val="20"/>
          <w:szCs w:val="20"/>
          <w:color w:val="auto"/>
        </w:rPr>
      </w:pPr>
    </w:p>
    <w:p>
      <w:pPr>
        <w:ind w:right="20" w:firstLine="494"/>
        <w:spacing w:after="0" w:line="246" w:lineRule="auto"/>
        <w:tabs>
          <w:tab w:leader="none" w:pos="903"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 xml:space="preserve">Option. </w:t>
      </w:r>
      <w:r>
        <w:rPr>
          <w:rFonts w:ascii="Arial" w:cs="Arial" w:eastAsia="Arial" w:hAnsi="Arial"/>
          <w:sz w:val="20"/>
          <w:szCs w:val="20"/>
          <w:color w:val="auto"/>
        </w:rPr>
        <w:t>On the terms and conditions set forth in the Notice of Stock Option Grant and this Agreement, the Company grants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211" w:lineRule="exact"/>
        <w:rPr>
          <w:rFonts w:ascii="Arial" w:cs="Arial" w:eastAsia="Arial" w:hAnsi="Arial"/>
          <w:sz w:val="20"/>
          <w:szCs w:val="20"/>
          <w:color w:val="auto"/>
        </w:rPr>
      </w:pPr>
    </w:p>
    <w:p>
      <w:pPr>
        <w:ind w:right="40" w:firstLine="494"/>
        <w:spacing w:after="0" w:line="293" w:lineRule="auto"/>
        <w:tabs>
          <w:tab w:leader="none" w:pos="914"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 xml:space="preserve">$100,000 Limitation. </w:t>
      </w:r>
      <w:r>
        <w:rPr>
          <w:rFonts w:ascii="Arial" w:cs="Arial" w:eastAsia="Arial" w:hAnsi="Arial"/>
          <w:sz w:val="19"/>
          <w:szCs w:val="19"/>
          <w:color w:val="auto"/>
        </w:rPr>
        <w:t>Even if this option is designated as an ISO in the Notice of Stock Option Grant, it shall be deemed to be an</w:t>
      </w:r>
      <w:r>
        <w:rPr>
          <w:rFonts w:ascii="Arial" w:cs="Arial" w:eastAsia="Arial" w:hAnsi="Arial"/>
          <w:sz w:val="19"/>
          <w:szCs w:val="19"/>
          <w:b w:val="1"/>
          <w:bCs w:val="1"/>
          <w:color w:val="auto"/>
        </w:rPr>
        <w:t xml:space="preserve"> </w:t>
      </w:r>
      <w:r>
        <w:rPr>
          <w:rFonts w:ascii="Arial" w:cs="Arial" w:eastAsia="Arial" w:hAnsi="Arial"/>
          <w:sz w:val="19"/>
          <w:szCs w:val="19"/>
          <w:color w:val="auto"/>
        </w:rPr>
        <w:t>NSO to the extent (and only to the extent) required by the $100,000 annual limitation under §422(d) of the Code.</w:t>
      </w:r>
    </w:p>
    <w:p>
      <w:pPr>
        <w:spacing w:after="0" w:line="168" w:lineRule="exact"/>
        <w:rPr>
          <w:rFonts w:ascii="Arial" w:cs="Arial" w:eastAsia="Arial" w:hAnsi="Arial"/>
          <w:sz w:val="19"/>
          <w:szCs w:val="19"/>
          <w:color w:val="auto"/>
        </w:rPr>
      </w:pPr>
    </w:p>
    <w:p>
      <w:pPr>
        <w:ind w:firstLine="494"/>
        <w:spacing w:after="0" w:line="253" w:lineRule="auto"/>
        <w:tabs>
          <w:tab w:leader="none" w:pos="903"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 xml:space="preserve">Stock Plan and Defined Terms. </w:t>
      </w:r>
      <w:r>
        <w:rPr>
          <w:rFonts w:ascii="Arial" w:cs="Arial" w:eastAsia="Arial" w:hAnsi="Arial"/>
          <w:sz w:val="20"/>
          <w:szCs w:val="20"/>
          <w:color w:val="auto"/>
        </w:rPr>
        <w:t>This option is granted pursuant to the Plan, a copy of which the Optionee acknowledges having</w:t>
      </w:r>
      <w:r>
        <w:rPr>
          <w:rFonts w:ascii="Arial" w:cs="Arial" w:eastAsia="Arial" w:hAnsi="Arial"/>
          <w:sz w:val="20"/>
          <w:szCs w:val="20"/>
          <w:b w:val="1"/>
          <w:bCs w:val="1"/>
          <w:color w:val="auto"/>
        </w:rPr>
        <w:t xml:space="preserve"> </w:t>
      </w:r>
      <w:r>
        <w:rPr>
          <w:rFonts w:ascii="Arial" w:cs="Arial" w:eastAsia="Arial" w:hAnsi="Arial"/>
          <w:sz w:val="20"/>
          <w:szCs w:val="20"/>
          <w:color w:val="auto"/>
        </w:rPr>
        <w:t>received. The provisions of the Plan are incorporated into this Agreement by this reference. Capitalized terms are defined in the “Definitions” Section of this Agreement.</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2.</w:t>
        <w:tab/>
        <w:t>RIGHT TO EXERCISE.</w:t>
      </w:r>
    </w:p>
    <w:p>
      <w:pPr>
        <w:spacing w:after="0" w:line="243" w:lineRule="exact"/>
        <w:rPr>
          <w:sz w:val="20"/>
          <w:szCs w:val="20"/>
          <w:color w:val="auto"/>
        </w:rPr>
      </w:pPr>
    </w:p>
    <w:p>
      <w:pPr>
        <w:ind w:right="40" w:firstLine="494"/>
        <w:spacing w:after="0" w:line="272" w:lineRule="auto"/>
        <w:tabs>
          <w:tab w:leader="none" w:pos="914"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Exercisability. </w:t>
      </w:r>
      <w:r>
        <w:rPr>
          <w:rFonts w:ascii="Arial" w:cs="Arial" w:eastAsia="Arial" w:hAnsi="Arial"/>
          <w:sz w:val="19"/>
          <w:szCs w:val="19"/>
          <w:color w:val="auto"/>
        </w:rPr>
        <w:t>Subject to Subsection (b) below and the other conditions set forth in this Agreement, all or part of this option may</w:t>
      </w:r>
      <w:r>
        <w:rPr>
          <w:rFonts w:ascii="Arial" w:cs="Arial" w:eastAsia="Arial" w:hAnsi="Arial"/>
          <w:sz w:val="19"/>
          <w:szCs w:val="19"/>
          <w:b w:val="1"/>
          <w:bCs w:val="1"/>
          <w:color w:val="auto"/>
        </w:rPr>
        <w:t xml:space="preserve"> </w:t>
      </w:r>
      <w:r>
        <w:rPr>
          <w:rFonts w:ascii="Arial" w:cs="Arial" w:eastAsia="Arial" w:hAnsi="Arial"/>
          <w:sz w:val="19"/>
          <w:szCs w:val="19"/>
          <w:color w:val="auto"/>
        </w:rPr>
        <w:t>be exercised prior to its expiration at the time or times set forth in the Notice of Stock Option Grant. [</w:t>
      </w:r>
      <w:r>
        <w:rPr>
          <w:rFonts w:ascii="Arial" w:cs="Arial" w:eastAsia="Arial" w:hAnsi="Arial"/>
          <w:sz w:val="19"/>
          <w:szCs w:val="19"/>
          <w:b w:val="1"/>
          <w:bCs w:val="1"/>
          <w:color w:val="auto"/>
        </w:rPr>
        <w:t>In addition, the following rules shall</w:t>
      </w:r>
      <w:r>
        <w:rPr>
          <w:rFonts w:ascii="Arial" w:cs="Arial" w:eastAsia="Arial" w:hAnsi="Arial"/>
          <w:sz w:val="19"/>
          <w:szCs w:val="19"/>
          <w:color w:val="auto"/>
        </w:rPr>
        <w:t xml:space="preserve"> </w:t>
      </w:r>
      <w:r>
        <w:rPr>
          <w:rFonts w:ascii="Arial" w:cs="Arial" w:eastAsia="Arial" w:hAnsi="Arial"/>
          <w:sz w:val="19"/>
          <w:szCs w:val="19"/>
          <w:b w:val="1"/>
          <w:bCs w:val="1"/>
          <w:color w:val="auto"/>
        </w:rPr>
        <w:t>apply if the Company is subject to a Change in Control before the Optionee's Service terminates:</w:t>
      </w:r>
    </w:p>
    <w:p>
      <w:pPr>
        <w:spacing w:after="0" w:line="188" w:lineRule="exact"/>
        <w:rPr>
          <w:rFonts w:ascii="Arial" w:cs="Arial" w:eastAsia="Arial" w:hAnsi="Arial"/>
          <w:sz w:val="19"/>
          <w:szCs w:val="19"/>
          <w:b w:val="1"/>
          <w:bCs w:val="1"/>
          <w:color w:val="auto"/>
        </w:rPr>
      </w:pPr>
    </w:p>
    <w:p>
      <w:pPr>
        <w:ind w:right="380" w:firstLine="1142"/>
        <w:spacing w:after="0" w:line="267" w:lineRule="auto"/>
        <w:tabs>
          <w:tab w:leader="none" w:pos="1508" w:val="left"/>
        </w:tabs>
        <w:numPr>
          <w:ilvl w:val="1"/>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At all times after the Change in Control the exercisable portion of this option shall be determined by adding 12 months to the Optionee's actual Service.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OR</w:t>
      </w:r>
    </w:p>
    <w:p>
      <w:pPr>
        <w:sectPr>
          <w:pgSz w:w="11900" w:h="16838" w:orient="portrait"/>
          <w:cols w:equalWidth="0" w:num="1">
            <w:col w:w="11220"/>
          </w:cols>
          <w:pgMar w:left="320" w:top="1440" w:right="359" w:bottom="1440" w:gutter="0" w:footer="0" w:header="0"/>
        </w:sectPr>
      </w:pPr>
    </w:p>
    <w:bookmarkStart w:id="20" w:name="page21"/>
    <w:bookmarkEnd w:id="20"/>
    <w:p>
      <w:pPr>
        <w:ind w:right="100" w:firstLine="1142"/>
        <w:spacing w:after="0" w:line="253" w:lineRule="auto"/>
        <w:tabs>
          <w:tab w:leader="none" w:pos="1574" w:val="left"/>
        </w:tabs>
        <w:numPr>
          <w:ilvl w:val="1"/>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If the Optionee is subject to an Involuntary Termination within 12 months after the Change in Control, then the exercisable portion of this option shall be determined by adding an additional 12 months to the Optionee's actual Service (for a total of 24 months).]</w:t>
      </w:r>
    </w:p>
    <w:p>
      <w:pPr>
        <w:spacing w:after="0" w:line="204" w:lineRule="exact"/>
        <w:rPr>
          <w:rFonts w:ascii="Arial" w:cs="Arial" w:eastAsia="Arial" w:hAnsi="Arial"/>
          <w:sz w:val="20"/>
          <w:szCs w:val="20"/>
          <w:b w:val="1"/>
          <w:bCs w:val="1"/>
          <w:color w:val="auto"/>
        </w:rPr>
      </w:pPr>
    </w:p>
    <w:p>
      <w:pPr>
        <w:ind w:right="120" w:firstLine="494"/>
        <w:spacing w:after="0" w:line="267" w:lineRule="auto"/>
        <w:tabs>
          <w:tab w:leader="none" w:pos="914"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 xml:space="preserve">Stockholder Approval. </w:t>
      </w:r>
      <w:r>
        <w:rPr>
          <w:rFonts w:ascii="Arial" w:cs="Arial" w:eastAsia="Arial" w:hAnsi="Arial"/>
          <w:sz w:val="20"/>
          <w:szCs w:val="20"/>
          <w:color w:val="auto"/>
        </w:rPr>
        <w:t>Any other provision of this Agreement notwithstanding, no portion of this option shall be exercisable at</w:t>
      </w:r>
      <w:r>
        <w:rPr>
          <w:rFonts w:ascii="Arial" w:cs="Arial" w:eastAsia="Arial" w:hAnsi="Arial"/>
          <w:sz w:val="20"/>
          <w:szCs w:val="20"/>
          <w:b w:val="1"/>
          <w:bCs w:val="1"/>
          <w:color w:val="auto"/>
        </w:rPr>
        <w:t xml:space="preserve"> </w:t>
      </w:r>
      <w:r>
        <w:rPr>
          <w:rFonts w:ascii="Arial" w:cs="Arial" w:eastAsia="Arial" w:hAnsi="Arial"/>
          <w:sz w:val="20"/>
          <w:szCs w:val="20"/>
          <w:color w:val="auto"/>
        </w:rPr>
        <w:t>any time prior to the approval of the Plan by the Company’s stockholders.</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9"/>
          <w:szCs w:val="19"/>
          <w:b w:val="1"/>
          <w:bCs w:val="1"/>
          <w:color w:val="auto"/>
        </w:rPr>
        <w:t>NO TRANSFER OR ASSIGNMENT OF OPTION.</w:t>
      </w:r>
    </w:p>
    <w:p>
      <w:pPr>
        <w:spacing w:after="0" w:line="249"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20"/>
          <w:szCs w:val="20"/>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9"/>
          <w:szCs w:val="19"/>
          <w:b w:val="1"/>
          <w:bCs w:val="1"/>
          <w:color w:val="auto"/>
        </w:rPr>
        <w:t>EXERCISE PROCEDURES.</w:t>
      </w:r>
    </w:p>
    <w:p>
      <w:pPr>
        <w:spacing w:after="0" w:line="243" w:lineRule="exact"/>
        <w:rPr>
          <w:sz w:val="20"/>
          <w:szCs w:val="20"/>
          <w:color w:val="auto"/>
        </w:rPr>
      </w:pPr>
    </w:p>
    <w:p>
      <w:pPr>
        <w:ind w:firstLine="494"/>
        <w:spacing w:after="0" w:line="244" w:lineRule="auto"/>
        <w:tabs>
          <w:tab w:leader="none" w:pos="903" w:val="left"/>
        </w:tabs>
        <w:numPr>
          <w:ilvl w:val="1"/>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Notice of Exercise. </w:t>
      </w:r>
      <w:r>
        <w:rPr>
          <w:rFonts w:ascii="Arial" w:cs="Arial" w:eastAsia="Arial" w:hAnsi="Arial"/>
          <w:sz w:val="20"/>
          <w:szCs w:val="20"/>
          <w:color w:val="auto"/>
        </w:rPr>
        <w:t>The Optionee or the Optionee’s representative may exercise this option by giving written notice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pursuant to the “Miscellaneous Provisions” Section of this Agreement. The notice shall specify the election to exercise this option, the number of Shares for which it is being exercised and the form of payment. The person exercising this option shall sign the notice. If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the “Payment for Stock” Section of this Agreement for the full amount of the Purchase Price.</w:t>
      </w:r>
    </w:p>
    <w:p>
      <w:pPr>
        <w:spacing w:after="0" w:line="212" w:lineRule="exact"/>
        <w:rPr>
          <w:rFonts w:ascii="Arial" w:cs="Arial" w:eastAsia="Arial" w:hAnsi="Arial"/>
          <w:sz w:val="20"/>
          <w:szCs w:val="20"/>
          <w:color w:val="auto"/>
        </w:rPr>
      </w:pPr>
    </w:p>
    <w:p>
      <w:pPr>
        <w:jc w:val="both"/>
        <w:ind w:right="120" w:firstLine="494"/>
        <w:spacing w:after="0" w:line="313" w:lineRule="auto"/>
        <w:tabs>
          <w:tab w:leader="none" w:pos="914" w:val="left"/>
        </w:tabs>
        <w:numPr>
          <w:ilvl w:val="1"/>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Issuance of Shares. </w:t>
      </w:r>
      <w:r>
        <w:rPr>
          <w:rFonts w:ascii="Arial" w:cs="Arial" w:eastAsia="Arial" w:hAnsi="Arial"/>
          <w:sz w:val="16"/>
          <w:szCs w:val="16"/>
          <w:color w:val="auto"/>
        </w:rPr>
        <w:t>After receiving a proper notice of exercise, the Company shall cause to be issued a certificate or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Shares as to which this option has been exercised. Such shares shall be registered (i) in the name of the person exercising this option,</w:t>
      </w:r>
    </w:p>
    <w:p>
      <w:pPr>
        <w:spacing w:after="0" w:line="1" w:lineRule="exact"/>
        <w:rPr>
          <w:rFonts w:ascii="Arial" w:cs="Arial" w:eastAsia="Arial" w:hAnsi="Arial"/>
          <w:sz w:val="16"/>
          <w:szCs w:val="16"/>
          <w:color w:val="auto"/>
        </w:rPr>
      </w:pPr>
    </w:p>
    <w:p>
      <w:pPr>
        <w:jc w:val="both"/>
        <w:ind w:right="260" w:firstLine="8"/>
        <w:spacing w:after="0" w:line="241" w:lineRule="auto"/>
        <w:tabs>
          <w:tab w:leader="none" w:pos="291"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 the names of such person and his or her spouse as community property or as joint tenants with right of survivorship, or (iii) with the Company’s consent, in the name of a revocable trust. The Company shall cause such certificate or certificates to be deposited in escrow or delivered to or upon the order of the person exercising this option.</w:t>
      </w:r>
    </w:p>
    <w:p>
      <w:pPr>
        <w:spacing w:after="0" w:line="216" w:lineRule="exact"/>
        <w:rPr>
          <w:rFonts w:ascii="Arial" w:cs="Arial" w:eastAsia="Arial" w:hAnsi="Arial"/>
          <w:sz w:val="20"/>
          <w:szCs w:val="20"/>
          <w:color w:val="auto"/>
        </w:rPr>
      </w:pPr>
    </w:p>
    <w:p>
      <w:pPr>
        <w:ind w:firstLine="494"/>
        <w:spacing w:after="0" w:line="285" w:lineRule="auto"/>
        <w:tabs>
          <w:tab w:leader="none" w:pos="903" w:val="left"/>
        </w:tabs>
        <w:numPr>
          <w:ilvl w:val="1"/>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If the Company determines that it is required to withhold any tax as a result of the exercise of this option,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9"/>
          <w:szCs w:val="19"/>
          <w:b w:val="1"/>
          <w:bCs w:val="1"/>
          <w:color w:val="auto"/>
        </w:rPr>
        <w:t>PAYMENT FOR STOCK.</w:t>
      </w:r>
    </w:p>
    <w:p>
      <w:pPr>
        <w:spacing w:after="0" w:line="243" w:lineRule="exact"/>
        <w:rPr>
          <w:sz w:val="20"/>
          <w:szCs w:val="20"/>
          <w:color w:val="auto"/>
        </w:rPr>
      </w:pPr>
    </w:p>
    <w:p>
      <w:pPr>
        <w:ind w:left="920" w:hanging="426"/>
        <w:spacing w:after="0"/>
        <w:tabs>
          <w:tab w:leader="none" w:pos="92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Cash. </w:t>
      </w:r>
      <w:r>
        <w:rPr>
          <w:rFonts w:ascii="Arial" w:cs="Arial" w:eastAsia="Arial" w:hAnsi="Arial"/>
          <w:sz w:val="20"/>
          <w:szCs w:val="20"/>
          <w:color w:val="auto"/>
        </w:rPr>
        <w:t>All or part of the Purchase Price may be paid in cash or cash equivalents.</w:t>
      </w:r>
    </w:p>
    <w:p>
      <w:pPr>
        <w:spacing w:after="0" w:line="242" w:lineRule="exact"/>
        <w:rPr>
          <w:rFonts w:ascii="Arial" w:cs="Arial" w:eastAsia="Arial" w:hAnsi="Arial"/>
          <w:sz w:val="20"/>
          <w:szCs w:val="20"/>
          <w:color w:val="auto"/>
        </w:rPr>
      </w:pPr>
    </w:p>
    <w:p>
      <w:pPr>
        <w:ind w:right="660" w:firstLine="494"/>
        <w:spacing w:after="0" w:line="294" w:lineRule="auto"/>
        <w:tabs>
          <w:tab w:leader="none" w:pos="914"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Surrender of Stock. </w:t>
      </w:r>
      <w:r>
        <w:rPr>
          <w:rFonts w:ascii="Arial" w:cs="Arial" w:eastAsia="Arial" w:hAnsi="Arial"/>
          <w:sz w:val="18"/>
          <w:szCs w:val="18"/>
          <w:color w:val="auto"/>
        </w:rPr>
        <w:t>At the discretion of the Board of Directors, all or any part of the Purchase Price may be paid by</w:t>
      </w:r>
      <w:r>
        <w:rPr>
          <w:rFonts w:ascii="Arial" w:cs="Arial" w:eastAsia="Arial" w:hAnsi="Arial"/>
          <w:sz w:val="18"/>
          <w:szCs w:val="18"/>
          <w:b w:val="1"/>
          <w:bCs w:val="1"/>
          <w:color w:val="auto"/>
        </w:rPr>
        <w:t xml:space="preserve"> </w:t>
      </w:r>
      <w:r>
        <w:rPr>
          <w:rFonts w:ascii="Arial" w:cs="Arial" w:eastAsia="Arial" w:hAnsi="Arial"/>
          <w:sz w:val="18"/>
          <w:szCs w:val="18"/>
          <w:color w:val="auto"/>
        </w:rPr>
        <w:t>surrendering, or attesting to the ownership of, Shares that are already owned by the Optionee. Such Shares shall be surrendered to the Company in good form for transfer and shall be valued at their Fair Market Value on the date when this option is exercised.</w:t>
      </w:r>
    </w:p>
    <w:p>
      <w:pPr>
        <w:sectPr>
          <w:pgSz w:w="11900" w:h="16838" w:orient="portrait"/>
          <w:cols w:equalWidth="0" w:num="1">
            <w:col w:w="11220"/>
          </w:cols>
          <w:pgMar w:left="320" w:top="1413" w:right="359" w:bottom="1440" w:gutter="0" w:footer="0" w:header="0"/>
        </w:sectPr>
      </w:pPr>
    </w:p>
    <w:bookmarkStart w:id="21" w:name="page22"/>
    <w:bookmarkEnd w:id="21"/>
    <w:p>
      <w:pPr>
        <w:spacing w:after="0" w:line="216" w:lineRule="exact"/>
        <w:rPr>
          <w:sz w:val="20"/>
          <w:szCs w:val="20"/>
          <w:color w:val="auto"/>
        </w:rPr>
      </w:pPr>
    </w:p>
    <w:p>
      <w:pPr>
        <w:jc w:val="both"/>
        <w:ind w:right="120" w:firstLine="494"/>
        <w:spacing w:after="0" w:line="308" w:lineRule="auto"/>
        <w:tabs>
          <w:tab w:leader="none" w:pos="903"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Exercise/Sale. </w:t>
      </w:r>
      <w:r>
        <w:rPr>
          <w:rFonts w:ascii="Arial" w:cs="Arial" w:eastAsia="Arial" w:hAnsi="Arial"/>
          <w:sz w:val="16"/>
          <w:szCs w:val="16"/>
          <w:color w:val="auto"/>
        </w:rPr>
        <w:t>All or part of the Purchase Price and any withholding taxes may be paid by the delivery (on a form prescribed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of an irrevocable direction to a securities broker approved by the Company to sell Shares and to deliver all or part of the sales proceeds to the Company. However, payment pursuant to this Subsection (c) shall be permitted only if (i) Stock then is publicly traded and</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such payment does not violate applicable law.</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6.</w:t>
        <w:tab/>
        <w:t>TERM AND EXPIRATION.</w:t>
      </w:r>
    </w:p>
    <w:p>
      <w:pPr>
        <w:spacing w:after="0" w:line="243" w:lineRule="exact"/>
        <w:rPr>
          <w:sz w:val="20"/>
          <w:szCs w:val="20"/>
          <w:color w:val="auto"/>
        </w:rPr>
      </w:pPr>
    </w:p>
    <w:p>
      <w:pPr>
        <w:ind w:right="60" w:firstLine="494"/>
        <w:spacing w:after="0" w:line="253" w:lineRule="auto"/>
        <w:tabs>
          <w:tab w:leader="none" w:pos="903"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 xml:space="preserve">Basic Term. </w:t>
      </w:r>
      <w:r>
        <w:rPr>
          <w:rFonts w:ascii="Arial" w:cs="Arial" w:eastAsia="Arial" w:hAnsi="Arial"/>
          <w:sz w:val="20"/>
          <w:szCs w:val="20"/>
          <w:color w:val="auto"/>
        </w:rPr>
        <w:t>This option shall in any event expire on the expiration date set forth in the Notice of Stock Option Grant, which date</w:t>
      </w:r>
      <w:r>
        <w:rPr>
          <w:rFonts w:ascii="Arial" w:cs="Arial" w:eastAsia="Arial" w:hAnsi="Arial"/>
          <w:sz w:val="20"/>
          <w:szCs w:val="20"/>
          <w:b w:val="1"/>
          <w:bCs w:val="1"/>
          <w:color w:val="auto"/>
        </w:rPr>
        <w:t xml:space="preserve"> </w:t>
      </w:r>
      <w:r>
        <w:rPr>
          <w:rFonts w:ascii="Arial" w:cs="Arial" w:eastAsia="Arial" w:hAnsi="Arial"/>
          <w:sz w:val="20"/>
          <w:szCs w:val="20"/>
          <w:color w:val="auto"/>
        </w:rPr>
        <w:t>is 10 years after the Date of Grant (five years after the Date of Grant if this option is designated as an ISO in the Notice of Stock Option Grant and Section 3(b) of the Plan applies).</w:t>
      </w:r>
    </w:p>
    <w:p>
      <w:pPr>
        <w:spacing w:after="0" w:line="204" w:lineRule="exact"/>
        <w:rPr>
          <w:rFonts w:ascii="Arial" w:cs="Arial" w:eastAsia="Arial" w:hAnsi="Arial"/>
          <w:sz w:val="20"/>
          <w:szCs w:val="20"/>
          <w:color w:val="auto"/>
        </w:rPr>
      </w:pPr>
    </w:p>
    <w:p>
      <w:pPr>
        <w:ind w:right="40" w:firstLine="494"/>
        <w:spacing w:after="0" w:line="267" w:lineRule="auto"/>
        <w:tabs>
          <w:tab w:leader="none" w:pos="914"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auto"/>
        </w:rPr>
        <w:t xml:space="preserve">Termination of Service (Except by Death). </w:t>
      </w:r>
      <w:r>
        <w:rPr>
          <w:rFonts w:ascii="Arial" w:cs="Arial" w:eastAsia="Arial" w:hAnsi="Arial"/>
          <w:sz w:val="20"/>
          <w:szCs w:val="20"/>
          <w:color w:val="auto"/>
        </w:rPr>
        <w:t>If the Optionee’s Service terminates for any reason other than death, then this option</w:t>
      </w:r>
      <w:r>
        <w:rPr>
          <w:rFonts w:ascii="Arial" w:cs="Arial" w:eastAsia="Arial" w:hAnsi="Arial"/>
          <w:sz w:val="20"/>
          <w:szCs w:val="20"/>
          <w:b w:val="1"/>
          <w:bCs w:val="1"/>
          <w:color w:val="auto"/>
        </w:rPr>
        <w:t xml:space="preserve"> </w:t>
      </w:r>
      <w:r>
        <w:rPr>
          <w:rFonts w:ascii="Arial" w:cs="Arial" w:eastAsia="Arial" w:hAnsi="Arial"/>
          <w:sz w:val="20"/>
          <w:szCs w:val="20"/>
          <w:color w:val="auto"/>
        </w:rPr>
        <w:t>shall expire on the earliest of the following occasions:</w:t>
      </w:r>
    </w:p>
    <w:p>
      <w:pPr>
        <w:spacing w:after="0" w:line="196" w:lineRule="exact"/>
        <w:rPr>
          <w:rFonts w:ascii="Arial" w:cs="Arial" w:eastAsia="Arial" w:hAnsi="Arial"/>
          <w:sz w:val="20"/>
          <w:szCs w:val="20"/>
          <w:color w:val="auto"/>
        </w:rPr>
      </w:pPr>
    </w:p>
    <w:p>
      <w:pPr>
        <w:ind w:left="1520" w:hanging="378"/>
        <w:spacing w:after="0"/>
        <w:tabs>
          <w:tab w:leader="none" w:pos="15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expiration date determined pursuant to Subsection (a) above;</w:t>
      </w:r>
    </w:p>
    <w:p>
      <w:pPr>
        <w:spacing w:after="0" w:line="242" w:lineRule="exact"/>
        <w:rPr>
          <w:rFonts w:ascii="Arial" w:cs="Arial" w:eastAsia="Arial" w:hAnsi="Arial"/>
          <w:sz w:val="20"/>
          <w:szCs w:val="20"/>
          <w:color w:val="auto"/>
        </w:rPr>
      </w:pPr>
    </w:p>
    <w:p>
      <w:pPr>
        <w:ind w:left="1580" w:hanging="438"/>
        <w:spacing w:after="0"/>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Optionee’s Service for any reason other than Cause or Disability; or</w:t>
      </w:r>
    </w:p>
    <w:p>
      <w:pPr>
        <w:spacing w:after="0" w:line="265" w:lineRule="exact"/>
        <w:rPr>
          <w:rFonts w:ascii="Arial" w:cs="Arial" w:eastAsia="Arial" w:hAnsi="Arial"/>
          <w:sz w:val="18"/>
          <w:szCs w:val="18"/>
          <w:color w:val="auto"/>
        </w:rPr>
      </w:pPr>
    </w:p>
    <w:p>
      <w:pPr>
        <w:ind w:left="1140" w:right="700" w:firstLine="2"/>
        <w:spacing w:after="0" w:line="260" w:lineRule="auto"/>
        <w:tabs>
          <w:tab w:leader="none" w:pos="1631"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date of the termination of the Optionee’s Service for Cause, or such later date as the Board of Directors may determine; or</w:t>
      </w:r>
    </w:p>
    <w:p>
      <w:pPr>
        <w:spacing w:after="0" w:line="203" w:lineRule="exact"/>
        <w:rPr>
          <w:rFonts w:ascii="Arial" w:cs="Arial" w:eastAsia="Arial" w:hAnsi="Arial"/>
          <w:sz w:val="20"/>
          <w:szCs w:val="20"/>
          <w:color w:val="auto"/>
        </w:rPr>
      </w:pPr>
    </w:p>
    <w:p>
      <w:pPr>
        <w:ind w:left="1620" w:hanging="478"/>
        <w:spacing w:after="0"/>
        <w:tabs>
          <w:tab w:leader="none" w:pos="16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date twelve (12) months after the termination of the Optionee’s Service by reason of Disability.</w:t>
      </w:r>
    </w:p>
    <w:p>
      <w:pPr>
        <w:spacing w:after="0" w:line="243"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If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w:t>
      </w:r>
    </w:p>
    <w:p>
      <w:pPr>
        <w:spacing w:after="0" w:line="186" w:lineRule="exact"/>
        <w:rPr>
          <w:sz w:val="20"/>
          <w:szCs w:val="20"/>
          <w:color w:val="auto"/>
        </w:rPr>
      </w:pPr>
    </w:p>
    <w:p>
      <w:pPr>
        <w:ind w:left="920" w:hanging="426"/>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Death of the Optionee. </w:t>
      </w:r>
      <w:r>
        <w:rPr>
          <w:rFonts w:ascii="Arial" w:cs="Arial" w:eastAsia="Arial" w:hAnsi="Arial"/>
          <w:sz w:val="18"/>
          <w:szCs w:val="18"/>
          <w:color w:val="auto"/>
        </w:rPr>
        <w:t>If the Optionee dies while in Service, then this option shall expire on the earlier of the following dates:</w:t>
      </w:r>
    </w:p>
    <w:p>
      <w:pPr>
        <w:spacing w:after="0" w:line="271" w:lineRule="exact"/>
        <w:rPr>
          <w:rFonts w:ascii="Arial" w:cs="Arial" w:eastAsia="Arial" w:hAnsi="Arial"/>
          <w:sz w:val="18"/>
          <w:szCs w:val="18"/>
          <w:color w:val="auto"/>
        </w:rPr>
      </w:pPr>
    </w:p>
    <w:p>
      <w:pPr>
        <w:ind w:left="1520" w:hanging="378"/>
        <w:spacing w:after="0"/>
        <w:tabs>
          <w:tab w:leader="none" w:pos="152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expiration date determined pursuant to Subsection (a) above; or</w:t>
      </w:r>
    </w:p>
    <w:p>
      <w:pPr>
        <w:spacing w:after="0" w:line="242" w:lineRule="exact"/>
        <w:rPr>
          <w:rFonts w:ascii="Arial" w:cs="Arial" w:eastAsia="Arial" w:hAnsi="Arial"/>
          <w:sz w:val="20"/>
          <w:szCs w:val="20"/>
          <w:color w:val="auto"/>
        </w:rPr>
      </w:pPr>
    </w:p>
    <w:p>
      <w:pPr>
        <w:ind w:left="1580" w:hanging="438"/>
        <w:spacing w:after="0"/>
        <w:tabs>
          <w:tab w:leader="none" w:pos="158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date 12 months after the Optionee’s death.</w:t>
      </w:r>
    </w:p>
    <w:p>
      <w:pPr>
        <w:spacing w:after="0" w:line="24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16" w:lineRule="exact"/>
        <w:rPr>
          <w:sz w:val="20"/>
          <w:szCs w:val="20"/>
          <w:color w:val="auto"/>
        </w:rPr>
      </w:pPr>
    </w:p>
    <w:p>
      <w:pPr>
        <w:ind w:right="60" w:firstLine="494"/>
        <w:spacing w:after="0" w:line="257" w:lineRule="auto"/>
        <w:tabs>
          <w:tab w:leader="none" w:pos="914" w:val="left"/>
        </w:tabs>
        <w:numPr>
          <w:ilvl w:val="0"/>
          <w:numId w:val="40"/>
        </w:numPr>
        <w:rPr>
          <w:rFonts w:ascii="Arial" w:cs="Arial" w:eastAsia="Arial" w:hAnsi="Arial"/>
          <w:sz w:val="19"/>
          <w:szCs w:val="19"/>
          <w:color w:val="auto"/>
        </w:rPr>
      </w:pPr>
      <w:r>
        <w:rPr>
          <w:rFonts w:ascii="Arial" w:cs="Arial" w:eastAsia="Arial" w:hAnsi="Arial"/>
          <w:sz w:val="19"/>
          <w:szCs w:val="19"/>
          <w:b w:val="1"/>
          <w:bCs w:val="1"/>
          <w:color w:val="auto"/>
        </w:rPr>
        <w:t xml:space="preserve">PartTime Employment and Leaves of Absence. </w:t>
      </w:r>
      <w:r>
        <w:rPr>
          <w:rFonts w:ascii="Arial" w:cs="Arial" w:eastAsia="Arial" w:hAnsi="Arial"/>
          <w:sz w:val="19"/>
          <w:szCs w:val="19"/>
          <w:color w:val="auto"/>
        </w:rPr>
        <w:t>If the Optionee commences working on a parttime basis, then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may adjust the vesting schedule set forth in the Notice of Stock Option Grant in accordance with the Company's parttime work policy or the terms of an agreement between the Optionee and the Company pertaining to his or her parttime schedule.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bona fide leave of absence, if (i) such leave was approved by the Company in writing and (ii) continued crediting of Service for such purpose is expressly required by the terms of such leave or by applicable law (as determined by the Company). Service shall be deemed to terminate when such leave ends, unless the Optionee immediately returns to active work.</w:t>
      </w:r>
    </w:p>
    <w:p>
      <w:pPr>
        <w:spacing w:after="0" w:line="202" w:lineRule="exact"/>
        <w:rPr>
          <w:rFonts w:ascii="Arial" w:cs="Arial" w:eastAsia="Arial" w:hAnsi="Arial"/>
          <w:sz w:val="19"/>
          <w:szCs w:val="19"/>
          <w:color w:val="auto"/>
        </w:rPr>
      </w:pPr>
    </w:p>
    <w:p>
      <w:pPr>
        <w:ind w:right="580" w:firstLine="494"/>
        <w:spacing w:after="0" w:line="267" w:lineRule="auto"/>
        <w:tabs>
          <w:tab w:leader="none" w:pos="903"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 xml:space="preserve">Limitation of ISO Treatment. </w:t>
      </w:r>
      <w:r>
        <w:rPr>
          <w:rFonts w:ascii="Arial" w:cs="Arial" w:eastAsia="Arial" w:hAnsi="Arial"/>
          <w:sz w:val="20"/>
          <w:szCs w:val="20"/>
          <w:color w:val="auto"/>
        </w:rPr>
        <w:t>Even if this option is designated as an ISO in the Notice of Stock Option Grant, it ceases to</w:t>
      </w:r>
      <w:r>
        <w:rPr>
          <w:rFonts w:ascii="Arial" w:cs="Arial" w:eastAsia="Arial" w:hAnsi="Arial"/>
          <w:sz w:val="20"/>
          <w:szCs w:val="20"/>
          <w:b w:val="1"/>
          <w:bCs w:val="1"/>
          <w:color w:val="auto"/>
        </w:rPr>
        <w:t xml:space="preserve"> </w:t>
      </w:r>
      <w:r>
        <w:rPr>
          <w:rFonts w:ascii="Arial" w:cs="Arial" w:eastAsia="Arial" w:hAnsi="Arial"/>
          <w:sz w:val="20"/>
          <w:szCs w:val="20"/>
          <w:color w:val="auto"/>
        </w:rPr>
        <w:t>qualify for favorable tax treatment as an ISO to the extent that it is exercised:</w:t>
      </w:r>
    </w:p>
    <w:p>
      <w:pPr>
        <w:spacing w:after="0" w:line="196" w:lineRule="exact"/>
        <w:rPr>
          <w:rFonts w:ascii="Arial" w:cs="Arial" w:eastAsia="Arial" w:hAnsi="Arial"/>
          <w:sz w:val="20"/>
          <w:szCs w:val="20"/>
          <w:color w:val="auto"/>
        </w:rPr>
      </w:pPr>
    </w:p>
    <w:p>
      <w:pPr>
        <w:ind w:right="380" w:firstLine="1142"/>
        <w:spacing w:after="0" w:line="247" w:lineRule="auto"/>
        <w:tabs>
          <w:tab w:leader="none" w:pos="1519" w:val="left"/>
        </w:tabs>
        <w:numPr>
          <w:ilvl w:val="1"/>
          <w:numId w:val="40"/>
        </w:numPr>
        <w:rPr>
          <w:rFonts w:ascii="Arial" w:cs="Arial" w:eastAsia="Arial" w:hAnsi="Arial"/>
          <w:sz w:val="20"/>
          <w:szCs w:val="20"/>
          <w:color w:val="auto"/>
        </w:rPr>
      </w:pPr>
      <w:r>
        <w:rPr>
          <w:rFonts w:ascii="Arial" w:cs="Arial" w:eastAsia="Arial" w:hAnsi="Arial"/>
          <w:sz w:val="20"/>
          <w:szCs w:val="20"/>
          <w:color w:val="auto"/>
        </w:rPr>
        <w:t>More than three months after the date when the Optionee ceases to be an Employee for any reason other than death or permanent and total disability (as defined in</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§22(e)(3) of the Code);</w:t>
      </w:r>
    </w:p>
    <w:p>
      <w:pPr>
        <w:spacing w:after="0" w:line="226" w:lineRule="exact"/>
        <w:rPr>
          <w:rFonts w:ascii="Arial" w:cs="Arial" w:eastAsia="Arial" w:hAnsi="Arial"/>
          <w:sz w:val="20"/>
          <w:szCs w:val="20"/>
          <w:color w:val="auto"/>
        </w:rPr>
      </w:pPr>
    </w:p>
    <w:p>
      <w:pPr>
        <w:ind w:right="600" w:firstLine="1142"/>
        <w:spacing w:after="0" w:line="260" w:lineRule="auto"/>
        <w:tabs>
          <w:tab w:leader="none" w:pos="1574" w:val="left"/>
        </w:tabs>
        <w:numPr>
          <w:ilvl w:val="1"/>
          <w:numId w:val="40"/>
        </w:numPr>
        <w:rPr>
          <w:rFonts w:ascii="Arial" w:cs="Arial" w:eastAsia="Arial" w:hAnsi="Arial"/>
          <w:sz w:val="20"/>
          <w:szCs w:val="20"/>
          <w:color w:val="auto"/>
        </w:rPr>
      </w:pPr>
      <w:r>
        <w:rPr>
          <w:rFonts w:ascii="Arial" w:cs="Arial" w:eastAsia="Arial" w:hAnsi="Arial"/>
          <w:sz w:val="20"/>
          <w:szCs w:val="20"/>
          <w:color w:val="auto"/>
        </w:rPr>
        <w:t>More than 12 months after the date when the Optionee ceases to be an Employee by reason of permanent and total disability (as defined in §22(e)(3) of the Code); or</w:t>
      </w:r>
    </w:p>
    <w:p>
      <w:pPr>
        <w:spacing w:after="0" w:line="203" w:lineRule="exact"/>
        <w:rPr>
          <w:rFonts w:ascii="Arial" w:cs="Arial" w:eastAsia="Arial" w:hAnsi="Arial"/>
          <w:sz w:val="20"/>
          <w:szCs w:val="20"/>
          <w:color w:val="auto"/>
        </w:rPr>
      </w:pPr>
    </w:p>
    <w:p>
      <w:pPr>
        <w:ind w:right="780" w:firstLine="1142"/>
        <w:spacing w:after="0" w:line="260" w:lineRule="auto"/>
        <w:tabs>
          <w:tab w:leader="none" w:pos="1629" w:val="left"/>
        </w:tabs>
        <w:numPr>
          <w:ilvl w:val="1"/>
          <w:numId w:val="40"/>
        </w:numPr>
        <w:rPr>
          <w:rFonts w:ascii="Arial" w:cs="Arial" w:eastAsia="Arial" w:hAnsi="Arial"/>
          <w:sz w:val="20"/>
          <w:szCs w:val="20"/>
          <w:color w:val="auto"/>
        </w:rPr>
      </w:pPr>
      <w:r>
        <w:rPr>
          <w:rFonts w:ascii="Arial" w:cs="Arial" w:eastAsia="Arial" w:hAnsi="Arial"/>
          <w:sz w:val="20"/>
          <w:szCs w:val="20"/>
          <w:color w:val="auto"/>
        </w:rPr>
        <w:t>More than three months after the date when the Optionee has been on a leave of absence for 90 days, unless the Optionee's reemployment rights following such leave were guaranteed by statute or by contract.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 RIGHT OF FIRST REFUSAL.</w:t>
      </w:r>
    </w:p>
    <w:p>
      <w:pPr>
        <w:spacing w:after="0" w:line="22" w:lineRule="exact"/>
        <w:rPr>
          <w:sz w:val="20"/>
          <w:szCs w:val="20"/>
          <w:color w:val="auto"/>
        </w:rPr>
      </w:pPr>
    </w:p>
    <w:p>
      <w:pPr>
        <w:ind w:firstLine="494"/>
        <w:spacing w:after="0" w:line="306" w:lineRule="auto"/>
        <w:tabs>
          <w:tab w:leader="none" w:pos="903"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Right of First Refusal. </w:t>
      </w:r>
      <w:r>
        <w:rPr>
          <w:rFonts w:ascii="Arial" w:cs="Arial" w:eastAsia="Arial" w:hAnsi="Arial"/>
          <w:sz w:val="16"/>
          <w:szCs w:val="16"/>
          <w:color w:val="auto"/>
        </w:rPr>
        <w:t>If the Optionee proposes to sell, pledge or otherwise transfer to a third party any Shares acquired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or state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 The Company’s rights under this Subsection (a) shall be freely assignable, in whole or in part.</w:t>
      </w:r>
    </w:p>
    <w:p>
      <w:pPr>
        <w:spacing w:after="0" w:line="170" w:lineRule="exact"/>
        <w:rPr>
          <w:rFonts w:ascii="Arial" w:cs="Arial" w:eastAsia="Arial" w:hAnsi="Arial"/>
          <w:sz w:val="16"/>
          <w:szCs w:val="16"/>
          <w:color w:val="auto"/>
        </w:rPr>
      </w:pPr>
    </w:p>
    <w:p>
      <w:pPr>
        <w:ind w:right="40" w:firstLine="494"/>
        <w:spacing w:after="0" w:line="294" w:lineRule="auto"/>
        <w:tabs>
          <w:tab w:leader="none" w:pos="914"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Transfer of Shares. </w:t>
      </w:r>
      <w:r>
        <w:rPr>
          <w:rFonts w:ascii="Arial" w:cs="Arial" w:eastAsia="Arial" w:hAnsi="Arial"/>
          <w:sz w:val="18"/>
          <w:szCs w:val="18"/>
          <w:color w:val="auto"/>
        </w:rPr>
        <w:t>If the Company fails to exercise its Right of First Refusal within 30 days after the date when it received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Notice, the Optionee may, not later than 90 days following receipt of the Transfer Notice by the Company, conclude a transfer of the Shares subject to the Transfer Notice on the terms and conditions described in the Transfer Notice, provided that any such sale</w:t>
      </w:r>
    </w:p>
    <w:p>
      <w:pPr>
        <w:sectPr>
          <w:pgSz w:w="11900" w:h="16838" w:orient="portrait"/>
          <w:cols w:equalWidth="0" w:num="1">
            <w:col w:w="11240"/>
          </w:cols>
          <w:pgMar w:left="320" w:top="1440" w:right="339" w:bottom="1440" w:gutter="0" w:footer="0" w:header="0"/>
        </w:sectPr>
      </w:pPr>
    </w:p>
    <w:bookmarkStart w:id="23" w:name="page24"/>
    <w:bookmarkEnd w:id="23"/>
    <w:p>
      <w:pPr>
        <w:spacing w:after="0" w:line="311" w:lineRule="auto"/>
        <w:rPr>
          <w:sz w:val="20"/>
          <w:szCs w:val="20"/>
          <w:color w:val="auto"/>
        </w:rPr>
      </w:pPr>
      <w:r>
        <w:rPr>
          <w:rFonts w:ascii="Arial" w:cs="Arial" w:eastAsia="Arial" w:hAnsi="Arial"/>
          <w:sz w:val="16"/>
          <w:szCs w:val="16"/>
          <w:color w:val="auto"/>
        </w:rPr>
        <w:t>is made in compliance with applicable federal and state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66" w:lineRule="exact"/>
        <w:rPr>
          <w:sz w:val="20"/>
          <w:szCs w:val="20"/>
          <w:color w:val="auto"/>
        </w:rPr>
      </w:pPr>
    </w:p>
    <w:p>
      <w:pPr>
        <w:ind w:right="120" w:firstLine="494"/>
        <w:spacing w:after="0" w:line="255" w:lineRule="auto"/>
        <w:tabs>
          <w:tab w:leader="none" w:pos="903"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Additional or Exchanged Securities and Property. </w:t>
      </w:r>
      <w:r>
        <w:rPr>
          <w:rFonts w:ascii="Arial" w:cs="Arial" w:eastAsia="Arial" w:hAnsi="Arial"/>
          <w:sz w:val="19"/>
          <w:szCs w:val="19"/>
          <w:color w:val="auto"/>
        </w:rPr>
        <w:t>In the event of a merger or consolidation of the Company with or into</w:t>
      </w:r>
      <w:r>
        <w:rPr>
          <w:rFonts w:ascii="Arial" w:cs="Arial" w:eastAsia="Arial" w:hAnsi="Arial"/>
          <w:sz w:val="19"/>
          <w:szCs w:val="19"/>
          <w:b w:val="1"/>
          <w:bCs w:val="1"/>
          <w:color w:val="auto"/>
        </w:rPr>
        <w:t xml:space="preserve"> </w:t>
      </w:r>
      <w:r>
        <w:rPr>
          <w:rFonts w:ascii="Arial" w:cs="Arial" w:eastAsia="Arial" w:hAnsi="Arial"/>
          <w:sz w:val="19"/>
          <w:szCs w:val="19"/>
          <w:color w:val="auto"/>
        </w:rPr>
        <w:t>another entity,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shall immediately be subject to the Right of First Refusal. Appropriate adjustments to reflect the exchange or distribution of such securities or property shall be made to the number and/or class of the Shares subject to this section.</w:t>
      </w:r>
    </w:p>
    <w:p>
      <w:pPr>
        <w:spacing w:after="0" w:line="3" w:lineRule="exact"/>
        <w:rPr>
          <w:rFonts w:ascii="Arial" w:cs="Arial" w:eastAsia="Arial" w:hAnsi="Arial"/>
          <w:sz w:val="19"/>
          <w:szCs w:val="19"/>
          <w:color w:val="auto"/>
        </w:rPr>
      </w:pPr>
    </w:p>
    <w:p>
      <w:pPr>
        <w:ind w:right="40" w:firstLine="494"/>
        <w:spacing w:after="0" w:line="260" w:lineRule="auto"/>
        <w:tabs>
          <w:tab w:leader="none" w:pos="914"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Termination of Right of First Refusal. </w:t>
      </w:r>
      <w:r>
        <w:rPr>
          <w:rFonts w:ascii="Arial" w:cs="Arial" w:eastAsia="Arial" w:hAnsi="Arial"/>
          <w:sz w:val="19"/>
          <w:szCs w:val="19"/>
          <w:color w:val="auto"/>
        </w:rPr>
        <w:t>Any other provision of this Section 7 notwithstanding, if the Stock is readily tradable on</w:t>
      </w:r>
      <w:r>
        <w:rPr>
          <w:rFonts w:ascii="Arial" w:cs="Arial" w:eastAsia="Arial" w:hAnsi="Arial"/>
          <w:sz w:val="19"/>
          <w:szCs w:val="19"/>
          <w:b w:val="1"/>
          <w:bCs w:val="1"/>
          <w:color w:val="auto"/>
        </w:rPr>
        <w:t xml:space="preserve"> </w:t>
      </w:r>
      <w:r>
        <w:rPr>
          <w:rFonts w:ascii="Arial" w:cs="Arial" w:eastAsia="Arial" w:hAnsi="Arial"/>
          <w:sz w:val="19"/>
          <w:szCs w:val="19"/>
          <w:color w:val="auto"/>
        </w:rPr>
        <w:t>an established securities market when the Optionee desires to transfer Shares, the Company shall have no Right of First Refusal, and the Optionee shall have no obligation to comply with the procedures prescribed by Subsections (a) and (b) above.</w:t>
      </w:r>
    </w:p>
    <w:p>
      <w:pPr>
        <w:spacing w:after="0" w:line="199" w:lineRule="exact"/>
        <w:rPr>
          <w:rFonts w:ascii="Arial" w:cs="Arial" w:eastAsia="Arial" w:hAnsi="Arial"/>
          <w:sz w:val="19"/>
          <w:szCs w:val="19"/>
          <w:color w:val="auto"/>
        </w:rPr>
      </w:pPr>
    </w:p>
    <w:p>
      <w:pPr>
        <w:ind w:firstLine="494"/>
        <w:spacing w:after="0" w:line="245" w:lineRule="auto"/>
        <w:tabs>
          <w:tab w:leader="none" w:pos="903"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Permitted Transfers. </w:t>
      </w:r>
      <w:r>
        <w:rPr>
          <w:rFonts w:ascii="Arial" w:cs="Arial" w:eastAsia="Arial" w:hAnsi="Arial"/>
          <w:sz w:val="20"/>
          <w:szCs w:val="20"/>
          <w:color w:val="auto"/>
        </w:rPr>
        <w:t>This Section 7 shall not apply to (i) a transfer by beneficiary designation, will or intestate succession or (ii)</w:t>
      </w:r>
      <w:r>
        <w:rPr>
          <w:rFonts w:ascii="Arial" w:cs="Arial" w:eastAsia="Arial" w:hAnsi="Arial"/>
          <w:sz w:val="20"/>
          <w:szCs w:val="20"/>
          <w:b w:val="1"/>
          <w:bCs w:val="1"/>
          <w:color w:val="auto"/>
        </w:rPr>
        <w:t xml:space="preserve"> </w:t>
      </w:r>
      <w:r>
        <w:rPr>
          <w:rFonts w:ascii="Arial" w:cs="Arial" w:eastAsia="Arial" w:hAnsi="Arial"/>
          <w:sz w:val="20"/>
          <w:szCs w:val="20"/>
          <w:color w:val="auto"/>
        </w:rPr>
        <w:t>a transfer to the Optionee’s spouse, children or to a trust established by the Optionee for the benefit of the Optionee or the Optionee’s spouse, children or grandchildren,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Section 7 shall apply to the Transferee to the same extent as to the Optionee.</w:t>
      </w:r>
    </w:p>
    <w:p>
      <w:pPr>
        <w:spacing w:after="0" w:line="211" w:lineRule="exact"/>
        <w:rPr>
          <w:rFonts w:ascii="Arial" w:cs="Arial" w:eastAsia="Arial" w:hAnsi="Arial"/>
          <w:sz w:val="20"/>
          <w:szCs w:val="20"/>
          <w:color w:val="auto"/>
        </w:rPr>
      </w:pPr>
    </w:p>
    <w:p>
      <w:pPr>
        <w:ind w:right="40" w:firstLine="494"/>
        <w:spacing w:after="0" w:line="322" w:lineRule="auto"/>
        <w:tabs>
          <w:tab w:leader="none" w:pos="882"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Rights as Stockholder. </w:t>
      </w:r>
      <w:r>
        <w:rPr>
          <w:rFonts w:ascii="Arial" w:cs="Arial" w:eastAsia="Arial" w:hAnsi="Arial"/>
          <w:sz w:val="16"/>
          <w:szCs w:val="16"/>
          <w:color w:val="auto"/>
        </w:rPr>
        <w:t>If the Company makes available, at the time and place and in the amount and form</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this Agreement, the consideration for the Shares to be purchased in accordance with this Section,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56" w:lineRule="exact"/>
        <w:rPr>
          <w:rFonts w:ascii="Arial" w:cs="Arial" w:eastAsia="Arial" w:hAnsi="Arial"/>
          <w:sz w:val="16"/>
          <w:szCs w:val="16"/>
          <w:color w:val="auto"/>
        </w:rPr>
      </w:pPr>
    </w:p>
    <w:p>
      <w:pPr>
        <w:ind w:right="20" w:firstLine="494"/>
        <w:spacing w:after="0" w:line="253" w:lineRule="auto"/>
        <w:tabs>
          <w:tab w:leader="none" w:pos="914"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Assignment of Right of First Refusal. </w:t>
      </w:r>
      <w:r>
        <w:rPr>
          <w:rFonts w:ascii="Arial" w:cs="Arial" w:eastAsia="Arial" w:hAnsi="Arial"/>
          <w:sz w:val="20"/>
          <w:szCs w:val="20"/>
          <w:color w:val="auto"/>
        </w:rPr>
        <w:t>The Board of Directors may freely assign the Company's Right of First Refusal, in whole</w:t>
      </w:r>
      <w:r>
        <w:rPr>
          <w:rFonts w:ascii="Arial" w:cs="Arial" w:eastAsia="Arial" w:hAnsi="Arial"/>
          <w:sz w:val="20"/>
          <w:szCs w:val="20"/>
          <w:b w:val="1"/>
          <w:bCs w:val="1"/>
          <w:color w:val="auto"/>
        </w:rPr>
        <w:t xml:space="preserve"> </w:t>
      </w:r>
      <w:r>
        <w:rPr>
          <w:rFonts w:ascii="Arial" w:cs="Arial" w:eastAsia="Arial" w:hAnsi="Arial"/>
          <w:sz w:val="20"/>
          <w:szCs w:val="20"/>
          <w:color w:val="auto"/>
        </w:rPr>
        <w:t>or in part. Any person who accepts an assignment of the Right of First Refusal from the Company shall assume all of the Company's rights and obligations under this section.</w:t>
      </w:r>
    </w:p>
    <w:p>
      <w:pPr>
        <w:sectPr>
          <w:pgSz w:w="11900" w:h="16838" w:orient="portrait"/>
          <w:cols w:equalWidth="0" w:num="1">
            <w:col w:w="11180"/>
          </w:cols>
          <w:pgMar w:left="320" w:top="1419" w:right="399" w:bottom="1440" w:gutter="0" w:footer="0" w:header="0"/>
        </w:sectPr>
      </w:pPr>
    </w:p>
    <w:bookmarkStart w:id="24" w:name="page25"/>
    <w:bookmarkEnd w:id="24"/>
    <w:p>
      <w:pPr>
        <w:spacing w:after="0"/>
        <w:tabs>
          <w:tab w:leader="none" w:pos="1280" w:val="left"/>
        </w:tabs>
        <w:rPr>
          <w:sz w:val="20"/>
          <w:szCs w:val="20"/>
          <w:color w:val="auto"/>
        </w:rPr>
      </w:pPr>
      <w:r>
        <w:rPr>
          <w:rFonts w:ascii="Arial" w:cs="Arial" w:eastAsia="Arial" w:hAnsi="Arial"/>
          <w:sz w:val="20"/>
          <w:szCs w:val="20"/>
          <w:b w:val="1"/>
          <w:bCs w:val="1"/>
          <w:color w:val="auto"/>
        </w:rPr>
        <w:t>SECTION 8.</w:t>
        <w:tab/>
        <w:t>LEGALITY OF INITIAL ISSUANCE.</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 Shares shall be issued upon the exercise of this option unless and until the Company has determined that:</w:t>
      </w:r>
    </w:p>
    <w:p>
      <w:pPr>
        <w:spacing w:after="0" w:line="243" w:lineRule="exact"/>
        <w:rPr>
          <w:sz w:val="20"/>
          <w:szCs w:val="20"/>
          <w:color w:val="auto"/>
        </w:rPr>
      </w:pPr>
    </w:p>
    <w:p>
      <w:pPr>
        <w:ind w:firstLine="494"/>
        <w:spacing w:after="0" w:line="260" w:lineRule="auto"/>
        <w:tabs>
          <w:tab w:leader="none" w:pos="903" w:val="left"/>
        </w:tabs>
        <w:numPr>
          <w:ilvl w:val="0"/>
          <w:numId w:val="43"/>
        </w:numPr>
        <w:rPr>
          <w:rFonts w:ascii="Arial" w:cs="Arial" w:eastAsia="Arial" w:hAnsi="Arial"/>
          <w:sz w:val="20"/>
          <w:szCs w:val="20"/>
          <w:color w:val="auto"/>
        </w:rPr>
      </w:pPr>
      <w:r>
        <w:rPr>
          <w:rFonts w:ascii="Arial" w:cs="Arial" w:eastAsia="Arial" w:hAnsi="Arial"/>
          <w:sz w:val="20"/>
          <w:szCs w:val="20"/>
          <w:color w:val="auto"/>
        </w:rPr>
        <w:t>It and the Optionee have taken any actions required to register the Shares under the Securities Act or to perfect an exemption from the registration requirements thereof;</w:t>
      </w:r>
    </w:p>
    <w:p>
      <w:pPr>
        <w:spacing w:after="0" w:line="203" w:lineRule="exact"/>
        <w:rPr>
          <w:rFonts w:ascii="Arial" w:cs="Arial" w:eastAsia="Arial" w:hAnsi="Arial"/>
          <w:sz w:val="20"/>
          <w:szCs w:val="20"/>
          <w:color w:val="auto"/>
        </w:rPr>
      </w:pPr>
    </w:p>
    <w:p>
      <w:pPr>
        <w:ind w:left="920" w:hanging="426"/>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applicable listing requirement of any stock exchange or other securities market on which Stock is listed has been satisfied;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226" w:lineRule="exact"/>
        <w:rPr>
          <w:rFonts w:ascii="Arial" w:cs="Arial" w:eastAsia="Arial" w:hAnsi="Arial"/>
          <w:sz w:val="18"/>
          <w:szCs w:val="18"/>
          <w:color w:val="auto"/>
        </w:rPr>
      </w:pPr>
    </w:p>
    <w:p>
      <w:pPr>
        <w:ind w:left="900" w:hanging="406"/>
        <w:spacing w:after="0"/>
        <w:tabs>
          <w:tab w:leader="none" w:pos="9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other applicable provision of state or federal law has been satisfied.</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9.</w:t>
        <w:tab/>
        <w:t>NO REGISTRATION RIGHTS.</w:t>
      </w:r>
    </w:p>
    <w:p>
      <w:pPr>
        <w:spacing w:after="0" w:line="249" w:lineRule="exact"/>
        <w:rPr>
          <w:sz w:val="20"/>
          <w:szCs w:val="20"/>
          <w:color w:val="auto"/>
        </w:rPr>
      </w:pPr>
    </w:p>
    <w:p>
      <w:pPr>
        <w:jc w:val="both"/>
        <w:ind w:right="140" w:firstLine="486"/>
        <w:spacing w:after="0" w:line="250" w:lineRule="auto"/>
        <w:rPr>
          <w:sz w:val="20"/>
          <w:szCs w:val="20"/>
          <w:color w:val="auto"/>
        </w:rPr>
      </w:pPr>
      <w:r>
        <w:rPr>
          <w:rFonts w:ascii="Arial" w:cs="Arial" w:eastAsia="Arial" w:hAnsi="Arial"/>
          <w:sz w:val="20"/>
          <w:szCs w:val="20"/>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207"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SECTION 10.</w:t>
      </w:r>
      <w:r>
        <w:rPr>
          <w:sz w:val="20"/>
          <w:szCs w:val="20"/>
          <w:color w:val="auto"/>
        </w:rPr>
        <w:tab/>
      </w:r>
      <w:r>
        <w:rPr>
          <w:rFonts w:ascii="Arial" w:cs="Arial" w:eastAsia="Arial" w:hAnsi="Arial"/>
          <w:sz w:val="19"/>
          <w:szCs w:val="19"/>
          <w:b w:val="1"/>
          <w:bCs w:val="1"/>
          <w:color w:val="auto"/>
        </w:rPr>
        <w:t>RESTRICTIONS ON TRANSFER.</w:t>
      </w:r>
    </w:p>
    <w:p>
      <w:pPr>
        <w:spacing w:after="0" w:line="243" w:lineRule="exact"/>
        <w:rPr>
          <w:sz w:val="20"/>
          <w:szCs w:val="20"/>
          <w:color w:val="auto"/>
        </w:rPr>
      </w:pPr>
    </w:p>
    <w:p>
      <w:pPr>
        <w:ind w:right="20" w:firstLine="494"/>
        <w:spacing w:after="0" w:line="262" w:lineRule="auto"/>
        <w:tabs>
          <w:tab w:leader="none" w:pos="903"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 xml:space="preserve">Securities Law Restrictions. </w:t>
      </w:r>
      <w:r>
        <w:rPr>
          <w:rFonts w:ascii="Arial" w:cs="Arial" w:eastAsia="Arial" w:hAnsi="Arial"/>
          <w:sz w:val="19"/>
          <w:szCs w:val="19"/>
          <w:color w:val="auto"/>
        </w:rPr>
        <w:t>Regardless of whether the offering and sale of Shares under the Plan have been registered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97" w:lineRule="exact"/>
        <w:rPr>
          <w:rFonts w:ascii="Arial" w:cs="Arial" w:eastAsia="Arial" w:hAnsi="Arial"/>
          <w:sz w:val="19"/>
          <w:szCs w:val="19"/>
          <w:color w:val="auto"/>
        </w:rPr>
      </w:pPr>
    </w:p>
    <w:p>
      <w:pPr>
        <w:ind w:right="40" w:firstLine="494"/>
        <w:spacing w:after="0" w:line="270" w:lineRule="auto"/>
        <w:tabs>
          <w:tab w:leader="none" w:pos="914"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Market StandOff. </w:t>
      </w:r>
      <w:r>
        <w:rPr>
          <w:rFonts w:ascii="Arial" w:cs="Arial" w:eastAsia="Arial" w:hAnsi="Arial"/>
          <w:sz w:val="18"/>
          <w:szCs w:val="18"/>
          <w:color w:val="auto"/>
        </w:rPr>
        <w:t>In connection with any underwritten public offering by the Company of its equity securities pursuant to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registration statement filed under the Securities Act, including the Company’s initial public offering, the Optionee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underwriters. Such restriction (the </w:t>
      </w:r>
      <w:r>
        <w:rPr>
          <w:rFonts w:ascii="Arial" w:cs="Arial" w:eastAsia="Arial" w:hAnsi="Arial"/>
          <w:sz w:val="18"/>
          <w:szCs w:val="18"/>
          <w:b w:val="1"/>
          <w:bCs w:val="1"/>
          <w:color w:val="auto"/>
        </w:rPr>
        <w:t>“Market StandOff”</w:t>
      </w:r>
      <w:r>
        <w:rPr>
          <w:rFonts w:ascii="Arial" w:cs="Arial" w:eastAsia="Arial" w:hAnsi="Arial"/>
          <w:sz w:val="18"/>
          <w:szCs w:val="18"/>
          <w:color w:val="auto"/>
        </w:rPr>
        <w:t>) shall be in effect for such period of time following the date of the final prospectus for the offering as may be requested by the Company or such underwriters.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To enforce the</w:t>
      </w:r>
    </w:p>
    <w:p>
      <w:pPr>
        <w:sectPr>
          <w:pgSz w:w="11900" w:h="16838" w:orient="portrait"/>
          <w:cols w:equalWidth="0" w:num="1">
            <w:col w:w="11220"/>
          </w:cols>
          <w:pgMar w:left="320" w:top="1413" w:right="359" w:bottom="1440" w:gutter="0" w:footer="0" w:header="0"/>
        </w:sectPr>
      </w:pPr>
    </w:p>
    <w:bookmarkStart w:id="25" w:name="page26"/>
    <w:bookmarkEnd w:id="25"/>
    <w:p>
      <w:pPr>
        <w:ind w:right="80"/>
        <w:spacing w:after="0" w:line="269" w:lineRule="auto"/>
        <w:rPr>
          <w:sz w:val="20"/>
          <w:szCs w:val="20"/>
          <w:color w:val="auto"/>
        </w:rPr>
      </w:pPr>
      <w:r>
        <w:rPr>
          <w:rFonts w:ascii="Arial" w:cs="Arial" w:eastAsia="Arial" w:hAnsi="Arial"/>
          <w:sz w:val="19"/>
          <w:szCs w:val="19"/>
          <w:color w:val="auto"/>
        </w:rPr>
        <w:t>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91" w:lineRule="exact"/>
        <w:rPr>
          <w:sz w:val="20"/>
          <w:szCs w:val="20"/>
          <w:color w:val="auto"/>
        </w:rPr>
      </w:pPr>
    </w:p>
    <w:p>
      <w:pPr>
        <w:ind w:right="120" w:firstLine="494"/>
        <w:spacing w:after="0" w:line="267" w:lineRule="auto"/>
        <w:tabs>
          <w:tab w:leader="none" w:pos="903"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 xml:space="preserve">Investment Intent at Grant. </w:t>
      </w:r>
      <w:r>
        <w:rPr>
          <w:rFonts w:ascii="Arial" w:cs="Arial" w:eastAsia="Arial" w:hAnsi="Arial"/>
          <w:sz w:val="20"/>
          <w:szCs w:val="20"/>
          <w:color w:val="auto"/>
        </w:rPr>
        <w:t>The Optionee represents and agrees that the Shares to be acquired upon exercising this option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acquired for investment, and not with a view to the sale or distribution thereof.</w:t>
      </w:r>
    </w:p>
    <w:p>
      <w:pPr>
        <w:spacing w:after="0" w:line="190" w:lineRule="exact"/>
        <w:rPr>
          <w:rFonts w:ascii="Arial" w:cs="Arial" w:eastAsia="Arial" w:hAnsi="Arial"/>
          <w:sz w:val="20"/>
          <w:szCs w:val="20"/>
          <w:color w:val="auto"/>
        </w:rPr>
      </w:pPr>
    </w:p>
    <w:p>
      <w:pPr>
        <w:ind w:right="40" w:firstLine="494"/>
        <w:spacing w:after="0" w:line="285" w:lineRule="auto"/>
        <w:tabs>
          <w:tab w:leader="none" w:pos="914"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Investment Intent at Exercise. </w:t>
      </w:r>
      <w:r>
        <w:rPr>
          <w:rFonts w:ascii="Arial" w:cs="Arial" w:eastAsia="Arial" w:hAnsi="Arial"/>
          <w:sz w:val="18"/>
          <w:szCs w:val="18"/>
          <w:color w:val="auto"/>
        </w:rPr>
        <w:t>If the sale of Shares under the Plan is not registered under the Securities Act but an exemption is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which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77" w:lineRule="exact"/>
        <w:rPr>
          <w:rFonts w:ascii="Arial" w:cs="Arial" w:eastAsia="Arial" w:hAnsi="Arial"/>
          <w:sz w:val="18"/>
          <w:szCs w:val="18"/>
          <w:color w:val="auto"/>
        </w:rPr>
      </w:pPr>
    </w:p>
    <w:p>
      <w:pPr>
        <w:ind w:left="920" w:hanging="426"/>
        <w:spacing w:after="0"/>
        <w:tabs>
          <w:tab w:leader="none" w:pos="920"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 xml:space="preserve">Legends. </w:t>
      </w:r>
      <w:r>
        <w:rPr>
          <w:rFonts w:ascii="Arial" w:cs="Arial" w:eastAsia="Arial" w:hAnsi="Arial"/>
          <w:sz w:val="20"/>
          <w:szCs w:val="20"/>
          <w:color w:val="auto"/>
        </w:rPr>
        <w:t>All certificates evidencing Shares purchased under this Agreement shall bear the following legend:</w:t>
      </w:r>
    </w:p>
    <w:p>
      <w:pPr>
        <w:spacing w:after="0" w:line="249" w:lineRule="exact"/>
        <w:rPr>
          <w:sz w:val="20"/>
          <w:szCs w:val="20"/>
          <w:color w:val="auto"/>
        </w:rPr>
      </w:pPr>
    </w:p>
    <w:p>
      <w:pPr>
        <w:ind w:left="500"/>
        <w:spacing w:after="0" w:line="259" w:lineRule="auto"/>
        <w:rPr>
          <w:sz w:val="20"/>
          <w:szCs w:val="20"/>
          <w:color w:val="auto"/>
        </w:rPr>
      </w:pPr>
      <w:r>
        <w:rPr>
          <w:rFonts w:ascii="Arial" w:cs="Arial" w:eastAsia="Arial" w:hAnsi="Arial"/>
          <w:sz w:val="19"/>
          <w:szCs w:val="19"/>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THE SECRETARY OF THE COMPANY WILL UPON WRITTEN REQUEST FURNISH A COPY OF SUCH AGREEMENT TO THE HOLDER HEREOF WITHOUT CHARGE.”</w:t>
      </w:r>
    </w:p>
    <w:p>
      <w:pPr>
        <w:spacing w:after="0" w:line="20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204" w:lineRule="exact"/>
        <w:rPr>
          <w:sz w:val="20"/>
          <w:szCs w:val="20"/>
          <w:color w:val="auto"/>
        </w:rPr>
      </w:pPr>
    </w:p>
    <w:p>
      <w:pPr>
        <w:ind w:left="500" w:right="20"/>
        <w:spacing w:after="0" w:line="246" w:lineRule="auto"/>
        <w:rPr>
          <w:sz w:val="20"/>
          <w:szCs w:val="20"/>
          <w:color w:val="auto"/>
        </w:rPr>
      </w:pPr>
      <w:r>
        <w:rPr>
          <w:rFonts w:ascii="Arial" w:cs="Arial" w:eastAsia="Arial" w:hAnsi="Arial"/>
          <w:sz w:val="20"/>
          <w:szCs w:val="20"/>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212" w:lineRule="exact"/>
        <w:rPr>
          <w:sz w:val="20"/>
          <w:szCs w:val="20"/>
          <w:color w:val="auto"/>
        </w:rPr>
      </w:pPr>
    </w:p>
    <w:p>
      <w:pPr>
        <w:ind w:right="360" w:firstLine="494"/>
        <w:spacing w:after="0" w:line="253" w:lineRule="auto"/>
        <w:tabs>
          <w:tab w:leader="none" w:pos="882"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Removal of Legends. </w:t>
      </w:r>
      <w:r>
        <w:rPr>
          <w:rFonts w:ascii="Arial" w:cs="Arial" w:eastAsia="Arial" w:hAnsi="Arial"/>
          <w:sz w:val="20"/>
          <w:szCs w:val="20"/>
          <w:color w:val="auto"/>
        </w:rPr>
        <w:t>If, in the opinion of the Company and its counsel, any legend placed on a stock certificate representing</w:t>
      </w:r>
      <w:r>
        <w:rPr>
          <w:rFonts w:ascii="Arial" w:cs="Arial" w:eastAsia="Arial" w:hAnsi="Arial"/>
          <w:sz w:val="20"/>
          <w:szCs w:val="20"/>
          <w:b w:val="1"/>
          <w:bCs w:val="1"/>
          <w:color w:val="auto"/>
        </w:rPr>
        <w:t xml:space="preserve"> </w:t>
      </w:r>
      <w:r>
        <w:rPr>
          <w:rFonts w:ascii="Arial" w:cs="Arial" w:eastAsia="Arial" w:hAnsi="Arial"/>
          <w:sz w:val="20"/>
          <w:szCs w:val="20"/>
          <w:color w:val="auto"/>
        </w:rPr>
        <w:t>Shares sold under this Agreement is no longer required, the holder of such certificate shall be entitled to exchange such certificate for a certificate representing the same number of Shares but without such legend.</w:t>
      </w:r>
    </w:p>
    <w:p>
      <w:pPr>
        <w:spacing w:after="0" w:line="204" w:lineRule="exact"/>
        <w:rPr>
          <w:rFonts w:ascii="Arial" w:cs="Arial" w:eastAsia="Arial" w:hAnsi="Arial"/>
          <w:sz w:val="20"/>
          <w:szCs w:val="20"/>
          <w:color w:val="auto"/>
        </w:rPr>
      </w:pPr>
    </w:p>
    <w:p>
      <w:pPr>
        <w:ind w:right="560" w:firstLine="494"/>
        <w:spacing w:after="0" w:line="267" w:lineRule="auto"/>
        <w:tabs>
          <w:tab w:leader="none" w:pos="914"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Administration. </w:t>
      </w:r>
      <w:r>
        <w:rPr>
          <w:rFonts w:ascii="Arial" w:cs="Arial" w:eastAsia="Arial" w:hAnsi="Arial"/>
          <w:sz w:val="20"/>
          <w:szCs w:val="20"/>
          <w:color w:val="auto"/>
        </w:rPr>
        <w:t>Any determination by the Company and its counsel in connection with any of the matters set forth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10 shall be conclusive and binding on the Optionee and all other persons.</w:t>
      </w:r>
    </w:p>
    <w:p>
      <w:pPr>
        <w:sectPr>
          <w:pgSz w:w="11900" w:h="16838" w:orient="portrait"/>
          <w:cols w:equalWidth="0" w:num="1">
            <w:col w:w="11180"/>
          </w:cols>
          <w:pgMar w:left="320" w:top="1419" w:right="39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SECTION 11. ADJUSTMENT OF SHARES.</w:t>
      </w:r>
    </w:p>
    <w:p>
      <w:pPr>
        <w:spacing w:after="0" w:line="249" w:lineRule="exact"/>
        <w:rPr>
          <w:sz w:val="20"/>
          <w:szCs w:val="20"/>
          <w:color w:val="auto"/>
        </w:rPr>
      </w:pPr>
    </w:p>
    <w:p>
      <w:pPr>
        <w:jc w:val="both"/>
        <w:ind w:right="80" w:firstLine="486"/>
        <w:spacing w:after="0" w:line="246" w:lineRule="auto"/>
        <w:rPr>
          <w:sz w:val="20"/>
          <w:szCs w:val="20"/>
          <w:color w:val="auto"/>
        </w:rPr>
      </w:pPr>
      <w:r>
        <w:rPr>
          <w:rFonts w:ascii="Arial" w:cs="Arial" w:eastAsia="Arial" w:hAnsi="Arial"/>
          <w:sz w:val="20"/>
          <w:szCs w:val="20"/>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If the Company is a party to a merger or consolidation, this option shall be subject to the agreement of merger or consolidation, as provided in Section 8(b) of the Plan.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12. MISCELLANEOUS PROVISIONS.</w:t>
      </w:r>
    </w:p>
    <w:p>
      <w:pPr>
        <w:spacing w:after="0" w:line="22" w:lineRule="exact"/>
        <w:rPr>
          <w:sz w:val="20"/>
          <w:szCs w:val="20"/>
          <w:color w:val="auto"/>
        </w:rPr>
      </w:pPr>
    </w:p>
    <w:p>
      <w:pPr>
        <w:ind w:right="360" w:firstLine="494"/>
        <w:spacing w:after="0" w:line="241" w:lineRule="auto"/>
        <w:tabs>
          <w:tab w:leader="none" w:pos="903"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Rights as a Stockholder. </w:t>
      </w:r>
      <w:r>
        <w:rPr>
          <w:rFonts w:ascii="Arial" w:cs="Arial" w:eastAsia="Arial" w:hAnsi="Arial"/>
          <w:sz w:val="20"/>
          <w:szCs w:val="20"/>
          <w:color w:val="auto"/>
        </w:rPr>
        <w:t>Neither the Optionee nor the Optionee’s representative shall have any rights as a stockholder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any Shares subject to this option until the Optionee or the Optionee’s representative becomes entitled to receive such Shares by filing a notice of exercise and paying the Purchase Price pursuant to Sections 4 and 5.</w:t>
      </w:r>
    </w:p>
    <w:p>
      <w:pPr>
        <w:spacing w:after="0" w:line="216" w:lineRule="exact"/>
        <w:rPr>
          <w:rFonts w:ascii="Arial" w:cs="Arial" w:eastAsia="Arial" w:hAnsi="Arial"/>
          <w:sz w:val="20"/>
          <w:szCs w:val="20"/>
          <w:color w:val="auto"/>
        </w:rPr>
      </w:pPr>
    </w:p>
    <w:p>
      <w:pPr>
        <w:ind w:firstLine="494"/>
        <w:spacing w:after="0" w:line="248" w:lineRule="auto"/>
        <w:tabs>
          <w:tab w:leader="none" w:pos="914"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No Retention Rights. </w:t>
      </w:r>
      <w:r>
        <w:rPr>
          <w:rFonts w:ascii="Arial" w:cs="Arial" w:eastAsia="Arial" w:hAnsi="Arial"/>
          <w:sz w:val="20"/>
          <w:szCs w:val="20"/>
          <w:color w:val="auto"/>
        </w:rPr>
        <w:t>Nothing in this option or in the Plan shall confer upon the Optionee any right to continue in Service for any</w:t>
      </w:r>
      <w:r>
        <w:rPr>
          <w:rFonts w:ascii="Arial" w:cs="Arial" w:eastAsia="Arial" w:hAnsi="Arial"/>
          <w:sz w:val="20"/>
          <w:szCs w:val="20"/>
          <w:b w:val="1"/>
          <w:bCs w:val="1"/>
          <w:color w:val="auto"/>
        </w:rPr>
        <w:t xml:space="preserve"> </w:t>
      </w:r>
      <w:r>
        <w:rPr>
          <w:rFonts w:ascii="Arial" w:cs="Arial" w:eastAsia="Arial" w:hAnsi="Arial"/>
          <w:sz w:val="20"/>
          <w:szCs w:val="20"/>
          <w:color w:val="auto"/>
        </w:rPr>
        <w:t>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210" w:lineRule="exact"/>
        <w:rPr>
          <w:rFonts w:ascii="Arial" w:cs="Arial" w:eastAsia="Arial" w:hAnsi="Arial"/>
          <w:sz w:val="20"/>
          <w:szCs w:val="20"/>
          <w:color w:val="auto"/>
        </w:rPr>
      </w:pPr>
    </w:p>
    <w:p>
      <w:pPr>
        <w:ind w:right="40" w:firstLine="494"/>
        <w:spacing w:after="0" w:line="330" w:lineRule="auto"/>
        <w:tabs>
          <w:tab w:leader="none" w:pos="903"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Any notice required by the terms of this Agreement shall be given in writing. It shall be deemed effective upon (i)</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149" w:lineRule="exact"/>
        <w:rPr>
          <w:rFonts w:ascii="Arial" w:cs="Arial" w:eastAsia="Arial" w:hAnsi="Arial"/>
          <w:sz w:val="16"/>
          <w:szCs w:val="16"/>
          <w:color w:val="auto"/>
        </w:rPr>
      </w:pPr>
    </w:p>
    <w:p>
      <w:pPr>
        <w:ind w:right="40" w:firstLine="494"/>
        <w:spacing w:after="0" w:line="253" w:lineRule="auto"/>
        <w:tabs>
          <w:tab w:leader="none" w:pos="914"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The Notice of Stock Option Grant, this Agreement and the Plan constitute the entire contract between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with regard to the subject matter hereof. They supersede any other agreements, representations or understandings (whether oral or written and whether express or implied) which relate to the subject matter hereof.</w:t>
      </w:r>
    </w:p>
    <w:p>
      <w:pPr>
        <w:spacing w:after="0" w:line="204" w:lineRule="exact"/>
        <w:rPr>
          <w:rFonts w:ascii="Arial" w:cs="Arial" w:eastAsia="Arial" w:hAnsi="Arial"/>
          <w:sz w:val="20"/>
          <w:szCs w:val="20"/>
          <w:color w:val="auto"/>
        </w:rPr>
      </w:pPr>
    </w:p>
    <w:p>
      <w:pPr>
        <w:ind w:right="280" w:firstLine="494"/>
        <w:spacing w:after="0" w:line="267" w:lineRule="auto"/>
        <w:tabs>
          <w:tab w:leader="none" w:pos="903"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Choice of Law. </w:t>
      </w:r>
      <w:r>
        <w:rPr>
          <w:rFonts w:ascii="Arial" w:cs="Arial" w:eastAsia="Arial" w:hAnsi="Arial"/>
          <w:sz w:val="20"/>
          <w:szCs w:val="20"/>
          <w:color w:val="auto"/>
        </w:rPr>
        <w:t>This Agreement shall be governed by, and construed in accordance with, the laws of the State of California, as</w:t>
      </w:r>
      <w:r>
        <w:rPr>
          <w:rFonts w:ascii="Arial" w:cs="Arial" w:eastAsia="Arial" w:hAnsi="Arial"/>
          <w:sz w:val="20"/>
          <w:szCs w:val="20"/>
          <w:b w:val="1"/>
          <w:bCs w:val="1"/>
          <w:color w:val="auto"/>
        </w:rPr>
        <w:t xml:space="preserve"> </w:t>
      </w:r>
      <w:r>
        <w:rPr>
          <w:rFonts w:ascii="Arial" w:cs="Arial" w:eastAsia="Arial" w:hAnsi="Arial"/>
          <w:sz w:val="20"/>
          <w:szCs w:val="20"/>
          <w:color w:val="auto"/>
        </w:rPr>
        <w:t>such laws are applied to contracts entered into and performed in such State.</w:t>
      </w:r>
    </w:p>
    <w:p>
      <w:pPr>
        <w:spacing w:after="0" w:line="190"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13.</w:t>
        <w:tab/>
        <w:t>ACKNOWLEDGEMENTS OF THE OPTIONEE.</w:t>
      </w:r>
    </w:p>
    <w:p>
      <w:pPr>
        <w:spacing w:after="0" w:line="243" w:lineRule="exact"/>
        <w:rPr>
          <w:sz w:val="20"/>
          <w:szCs w:val="20"/>
          <w:color w:val="auto"/>
        </w:rPr>
      </w:pPr>
    </w:p>
    <w:p>
      <w:pPr>
        <w:ind w:right="140" w:firstLine="494"/>
        <w:spacing w:after="0" w:line="274" w:lineRule="auto"/>
        <w:tabs>
          <w:tab w:leader="none" w:pos="903"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Tax Consequences. </w:t>
      </w:r>
      <w:r>
        <w:rPr>
          <w:rFonts w:ascii="Arial" w:cs="Arial" w:eastAsia="Arial" w:hAnsi="Arial"/>
          <w:sz w:val="18"/>
          <w:szCs w:val="18"/>
          <w:color w:val="auto"/>
        </w:rPr>
        <w:t>The Optionee agrees that the Company does not have a duty to design or administer the Plan or its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w:t>
      </w:r>
    </w:p>
    <w:p>
      <w:pPr>
        <w:sectPr>
          <w:pgSz w:w="11900" w:h="16838" w:orient="portrait"/>
          <w:cols w:equalWidth="0" w:num="1">
            <w:col w:w="11240"/>
          </w:cols>
          <w:pgMar w:left="320" w:top="1413"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t>officers or employees in the event that the Internal Revenue Service asserts that the valuation was too low.</w:t>
      </w:r>
    </w:p>
    <w:p>
      <w:pPr>
        <w:spacing w:after="0" w:line="237" w:lineRule="exact"/>
        <w:rPr>
          <w:sz w:val="20"/>
          <w:szCs w:val="20"/>
          <w:color w:val="auto"/>
        </w:rPr>
      </w:pPr>
    </w:p>
    <w:p>
      <w:pPr>
        <w:ind w:right="40" w:firstLine="494"/>
        <w:spacing w:after="0" w:line="280" w:lineRule="auto"/>
        <w:tabs>
          <w:tab w:leader="none" w:pos="914"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Electronic Delivery of Documents. </w:t>
      </w:r>
      <w:r>
        <w:rPr>
          <w:rFonts w:ascii="Arial" w:cs="Arial" w:eastAsia="Arial" w:hAnsi="Arial"/>
          <w:sz w:val="18"/>
          <w:szCs w:val="18"/>
          <w:color w:val="auto"/>
        </w:rPr>
        <w:t>The Optionee agrees that the Company may deliver by email all documents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or this option (including, without limitation, a copy of the Plan)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14. DEFINITIONS.</w:t>
      </w:r>
    </w:p>
    <w:p>
      <w:pPr>
        <w:spacing w:after="0" w:line="243" w:lineRule="exact"/>
        <w:rPr>
          <w:sz w:val="20"/>
          <w:szCs w:val="20"/>
          <w:color w:val="auto"/>
        </w:rPr>
      </w:pPr>
    </w:p>
    <w:p>
      <w:pPr>
        <w:ind w:left="920" w:hanging="426"/>
        <w:spacing w:after="0"/>
        <w:tabs>
          <w:tab w:leader="none" w:pos="920"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 xml:space="preserve">“Agreement” </w:t>
      </w:r>
      <w:r>
        <w:rPr>
          <w:rFonts w:ascii="Arial" w:cs="Arial" w:eastAsia="Arial" w:hAnsi="Arial"/>
          <w:sz w:val="20"/>
          <w:szCs w:val="20"/>
          <w:color w:val="auto"/>
        </w:rPr>
        <w:t>shall mean this Stock Option Agreement.</w:t>
      </w:r>
    </w:p>
    <w:p>
      <w:pPr>
        <w:spacing w:after="0" w:line="242" w:lineRule="exact"/>
        <w:rPr>
          <w:rFonts w:ascii="Arial" w:cs="Arial" w:eastAsia="Arial" w:hAnsi="Arial"/>
          <w:sz w:val="20"/>
          <w:szCs w:val="20"/>
          <w:color w:val="auto"/>
        </w:rPr>
      </w:pPr>
    </w:p>
    <w:p>
      <w:pPr>
        <w:ind w:right="20" w:firstLine="494"/>
        <w:spacing w:after="0" w:line="267" w:lineRule="auto"/>
        <w:tabs>
          <w:tab w:leader="none" w:pos="914"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 xml:space="preserve">“Board of Directors” </w:t>
      </w:r>
      <w:r>
        <w:rPr>
          <w:rFonts w:ascii="Arial" w:cs="Arial" w:eastAsia="Arial" w:hAnsi="Arial"/>
          <w:sz w:val="20"/>
          <w:szCs w:val="20"/>
          <w:color w:val="auto"/>
        </w:rPr>
        <w:t>shall mean the Board of Directors of the Company, as constituted from time to time or, if a Committee has</w:t>
      </w:r>
      <w:r>
        <w:rPr>
          <w:rFonts w:ascii="Arial" w:cs="Arial" w:eastAsia="Arial" w:hAnsi="Arial"/>
          <w:sz w:val="20"/>
          <w:szCs w:val="20"/>
          <w:b w:val="1"/>
          <w:bCs w:val="1"/>
          <w:color w:val="auto"/>
        </w:rPr>
        <w:t xml:space="preserve"> </w:t>
      </w:r>
      <w:r>
        <w:rPr>
          <w:rFonts w:ascii="Arial" w:cs="Arial" w:eastAsia="Arial" w:hAnsi="Arial"/>
          <w:sz w:val="20"/>
          <w:szCs w:val="20"/>
          <w:color w:val="auto"/>
        </w:rPr>
        <w:t>been appointed, such Committee.</w:t>
      </w:r>
    </w:p>
    <w:p>
      <w:pPr>
        <w:spacing w:after="0" w:line="190" w:lineRule="exact"/>
        <w:rPr>
          <w:rFonts w:ascii="Arial" w:cs="Arial" w:eastAsia="Arial" w:hAnsi="Arial"/>
          <w:sz w:val="20"/>
          <w:szCs w:val="20"/>
          <w:color w:val="auto"/>
        </w:rPr>
      </w:pPr>
    </w:p>
    <w:p>
      <w:pPr>
        <w:ind w:left="920" w:hanging="426"/>
        <w:spacing w:after="0"/>
        <w:tabs>
          <w:tab w:leader="none" w:pos="920"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 xml:space="preserve">“Cause” </w:t>
      </w:r>
      <w:r>
        <w:rPr>
          <w:rFonts w:ascii="Arial" w:cs="Arial" w:eastAsia="Arial" w:hAnsi="Arial"/>
          <w:sz w:val="20"/>
          <w:szCs w:val="20"/>
          <w:color w:val="auto"/>
        </w:rPr>
        <w:t>shall mean:</w:t>
      </w:r>
    </w:p>
    <w:p>
      <w:pPr>
        <w:spacing w:after="0" w:line="248" w:lineRule="exact"/>
        <w:rPr>
          <w:rFonts w:ascii="Arial" w:cs="Arial" w:eastAsia="Arial" w:hAnsi="Arial"/>
          <w:sz w:val="20"/>
          <w:szCs w:val="20"/>
          <w:color w:val="auto"/>
        </w:rPr>
      </w:pPr>
    </w:p>
    <w:p>
      <w:pPr>
        <w:ind w:left="1140" w:right="80" w:firstLine="2"/>
        <w:spacing w:after="0" w:line="260" w:lineRule="auto"/>
        <w:tabs>
          <w:tab w:leader="none" w:pos="1514"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 unauthorized use or disclosure by the Optionee of the Company's confidential information or trade secrets, which use or disclosure causes material harm to the Company;</w:t>
      </w:r>
    </w:p>
    <w:p>
      <w:pPr>
        <w:spacing w:after="0" w:line="203" w:lineRule="exact"/>
        <w:rPr>
          <w:rFonts w:ascii="Arial" w:cs="Arial" w:eastAsia="Arial" w:hAnsi="Arial"/>
          <w:sz w:val="20"/>
          <w:szCs w:val="20"/>
          <w:color w:val="auto"/>
        </w:rPr>
      </w:pPr>
    </w:p>
    <w:p>
      <w:pPr>
        <w:ind w:left="1580" w:hanging="438"/>
        <w:spacing w:after="0"/>
        <w:tabs>
          <w:tab w:leader="none" w:pos="1580" w:val="left"/>
        </w:tabs>
        <w:numPr>
          <w:ilvl w:val="1"/>
          <w:numId w:val="50"/>
        </w:numPr>
        <w:rPr>
          <w:rFonts w:ascii="Arial" w:cs="Arial" w:eastAsia="Arial" w:hAnsi="Arial"/>
          <w:sz w:val="20"/>
          <w:szCs w:val="20"/>
          <w:color w:val="auto"/>
        </w:rPr>
      </w:pPr>
      <w:r>
        <w:rPr>
          <w:rFonts w:ascii="Arial" w:cs="Arial" w:eastAsia="Arial" w:hAnsi="Arial"/>
          <w:sz w:val="20"/>
          <w:szCs w:val="20"/>
          <w:color w:val="auto"/>
        </w:rPr>
        <w:t>A material breach by the Optionee of any agreement between the Optionee and the Company;</w:t>
      </w:r>
    </w:p>
    <w:p>
      <w:pPr>
        <w:spacing w:after="0" w:line="242" w:lineRule="exact"/>
        <w:rPr>
          <w:rFonts w:ascii="Arial" w:cs="Arial" w:eastAsia="Arial" w:hAnsi="Arial"/>
          <w:sz w:val="20"/>
          <w:szCs w:val="20"/>
          <w:color w:val="auto"/>
        </w:rPr>
      </w:pPr>
    </w:p>
    <w:p>
      <w:pPr>
        <w:ind w:left="1620" w:hanging="478"/>
        <w:spacing w:after="0"/>
        <w:tabs>
          <w:tab w:leader="none" w:pos="1620" w:val="left"/>
        </w:tabs>
        <w:numPr>
          <w:ilvl w:val="1"/>
          <w:numId w:val="50"/>
        </w:numPr>
        <w:rPr>
          <w:rFonts w:ascii="Arial" w:cs="Arial" w:eastAsia="Arial" w:hAnsi="Arial"/>
          <w:sz w:val="20"/>
          <w:szCs w:val="20"/>
          <w:color w:val="auto"/>
        </w:rPr>
      </w:pPr>
      <w:r>
        <w:rPr>
          <w:rFonts w:ascii="Arial" w:cs="Arial" w:eastAsia="Arial" w:hAnsi="Arial"/>
          <w:sz w:val="20"/>
          <w:szCs w:val="20"/>
          <w:color w:val="auto"/>
        </w:rPr>
        <w:t>A material failure by the Optionee to comply with the Company's written policies or rules;</w:t>
      </w:r>
    </w:p>
    <w:p>
      <w:pPr>
        <w:spacing w:after="0" w:line="242" w:lineRule="exact"/>
        <w:rPr>
          <w:rFonts w:ascii="Arial" w:cs="Arial" w:eastAsia="Arial" w:hAnsi="Arial"/>
          <w:sz w:val="20"/>
          <w:szCs w:val="20"/>
          <w:color w:val="auto"/>
        </w:rPr>
      </w:pPr>
    </w:p>
    <w:p>
      <w:pPr>
        <w:ind w:left="1140" w:right="160" w:firstLine="2"/>
        <w:spacing w:after="0" w:line="260" w:lineRule="auto"/>
        <w:tabs>
          <w:tab w:leader="none" w:pos="1620"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Optionee's conviction of, or plea of “guilty” or “no contest” to, a felony under the laws of the United States or any state thereof;</w:t>
      </w:r>
    </w:p>
    <w:p>
      <w:pPr>
        <w:spacing w:after="0" w:line="203" w:lineRule="exact"/>
        <w:rPr>
          <w:rFonts w:ascii="Arial" w:cs="Arial" w:eastAsia="Arial" w:hAnsi="Arial"/>
          <w:sz w:val="20"/>
          <w:szCs w:val="20"/>
          <w:color w:val="auto"/>
        </w:rPr>
      </w:pPr>
    </w:p>
    <w:p>
      <w:pPr>
        <w:ind w:left="1560" w:hanging="418"/>
        <w:spacing w:after="0"/>
        <w:tabs>
          <w:tab w:leader="none" w:pos="1560"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Optionee's gross negligence or willful misconduct; or</w:t>
      </w:r>
    </w:p>
    <w:p>
      <w:pPr>
        <w:spacing w:after="0" w:line="242" w:lineRule="exact"/>
        <w:rPr>
          <w:rFonts w:ascii="Arial" w:cs="Arial" w:eastAsia="Arial" w:hAnsi="Arial"/>
          <w:sz w:val="20"/>
          <w:szCs w:val="20"/>
          <w:color w:val="auto"/>
        </w:rPr>
      </w:pPr>
    </w:p>
    <w:p>
      <w:pPr>
        <w:ind w:left="1140" w:right="180" w:firstLine="2"/>
        <w:spacing w:after="0" w:line="260" w:lineRule="auto"/>
        <w:tabs>
          <w:tab w:leader="none" w:pos="1613" w:val="left"/>
        </w:tabs>
        <w:numPr>
          <w:ilvl w:val="1"/>
          <w:numId w:val="50"/>
        </w:numPr>
        <w:rPr>
          <w:rFonts w:ascii="Arial" w:cs="Arial" w:eastAsia="Arial" w:hAnsi="Arial"/>
          <w:sz w:val="20"/>
          <w:szCs w:val="20"/>
          <w:color w:val="auto"/>
        </w:rPr>
      </w:pPr>
      <w:r>
        <w:rPr>
          <w:rFonts w:ascii="Arial" w:cs="Arial" w:eastAsia="Arial" w:hAnsi="Arial"/>
          <w:sz w:val="20"/>
          <w:szCs w:val="20"/>
          <w:color w:val="auto"/>
        </w:rPr>
        <w:t>A continued failure by the Optionee to perform assigned duties after receiving written notification of such failure from the Board of Directors.</w:t>
      </w:r>
    </w:p>
    <w:p>
      <w:pPr>
        <w:spacing w:after="0" w:line="197" w:lineRule="exact"/>
        <w:rPr>
          <w:rFonts w:ascii="Arial" w:cs="Arial" w:eastAsia="Arial" w:hAnsi="Arial"/>
          <w:sz w:val="20"/>
          <w:szCs w:val="20"/>
          <w:color w:val="auto"/>
        </w:rPr>
      </w:pPr>
    </w:p>
    <w:p>
      <w:pPr>
        <w:ind w:left="920" w:hanging="426"/>
        <w:spacing w:after="0"/>
        <w:tabs>
          <w:tab w:leader="none" w:pos="920" w:val="left"/>
        </w:tabs>
        <w:numPr>
          <w:ilvl w:val="0"/>
          <w:numId w:val="50"/>
        </w:numPr>
        <w:rPr>
          <w:rFonts w:ascii="Arial" w:cs="Arial" w:eastAsia="Arial" w:hAnsi="Arial"/>
          <w:sz w:val="20"/>
          <w:szCs w:val="20"/>
          <w:color w:val="auto"/>
        </w:rPr>
      </w:pPr>
      <w:r>
        <w:rPr>
          <w:rFonts w:ascii="Arial" w:cs="Arial" w:eastAsia="Arial" w:hAnsi="Arial"/>
          <w:sz w:val="20"/>
          <w:szCs w:val="20"/>
          <w:b w:val="1"/>
          <w:bCs w:val="1"/>
          <w:color w:val="auto"/>
        </w:rPr>
        <w:t xml:space="preserve">“Change in Control” </w:t>
      </w:r>
      <w:r>
        <w:rPr>
          <w:rFonts w:ascii="Arial" w:cs="Arial" w:eastAsia="Arial" w:hAnsi="Arial"/>
          <w:sz w:val="20"/>
          <w:szCs w:val="20"/>
          <w:color w:val="auto"/>
        </w:rPr>
        <w:t>shall mean:</w:t>
      </w:r>
    </w:p>
    <w:p>
      <w:pPr>
        <w:spacing w:after="0" w:line="248" w:lineRule="exact"/>
        <w:rPr>
          <w:rFonts w:ascii="Arial" w:cs="Arial" w:eastAsia="Arial" w:hAnsi="Arial"/>
          <w:sz w:val="20"/>
          <w:szCs w:val="20"/>
          <w:color w:val="auto"/>
        </w:rPr>
      </w:pPr>
    </w:p>
    <w:p>
      <w:pPr>
        <w:ind w:left="1140" w:firstLine="2"/>
        <w:spacing w:after="0" w:line="244" w:lineRule="auto"/>
        <w:tabs>
          <w:tab w:leader="none" w:pos="1521"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continuing or surviving entity and (B) any direct or indirect parent corporation of such continuing or surviving entity; or</w:t>
      </w:r>
    </w:p>
    <w:p>
      <w:pPr>
        <w:spacing w:after="0" w:line="221" w:lineRule="exact"/>
        <w:rPr>
          <w:rFonts w:ascii="Arial" w:cs="Arial" w:eastAsia="Arial" w:hAnsi="Arial"/>
          <w:sz w:val="20"/>
          <w:szCs w:val="20"/>
          <w:color w:val="auto"/>
        </w:rPr>
      </w:pPr>
    </w:p>
    <w:p>
      <w:pPr>
        <w:ind w:left="1580" w:hanging="438"/>
        <w:spacing w:after="0"/>
        <w:tabs>
          <w:tab w:leader="none" w:pos="1580"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sale, transfer or other disposition of all or substantially all of the Company’s assets.</w:t>
      </w:r>
    </w:p>
    <w:p>
      <w:pPr>
        <w:sectPr>
          <w:pgSz w:w="11900" w:h="16838" w:orient="portrait"/>
          <w:cols w:equalWidth="0" w:num="1">
            <w:col w:w="11180"/>
          </w:cols>
          <w:pgMar w:left="320" w:top="1419" w:right="399" w:bottom="1440" w:gutter="0" w:footer="0" w:header="0"/>
        </w:sectPr>
      </w:pPr>
    </w:p>
    <w:bookmarkStart w:id="28" w:name="page29"/>
    <w:bookmarkEnd w:id="28"/>
    <w:p>
      <w:pPr>
        <w:spacing w:after="0" w:line="222"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w:t>
      </w:r>
    </w:p>
    <w:p>
      <w:pPr>
        <w:spacing w:after="0" w:line="207" w:lineRule="exact"/>
        <w:rPr>
          <w:sz w:val="20"/>
          <w:szCs w:val="20"/>
          <w:color w:val="auto"/>
        </w:rPr>
      </w:pPr>
    </w:p>
    <w:p>
      <w:pPr>
        <w:ind w:left="920" w:hanging="426"/>
        <w:spacing w:after="0"/>
        <w:tabs>
          <w:tab w:leader="none" w:pos="920"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shall mean the Internal Revenue Code of 1986, as amended.</w:t>
      </w:r>
    </w:p>
    <w:p>
      <w:pPr>
        <w:spacing w:after="0" w:line="242" w:lineRule="exact"/>
        <w:rPr>
          <w:rFonts w:ascii="Arial" w:cs="Arial" w:eastAsia="Arial" w:hAnsi="Arial"/>
          <w:sz w:val="20"/>
          <w:szCs w:val="20"/>
          <w:color w:val="auto"/>
        </w:rPr>
      </w:pPr>
    </w:p>
    <w:p>
      <w:pPr>
        <w:ind w:left="880" w:hanging="386"/>
        <w:spacing w:after="0"/>
        <w:tabs>
          <w:tab w:leader="none" w:pos="880"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 xml:space="preserve">“Committee” </w:t>
      </w:r>
      <w:r>
        <w:rPr>
          <w:rFonts w:ascii="Arial" w:cs="Arial" w:eastAsia="Arial" w:hAnsi="Arial"/>
          <w:sz w:val="20"/>
          <w:szCs w:val="20"/>
          <w:color w:val="auto"/>
        </w:rPr>
        <w:t>shall mean a committee of the Board of Directors, as described in Section 2 of the Plan.</w:t>
      </w:r>
    </w:p>
    <w:p>
      <w:pPr>
        <w:spacing w:after="0" w:line="242" w:lineRule="exact"/>
        <w:rPr>
          <w:rFonts w:ascii="Arial" w:cs="Arial" w:eastAsia="Arial" w:hAnsi="Arial"/>
          <w:sz w:val="20"/>
          <w:szCs w:val="20"/>
          <w:color w:val="auto"/>
        </w:rPr>
      </w:pPr>
    </w:p>
    <w:p>
      <w:pPr>
        <w:ind w:left="920" w:hanging="426"/>
        <w:spacing w:after="0"/>
        <w:tabs>
          <w:tab w:leader="none" w:pos="920"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shall mean DocSend, Inc., a Delaware corporation.</w:t>
      </w:r>
    </w:p>
    <w:p>
      <w:pPr>
        <w:spacing w:after="0" w:line="242" w:lineRule="exact"/>
        <w:rPr>
          <w:rFonts w:ascii="Arial" w:cs="Arial" w:eastAsia="Arial" w:hAnsi="Arial"/>
          <w:sz w:val="20"/>
          <w:szCs w:val="20"/>
          <w:color w:val="auto"/>
        </w:rPr>
      </w:pPr>
    </w:p>
    <w:p>
      <w:pPr>
        <w:ind w:right="120" w:firstLine="494"/>
        <w:spacing w:after="0" w:line="267" w:lineRule="auto"/>
        <w:tabs>
          <w:tab w:leader="none" w:pos="914"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 xml:space="preserve">“Consultant” </w:t>
      </w:r>
      <w:r>
        <w:rPr>
          <w:rFonts w:ascii="Arial" w:cs="Arial" w:eastAsia="Arial" w:hAnsi="Arial"/>
          <w:sz w:val="20"/>
          <w:szCs w:val="20"/>
          <w:color w:val="auto"/>
        </w:rPr>
        <w:t>shall mean a person who performs bona fide services for the Company, a Parent or a Subsidiary as a consultant or</w:t>
      </w:r>
      <w:r>
        <w:rPr>
          <w:rFonts w:ascii="Arial" w:cs="Arial" w:eastAsia="Arial" w:hAnsi="Arial"/>
          <w:sz w:val="20"/>
          <w:szCs w:val="20"/>
          <w:b w:val="1"/>
          <w:bCs w:val="1"/>
          <w:color w:val="auto"/>
        </w:rPr>
        <w:t xml:space="preserve"> </w:t>
      </w:r>
      <w:r>
        <w:rPr>
          <w:rFonts w:ascii="Arial" w:cs="Arial" w:eastAsia="Arial" w:hAnsi="Arial"/>
          <w:sz w:val="20"/>
          <w:szCs w:val="20"/>
          <w:color w:val="auto"/>
        </w:rPr>
        <w:t>advisor, excluding Employees and Outside Directors.</w:t>
      </w:r>
    </w:p>
    <w:p>
      <w:pPr>
        <w:spacing w:after="0" w:line="190" w:lineRule="exact"/>
        <w:rPr>
          <w:rFonts w:ascii="Arial" w:cs="Arial" w:eastAsia="Arial" w:hAnsi="Arial"/>
          <w:sz w:val="20"/>
          <w:szCs w:val="20"/>
          <w:color w:val="auto"/>
        </w:rPr>
      </w:pPr>
    </w:p>
    <w:p>
      <w:pPr>
        <w:ind w:right="60" w:firstLine="494"/>
        <w:spacing w:after="0" w:line="267" w:lineRule="auto"/>
        <w:tabs>
          <w:tab w:leader="none" w:pos="871"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 xml:space="preserve">“Date of Grant” </w:t>
      </w:r>
      <w:r>
        <w:rPr>
          <w:rFonts w:ascii="Arial" w:cs="Arial" w:eastAsia="Arial" w:hAnsi="Arial"/>
          <w:sz w:val="20"/>
          <w:szCs w:val="20"/>
          <w:color w:val="auto"/>
        </w:rPr>
        <w:t>shall mean the date specified in the Notice of Stock Option Grant, which date shall be the later of (i) the date on</w:t>
      </w:r>
      <w:r>
        <w:rPr>
          <w:rFonts w:ascii="Arial" w:cs="Arial" w:eastAsia="Arial" w:hAnsi="Arial"/>
          <w:sz w:val="20"/>
          <w:szCs w:val="20"/>
          <w:b w:val="1"/>
          <w:bCs w:val="1"/>
          <w:color w:val="auto"/>
        </w:rPr>
        <w:t xml:space="preserve"> </w:t>
      </w:r>
      <w:r>
        <w:rPr>
          <w:rFonts w:ascii="Arial" w:cs="Arial" w:eastAsia="Arial" w:hAnsi="Arial"/>
          <w:sz w:val="20"/>
          <w:szCs w:val="20"/>
          <w:color w:val="auto"/>
        </w:rPr>
        <w:t>which the Board of Directors resolved to grant this option or (ii) the first day of the Optionee’s Service.</w:t>
      </w:r>
    </w:p>
    <w:p>
      <w:pPr>
        <w:spacing w:after="0" w:line="190" w:lineRule="exact"/>
        <w:rPr>
          <w:rFonts w:ascii="Arial" w:cs="Arial" w:eastAsia="Arial" w:hAnsi="Arial"/>
          <w:sz w:val="20"/>
          <w:szCs w:val="20"/>
          <w:color w:val="auto"/>
        </w:rPr>
      </w:pPr>
    </w:p>
    <w:p>
      <w:pPr>
        <w:ind w:right="560" w:firstLine="494"/>
        <w:spacing w:after="0" w:line="267" w:lineRule="auto"/>
        <w:tabs>
          <w:tab w:leader="none" w:pos="871"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 xml:space="preserve">“Disability” </w:t>
      </w:r>
      <w:r>
        <w:rPr>
          <w:rFonts w:ascii="Arial" w:cs="Arial" w:eastAsia="Arial" w:hAnsi="Arial"/>
          <w:sz w:val="20"/>
          <w:szCs w:val="20"/>
          <w:color w:val="auto"/>
        </w:rPr>
        <w:t>shall mean that the Optionee is unable to engage in any substantial gainful activity by reason of any medically</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determinable physical or mental impairment.</w:t>
      </w:r>
    </w:p>
    <w:p>
      <w:pPr>
        <w:spacing w:after="0" w:line="190" w:lineRule="exact"/>
        <w:rPr>
          <w:rFonts w:ascii="Arial" w:cs="Arial" w:eastAsia="Arial" w:hAnsi="Arial"/>
          <w:sz w:val="20"/>
          <w:szCs w:val="20"/>
          <w:color w:val="auto"/>
        </w:rPr>
      </w:pPr>
    </w:p>
    <w:p>
      <w:pPr>
        <w:ind w:left="920" w:hanging="426"/>
        <w:spacing w:after="0"/>
        <w:tabs>
          <w:tab w:leader="none" w:pos="920"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 xml:space="preserve">“Employee” </w:t>
      </w:r>
      <w:r>
        <w:rPr>
          <w:rFonts w:ascii="Arial" w:cs="Arial" w:eastAsia="Arial" w:hAnsi="Arial"/>
          <w:sz w:val="20"/>
          <w:szCs w:val="20"/>
          <w:color w:val="auto"/>
        </w:rPr>
        <w:t>shall mean any individual who is a commonlaw employee of the Company, a Parent or a Subsidiary.</w:t>
      </w:r>
    </w:p>
    <w:p>
      <w:pPr>
        <w:spacing w:after="0" w:line="242" w:lineRule="exact"/>
        <w:rPr>
          <w:rFonts w:ascii="Arial" w:cs="Arial" w:eastAsia="Arial" w:hAnsi="Arial"/>
          <w:sz w:val="20"/>
          <w:szCs w:val="20"/>
          <w:color w:val="auto"/>
        </w:rPr>
      </w:pPr>
    </w:p>
    <w:p>
      <w:pPr>
        <w:ind w:right="220" w:firstLine="494"/>
        <w:spacing w:after="0" w:line="267" w:lineRule="auto"/>
        <w:tabs>
          <w:tab w:leader="none" w:pos="871"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 xml:space="preserve">“Exercise Price” </w:t>
      </w:r>
      <w:r>
        <w:rPr>
          <w:rFonts w:ascii="Arial" w:cs="Arial" w:eastAsia="Arial" w:hAnsi="Arial"/>
          <w:sz w:val="20"/>
          <w:szCs w:val="20"/>
          <w:color w:val="auto"/>
        </w:rPr>
        <w:t>shall mean the amount for which one Share may be purchased upon exercise of this option, as specified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Notice of Stock Option Grant.</w:t>
      </w:r>
    </w:p>
    <w:p>
      <w:pPr>
        <w:spacing w:after="0" w:line="190" w:lineRule="exact"/>
        <w:rPr>
          <w:rFonts w:ascii="Arial" w:cs="Arial" w:eastAsia="Arial" w:hAnsi="Arial"/>
          <w:sz w:val="20"/>
          <w:szCs w:val="20"/>
          <w:color w:val="auto"/>
        </w:rPr>
      </w:pPr>
    </w:p>
    <w:p>
      <w:pPr>
        <w:ind w:right="200" w:firstLine="494"/>
        <w:spacing w:after="0" w:line="267" w:lineRule="auto"/>
        <w:tabs>
          <w:tab w:leader="none" w:pos="969"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 xml:space="preserve">“Fair Market Value” </w:t>
      </w:r>
      <w:r>
        <w:rPr>
          <w:rFonts w:ascii="Arial" w:cs="Arial" w:eastAsia="Arial" w:hAnsi="Arial"/>
          <w:sz w:val="20"/>
          <w:szCs w:val="20"/>
          <w:color w:val="auto"/>
        </w:rPr>
        <w:t>shall mean the fair market value of a Share, as determined by the Board of Directors in good faith. Such</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determination shall be conclusive and binding on all persons.</w:t>
      </w:r>
    </w:p>
    <w:p>
      <w:pPr>
        <w:spacing w:after="0" w:line="190" w:lineRule="exact"/>
        <w:rPr>
          <w:rFonts w:ascii="Arial" w:cs="Arial" w:eastAsia="Arial" w:hAnsi="Arial"/>
          <w:sz w:val="20"/>
          <w:szCs w:val="20"/>
          <w:color w:val="auto"/>
        </w:rPr>
      </w:pPr>
    </w:p>
    <w:p>
      <w:pPr>
        <w:ind w:right="20" w:firstLine="494"/>
        <w:spacing w:after="0" w:line="267" w:lineRule="auto"/>
        <w:tabs>
          <w:tab w:leader="none" w:pos="914"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 xml:space="preserve">“Immediate Family” </w:t>
      </w:r>
      <w:r>
        <w:rPr>
          <w:rFonts w:ascii="Arial" w:cs="Arial" w:eastAsia="Arial" w:hAnsi="Arial"/>
          <w:sz w:val="20"/>
          <w:szCs w:val="20"/>
          <w:color w:val="auto"/>
        </w:rPr>
        <w:t>shall mean any child, stepchild, grandchild, parent, stepparent, grandparent, spouse, sibling, mother in-law,</w:t>
      </w:r>
      <w:r>
        <w:rPr>
          <w:rFonts w:ascii="Arial" w:cs="Arial" w:eastAsia="Arial" w:hAnsi="Arial"/>
          <w:sz w:val="20"/>
          <w:szCs w:val="20"/>
          <w:b w:val="1"/>
          <w:bCs w:val="1"/>
          <w:color w:val="auto"/>
        </w:rPr>
        <w:t xml:space="preserve"> </w:t>
      </w:r>
      <w:r>
        <w:rPr>
          <w:rFonts w:ascii="Arial" w:cs="Arial" w:eastAsia="Arial" w:hAnsi="Arial"/>
          <w:sz w:val="20"/>
          <w:szCs w:val="20"/>
          <w:color w:val="auto"/>
        </w:rPr>
        <w:t>fatherin-law, sonin-law, daughterin-law, brotherin-law or sisterin-law and shall include adoptive relationships.</w:t>
      </w:r>
    </w:p>
    <w:p>
      <w:pPr>
        <w:spacing w:after="0" w:line="190" w:lineRule="exact"/>
        <w:rPr>
          <w:rFonts w:ascii="Arial" w:cs="Arial" w:eastAsia="Arial" w:hAnsi="Arial"/>
          <w:sz w:val="20"/>
          <w:szCs w:val="20"/>
          <w:color w:val="auto"/>
        </w:rPr>
      </w:pPr>
    </w:p>
    <w:p>
      <w:pPr>
        <w:ind w:left="920" w:hanging="426"/>
        <w:spacing w:after="0"/>
        <w:tabs>
          <w:tab w:leader="none" w:pos="920"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 xml:space="preserve">“Involuntary Termination” </w:t>
      </w:r>
      <w:r>
        <w:rPr>
          <w:rFonts w:ascii="Arial" w:cs="Arial" w:eastAsia="Arial" w:hAnsi="Arial"/>
          <w:sz w:val="20"/>
          <w:szCs w:val="20"/>
          <w:color w:val="auto"/>
        </w:rPr>
        <w:t>shall mean the termination of the Optionee's Service by reason of:</w:t>
      </w:r>
    </w:p>
    <w:p>
      <w:pPr>
        <w:spacing w:after="0" w:line="248" w:lineRule="exact"/>
        <w:rPr>
          <w:rFonts w:ascii="Arial" w:cs="Arial" w:eastAsia="Arial" w:hAnsi="Arial"/>
          <w:sz w:val="20"/>
          <w:szCs w:val="20"/>
          <w:color w:val="auto"/>
        </w:rPr>
      </w:pPr>
    </w:p>
    <w:p>
      <w:pPr>
        <w:ind w:left="1140" w:firstLine="2"/>
        <w:spacing w:after="0" w:line="260" w:lineRule="auto"/>
        <w:tabs>
          <w:tab w:leader="none" w:pos="1521"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involuntary discharge of the Optionee by the Company (or the Parent or Subsidiary employing him or her) for reasons other than Cause; or</w:t>
      </w:r>
    </w:p>
    <w:p>
      <w:pPr>
        <w:spacing w:after="0" w:line="203" w:lineRule="exact"/>
        <w:rPr>
          <w:rFonts w:ascii="Arial" w:cs="Arial" w:eastAsia="Arial" w:hAnsi="Arial"/>
          <w:sz w:val="20"/>
          <w:szCs w:val="20"/>
          <w:color w:val="auto"/>
        </w:rPr>
      </w:pPr>
    </w:p>
    <w:p>
      <w:pPr>
        <w:ind w:left="1140" w:right="140" w:firstLine="2"/>
        <w:spacing w:after="0" w:line="243" w:lineRule="auto"/>
        <w:tabs>
          <w:tab w:leader="none" w:pos="1576"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voluntary resignation of the Optionee following (A) a change in the Optionee's position with the Company (or the Parent or Subsidiary employing him or her) that materially reduces his or her level of authority or responsibility, (B) a reduction in the Optionee's base salary by more than 10% or (C) receipt of notice that the Optionee's principal workplace will be relocated more than 30 miles.</w:t>
      </w:r>
    </w:p>
    <w:p>
      <w:pPr>
        <w:spacing w:after="0" w:line="2" w:lineRule="exact"/>
        <w:rPr>
          <w:rFonts w:ascii="Arial" w:cs="Arial" w:eastAsia="Arial" w:hAnsi="Arial"/>
          <w:sz w:val="20"/>
          <w:szCs w:val="20"/>
          <w:color w:val="auto"/>
        </w:rPr>
      </w:pPr>
    </w:p>
    <w:p>
      <w:pPr>
        <w:ind w:left="920" w:hanging="426"/>
        <w:spacing w:after="0"/>
        <w:tabs>
          <w:tab w:leader="none" w:pos="920"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 xml:space="preserve">“ISO” </w:t>
      </w:r>
      <w:r>
        <w:rPr>
          <w:rFonts w:ascii="Arial" w:cs="Arial" w:eastAsia="Arial" w:hAnsi="Arial"/>
          <w:sz w:val="20"/>
          <w:szCs w:val="20"/>
          <w:color w:val="auto"/>
        </w:rPr>
        <w:t>shall mean an employee incentive stock option described in Section 422(b) of the Code.</w:t>
      </w:r>
    </w:p>
    <w:p>
      <w:pPr>
        <w:sectPr>
          <w:pgSz w:w="11900" w:h="16838" w:orient="portrait"/>
          <w:cols w:equalWidth="0" w:num="1">
            <w:col w:w="11220"/>
          </w:cols>
          <w:pgMar w:left="320" w:top="1440" w:right="359" w:bottom="1440" w:gutter="0" w:footer="0" w:header="0"/>
        </w:sectPr>
      </w:pPr>
    </w:p>
    <w:bookmarkStart w:id="29" w:name="page30"/>
    <w:bookmarkEnd w:id="29"/>
    <w:p>
      <w:pPr>
        <w:spacing w:after="0" w:line="216" w:lineRule="exact"/>
        <w:rPr>
          <w:sz w:val="20"/>
          <w:szCs w:val="20"/>
          <w:color w:val="auto"/>
        </w:rPr>
      </w:pPr>
    </w:p>
    <w:p>
      <w:pPr>
        <w:ind w:left="920" w:hanging="426"/>
        <w:spacing w:after="0"/>
        <w:tabs>
          <w:tab w:leader="none" w:pos="920"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 xml:space="preserve">“Notice of Stock Option Grant” </w:t>
      </w:r>
      <w:r>
        <w:rPr>
          <w:rFonts w:ascii="Arial" w:cs="Arial" w:eastAsia="Arial" w:hAnsi="Arial"/>
          <w:sz w:val="20"/>
          <w:szCs w:val="20"/>
          <w:color w:val="auto"/>
        </w:rPr>
        <w:t>shall mean the document so entitled to which this Agreement is attached.</w:t>
      </w:r>
    </w:p>
    <w:p>
      <w:pPr>
        <w:spacing w:after="0" w:line="242" w:lineRule="exact"/>
        <w:rPr>
          <w:rFonts w:ascii="Arial" w:cs="Arial" w:eastAsia="Arial" w:hAnsi="Arial"/>
          <w:sz w:val="20"/>
          <w:szCs w:val="20"/>
          <w:color w:val="auto"/>
        </w:rPr>
      </w:pPr>
    </w:p>
    <w:p>
      <w:pPr>
        <w:ind w:left="880" w:hanging="386"/>
        <w:spacing w:after="0"/>
        <w:tabs>
          <w:tab w:leader="none" w:pos="880"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 xml:space="preserve">“NSO” </w:t>
      </w:r>
      <w:r>
        <w:rPr>
          <w:rFonts w:ascii="Arial" w:cs="Arial" w:eastAsia="Arial" w:hAnsi="Arial"/>
          <w:sz w:val="20"/>
          <w:szCs w:val="20"/>
          <w:color w:val="auto"/>
        </w:rPr>
        <w:t>shall mean a stock option not described in Sections 422(b) or 423(b) of the Code.</w:t>
      </w:r>
    </w:p>
    <w:p>
      <w:pPr>
        <w:spacing w:after="0" w:line="242" w:lineRule="exact"/>
        <w:rPr>
          <w:rFonts w:ascii="Arial" w:cs="Arial" w:eastAsia="Arial" w:hAnsi="Arial"/>
          <w:sz w:val="20"/>
          <w:szCs w:val="20"/>
          <w:color w:val="auto"/>
        </w:rPr>
      </w:pPr>
    </w:p>
    <w:p>
      <w:pPr>
        <w:ind w:left="900" w:hanging="406"/>
        <w:spacing w:after="0"/>
        <w:tabs>
          <w:tab w:leader="none" w:pos="900"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 xml:space="preserve">“Optionee” </w:t>
      </w:r>
      <w:r>
        <w:rPr>
          <w:rFonts w:ascii="Arial" w:cs="Arial" w:eastAsia="Arial" w:hAnsi="Arial"/>
          <w:sz w:val="20"/>
          <w:szCs w:val="20"/>
          <w:color w:val="auto"/>
        </w:rPr>
        <w:t>shall mean the individual named in the Notice of Stock Option Grant.</w:t>
      </w:r>
    </w:p>
    <w:p>
      <w:pPr>
        <w:spacing w:after="0" w:line="242" w:lineRule="exact"/>
        <w:rPr>
          <w:rFonts w:ascii="Arial" w:cs="Arial" w:eastAsia="Arial" w:hAnsi="Arial"/>
          <w:sz w:val="20"/>
          <w:szCs w:val="20"/>
          <w:color w:val="auto"/>
        </w:rPr>
      </w:pPr>
    </w:p>
    <w:p>
      <w:pPr>
        <w:ind w:left="880" w:hanging="386"/>
        <w:spacing w:after="0"/>
        <w:tabs>
          <w:tab w:leader="none" w:pos="880"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 xml:space="preserve">“Outside Director” </w:t>
      </w:r>
      <w:r>
        <w:rPr>
          <w:rFonts w:ascii="Arial" w:cs="Arial" w:eastAsia="Arial" w:hAnsi="Arial"/>
          <w:sz w:val="20"/>
          <w:szCs w:val="20"/>
          <w:color w:val="auto"/>
        </w:rPr>
        <w:t>shall mean a member of the Board of Directors who is not an Employee.</w:t>
      </w:r>
    </w:p>
    <w:p>
      <w:pPr>
        <w:spacing w:after="0" w:line="242" w:lineRule="exact"/>
        <w:rPr>
          <w:rFonts w:ascii="Arial" w:cs="Arial" w:eastAsia="Arial" w:hAnsi="Arial"/>
          <w:sz w:val="20"/>
          <w:szCs w:val="20"/>
          <w:color w:val="auto"/>
        </w:rPr>
      </w:pPr>
    </w:p>
    <w:p>
      <w:pPr>
        <w:jc w:val="both"/>
        <w:ind w:firstLine="494"/>
        <w:spacing w:after="0" w:line="253" w:lineRule="auto"/>
        <w:tabs>
          <w:tab w:leader="none" w:pos="914"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 xml:space="preserve">“Parent” </w:t>
      </w:r>
      <w:r>
        <w:rPr>
          <w:rFonts w:ascii="Arial" w:cs="Arial" w:eastAsia="Arial" w:hAnsi="Arial"/>
          <w:sz w:val="20"/>
          <w:szCs w:val="20"/>
          <w:color w:val="auto"/>
        </w:rPr>
        <w:t>shall mean any corporation (other than the Company) in an unbroken chain of corporations ending with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if each of the corporations other than the Company owns stock possessing 50% or more of the total combined voting power of all classes of stock in one of the other corporations in such chain.</w:t>
      </w:r>
    </w:p>
    <w:p>
      <w:pPr>
        <w:spacing w:after="0" w:line="204" w:lineRule="exact"/>
        <w:rPr>
          <w:rFonts w:ascii="Arial" w:cs="Arial" w:eastAsia="Arial" w:hAnsi="Arial"/>
          <w:sz w:val="20"/>
          <w:szCs w:val="20"/>
          <w:color w:val="auto"/>
        </w:rPr>
      </w:pPr>
    </w:p>
    <w:p>
      <w:pPr>
        <w:ind w:left="920" w:hanging="426"/>
        <w:spacing w:after="0"/>
        <w:tabs>
          <w:tab w:leader="none" w:pos="920"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shall mean the DocSend, Inc. 2013 Stock Plan, as in effect on the Date of</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Grant.</w:t>
      </w:r>
    </w:p>
    <w:p>
      <w:pPr>
        <w:spacing w:after="0" w:line="221" w:lineRule="exact"/>
        <w:rPr>
          <w:sz w:val="20"/>
          <w:szCs w:val="20"/>
          <w:color w:val="auto"/>
        </w:rPr>
      </w:pPr>
    </w:p>
    <w:p>
      <w:pPr>
        <w:ind w:left="500" w:right="4000" w:hanging="6"/>
        <w:spacing w:after="0" w:line="267" w:lineRule="auto"/>
        <w:tabs>
          <w:tab w:leader="none" w:pos="972" w:val="left"/>
        </w:tabs>
        <w:numPr>
          <w:ilvl w:val="0"/>
          <w:numId w:val="53"/>
        </w:numPr>
        <w:rPr>
          <w:rFonts w:ascii="Arial" w:cs="Arial" w:eastAsia="Arial" w:hAnsi="Arial"/>
          <w:sz w:val="20"/>
          <w:szCs w:val="20"/>
          <w:color w:val="auto"/>
        </w:rPr>
      </w:pPr>
      <w:r>
        <w:rPr>
          <w:rFonts w:ascii="Arial" w:cs="Arial" w:eastAsia="Arial" w:hAnsi="Arial"/>
          <w:sz w:val="20"/>
          <w:szCs w:val="20"/>
          <w:b w:val="1"/>
          <w:bCs w:val="1"/>
          <w:color w:val="auto"/>
        </w:rPr>
        <w:t xml:space="preserve">“Purchase Price” </w:t>
      </w:r>
      <w:r>
        <w:rPr>
          <w:rFonts w:ascii="Arial" w:cs="Arial" w:eastAsia="Arial" w:hAnsi="Arial"/>
          <w:sz w:val="20"/>
          <w:szCs w:val="20"/>
          <w:color w:val="auto"/>
        </w:rPr>
        <w:t>shall mean the Exercise Price multiplied by the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with respect to which this option is being exercised.</w:t>
      </w:r>
    </w:p>
    <w:p>
      <w:pPr>
        <w:spacing w:after="0" w:line="190" w:lineRule="exact"/>
        <w:rPr>
          <w:rFonts w:ascii="Arial" w:cs="Arial" w:eastAsia="Arial" w:hAnsi="Arial"/>
          <w:sz w:val="20"/>
          <w:szCs w:val="20"/>
          <w:color w:val="auto"/>
        </w:rPr>
      </w:pPr>
    </w:p>
    <w:p>
      <w:pPr>
        <w:ind w:left="920" w:hanging="426"/>
        <w:spacing w:after="0"/>
        <w:tabs>
          <w:tab w:leader="none" w:pos="920" w:val="left"/>
        </w:tabs>
        <w:numPr>
          <w:ilvl w:val="0"/>
          <w:numId w:val="53"/>
        </w:numPr>
        <w:rPr>
          <w:rFonts w:ascii="Arial" w:cs="Arial" w:eastAsia="Arial" w:hAnsi="Arial"/>
          <w:sz w:val="20"/>
          <w:szCs w:val="20"/>
          <w:color w:val="auto"/>
        </w:rPr>
      </w:pPr>
      <w:r>
        <w:rPr>
          <w:rFonts w:ascii="Arial" w:cs="Arial" w:eastAsia="Arial" w:hAnsi="Arial"/>
          <w:sz w:val="20"/>
          <w:szCs w:val="20"/>
          <w:b w:val="1"/>
          <w:bCs w:val="1"/>
          <w:color w:val="auto"/>
        </w:rPr>
        <w:t xml:space="preserve">“Right of First Refusal” </w:t>
      </w:r>
      <w:r>
        <w:rPr>
          <w:rFonts w:ascii="Arial" w:cs="Arial" w:eastAsia="Arial" w:hAnsi="Arial"/>
          <w:sz w:val="20"/>
          <w:szCs w:val="20"/>
          <w:color w:val="auto"/>
        </w:rPr>
        <w:t>shall mean the Company’s right of first refusal described in Section 7.</w:t>
      </w:r>
    </w:p>
    <w:p>
      <w:pPr>
        <w:spacing w:after="0" w:line="242" w:lineRule="exact"/>
        <w:rPr>
          <w:rFonts w:ascii="Arial" w:cs="Arial" w:eastAsia="Arial" w:hAnsi="Arial"/>
          <w:sz w:val="20"/>
          <w:szCs w:val="20"/>
          <w:color w:val="auto"/>
        </w:rPr>
      </w:pPr>
    </w:p>
    <w:p>
      <w:pPr>
        <w:ind w:left="920" w:hanging="426"/>
        <w:spacing w:after="0"/>
        <w:tabs>
          <w:tab w:leader="none" w:pos="920" w:val="left"/>
        </w:tabs>
        <w:numPr>
          <w:ilvl w:val="0"/>
          <w:numId w:val="53"/>
        </w:numPr>
        <w:rPr>
          <w:rFonts w:ascii="Arial" w:cs="Arial" w:eastAsia="Arial" w:hAnsi="Arial"/>
          <w:sz w:val="20"/>
          <w:szCs w:val="20"/>
          <w:color w:val="auto"/>
        </w:rPr>
      </w:pPr>
      <w:r>
        <w:rPr>
          <w:rFonts w:ascii="Arial" w:cs="Arial" w:eastAsia="Arial" w:hAnsi="Arial"/>
          <w:sz w:val="20"/>
          <w:szCs w:val="20"/>
          <w:b w:val="1"/>
          <w:bCs w:val="1"/>
          <w:color w:val="auto"/>
        </w:rPr>
        <w:t xml:space="preserve">“Securities Act” </w:t>
      </w:r>
      <w:r>
        <w:rPr>
          <w:rFonts w:ascii="Arial" w:cs="Arial" w:eastAsia="Arial" w:hAnsi="Arial"/>
          <w:sz w:val="20"/>
          <w:szCs w:val="20"/>
          <w:color w:val="auto"/>
        </w:rPr>
        <w:t>shall mean the Securities Act of 1933, as amended.</w:t>
      </w:r>
    </w:p>
    <w:p>
      <w:pPr>
        <w:spacing w:after="0" w:line="242" w:lineRule="exact"/>
        <w:rPr>
          <w:rFonts w:ascii="Arial" w:cs="Arial" w:eastAsia="Arial" w:hAnsi="Arial"/>
          <w:sz w:val="20"/>
          <w:szCs w:val="20"/>
          <w:color w:val="auto"/>
        </w:rPr>
      </w:pPr>
    </w:p>
    <w:p>
      <w:pPr>
        <w:ind w:left="920" w:hanging="426"/>
        <w:spacing w:after="0"/>
        <w:tabs>
          <w:tab w:leader="none" w:pos="920" w:val="left"/>
        </w:tabs>
        <w:numPr>
          <w:ilvl w:val="0"/>
          <w:numId w:val="53"/>
        </w:numPr>
        <w:rPr>
          <w:rFonts w:ascii="Arial" w:cs="Arial" w:eastAsia="Arial" w:hAnsi="Arial"/>
          <w:sz w:val="20"/>
          <w:szCs w:val="20"/>
          <w:color w:val="auto"/>
        </w:rPr>
      </w:pPr>
      <w:r>
        <w:rPr>
          <w:rFonts w:ascii="Arial" w:cs="Arial" w:eastAsia="Arial" w:hAnsi="Arial"/>
          <w:sz w:val="20"/>
          <w:szCs w:val="20"/>
          <w:b w:val="1"/>
          <w:bCs w:val="1"/>
          <w:color w:val="auto"/>
        </w:rPr>
        <w:t xml:space="preserve">“Service” </w:t>
      </w:r>
      <w:r>
        <w:rPr>
          <w:rFonts w:ascii="Arial" w:cs="Arial" w:eastAsia="Arial" w:hAnsi="Arial"/>
          <w:sz w:val="20"/>
          <w:szCs w:val="20"/>
          <w:color w:val="auto"/>
        </w:rPr>
        <w:t>shall mean service as an Employee, Outside Director or Consultant.</w:t>
      </w:r>
    </w:p>
    <w:p>
      <w:pPr>
        <w:spacing w:after="0" w:line="243" w:lineRule="exact"/>
        <w:rPr>
          <w:sz w:val="20"/>
          <w:szCs w:val="20"/>
          <w:color w:val="auto"/>
        </w:rPr>
      </w:pPr>
    </w:p>
    <w:p>
      <w:pPr>
        <w:ind w:left="1000" w:hanging="506"/>
        <w:spacing w:after="0"/>
        <w:tabs>
          <w:tab w:leader="none" w:pos="1000"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 xml:space="preserve">“Share” </w:t>
      </w:r>
      <w:r>
        <w:rPr>
          <w:rFonts w:ascii="Arial" w:cs="Arial" w:eastAsia="Arial" w:hAnsi="Arial"/>
          <w:sz w:val="20"/>
          <w:szCs w:val="20"/>
          <w:color w:val="auto"/>
        </w:rPr>
        <w:t>shall mean one share of Stock, as adjusted in accordance with Section 8 of the Plan (if applicable).</w:t>
      </w:r>
    </w:p>
    <w:p>
      <w:pPr>
        <w:spacing w:after="0" w:line="242" w:lineRule="exact"/>
        <w:rPr>
          <w:rFonts w:ascii="Arial" w:cs="Arial" w:eastAsia="Arial" w:hAnsi="Arial"/>
          <w:sz w:val="20"/>
          <w:szCs w:val="20"/>
          <w:color w:val="auto"/>
        </w:rPr>
      </w:pPr>
    </w:p>
    <w:p>
      <w:pPr>
        <w:ind w:left="1020" w:hanging="526"/>
        <w:spacing w:after="0"/>
        <w:tabs>
          <w:tab w:leader="none" w:pos="1020"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 xml:space="preserve">“Stock” </w:t>
      </w:r>
      <w:r>
        <w:rPr>
          <w:rFonts w:ascii="Arial" w:cs="Arial" w:eastAsia="Arial" w:hAnsi="Arial"/>
          <w:sz w:val="20"/>
          <w:szCs w:val="20"/>
          <w:color w:val="auto"/>
        </w:rPr>
        <w:t>shall mean the Common Stock of the Company.</w:t>
      </w:r>
    </w:p>
    <w:p>
      <w:pPr>
        <w:spacing w:after="0" w:line="242" w:lineRule="exact"/>
        <w:rPr>
          <w:rFonts w:ascii="Arial" w:cs="Arial" w:eastAsia="Arial" w:hAnsi="Arial"/>
          <w:sz w:val="20"/>
          <w:szCs w:val="20"/>
          <w:color w:val="auto"/>
        </w:rPr>
      </w:pPr>
    </w:p>
    <w:p>
      <w:pPr>
        <w:jc w:val="both"/>
        <w:ind w:right="120" w:firstLine="494"/>
        <w:spacing w:after="0" w:line="272" w:lineRule="auto"/>
        <w:tabs>
          <w:tab w:leader="none" w:pos="991"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“Subsidiary” </w:t>
      </w:r>
      <w:r>
        <w:rPr>
          <w:rFonts w:ascii="Arial" w:cs="Arial" w:eastAsia="Arial" w:hAnsi="Arial"/>
          <w:sz w:val="19"/>
          <w:szCs w:val="19"/>
          <w:color w:val="auto"/>
        </w:rPr>
        <w:t>shall mean any corporation (other than the Company) in an unbroken chain of corporations beginning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if each of the corporations other than the last corporation in the unbroken chain owns stock possessing 50% or more of the total combined voting power of all classes of stock in one of the other corporations in such chain.</w:t>
      </w:r>
    </w:p>
    <w:p>
      <w:pPr>
        <w:spacing w:after="0" w:line="188" w:lineRule="exact"/>
        <w:rPr>
          <w:rFonts w:ascii="Arial" w:cs="Arial" w:eastAsia="Arial" w:hAnsi="Arial"/>
          <w:sz w:val="19"/>
          <w:szCs w:val="19"/>
          <w:color w:val="auto"/>
        </w:rPr>
      </w:pPr>
    </w:p>
    <w:p>
      <w:pPr>
        <w:ind w:left="1020" w:hanging="526"/>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“Transferee” </w:t>
      </w:r>
      <w:r>
        <w:rPr>
          <w:rFonts w:ascii="Arial" w:cs="Arial" w:eastAsia="Arial" w:hAnsi="Arial"/>
          <w:sz w:val="16"/>
          <w:szCs w:val="16"/>
          <w:color w:val="auto"/>
        </w:rPr>
        <w:t>shall mean any person to whom the Optionee has directly or indirectly transferred any Share acquired under this</w:t>
      </w:r>
    </w:p>
    <w:p>
      <w:pPr>
        <w:spacing w:after="0" w:line="6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Agreement.</w:t>
      </w:r>
    </w:p>
    <w:p>
      <w:pPr>
        <w:spacing w:after="0" w:line="220" w:lineRule="exact"/>
        <w:rPr>
          <w:rFonts w:ascii="Arial" w:cs="Arial" w:eastAsia="Arial" w:hAnsi="Arial"/>
          <w:sz w:val="16"/>
          <w:szCs w:val="16"/>
          <w:color w:val="auto"/>
        </w:rPr>
      </w:pPr>
    </w:p>
    <w:p>
      <w:pPr>
        <w:ind w:left="1000" w:hanging="506"/>
        <w:spacing w:after="0"/>
        <w:tabs>
          <w:tab w:leader="none" w:pos="1000"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 xml:space="preserve">“Transfer Notice” </w:t>
      </w:r>
      <w:r>
        <w:rPr>
          <w:rFonts w:ascii="Arial" w:cs="Arial" w:eastAsia="Arial" w:hAnsi="Arial"/>
          <w:sz w:val="20"/>
          <w:szCs w:val="20"/>
          <w:color w:val="auto"/>
        </w:rPr>
        <w:t>shall mean the notice of a proposed transfer of Shares described in Section 7.</w:t>
      </w:r>
    </w:p>
    <w:p>
      <w:pPr>
        <w:sectPr>
          <w:pgSz w:w="11900" w:h="16838" w:orient="portrait"/>
          <w:cols w:equalWidth="0" w:num="1">
            <w:col w:w="11080"/>
          </w:cols>
          <w:pgMar w:left="320" w:top="1440" w:right="499" w:bottom="1440" w:gutter="0" w:footer="0" w:header="0"/>
        </w:sectPr>
      </w:pPr>
    </w:p>
    <w:bookmarkStart w:id="30" w:name="page31"/>
    <w:bookmarkEnd w:id="30"/>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20"/>
          <w:szCs w:val="20"/>
          <w:i w:val="1"/>
          <w:iCs w:val="1"/>
          <w:color w:val="auto"/>
        </w:rPr>
        <w:t>STOCK OPTION EXERCISE NOTICE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DocSend, Inc.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Attention: [_________________]</w:t>
      </w:r>
    </w:p>
    <w:p>
      <w:pPr>
        <w:spacing w:after="0"/>
        <w:rPr>
          <w:sz w:val="20"/>
          <w:szCs w:val="20"/>
          <w:color w:val="auto"/>
        </w:rPr>
      </w:pPr>
      <w:r>
        <w:rPr>
          <w:rFonts w:ascii="Arial" w:cs="Arial" w:eastAsia="Arial" w:hAnsi="Arial"/>
          <w:sz w:val="20"/>
          <w:szCs w:val="20"/>
          <w:color w:val="auto"/>
        </w:rPr>
        <w:t>___________________________</w:t>
      </w:r>
    </w:p>
    <w:p>
      <w:pPr>
        <w:spacing w:after="0"/>
        <w:rPr>
          <w:sz w:val="20"/>
          <w:szCs w:val="20"/>
          <w:color w:val="auto"/>
        </w:rPr>
      </w:pPr>
      <w:r>
        <w:rPr>
          <w:rFonts w:ascii="Arial" w:cs="Arial" w:eastAsia="Arial" w:hAnsi="Arial"/>
          <w:sz w:val="20"/>
          <w:szCs w:val="20"/>
          <w:color w:val="auto"/>
        </w:rPr>
        <w:t>___________________________</w:t>
      </w:r>
    </w:p>
    <w:p>
      <w:pPr>
        <w:spacing w:after="0" w:line="227" w:lineRule="exact"/>
        <w:rPr>
          <w:sz w:val="20"/>
          <w:szCs w:val="20"/>
          <w:color w:val="auto"/>
        </w:rPr>
      </w:pPr>
    </w:p>
    <w:p>
      <w:pPr>
        <w:ind w:right="280" w:firstLine="486"/>
        <w:spacing w:after="0" w:line="309" w:lineRule="auto"/>
        <w:rPr>
          <w:sz w:val="20"/>
          <w:szCs w:val="20"/>
          <w:color w:val="auto"/>
        </w:rPr>
      </w:pPr>
      <w:r>
        <w:rPr>
          <w:rFonts w:ascii="Arial" w:cs="Arial" w:eastAsia="Arial" w:hAnsi="Arial"/>
          <w:sz w:val="16"/>
          <w:szCs w:val="16"/>
          <w:color w:val="auto"/>
        </w:rPr>
        <w:t>Pursuant to the terms of the grant notice and stock option agreement between the undersigned and DocSend, Inc. (the “Company”) dated _____________ (the “Agreement”) under the DocSend, Inc. 2013 Stock Plan (the “Plan”), I, [Insert Name] _____________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hereby [Circle One] partially/fully exercise such option by including herein payment in the amount of $________representing the purchase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price for [Fill in number of Shares] __________Shares. I have chosen the following form(s) of payment:</w:t>
      </w:r>
    </w:p>
    <w:p>
      <w:pPr>
        <w:spacing w:after="0" w:line="227" w:lineRule="exact"/>
        <w:rPr>
          <w:sz w:val="20"/>
          <w:szCs w:val="20"/>
          <w:color w:val="auto"/>
        </w:rPr>
      </w:pPr>
    </w:p>
    <w:p>
      <w:pPr>
        <w:ind w:left="1140"/>
        <w:spacing w:after="0"/>
        <w:tabs>
          <w:tab w:leader="none" w:pos="1500" w:val="left"/>
          <w:tab w:leader="none" w:pos="1840" w:val="left"/>
        </w:tabs>
        <w:rPr>
          <w:sz w:val="20"/>
          <w:szCs w:val="20"/>
          <w:color w:val="auto"/>
        </w:rPr>
      </w:pPr>
      <w:r>
        <w:rPr>
          <w:rFonts w:ascii="Arial" w:cs="Arial" w:eastAsia="Arial" w:hAnsi="Arial"/>
          <w:sz w:val="20"/>
          <w:szCs w:val="20"/>
          <w:color w:val="auto"/>
        </w:rPr>
        <w:t>[ ]</w:t>
        <w:tab/>
        <w:t>1.</w:t>
      </w:r>
      <w:r>
        <w:rPr>
          <w:sz w:val="20"/>
          <w:szCs w:val="20"/>
          <w:color w:val="auto"/>
        </w:rPr>
        <w:tab/>
      </w:r>
      <w:r>
        <w:rPr>
          <w:rFonts w:ascii="Arial" w:cs="Arial" w:eastAsia="Arial" w:hAnsi="Arial"/>
          <w:sz w:val="16"/>
          <w:szCs w:val="16"/>
          <w:color w:val="auto"/>
        </w:rPr>
        <w:t>Cash</w:t>
      </w:r>
    </w:p>
    <w:p>
      <w:pPr>
        <w:spacing w:after="0" w:line="15" w:lineRule="exact"/>
        <w:rPr>
          <w:sz w:val="20"/>
          <w:szCs w:val="20"/>
          <w:color w:val="auto"/>
        </w:rPr>
      </w:pPr>
    </w:p>
    <w:p>
      <w:pPr>
        <w:ind w:left="1140"/>
        <w:spacing w:after="0"/>
        <w:tabs>
          <w:tab w:leader="none" w:pos="1500" w:val="left"/>
          <w:tab w:leader="none" w:pos="1840" w:val="left"/>
        </w:tabs>
        <w:rPr>
          <w:sz w:val="20"/>
          <w:szCs w:val="20"/>
          <w:color w:val="auto"/>
        </w:rPr>
      </w:pPr>
      <w:r>
        <w:rPr>
          <w:rFonts w:ascii="Arial" w:cs="Arial" w:eastAsia="Arial" w:hAnsi="Arial"/>
          <w:sz w:val="20"/>
          <w:szCs w:val="20"/>
          <w:color w:val="auto"/>
        </w:rPr>
        <w:t>[ ]</w:t>
        <w:tab/>
        <w:t>2.</w:t>
      </w:r>
      <w:r>
        <w:rPr>
          <w:sz w:val="20"/>
          <w:szCs w:val="20"/>
          <w:color w:val="auto"/>
        </w:rPr>
        <w:tab/>
      </w:r>
      <w:r>
        <w:rPr>
          <w:rFonts w:ascii="Arial" w:cs="Arial" w:eastAsia="Arial" w:hAnsi="Arial"/>
          <w:sz w:val="18"/>
          <w:szCs w:val="18"/>
          <w:color w:val="auto"/>
        </w:rPr>
        <w:t>Certified or bank check payable to DocSend, Inc.</w:t>
      </w:r>
    </w:p>
    <w:p>
      <w:pPr>
        <w:ind w:left="1260" w:hanging="118"/>
        <w:spacing w:after="0"/>
        <w:tabs>
          <w:tab w:leader="none" w:pos="12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3.  Other (as referenced in the Agreement and described in the Plan (please describe))</w:t>
      </w:r>
    </w:p>
    <w:p>
      <w:pPr>
        <w:ind w:left="1140"/>
        <w:spacing w:after="0"/>
        <w:rPr>
          <w:rFonts w:ascii="Arial" w:cs="Arial" w:eastAsia="Arial" w:hAnsi="Arial"/>
          <w:sz w:val="20"/>
          <w:szCs w:val="20"/>
          <w:color w:val="auto"/>
        </w:rPr>
      </w:pPr>
      <w:r>
        <w:rPr>
          <w:rFonts w:ascii="Arial" w:cs="Arial" w:eastAsia="Arial" w:hAnsi="Arial"/>
          <w:sz w:val="20"/>
          <w:szCs w:val="20"/>
          <w:color w:val="auto"/>
        </w:rPr>
        <w:t>_________________________________________________________.</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In connection with my exercise of the option as set forth above, I hereby represent and warrant to the Company as follows:</w:t>
      </w:r>
    </w:p>
    <w:p>
      <w:pPr>
        <w:spacing w:after="0" w:line="254" w:lineRule="exact"/>
        <w:rPr>
          <w:sz w:val="20"/>
          <w:szCs w:val="20"/>
          <w:color w:val="auto"/>
        </w:rPr>
      </w:pPr>
    </w:p>
    <w:p>
      <w:pPr>
        <w:ind w:left="2180" w:hanging="390"/>
        <w:spacing w:after="0"/>
        <w:tabs>
          <w:tab w:leader="none" w:pos="2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am purchasing the Shares for my own account for investment only, and not for resale or with a view to the</w:t>
      </w:r>
    </w:p>
    <w:p>
      <w:pPr>
        <w:spacing w:after="0" w:line="38"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20"/>
          <w:szCs w:val="20"/>
          <w:color w:val="auto"/>
        </w:rPr>
        <w:t>distribution thereof.</w:t>
      </w:r>
    </w:p>
    <w:p>
      <w:pPr>
        <w:spacing w:after="0" w:line="226" w:lineRule="exact"/>
        <w:rPr>
          <w:rFonts w:ascii="Arial" w:cs="Arial" w:eastAsia="Arial" w:hAnsi="Arial"/>
          <w:sz w:val="18"/>
          <w:szCs w:val="18"/>
          <w:color w:val="auto"/>
        </w:rPr>
      </w:pPr>
    </w:p>
    <w:p>
      <w:pPr>
        <w:jc w:val="both"/>
        <w:ind w:left="500" w:right="180" w:firstLine="1290"/>
        <w:spacing w:after="0" w:line="250" w:lineRule="auto"/>
        <w:tabs>
          <w:tab w:leader="none" w:pos="2236" w:val="left"/>
        </w:tabs>
        <w:numPr>
          <w:ilvl w:val="0"/>
          <w:numId w:val="56"/>
        </w:numPr>
        <w:rPr>
          <w:rFonts w:ascii="Arial" w:cs="Arial" w:eastAsia="Arial" w:hAnsi="Arial"/>
          <w:sz w:val="20"/>
          <w:szCs w:val="20"/>
          <w:color w:val="auto"/>
        </w:rPr>
      </w:pPr>
      <w:r>
        <w:rPr>
          <w:rFonts w:ascii="Arial" w:cs="Arial" w:eastAsia="Arial" w:hAnsi="Arial"/>
          <w:sz w:val="20"/>
          <w:szCs w:val="20"/>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212" w:lineRule="exact"/>
        <w:rPr>
          <w:rFonts w:ascii="Arial" w:cs="Arial" w:eastAsia="Arial" w:hAnsi="Arial"/>
          <w:sz w:val="20"/>
          <w:szCs w:val="20"/>
          <w:color w:val="auto"/>
        </w:rPr>
      </w:pPr>
    </w:p>
    <w:p>
      <w:pPr>
        <w:ind w:left="500" w:right="600" w:firstLine="1290"/>
        <w:spacing w:after="0" w:line="316" w:lineRule="auto"/>
        <w:tabs>
          <w:tab w:leader="none" w:pos="2291"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56" w:lineRule="exact"/>
        <w:rPr>
          <w:rFonts w:ascii="Arial" w:cs="Arial" w:eastAsia="Arial" w:hAnsi="Arial"/>
          <w:sz w:val="18"/>
          <w:szCs w:val="18"/>
          <w:color w:val="auto"/>
        </w:rPr>
      </w:pPr>
    </w:p>
    <w:p>
      <w:pPr>
        <w:ind w:left="500" w:right="260" w:firstLine="1290"/>
        <w:spacing w:after="0" w:line="260" w:lineRule="auto"/>
        <w:tabs>
          <w:tab w:leader="none" w:pos="22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 can afford a complete loss of the value of the Shares and am able to bear the economic risk of holding such Shares for an indefinite period of time.</w:t>
      </w:r>
    </w:p>
    <w:p>
      <w:pPr>
        <w:spacing w:after="0" w:line="203" w:lineRule="exact"/>
        <w:rPr>
          <w:rFonts w:ascii="Arial" w:cs="Arial" w:eastAsia="Arial" w:hAnsi="Arial"/>
          <w:sz w:val="20"/>
          <w:szCs w:val="20"/>
          <w:color w:val="auto"/>
        </w:rPr>
      </w:pPr>
    </w:p>
    <w:p>
      <w:pPr>
        <w:ind w:left="500" w:firstLine="1290"/>
        <w:spacing w:after="0" w:line="276" w:lineRule="auto"/>
        <w:tabs>
          <w:tab w:leader="none" w:pos="22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ectPr>
          <w:pgSz w:w="11900" w:h="16838" w:orient="portrait"/>
          <w:cols w:equalWidth="0" w:num="1">
            <w:col w:w="11120"/>
          </w:cols>
          <w:pgMar w:left="320" w:top="1440" w:right="459" w:bottom="1440" w:gutter="0" w:footer="0" w:header="0"/>
        </w:sectPr>
      </w:pPr>
    </w:p>
    <w:bookmarkStart w:id="31" w:name="page32"/>
    <w:bookmarkEnd w:id="31"/>
    <w:p>
      <w:pPr>
        <w:ind w:left="-620" w:firstLine="1290"/>
        <w:spacing w:after="0" w:line="250" w:lineRule="auto"/>
        <w:tabs>
          <w:tab w:leader="none" w:pos="11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 have read and understand the Plan and Agreement and acknowledge and agree that the Shares are subject to all of the relevant terms of the Plan and Agreement, including without limitation, the transfer restrictions set forth in Section 10 of the Agreement.</w:t>
      </w:r>
    </w:p>
    <w:p>
      <w:pPr>
        <w:spacing w:after="0" w:line="212" w:lineRule="exact"/>
        <w:rPr>
          <w:rFonts w:ascii="Arial" w:cs="Arial" w:eastAsia="Arial" w:hAnsi="Arial"/>
          <w:sz w:val="20"/>
          <w:szCs w:val="20"/>
          <w:color w:val="auto"/>
        </w:rPr>
      </w:pPr>
    </w:p>
    <w:p>
      <w:pPr>
        <w:ind w:left="-620" w:right="520" w:firstLine="1290"/>
        <w:spacing w:after="0" w:line="260" w:lineRule="auto"/>
        <w:tabs>
          <w:tab w:leader="none" w:pos="1215" w:val="left"/>
        </w:tabs>
        <w:numPr>
          <w:ilvl w:val="0"/>
          <w:numId w:val="57"/>
        </w:numPr>
        <w:rPr>
          <w:rFonts w:ascii="Arial" w:cs="Arial" w:eastAsia="Arial" w:hAnsi="Arial"/>
          <w:sz w:val="20"/>
          <w:szCs w:val="20"/>
          <w:color w:val="auto"/>
        </w:rPr>
      </w:pPr>
      <w:r>
        <w:rPr>
          <w:rFonts w:ascii="Arial" w:cs="Arial" w:eastAsia="Arial" w:hAnsi="Arial"/>
          <w:sz w:val="20"/>
          <w:szCs w:val="20"/>
          <w:color w:val="auto"/>
        </w:rPr>
        <w:t>I understand and agree that the Company has a right of first refusal with respect to the Shares pursuant to Section 7 of the Agreement.</w:t>
      </w:r>
    </w:p>
    <w:p>
      <w:pPr>
        <w:spacing w:after="0" w:line="203" w:lineRule="exact"/>
        <w:rPr>
          <w:rFonts w:ascii="Arial" w:cs="Arial" w:eastAsia="Arial" w:hAnsi="Arial"/>
          <w:sz w:val="20"/>
          <w:szCs w:val="20"/>
          <w:color w:val="auto"/>
        </w:rPr>
      </w:pPr>
    </w:p>
    <w:p>
      <w:pPr>
        <w:ind w:left="-620" w:right="280" w:firstLine="1290"/>
        <w:spacing w:after="0" w:line="287" w:lineRule="auto"/>
        <w:tabs>
          <w:tab w:leader="none" w:pos="1269" w:val="left"/>
        </w:tabs>
        <w:numPr>
          <w:ilvl w:val="0"/>
          <w:numId w:val="57"/>
        </w:numPr>
        <w:rPr>
          <w:rFonts w:ascii="Arial" w:cs="Arial" w:eastAsia="Arial" w:hAnsi="Arial"/>
          <w:sz w:val="19"/>
          <w:szCs w:val="19"/>
          <w:color w:val="auto"/>
        </w:rPr>
      </w:pPr>
      <w:r>
        <w:rPr>
          <w:rFonts w:ascii="Arial" w:cs="Arial" w:eastAsia="Arial" w:hAnsi="Arial"/>
          <w:sz w:val="19"/>
          <w:szCs w:val="19"/>
          <w:color w:val="auto"/>
        </w:rPr>
        <w:t>I understand and agree that I may not sell or otherwise transfer or dispose of the Shares for a period of time following the effective date of a public offering by the Company as described in Section 10(b) of the Agreement.</w:t>
      </w:r>
    </w:p>
    <w:p>
      <w:pPr>
        <w:spacing w:after="0" w:line="179"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Name: Address:</w:t>
      </w:r>
    </w:p>
    <w:p>
      <w:pPr>
        <w:spacing w:after="0" w:line="16"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0040"/>
          </w:cols>
          <w:pgMar w:left="1440" w:top="1419" w:right="419" w:bottom="1440" w:gutter="0" w:footer="0" w:header="0"/>
        </w:sectPr>
      </w:pPr>
    </w:p>
    <w:bookmarkStart w:id="32" w:name="page33"/>
    <w:bookmarkEnd w:id="32"/>
    <w:p>
      <w:pPr>
        <w:jc w:val="right"/>
        <w:spacing w:after="0"/>
        <w:rPr>
          <w:sz w:val="20"/>
          <w:szCs w:val="20"/>
          <w:color w:val="auto"/>
        </w:rPr>
      </w:pPr>
      <w:r>
        <w:rPr>
          <w:rFonts w:ascii="Arial" w:cs="Arial" w:eastAsia="Arial" w:hAnsi="Arial"/>
          <w:sz w:val="20"/>
          <w:szCs w:val="20"/>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DOCSEND, INC.</w:t>
      </w: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2015 STOCK OPTION AND GRANT PLAN</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GENERAL PURPOSE OF THE PLAN; DEFINITIONS</w:t>
      </w:r>
    </w:p>
    <w:p>
      <w:pPr>
        <w:spacing w:after="0" w:line="247"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9"/>
          <w:szCs w:val="19"/>
          <w:color w:val="auto"/>
        </w:rPr>
        <w:t>The name of the plan is the DocSend, Inc. 2015 Stock Option and Grant Plan (the “Plan”). The purpose of the Plan is to encourage and enable the officers, employees, directors, Consultants and other key persons of DocSend, Inc., a Delaware corporation (including any successor entity, the “Company”) and its Subsidiaries, upon whose judgment, initiative and efforts the Company largely depends for the successful conduct of its business, to acquire a proprietary interest in the Company.</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following terms shall be defined as set forth below:</w:t>
      </w:r>
    </w:p>
    <w:p>
      <w:pPr>
        <w:spacing w:after="0" w:line="247"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Affiliate</w:t>
      </w:r>
      <w:r>
        <w:rPr>
          <w:rFonts w:ascii="Arial" w:cs="Arial" w:eastAsia="Arial" w:hAnsi="Arial"/>
          <w:sz w:val="19"/>
          <w:szCs w:val="19"/>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83"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Award</w:t>
      </w:r>
      <w:r>
        <w:rPr>
          <w:rFonts w:ascii="Arial" w:cs="Arial" w:eastAsia="Arial" w:hAnsi="Arial"/>
          <w:sz w:val="22"/>
          <w:szCs w:val="22"/>
          <w:color w:val="auto"/>
        </w:rPr>
        <w:t>” or “</w:t>
      </w:r>
      <w:r>
        <w:rPr>
          <w:rFonts w:ascii="Arial" w:cs="Arial" w:eastAsia="Arial" w:hAnsi="Arial"/>
          <w:sz w:val="22"/>
          <w:szCs w:val="22"/>
          <w:i w:val="1"/>
          <w:iCs w:val="1"/>
          <w:color w:val="auto"/>
        </w:rPr>
        <w:t>Awards,</w:t>
      </w:r>
      <w:r>
        <w:rPr>
          <w:rFonts w:ascii="Arial" w:cs="Arial" w:eastAsia="Arial" w:hAnsi="Arial"/>
          <w:sz w:val="22"/>
          <w:szCs w:val="22"/>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212"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2"/>
          <w:szCs w:val="22"/>
          <w:i w:val="1"/>
          <w:iCs w:val="1"/>
          <w:color w:val="auto"/>
        </w:rPr>
        <w:t xml:space="preserve">“Award Agreement” </w:t>
      </w:r>
      <w:r>
        <w:rPr>
          <w:rFonts w:ascii="Arial" w:cs="Arial" w:eastAsia="Arial" w:hAnsi="Arial"/>
          <w:sz w:val="22"/>
          <w:szCs w:val="22"/>
          <w:color w:val="auto"/>
        </w:rPr>
        <w:t>means a written or electronic agreement setting forth the terms and provisions applicable to an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Award granted under the Plan. Each Award Agreement may contain terms and conditions in addition to those set forth in the Plan;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in the event of any conflict in the terms of the Plan and the Award Agreement, the terms of the Plan shall govern</w:t>
      </w:r>
      <w:r>
        <w:rPr>
          <w:rFonts w:ascii="Arial" w:cs="Arial" w:eastAsia="Arial" w:hAnsi="Arial"/>
          <w:sz w:val="22"/>
          <w:szCs w:val="22"/>
          <w:b w:val="1"/>
          <w:bCs w:val="1"/>
          <w:color w:val="auto"/>
        </w:rPr>
        <w:t>.</w:t>
      </w:r>
    </w:p>
    <w:p>
      <w:pPr>
        <w:spacing w:after="0" w:line="309"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w:t>
      </w:r>
      <w:r>
        <w:rPr>
          <w:rFonts w:ascii="Arial" w:cs="Arial" w:eastAsia="Arial" w:hAnsi="Arial"/>
          <w:sz w:val="22"/>
          <w:szCs w:val="22"/>
          <w:color w:val="auto"/>
        </w:rPr>
        <w:t>” means the Board of Directors of the Company.</w:t>
      </w:r>
    </w:p>
    <w:p>
      <w:pPr>
        <w:spacing w:after="0" w:line="247" w:lineRule="exact"/>
        <w:rPr>
          <w:sz w:val="20"/>
          <w:szCs w:val="20"/>
          <w:color w:val="auto"/>
        </w:rPr>
      </w:pPr>
    </w:p>
    <w:p>
      <w:pPr>
        <w:jc w:val="both"/>
        <w:ind w:right="10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ectPr>
          <w:pgSz w:w="11900" w:h="16838" w:orient="portrait"/>
          <w:cols w:equalWidth="0" w:num="1">
            <w:col w:w="11140"/>
          </w:cols>
          <w:pgMar w:left="420" w:top="115" w:right="339" w:bottom="1440" w:gutter="0" w:footer="0" w:header="0"/>
        </w:sectPr>
      </w:pPr>
    </w:p>
    <w:bookmarkStart w:id="33" w:name="page34"/>
    <w:bookmarkEnd w:id="33"/>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“Chief Executive Officer” </w:t>
      </w:r>
      <w:r>
        <w:rPr>
          <w:rFonts w:ascii="Arial" w:cs="Arial" w:eastAsia="Arial" w:hAnsi="Arial"/>
          <w:sz w:val="22"/>
          <w:szCs w:val="22"/>
          <w:color w:val="auto"/>
        </w:rPr>
        <w:t>means the Chief Executive Officer of the Company or, if there is no Chief Executive Officer,</w:t>
      </w:r>
      <w:r>
        <w:rPr>
          <w:rFonts w:ascii="Arial" w:cs="Arial" w:eastAsia="Arial" w:hAnsi="Arial"/>
          <w:sz w:val="22"/>
          <w:szCs w:val="22"/>
          <w:i w:val="1"/>
          <w:iCs w:val="1"/>
          <w:color w:val="auto"/>
        </w:rPr>
        <w:t xml:space="preserve"> </w:t>
      </w:r>
      <w:r>
        <w:rPr>
          <w:rFonts w:ascii="Arial" w:cs="Arial" w:eastAsia="Arial" w:hAnsi="Arial"/>
          <w:sz w:val="22"/>
          <w:szCs w:val="22"/>
          <w:color w:val="auto"/>
        </w:rPr>
        <w:t>then the President of the Company.</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 and any successor Code, and related rules, regulations and interpretations.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Committee</w:t>
      </w:r>
      <w:r>
        <w:rPr>
          <w:rFonts w:ascii="Arial" w:cs="Arial" w:eastAsia="Arial" w:hAnsi="Arial"/>
          <w:sz w:val="22"/>
          <w:szCs w:val="22"/>
          <w:color w:val="auto"/>
        </w:rPr>
        <w:t>” means the Committee of the Board referred to in Section 2.</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 xml:space="preserve">“Consultant” </w:t>
      </w:r>
      <w:r>
        <w:rPr>
          <w:rFonts w:ascii="Arial" w:cs="Arial" w:eastAsia="Arial" w:hAnsi="Arial"/>
          <w:sz w:val="22"/>
          <w:szCs w:val="22"/>
          <w:color w:val="auto"/>
        </w:rPr>
        <w:t>means any natural person that provides bona fide services to the Company (including a Subsidiary), and</w:t>
      </w:r>
      <w:r>
        <w:rPr>
          <w:rFonts w:ascii="Arial" w:cs="Arial" w:eastAsia="Arial" w:hAnsi="Arial"/>
          <w:sz w:val="22"/>
          <w:szCs w:val="22"/>
          <w:i w:val="1"/>
          <w:iCs w:val="1"/>
          <w:color w:val="auto"/>
        </w:rPr>
        <w:t xml:space="preserve"> </w:t>
      </w:r>
      <w:r>
        <w:rPr>
          <w:rFonts w:ascii="Arial" w:cs="Arial" w:eastAsia="Arial" w:hAnsi="Arial"/>
          <w:sz w:val="22"/>
          <w:szCs w:val="22"/>
          <w:color w:val="auto"/>
        </w:rPr>
        <w:t>such services are not in connection with the offer or sale of securities in a capital-raising transaction and do not directly or indirectly promote or maintain a market for the Company’s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Disability</w:t>
      </w:r>
      <w:r>
        <w:rPr>
          <w:rFonts w:ascii="Arial" w:cs="Arial" w:eastAsia="Arial" w:hAnsi="Arial"/>
          <w:sz w:val="22"/>
          <w:szCs w:val="22"/>
          <w:color w:val="auto"/>
        </w:rPr>
        <w:t>” means “disability” as defined in Section 422(c) of the Code.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Effective Date</w:t>
      </w:r>
      <w:r>
        <w:rPr>
          <w:rFonts w:ascii="Arial" w:cs="Arial" w:eastAsia="Arial" w:hAnsi="Arial"/>
          <w:sz w:val="22"/>
          <w:szCs w:val="22"/>
          <w:color w:val="auto"/>
        </w:rPr>
        <w:t>” means the date on which the Plan is adopted as set forth on the final page of the Plan.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Exchange Act</w:t>
      </w:r>
      <w:r>
        <w:rPr>
          <w:rFonts w:ascii="Arial" w:cs="Arial" w:eastAsia="Arial" w:hAnsi="Arial"/>
          <w:sz w:val="19"/>
          <w:szCs w:val="19"/>
          <w:color w:val="auto"/>
        </w:rPr>
        <w:t>” means the Securities Exchange Act of 1934, as amended, and the rules and regulations thereunder.</w:t>
      </w:r>
    </w:p>
    <w:p>
      <w:pPr>
        <w:spacing w:after="0" w:line="2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Fair Market Value</w:t>
      </w:r>
      <w:r>
        <w:rPr>
          <w:rFonts w:ascii="Arial" w:cs="Arial" w:eastAsia="Arial" w:hAnsi="Arial"/>
          <w:sz w:val="21"/>
          <w:szCs w:val="21"/>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21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have the meaning as set forth in the Award Agreement(s). In the case that any Award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does not contain a definition of “Good Reason,” it shall mean (i) a material diminution in the grantee’s base salary except for across-the-board salary reductions similarly affecting all or substantially all similarly situated employees of the Company or</w:t>
      </w:r>
    </w:p>
    <w:p>
      <w:pPr>
        <w:spacing w:after="0" w:line="1" w:lineRule="exact"/>
        <w:rPr>
          <w:sz w:val="20"/>
          <w:szCs w:val="20"/>
          <w:color w:val="auto"/>
        </w:rPr>
      </w:pPr>
    </w:p>
    <w:p>
      <w:pPr>
        <w:jc w:val="both"/>
        <w:ind w:firstLine="8"/>
        <w:spacing w:after="0" w:line="245" w:lineRule="auto"/>
        <w:tabs>
          <w:tab w:leader="none" w:pos="326"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change of more than 50 miles in the geographic location at which the grantee provides services to the Company, so long as the grantee provides at least 90 days notice to the Company following the initial occurrence of any such event and the Company fails to cure such event within 30 days thereafter.</w:t>
      </w:r>
    </w:p>
    <w:p>
      <w:pPr>
        <w:spacing w:after="0" w:line="233"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Grant Date”</w:t>
      </w:r>
      <w:r>
        <w:rPr>
          <w:rFonts w:ascii="Arial" w:cs="Arial" w:eastAsia="Arial" w:hAnsi="Arial"/>
          <w:sz w:val="19"/>
          <w:szCs w:val="19"/>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13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i w:val="1"/>
          <w:iCs w:val="1"/>
          <w:color w:val="auto"/>
        </w:rPr>
        <w:t xml:space="preserve">“Holder” </w:t>
      </w:r>
      <w:r>
        <w:rPr>
          <w:rFonts w:ascii="Arial" w:cs="Arial" w:eastAsia="Arial" w:hAnsi="Arial"/>
          <w:sz w:val="22"/>
          <w:szCs w:val="22"/>
          <w:color w:val="auto"/>
        </w:rPr>
        <w:t>means, with respect to an Award or any Shares, the Person holding such Award or Shares, including the</w:t>
      </w:r>
      <w:r>
        <w:rPr>
          <w:rFonts w:ascii="Arial" w:cs="Arial" w:eastAsia="Arial" w:hAnsi="Arial"/>
          <w:sz w:val="22"/>
          <w:szCs w:val="22"/>
          <w:i w:val="1"/>
          <w:iCs w:val="1"/>
          <w:color w:val="auto"/>
        </w:rPr>
        <w:t xml:space="preserve"> </w:t>
      </w:r>
      <w:r>
        <w:rPr>
          <w:rFonts w:ascii="Arial" w:cs="Arial" w:eastAsia="Arial" w:hAnsi="Arial"/>
          <w:sz w:val="22"/>
          <w:szCs w:val="22"/>
          <w:color w:val="auto"/>
        </w:rPr>
        <w:t>initial recipient of the Award or any Permitted Transferee.</w:t>
      </w:r>
    </w:p>
    <w:p>
      <w:pPr>
        <w:sectPr>
          <w:pgSz w:w="11900" w:h="16838" w:orient="portrait"/>
          <w:cols w:equalWidth="0" w:num="1">
            <w:col w:w="11040"/>
          </w:cols>
          <w:pgMar w:left="420" w:top="1428" w:right="439" w:bottom="1440" w:gutter="0" w:footer="0" w:header="0"/>
        </w:sectPr>
      </w:pPr>
    </w:p>
    <w:bookmarkStart w:id="34" w:name="page35"/>
    <w:bookmarkEnd w:id="34"/>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Incentive Stock Option</w:t>
      </w:r>
      <w:r>
        <w:rPr>
          <w:rFonts w:ascii="Arial" w:cs="Arial" w:eastAsia="Arial" w:hAnsi="Arial"/>
          <w:sz w:val="22"/>
          <w:szCs w:val="22"/>
          <w:color w:val="auto"/>
        </w:rPr>
        <w:t>” means any Stock Option designated and qualified as an “incentive stock option” as defined in Section 422 of the Code.</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Public Offering</w:t>
      </w:r>
      <w:r>
        <w:rPr>
          <w:rFonts w:ascii="Arial" w:cs="Arial" w:eastAsia="Arial" w:hAnsi="Arial"/>
          <w:sz w:val="22"/>
          <w:szCs w:val="22"/>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Non-Qualified Stock Option</w:t>
      </w:r>
      <w:r>
        <w:rPr>
          <w:rFonts w:ascii="Arial" w:cs="Arial" w:eastAsia="Arial" w:hAnsi="Arial"/>
          <w:sz w:val="22"/>
          <w:szCs w:val="22"/>
          <w:color w:val="auto"/>
        </w:rPr>
        <w:t>” means any Stock Option that is not an Incentive Stock Option.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Option</w:t>
      </w:r>
      <w:r>
        <w:rPr>
          <w:rFonts w:ascii="Arial" w:cs="Arial" w:eastAsia="Arial" w:hAnsi="Arial"/>
          <w:sz w:val="22"/>
          <w:szCs w:val="22"/>
          <w:color w:val="auto"/>
        </w:rPr>
        <w:t>” or “</w:t>
      </w:r>
      <w:r>
        <w:rPr>
          <w:rFonts w:ascii="Arial" w:cs="Arial" w:eastAsia="Arial" w:hAnsi="Arial"/>
          <w:sz w:val="22"/>
          <w:szCs w:val="22"/>
          <w:i w:val="1"/>
          <w:iCs w:val="1"/>
          <w:color w:val="auto"/>
        </w:rPr>
        <w:t>Stock Option</w:t>
      </w:r>
      <w:r>
        <w:rPr>
          <w:rFonts w:ascii="Arial" w:cs="Arial" w:eastAsia="Arial" w:hAnsi="Arial"/>
          <w:sz w:val="22"/>
          <w:szCs w:val="22"/>
          <w:color w:val="auto"/>
        </w:rPr>
        <w:t>” means any option to purchase shares of Stock granted pursuant to Section 5.</w:t>
      </w:r>
    </w:p>
    <w:p>
      <w:pPr>
        <w:spacing w:after="0" w:line="2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Transferees</w:t>
      </w:r>
      <w:r>
        <w:rPr>
          <w:rFonts w:ascii="Arial" w:cs="Arial" w:eastAsia="Arial" w:hAnsi="Arial"/>
          <w:sz w:val="19"/>
          <w:szCs w:val="19"/>
          <w:color w:val="auto"/>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Arial" w:cs="Arial" w:eastAsia="Arial" w:hAnsi="Arial"/>
          <w:sz w:val="19"/>
          <w:szCs w:val="19"/>
          <w:i w:val="1"/>
          <w:iCs w:val="1"/>
          <w:color w:val="auto"/>
        </w:rPr>
        <w:t>; provided, however,</w:t>
      </w:r>
      <w:r>
        <w:rPr>
          <w:rFonts w:ascii="Arial" w:cs="Arial" w:eastAsia="Arial" w:hAnsi="Arial"/>
          <w:sz w:val="19"/>
          <w:szCs w:val="19"/>
          <w:color w:val="auto"/>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shall mean any individual, corporation, partnership (limited or general), limited liability company, limited liability partnership, association, trust, joint venture, unincorporated organization or any similar entity.</w:t>
      </w:r>
    </w:p>
    <w:p>
      <w:pPr>
        <w:spacing w:after="0" w:line="188" w:lineRule="exact"/>
        <w:rPr>
          <w:sz w:val="20"/>
          <w:szCs w:val="20"/>
          <w:color w:val="auto"/>
        </w:rPr>
      </w:pPr>
    </w:p>
    <w:p>
      <w:pPr>
        <w:jc w:val="both"/>
        <w:ind w:firstLine="702"/>
        <w:spacing w:after="0" w:line="250" w:lineRule="auto"/>
        <w:rPr>
          <w:sz w:val="20"/>
          <w:szCs w:val="20"/>
          <w:color w:val="auto"/>
        </w:rPr>
      </w:pPr>
      <w:r>
        <w:rPr>
          <w:rFonts w:ascii="Arial" w:cs="Arial" w:eastAsia="Arial" w:hAnsi="Arial"/>
          <w:sz w:val="22"/>
          <w:szCs w:val="22"/>
          <w:i w:val="1"/>
          <w:iCs w:val="1"/>
          <w:color w:val="auto"/>
        </w:rPr>
        <w:t xml:space="preserve">“Restricted Stock Award” </w:t>
      </w:r>
      <w:r>
        <w:rPr>
          <w:rFonts w:ascii="Arial" w:cs="Arial" w:eastAsia="Arial" w:hAnsi="Arial"/>
          <w:sz w:val="22"/>
          <w:szCs w:val="22"/>
          <w:color w:val="auto"/>
        </w:rPr>
        <w:t>means Awards granted pursuant to Section 6 and</w:t>
      </w:r>
      <w:r>
        <w:rPr>
          <w:rFonts w:ascii="Arial" w:cs="Arial" w:eastAsia="Arial" w:hAnsi="Arial"/>
          <w:sz w:val="22"/>
          <w:szCs w:val="22"/>
          <w:i w:val="1"/>
          <w:iCs w:val="1"/>
          <w:color w:val="auto"/>
        </w:rPr>
        <w:t xml:space="preserve"> “Restricted Stock” </w:t>
      </w:r>
      <w:r>
        <w:rPr>
          <w:rFonts w:ascii="Arial" w:cs="Arial" w:eastAsia="Arial" w:hAnsi="Arial"/>
          <w:sz w:val="22"/>
          <w:szCs w:val="22"/>
          <w:color w:val="auto"/>
        </w:rPr>
        <w:t>means Shares issued</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such Awards.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“Restricted Stock Unit” </w:t>
      </w:r>
      <w:r>
        <w:rPr>
          <w:rFonts w:ascii="Arial" w:cs="Arial" w:eastAsia="Arial" w:hAnsi="Arial"/>
          <w:sz w:val="22"/>
          <w:szCs w:val="22"/>
          <w:color w:val="auto"/>
        </w:rPr>
        <w:t>means an Award of phantom stock units to a grantee, which may be settled in cash or Shares as</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by the Committee, pursuant to Section 8.</w:t>
      </w:r>
    </w:p>
    <w:p>
      <w:pPr>
        <w:spacing w:after="0" w:line="21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Sale Event”</w:t>
      </w:r>
      <w:r>
        <w:rPr>
          <w:rFonts w:ascii="Arial" w:cs="Arial" w:eastAsia="Arial" w:hAnsi="Arial"/>
          <w:sz w:val="19"/>
          <w:szCs w:val="19"/>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Company’s Initial Public Offering, any</w:t>
      </w:r>
    </w:p>
    <w:p>
      <w:pPr>
        <w:sectPr>
          <w:pgSz w:w="11900" w:h="16838" w:orient="portrait"/>
          <w:cols w:equalWidth="0" w:num="1">
            <w:col w:w="11040"/>
          </w:cols>
          <w:pgMar w:left="420" w:top="1428" w:right="4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22"/>
          <w:szCs w:val="22"/>
          <w:color w:val="auto"/>
        </w:rPr>
        <w:t>subsequent public offering or another capital raising event, or a merger effected solely to change the Company’s domicile shall not constitute a “Sale Event.”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“Section 409A” </w:t>
      </w:r>
      <w:r>
        <w:rPr>
          <w:rFonts w:ascii="Arial" w:cs="Arial" w:eastAsia="Arial" w:hAnsi="Arial"/>
          <w:sz w:val="19"/>
          <w:szCs w:val="19"/>
          <w:color w:val="auto"/>
        </w:rPr>
        <w:t>means Section 409A of the Code and the regulations and other guidance promulgated thereunder.</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 and the rules and regulations thereunder.</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 xml:space="preserve">“Service Relationship” </w:t>
      </w:r>
      <w:r>
        <w:rPr>
          <w:rFonts w:ascii="Arial" w:cs="Arial" w:eastAsia="Arial" w:hAnsi="Arial"/>
          <w:sz w:val="22"/>
          <w:szCs w:val="22"/>
          <w:color w:val="auto"/>
        </w:rPr>
        <w:t>means any relationship as a full-time employee, part-time employee, director or other key</w:t>
      </w:r>
      <w:r>
        <w:rPr>
          <w:rFonts w:ascii="Arial" w:cs="Arial" w:eastAsia="Arial" w:hAnsi="Arial"/>
          <w:sz w:val="22"/>
          <w:szCs w:val="22"/>
          <w:i w:val="1"/>
          <w:iCs w:val="1"/>
          <w:color w:val="auto"/>
        </w:rPr>
        <w:t xml:space="preserve"> </w:t>
      </w:r>
      <w:r>
        <w:rPr>
          <w:rFonts w:ascii="Arial" w:cs="Arial" w:eastAsia="Arial" w:hAnsi="Arial"/>
          <w:sz w:val="22"/>
          <w:szCs w:val="22"/>
          <w:color w:val="auto"/>
        </w:rPr>
        <w:t>person (including Consultants) of the Company or any Subsidiary or any successor entity (e.g., a Service Relationship shall be deemed to continue without interruption in the event an individual’s status changes from full-time employee to part- time employee or Consultant).</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“Shares” </w:t>
      </w:r>
      <w:r>
        <w:rPr>
          <w:rFonts w:ascii="Arial" w:cs="Arial" w:eastAsia="Arial" w:hAnsi="Arial"/>
          <w:sz w:val="22"/>
          <w:szCs w:val="22"/>
          <w:color w:val="auto"/>
        </w:rPr>
        <w:t>means shares of Stock.</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Stock</w:t>
      </w:r>
      <w:r>
        <w:rPr>
          <w:rFonts w:ascii="Arial" w:cs="Arial" w:eastAsia="Arial" w:hAnsi="Arial"/>
          <w:sz w:val="19"/>
          <w:szCs w:val="19"/>
          <w:color w:val="auto"/>
        </w:rPr>
        <w:t>” means the Common Stock, par value $0.001 per share, of the Company. “</w:t>
      </w:r>
      <w:r>
        <w:rPr>
          <w:rFonts w:ascii="Arial" w:cs="Arial" w:eastAsia="Arial" w:hAnsi="Arial"/>
          <w:sz w:val="19"/>
          <w:szCs w:val="19"/>
          <w:i w:val="1"/>
          <w:iCs w:val="1"/>
          <w:color w:val="auto"/>
        </w:rPr>
        <w:t>Subsidiary</w:t>
      </w:r>
      <w:r>
        <w:rPr>
          <w:rFonts w:ascii="Arial" w:cs="Arial" w:eastAsia="Arial" w:hAnsi="Arial"/>
          <w:sz w:val="19"/>
          <w:szCs w:val="19"/>
          <w:color w:val="auto"/>
        </w:rPr>
        <w:t>” means any corporation or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entity (other than the Company) in which</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the Company has more than a 50 percent interest, either directly or indirectly.</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 xml:space="preserve">“Ten Percent Owner” </w:t>
      </w:r>
      <w:r>
        <w:rPr>
          <w:rFonts w:ascii="Arial" w:cs="Arial" w:eastAsia="Arial" w:hAnsi="Arial"/>
          <w:sz w:val="22"/>
          <w:szCs w:val="22"/>
          <w:color w:val="auto"/>
        </w:rPr>
        <w:t>means an employee who owns or is deemed to own (by reason of the attribution rules of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424(d) of the Code) more than 10 percent of the combined voting power of all classes of stock of the Company or any parent of the Company or any Subsidiary.</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i w:val="1"/>
          <w:iCs w:val="1"/>
          <w:color w:val="auto"/>
        </w:rPr>
        <w:t xml:space="preserve">“Termination Event” </w:t>
      </w:r>
      <w:r>
        <w:rPr>
          <w:rFonts w:ascii="Arial" w:cs="Arial" w:eastAsia="Arial" w:hAnsi="Arial"/>
          <w:sz w:val="22"/>
          <w:szCs w:val="22"/>
          <w:color w:val="auto"/>
        </w:rPr>
        <w:t>means the termination of the Award recipient’s Service Relationship with the Company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for any reason 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234" w:lineRule="exact"/>
        <w:rPr>
          <w:sz w:val="20"/>
          <w:szCs w:val="20"/>
          <w:color w:val="auto"/>
        </w:rPr>
      </w:pPr>
    </w:p>
    <w:p>
      <w:pPr>
        <w:ind w:right="34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21"/>
          <w:szCs w:val="21"/>
          <w:i w:val="1"/>
          <w:iCs w:val="1"/>
          <w:color w:val="auto"/>
        </w:rPr>
        <w:t>Unrestricted Stock Award”</w:t>
      </w:r>
      <w:r>
        <w:rPr>
          <w:rFonts w:ascii="Arial" w:cs="Arial" w:eastAsia="Arial" w:hAnsi="Arial"/>
          <w:sz w:val="16"/>
          <w:szCs w:val="16"/>
          <w:color w:val="auto"/>
        </w:rPr>
        <w:t xml:space="preserve"> </w:t>
      </w:r>
      <w:r>
        <w:rPr>
          <w:rFonts w:ascii="Arial" w:cs="Arial" w:eastAsia="Arial" w:hAnsi="Arial"/>
          <w:sz w:val="21"/>
          <w:szCs w:val="21"/>
          <w:color w:val="auto"/>
        </w:rPr>
        <w:t>means any Award granted pursuant to Section 7 and</w:t>
      </w:r>
      <w:r>
        <w:rPr>
          <w:rFonts w:ascii="Arial" w:cs="Arial" w:eastAsia="Arial" w:hAnsi="Arial"/>
          <w:sz w:val="16"/>
          <w:szCs w:val="16"/>
          <w:color w:val="auto"/>
        </w:rPr>
        <w:t xml:space="preserve"> </w:t>
      </w:r>
      <w:r>
        <w:rPr>
          <w:rFonts w:ascii="Arial" w:cs="Arial" w:eastAsia="Arial" w:hAnsi="Arial"/>
          <w:sz w:val="21"/>
          <w:szCs w:val="21"/>
          <w:i w:val="1"/>
          <w:iCs w:val="1"/>
          <w:color w:val="auto"/>
        </w:rPr>
        <w:t xml:space="preserve">“Unrestricted Stock” </w:t>
      </w:r>
      <w:r>
        <w:rPr>
          <w:rFonts w:ascii="Arial" w:cs="Arial" w:eastAsia="Arial" w:hAnsi="Arial"/>
          <w:sz w:val="21"/>
          <w:szCs w:val="21"/>
          <w:color w:val="auto"/>
        </w:rPr>
        <w:t>means Shares issued pursuant to such Awards.</w:t>
      </w:r>
    </w:p>
    <w:p>
      <w:pPr>
        <w:spacing w:after="0" w:line="165" w:lineRule="exact"/>
        <w:rPr>
          <w:sz w:val="20"/>
          <w:szCs w:val="20"/>
          <w:color w:val="auto"/>
        </w:rPr>
      </w:pPr>
    </w:p>
    <w:p>
      <w:pPr>
        <w:ind w:left="1300" w:right="160" w:hanging="1295"/>
        <w:spacing w:after="0" w:line="250"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ADMINISTRATION OF PLAN; COMMITTEE AUTHORITY TO SELECT GRANTEES AND DETERMINE</w:t>
      </w:r>
      <w:r>
        <w:rPr>
          <w:rFonts w:ascii="Arial" w:cs="Arial" w:eastAsia="Arial" w:hAnsi="Arial"/>
          <w:sz w:val="22"/>
          <w:szCs w:val="22"/>
          <w:color w:val="auto"/>
        </w:rPr>
        <w:t xml:space="preserve"> </w:t>
      </w:r>
      <w:r>
        <w:rPr>
          <w:rFonts w:ascii="Arial" w:cs="Arial" w:eastAsia="Arial" w:hAnsi="Arial"/>
          <w:sz w:val="22"/>
          <w:szCs w:val="22"/>
          <w:u w:val="single" w:color="auto"/>
          <w:color w:val="auto"/>
        </w:rPr>
        <w:t>AWARDS</w:t>
      </w:r>
    </w:p>
    <w:p>
      <w:pPr>
        <w:spacing w:after="0" w:line="215" w:lineRule="exact"/>
        <w:rPr>
          <w:sz w:val="20"/>
          <w:szCs w:val="20"/>
          <w:color w:val="auto"/>
        </w:rPr>
      </w:pPr>
    </w:p>
    <w:p>
      <w:pPr>
        <w:jc w:val="both"/>
        <w:ind w:firstLine="656"/>
        <w:spacing w:after="0" w:line="253" w:lineRule="auto"/>
        <w:tabs>
          <w:tab w:leader="none" w:pos="1185"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Administration of Plan</w:t>
      </w:r>
      <w:r>
        <w:rPr>
          <w:rFonts w:ascii="Arial" w:cs="Arial" w:eastAsia="Arial" w:hAnsi="Arial"/>
          <w:sz w:val="22"/>
          <w:szCs w:val="22"/>
          <w:color w:val="auto"/>
        </w:rPr>
        <w:t>. The Plan shall be administered by the Board, or at the discretion of the Board, by a committee of the Board, comprised of not less than two directors. All references herein to the “Committee” shall be deemed to refer to the group then responsible</w:t>
      </w:r>
    </w:p>
    <w:p>
      <w:pPr>
        <w:sectPr>
          <w:pgSz w:w="11900" w:h="16838" w:orient="portrait"/>
          <w:cols w:equalWidth="0" w:num="1">
            <w:col w:w="11040"/>
          </w:cols>
          <w:pgMar w:left="420" w:top="1374" w:right="439" w:bottom="1440" w:gutter="0" w:footer="0" w:header="0"/>
        </w:sectPr>
      </w:pPr>
    </w:p>
    <w:bookmarkStart w:id="36" w:name="page37"/>
    <w:bookmarkEnd w:id="36"/>
    <w:p>
      <w:pPr>
        <w:spacing w:after="0" w:line="263" w:lineRule="auto"/>
        <w:rPr>
          <w:sz w:val="20"/>
          <w:szCs w:val="20"/>
          <w:color w:val="auto"/>
        </w:rPr>
      </w:pPr>
      <w:r>
        <w:rPr>
          <w:rFonts w:ascii="Arial" w:cs="Arial" w:eastAsia="Arial" w:hAnsi="Arial"/>
          <w:sz w:val="22"/>
          <w:szCs w:val="22"/>
          <w:color w:val="auto"/>
        </w:rPr>
        <w:t>for administration of the Plan at the relevant time (i.e., either the Board of Directors or a committee or committees of the Board, as applicable).</w:t>
      </w:r>
    </w:p>
    <w:p>
      <w:pPr>
        <w:spacing w:after="0" w:line="202" w:lineRule="exact"/>
        <w:rPr>
          <w:sz w:val="20"/>
          <w:szCs w:val="20"/>
          <w:color w:val="auto"/>
        </w:rPr>
      </w:pPr>
    </w:p>
    <w:p>
      <w:pPr>
        <w:ind w:firstLine="656"/>
        <w:spacing w:after="0" w:line="250" w:lineRule="auto"/>
        <w:tabs>
          <w:tab w:leader="none" w:pos="1183"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Powers of Committee</w:t>
      </w:r>
      <w:r>
        <w:rPr>
          <w:rFonts w:ascii="Arial" w:cs="Arial" w:eastAsia="Arial" w:hAnsi="Arial"/>
          <w:sz w:val="22"/>
          <w:szCs w:val="22"/>
          <w:color w:val="auto"/>
        </w:rPr>
        <w:t>. The Committee shall have the power and authority to grant Awards consistent with the terms of the Plan, including the power and authority:</w:t>
      </w:r>
    </w:p>
    <w:p>
      <w:pPr>
        <w:spacing w:after="0" w:line="215" w:lineRule="exact"/>
        <w:rPr>
          <w:rFonts w:ascii="Arial" w:cs="Arial" w:eastAsia="Arial" w:hAnsi="Arial"/>
          <w:sz w:val="22"/>
          <w:szCs w:val="22"/>
          <w:color w:val="auto"/>
        </w:rPr>
      </w:pPr>
    </w:p>
    <w:p>
      <w:pPr>
        <w:ind w:left="1840" w:hanging="617"/>
        <w:spacing w:after="0"/>
        <w:tabs>
          <w:tab w:leader="none" w:pos="184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to select the individuals to whom Awards may from time to time be granted;</w:t>
      </w:r>
    </w:p>
    <w:p>
      <w:pPr>
        <w:spacing w:after="0" w:line="233" w:lineRule="exact"/>
        <w:rPr>
          <w:rFonts w:ascii="Arial" w:cs="Arial" w:eastAsia="Arial" w:hAnsi="Arial"/>
          <w:sz w:val="22"/>
          <w:szCs w:val="22"/>
          <w:color w:val="auto"/>
        </w:rPr>
      </w:pPr>
    </w:p>
    <w:p>
      <w:pPr>
        <w:ind w:left="1860" w:hanging="637"/>
        <w:spacing w:after="0"/>
        <w:tabs>
          <w:tab w:leader="none" w:pos="18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to determine the time or times of grant, and the amount, if any, of</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Incentive Stock Options, Non-Qualified Stock Options, Restricted Stock Awards, Unrestricted Stock Awards, Restricted Stock Units, or any combination of the foregoing, granted to any one or more grantees;</w:t>
      </w:r>
    </w:p>
    <w:p>
      <w:pPr>
        <w:spacing w:after="0" w:line="227" w:lineRule="exact"/>
        <w:rPr>
          <w:sz w:val="20"/>
          <w:szCs w:val="20"/>
          <w:color w:val="auto"/>
        </w:rPr>
      </w:pPr>
    </w:p>
    <w:p>
      <w:pPr>
        <w:ind w:firstLine="1304"/>
        <w:spacing w:after="0" w:line="263" w:lineRule="auto"/>
        <w:tabs>
          <w:tab w:leader="none" w:pos="183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 determine the number of Shares to be covered by any Award and, subject to the provisions of the Plan, the price, exercise price, conversion ratio or other price relating thereto;</w:t>
      </w:r>
    </w:p>
    <w:p>
      <w:pPr>
        <w:spacing w:after="0" w:line="215" w:lineRule="exact"/>
        <w:rPr>
          <w:rFonts w:ascii="Arial" w:cs="Arial" w:eastAsia="Arial" w:hAnsi="Arial"/>
          <w:sz w:val="22"/>
          <w:szCs w:val="22"/>
          <w:color w:val="auto"/>
        </w:rPr>
      </w:pPr>
    </w:p>
    <w:p>
      <w:pPr>
        <w:jc w:val="both"/>
        <w:ind w:firstLine="1304"/>
        <w:spacing w:after="0" w:line="253" w:lineRule="auto"/>
        <w:tabs>
          <w:tab w:leader="none" w:pos="1837"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212" w:lineRule="exact"/>
        <w:rPr>
          <w:rFonts w:ascii="Arial" w:cs="Arial" w:eastAsia="Arial" w:hAnsi="Arial"/>
          <w:sz w:val="22"/>
          <w:szCs w:val="22"/>
          <w:color w:val="auto"/>
        </w:rPr>
      </w:pPr>
    </w:p>
    <w:p>
      <w:pPr>
        <w:ind w:left="1940" w:hanging="637"/>
        <w:spacing w:after="0"/>
        <w:tabs>
          <w:tab w:leader="none" w:pos="19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 accelerate at any time the exercisability or vesting of all or any portion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of any Award;</w:t>
      </w:r>
    </w:p>
    <w:p>
      <w:pPr>
        <w:spacing w:after="0" w:line="242" w:lineRule="exact"/>
        <w:rPr>
          <w:sz w:val="20"/>
          <w:szCs w:val="20"/>
          <w:color w:val="auto"/>
        </w:rPr>
      </w:pPr>
    </w:p>
    <w:p>
      <w:pPr>
        <w:ind w:right="2920" w:firstLine="1303"/>
        <w:spacing w:after="0" w:line="343" w:lineRule="auto"/>
        <w:tabs>
          <w:tab w:leader="none" w:pos="1931" w:val="left"/>
        </w:tabs>
        <w:numPr>
          <w:ilvl w:val="0"/>
          <w:numId w:val="62"/>
        </w:numPr>
        <w:rPr>
          <w:rFonts w:ascii="Arial" w:cs="Arial" w:eastAsia="Arial" w:hAnsi="Arial"/>
          <w:sz w:val="19"/>
          <w:szCs w:val="19"/>
          <w:color w:val="auto"/>
        </w:rPr>
      </w:pPr>
      <w:r>
        <w:rPr>
          <w:rFonts w:ascii="Arial" w:cs="Arial" w:eastAsia="Arial" w:hAnsi="Arial"/>
          <w:sz w:val="19"/>
          <w:szCs w:val="19"/>
          <w:color w:val="auto"/>
        </w:rPr>
        <w:t>to impose any limitations on Awards, including limitations on transfers, repurchase provisions and the like, and to exercise repurchase rights or obligations;</w:t>
      </w:r>
    </w:p>
    <w:p>
      <w:pPr>
        <w:spacing w:after="0" w:line="131" w:lineRule="exact"/>
        <w:rPr>
          <w:rFonts w:ascii="Arial" w:cs="Arial" w:eastAsia="Arial" w:hAnsi="Arial"/>
          <w:sz w:val="19"/>
          <w:szCs w:val="19"/>
          <w:color w:val="auto"/>
        </w:rPr>
      </w:pPr>
    </w:p>
    <w:p>
      <w:pPr>
        <w:ind w:firstLine="1304"/>
        <w:spacing w:after="0" w:line="250" w:lineRule="auto"/>
        <w:tabs>
          <w:tab w:leader="none" w:pos="1843" w:val="left"/>
        </w:tabs>
        <w:numPr>
          <w:ilvl w:val="0"/>
          <w:numId w:val="62"/>
        </w:numPr>
        <w:rPr>
          <w:rFonts w:ascii="Arial" w:cs="Arial" w:eastAsia="Arial" w:hAnsi="Arial"/>
          <w:sz w:val="22"/>
          <w:szCs w:val="22"/>
          <w:color w:val="auto"/>
        </w:rPr>
      </w:pPr>
      <w:r>
        <w:rPr>
          <w:rFonts w:ascii="Arial" w:cs="Arial" w:eastAsia="Arial" w:hAnsi="Arial"/>
          <w:sz w:val="22"/>
          <w:szCs w:val="22"/>
          <w:color w:val="auto"/>
        </w:rPr>
        <w:t>subject to Section 5(a)(ii) and any restrictions imposed by Section 409A, to extend at any time the period in which Stock Options may be exercised; and</w:t>
      </w:r>
    </w:p>
    <w:p>
      <w:pPr>
        <w:spacing w:after="0" w:line="215" w:lineRule="exact"/>
        <w:rPr>
          <w:rFonts w:ascii="Arial" w:cs="Arial" w:eastAsia="Arial" w:hAnsi="Arial"/>
          <w:sz w:val="22"/>
          <w:szCs w:val="22"/>
          <w:color w:val="auto"/>
        </w:rPr>
      </w:pPr>
    </w:p>
    <w:p>
      <w:pPr>
        <w:jc w:val="both"/>
        <w:ind w:firstLine="1304"/>
        <w:spacing w:after="0" w:line="302" w:lineRule="auto"/>
        <w:tabs>
          <w:tab w:leader="none" w:pos="1836" w:val="left"/>
        </w:tabs>
        <w:numPr>
          <w:ilvl w:val="0"/>
          <w:numId w:val="62"/>
        </w:numPr>
        <w:rPr>
          <w:rFonts w:ascii="Arial" w:cs="Arial" w:eastAsia="Arial" w:hAnsi="Arial"/>
          <w:sz w:val="19"/>
          <w:szCs w:val="19"/>
          <w:color w:val="auto"/>
        </w:rPr>
      </w:pPr>
      <w:r>
        <w:rPr>
          <w:rFonts w:ascii="Arial" w:cs="Arial" w:eastAsia="Arial" w:hAnsi="Arial"/>
          <w:sz w:val="19"/>
          <w:szCs w:val="19"/>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All decisions and interpretations of the Committee shall be binding on all persons, including the Company and all Holders.</w:t>
      </w:r>
    </w:p>
    <w:p>
      <w:pPr>
        <w:spacing w:after="0" w:line="268" w:lineRule="exact"/>
        <w:rPr>
          <w:sz w:val="20"/>
          <w:szCs w:val="20"/>
          <w:color w:val="auto"/>
        </w:rPr>
      </w:pPr>
    </w:p>
    <w:p>
      <w:pPr>
        <w:ind w:firstLine="656"/>
        <w:spacing w:after="0" w:line="250" w:lineRule="auto"/>
        <w:tabs>
          <w:tab w:leader="none" w:pos="1185"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Award Agreement</w:t>
      </w:r>
      <w:r>
        <w:rPr>
          <w:rFonts w:ascii="Arial" w:cs="Arial" w:eastAsia="Arial" w:hAnsi="Arial"/>
          <w:sz w:val="22"/>
          <w:szCs w:val="22"/>
          <w:color w:val="auto"/>
        </w:rPr>
        <w:t>. Awards under the Plan shall be evidenced by Award Agreements that set forth the terms, conditions and limitations for each Award.</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183"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Neither the Board nor the Committee, nor any member of either or any delegate thereof, shall be liable for any act, omission, interpretation, construction or determination made in good faith in connection with the Plan, and the members of the Board and</w:t>
      </w:r>
    </w:p>
    <w:p>
      <w:pPr>
        <w:sectPr>
          <w:pgSz w:w="11900" w:h="16838" w:orient="portrait"/>
          <w:cols w:equalWidth="0" w:num="1">
            <w:col w:w="11040"/>
          </w:cols>
          <w:pgMar w:left="420" w:top="1374" w:right="439" w:bottom="1440" w:gutter="0" w:footer="0" w:header="0"/>
        </w:sectPr>
      </w:pPr>
    </w:p>
    <w:bookmarkStart w:id="37" w:name="page38"/>
    <w:bookmarkEnd w:id="37"/>
    <w:p>
      <w:pPr>
        <w:jc w:val="both"/>
        <w:spacing w:after="0" w:line="265" w:lineRule="auto"/>
        <w:rPr>
          <w:sz w:val="20"/>
          <w:szCs w:val="20"/>
          <w:color w:val="auto"/>
        </w:rPr>
      </w:pPr>
      <w:r>
        <w:rPr>
          <w:rFonts w:ascii="Arial" w:cs="Arial" w:eastAsia="Arial" w:hAnsi="Arial"/>
          <w:sz w:val="21"/>
          <w:szCs w:val="21"/>
          <w:color w:val="auto"/>
        </w:rPr>
        <w:t>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or any directors’ and officers’ liability insurance coverage which may</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be in effect from time to time and/or any indemnification agreement between such individual and the Company.</w:t>
      </w:r>
    </w:p>
    <w:p>
      <w:pPr>
        <w:spacing w:after="0" w:line="247" w:lineRule="exact"/>
        <w:rPr>
          <w:sz w:val="20"/>
          <w:szCs w:val="20"/>
          <w:color w:val="auto"/>
        </w:rPr>
      </w:pPr>
    </w:p>
    <w:p>
      <w:pPr>
        <w:jc w:val="both"/>
        <w:ind w:firstLine="656"/>
        <w:spacing w:after="0" w:line="288" w:lineRule="auto"/>
        <w:tabs>
          <w:tab w:leader="none" w:pos="118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Foreign Award Recipients</w:t>
      </w:r>
      <w:r>
        <w:rPr>
          <w:rFonts w:ascii="Arial" w:cs="Arial" w:eastAsia="Arial" w:hAnsi="Arial"/>
          <w:sz w:val="19"/>
          <w:szCs w:val="19"/>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173" w:lineRule="exact"/>
        <w:rPr>
          <w:sz w:val="20"/>
          <w:szCs w:val="20"/>
          <w:color w:val="auto"/>
        </w:rPr>
      </w:pPr>
    </w:p>
    <w:p>
      <w:pPr>
        <w:ind w:left="1300" w:right="860" w:hanging="1295"/>
        <w:spacing w:after="0" w:line="250"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STOCK</w:t>
      </w:r>
      <w:r>
        <w:rPr>
          <w:sz w:val="20"/>
          <w:szCs w:val="20"/>
          <w:color w:val="auto"/>
        </w:rPr>
        <w:t xml:space="preserve"> </w:t>
      </w:r>
      <w:r>
        <w:rPr>
          <w:rFonts w:ascii="Arial" w:cs="Arial" w:eastAsia="Arial" w:hAnsi="Arial"/>
          <w:sz w:val="22"/>
          <w:szCs w:val="22"/>
          <w:u w:val="single" w:color="auto"/>
          <w:color w:val="auto"/>
        </w:rPr>
        <w:t>ISSUABLE UNDER THE PLAN; MERGERS AND OTHER TRANSACTIONS; SUBSTITUTION</w:t>
      </w:r>
    </w:p>
    <w:p>
      <w:pPr>
        <w:spacing w:after="0" w:line="215" w:lineRule="exact"/>
        <w:rPr>
          <w:sz w:val="20"/>
          <w:szCs w:val="20"/>
          <w:color w:val="auto"/>
        </w:rPr>
      </w:pPr>
    </w:p>
    <w:p>
      <w:pPr>
        <w:jc w:val="both"/>
        <w:ind w:firstLine="656"/>
        <w:spacing w:after="0" w:line="286" w:lineRule="auto"/>
        <w:tabs>
          <w:tab w:leader="none" w:pos="118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Stock Issuable</w:t>
      </w:r>
      <w:r>
        <w:rPr>
          <w:rFonts w:ascii="Arial" w:cs="Arial" w:eastAsia="Arial" w:hAnsi="Arial"/>
          <w:sz w:val="19"/>
          <w:szCs w:val="19"/>
          <w:color w:val="auto"/>
        </w:rPr>
        <w:t>. The maximum number of Shares reserved and available for issuance under the Plan shall be 529,776 Shares, which includes (i) any Shares that, as of the date of stockholder approval of this Plan, have been reserved but not issued pursuant to any awards granted under the Company’s 2013 Stock Option Plan (the “2013 Plan”) and are not subject to any awards granted thereunder, and (ii) plus any Shares subject to stock options or similar awards granted under the 2013 Plan that expire or otherwise terminate without having been exercised in full and Shares issued pursuant to awards granted under the 2013 Plan that are forfeited to or reacquired by the Company,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5,297,760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792,268 Shares shall be granted to any one individual in any calendar year period.</w:t>
      </w:r>
    </w:p>
    <w:p>
      <w:pPr>
        <w:sectPr>
          <w:pgSz w:w="11900" w:h="16838" w:orient="portrait"/>
          <w:cols w:equalWidth="0" w:num="1">
            <w:col w:w="11040"/>
          </w:cols>
          <w:pgMar w:left="420" w:top="1374" w:right="439" w:bottom="1440" w:gutter="0" w:footer="0" w:header="0"/>
        </w:sectPr>
      </w:pPr>
    </w:p>
    <w:bookmarkStart w:id="38" w:name="page39"/>
    <w:bookmarkEnd w:id="38"/>
    <w:p>
      <w:pPr>
        <w:jc w:val="both"/>
        <w:ind w:firstLine="656"/>
        <w:spacing w:after="0" w:line="263" w:lineRule="auto"/>
        <w:tabs>
          <w:tab w:leader="none" w:pos="1183"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Changes in Stock</w:t>
      </w:r>
      <w:r>
        <w:rPr>
          <w:rFonts w:ascii="Arial" w:cs="Arial" w:eastAsia="Arial" w:hAnsi="Arial"/>
          <w:sz w:val="21"/>
          <w:szCs w:val="21"/>
          <w:color w:val="auto"/>
        </w:rPr>
        <w:t>.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 (iv) the exercise price for each Share subject to any then outstanding Stock Options under the Plan, without changing the aggregate exercise price (i.e., the exercise price multiplied by the number of Stock Options) as to which such Stock Options remain exercisable. The Committee shall in any event make such adjustments as may be required by Section 25102(o) of the California Corporation Code and the rules and regulations promulgated thereunder. The adjustment by the Committee shall be final, binding and conclusive. No fractional Shares shall be issued under the Plan resulting from any such adjustment, but the Committee in its discretion may make a cash payment in lieu of fractional shares.</w:t>
      </w:r>
    </w:p>
    <w:p>
      <w:pPr>
        <w:spacing w:after="0" w:line="190" w:lineRule="exact"/>
        <w:rPr>
          <w:sz w:val="20"/>
          <w:szCs w:val="20"/>
          <w:color w:val="auto"/>
        </w:rPr>
      </w:pPr>
    </w:p>
    <w:p>
      <w:pPr>
        <w:ind w:left="1300" w:hanging="645"/>
        <w:spacing w:after="0"/>
        <w:tabs>
          <w:tab w:leader="none" w:pos="130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Sale Events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hanging="861"/>
        <w:spacing w:after="0"/>
        <w:tabs>
          <w:tab w:leader="none" w:pos="1960"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1292"/>
        <w:spacing w:after="0" w:line="261" w:lineRule="auto"/>
        <w:tabs>
          <w:tab w:leader="none" w:pos="2499" w:val="left"/>
        </w:tabs>
        <w:numPr>
          <w:ilvl w:val="2"/>
          <w:numId w:val="67"/>
        </w:numPr>
        <w:rPr>
          <w:rFonts w:ascii="Arial" w:cs="Arial" w:eastAsia="Arial" w:hAnsi="Arial"/>
          <w:sz w:val="21"/>
          <w:szCs w:val="21"/>
          <w:color w:val="auto"/>
        </w:rPr>
      </w:pPr>
      <w:r>
        <w:rPr>
          <w:rFonts w:ascii="Arial" w:cs="Arial" w:eastAsia="Arial" w:hAnsi="Arial"/>
          <w:sz w:val="21"/>
          <w:szCs w:val="21"/>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287" w:lineRule="exact"/>
        <w:rPr>
          <w:rFonts w:ascii="Arial" w:cs="Arial" w:eastAsia="Arial" w:hAnsi="Arial"/>
          <w:sz w:val="21"/>
          <w:szCs w:val="21"/>
          <w:color w:val="auto"/>
        </w:rPr>
      </w:pPr>
    </w:p>
    <w:p>
      <w:pPr>
        <w:jc w:val="both"/>
        <w:ind w:left="660" w:firstLine="1292"/>
        <w:spacing w:after="0" w:line="297" w:lineRule="auto"/>
        <w:tabs>
          <w:tab w:leader="none" w:pos="2500" w:val="left"/>
        </w:tabs>
        <w:numPr>
          <w:ilvl w:val="2"/>
          <w:numId w:val="67"/>
        </w:numPr>
        <w:rPr>
          <w:rFonts w:ascii="Arial" w:cs="Arial" w:eastAsia="Arial" w:hAnsi="Arial"/>
          <w:sz w:val="19"/>
          <w:szCs w:val="19"/>
          <w:color w:val="auto"/>
        </w:rPr>
      </w:pPr>
      <w:r>
        <w:rPr>
          <w:rFonts w:ascii="Arial" w:cs="Arial" w:eastAsia="Arial" w:hAnsi="Arial"/>
          <w:sz w:val="19"/>
          <w:szCs w:val="19"/>
          <w:color w:val="auto"/>
        </w:rPr>
        <w:t xml:space="preserve">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exercise of Options not exercisable prior to the Sale Event shall be subject to the consummation of the Sale Event.</w:t>
      </w:r>
    </w:p>
    <w:p>
      <w:pPr>
        <w:spacing w:after="0" w:line="173" w:lineRule="exact"/>
        <w:rPr>
          <w:rFonts w:ascii="Arial" w:cs="Arial" w:eastAsia="Arial" w:hAnsi="Arial"/>
          <w:sz w:val="19"/>
          <w:szCs w:val="19"/>
          <w:color w:val="auto"/>
        </w:rPr>
      </w:pPr>
    </w:p>
    <w:p>
      <w:pPr>
        <w:jc w:val="both"/>
        <w:ind w:left="660" w:firstLine="1292"/>
        <w:spacing w:after="0" w:line="253" w:lineRule="auto"/>
        <w:tabs>
          <w:tab w:leader="none" w:pos="2500" w:val="left"/>
        </w:tabs>
        <w:numPr>
          <w:ilvl w:val="2"/>
          <w:numId w:val="67"/>
        </w:numPr>
        <w:rPr>
          <w:rFonts w:ascii="Arial" w:cs="Arial" w:eastAsia="Arial" w:hAnsi="Arial"/>
          <w:sz w:val="22"/>
          <w:szCs w:val="22"/>
          <w:color w:val="auto"/>
        </w:rPr>
      </w:pPr>
      <w:r>
        <w:rPr>
          <w:rFonts w:ascii="Arial" w:cs="Arial" w:eastAsia="Arial" w:hAnsi="Arial"/>
          <w:sz w:val="22"/>
          <w:szCs w:val="22"/>
          <w:color w:val="auto"/>
        </w:rPr>
        <w:t>Notwithstanding anything to the contrary in Section 3(c)(i)(A), in the event of a Sale Event, the Company shall have the right, but not the obligation, to make or provide for a cash payment to the Holders of Options, without any consent of the</w:t>
      </w:r>
    </w:p>
    <w:p>
      <w:pPr>
        <w:sectPr>
          <w:pgSz w:w="11900" w:h="16838" w:orient="portrait"/>
          <w:cols w:equalWidth="0" w:num="1">
            <w:col w:w="11040"/>
          </w:cols>
          <w:pgMar w:left="420" w:top="1374" w:right="439" w:bottom="1440" w:gutter="0" w:footer="0" w:header="0"/>
        </w:sectPr>
      </w:pPr>
    </w:p>
    <w:bookmarkStart w:id="39" w:name="page40"/>
    <w:bookmarkEnd w:id="39"/>
    <w:p>
      <w:pPr>
        <w:jc w:val="both"/>
        <w:ind w:left="660"/>
        <w:spacing w:after="0" w:line="297" w:lineRule="auto"/>
        <w:rPr>
          <w:sz w:val="20"/>
          <w:szCs w:val="20"/>
          <w:color w:val="auto"/>
        </w:rPr>
      </w:pPr>
      <w:r>
        <w:rPr>
          <w:rFonts w:ascii="Arial" w:cs="Arial" w:eastAsia="Arial" w:hAnsi="Arial"/>
          <w:sz w:val="19"/>
          <w:szCs w:val="19"/>
          <w:color w:val="auto"/>
        </w:rPr>
        <w:t>Holders, in exchange for the cancellation thereof, in an amount equal to the difference between (A) the value as determined by the Committee of the consideration payable per share of Stock pursuant to the Sale Event (the “Sale Price”)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241" w:lineRule="exact"/>
        <w:rPr>
          <w:sz w:val="20"/>
          <w:szCs w:val="20"/>
          <w:color w:val="auto"/>
        </w:rPr>
      </w:pPr>
    </w:p>
    <w:p>
      <w:pPr>
        <w:ind w:left="1940" w:hanging="637"/>
        <w:spacing w:after="0"/>
        <w:tabs>
          <w:tab w:leader="none" w:pos="194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Restricted Stock and Restricted Stock Unit Awards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660" w:firstLine="1292"/>
        <w:spacing w:after="0" w:line="294" w:lineRule="auto"/>
        <w:tabs>
          <w:tab w:leader="none" w:pos="2499" w:val="left"/>
        </w:tabs>
        <w:numPr>
          <w:ilvl w:val="1"/>
          <w:numId w:val="68"/>
        </w:numPr>
        <w:rPr>
          <w:rFonts w:ascii="Arial" w:cs="Arial" w:eastAsia="Arial" w:hAnsi="Arial"/>
          <w:sz w:val="19"/>
          <w:szCs w:val="19"/>
          <w:color w:val="auto"/>
        </w:rPr>
      </w:pPr>
      <w:r>
        <w:rPr>
          <w:rFonts w:ascii="Arial" w:cs="Arial" w:eastAsia="Arial" w:hAnsi="Arial"/>
          <w:sz w:val="19"/>
          <w:szCs w:val="19"/>
          <w:color w:val="auto"/>
        </w:rPr>
        <w:t>In the case of and subject to the consummation of a Sale Event, all unvested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189" w:lineRule="exact"/>
        <w:rPr>
          <w:rFonts w:ascii="Arial" w:cs="Arial" w:eastAsia="Arial" w:hAnsi="Arial"/>
          <w:sz w:val="19"/>
          <w:szCs w:val="19"/>
          <w:color w:val="auto"/>
        </w:rPr>
      </w:pPr>
    </w:p>
    <w:p>
      <w:pPr>
        <w:jc w:val="both"/>
        <w:ind w:left="660" w:firstLine="1292"/>
        <w:spacing w:after="0" w:line="271" w:lineRule="auto"/>
        <w:tabs>
          <w:tab w:leader="none" w:pos="2500" w:val="left"/>
        </w:tabs>
        <w:numPr>
          <w:ilvl w:val="1"/>
          <w:numId w:val="68"/>
        </w:numPr>
        <w:rPr>
          <w:rFonts w:ascii="Arial" w:cs="Arial" w:eastAsia="Arial" w:hAnsi="Arial"/>
          <w:sz w:val="21"/>
          <w:szCs w:val="21"/>
          <w:color w:val="auto"/>
        </w:rPr>
      </w:pPr>
      <w:r>
        <w:rPr>
          <w:rFonts w:ascii="Arial" w:cs="Arial" w:eastAsia="Arial" w:hAnsi="Arial"/>
          <w:sz w:val="21"/>
          <w:szCs w:val="21"/>
          <w:color w:val="auto"/>
        </w:rPr>
        <w:t>In the event of the forfeiture of Restricted Stock pursuant to Section 3(c)(ii)(A), such Restricted Stock shall be repurchased from the Holder thereof at a price per share equal to the original per share purchase price paid by the Holder (subject to adjustment as provided in Section 3(b)) for such Shares.</w:t>
      </w:r>
    </w:p>
    <w:p>
      <w:pPr>
        <w:spacing w:after="0" w:line="194" w:lineRule="exact"/>
        <w:rPr>
          <w:rFonts w:ascii="Arial" w:cs="Arial" w:eastAsia="Arial" w:hAnsi="Arial"/>
          <w:sz w:val="21"/>
          <w:szCs w:val="21"/>
          <w:color w:val="auto"/>
        </w:rPr>
      </w:pPr>
    </w:p>
    <w:p>
      <w:pPr>
        <w:jc w:val="both"/>
        <w:ind w:left="660" w:firstLine="1292"/>
        <w:spacing w:after="0" w:line="263" w:lineRule="auto"/>
        <w:tabs>
          <w:tab w:leader="none" w:pos="2500" w:val="left"/>
        </w:tabs>
        <w:numPr>
          <w:ilvl w:val="1"/>
          <w:numId w:val="68"/>
        </w:numPr>
        <w:rPr>
          <w:rFonts w:ascii="Arial" w:cs="Arial" w:eastAsia="Arial" w:hAnsi="Arial"/>
          <w:sz w:val="21"/>
          <w:szCs w:val="21"/>
          <w:color w:val="auto"/>
        </w:rPr>
      </w:pPr>
      <w:r>
        <w:rPr>
          <w:rFonts w:ascii="Arial" w:cs="Arial" w:eastAsia="Arial" w:hAnsi="Arial"/>
          <w:sz w:val="21"/>
          <w:szCs w:val="21"/>
          <w:color w:val="auto"/>
        </w:rPr>
        <w:t>Notwithstanding anything to the contrary in Section 3(c)(ii)(A),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ELIGIBILITY</w:t>
      </w:r>
    </w:p>
    <w:p>
      <w:pPr>
        <w:spacing w:after="0" w:line="26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Awards shall be granted only to those individuals described in Rule 701(c) of the Securities Act.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STOCK OPTIONS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ectPr>
          <w:pgSz w:w="11900" w:h="16838" w:orient="portrait"/>
          <w:cols w:equalWidth="0" w:num="1">
            <w:col w:w="11040"/>
          </w:cols>
          <w:pgMar w:left="420" w:top="1374" w:right="439" w:bottom="1440" w:gutter="0" w:footer="0" w:header="0"/>
        </w:sectPr>
      </w:pPr>
    </w:p>
    <w:bookmarkStart w:id="40" w:name="page41"/>
    <w:bookmarkEnd w:id="40"/>
    <w:p>
      <w:pPr>
        <w:jc w:val="both"/>
        <w:ind w:firstLine="648"/>
        <w:spacing w:after="0" w:line="250" w:lineRule="auto"/>
        <w:rPr>
          <w:sz w:val="20"/>
          <w:szCs w:val="20"/>
          <w:color w:val="auto"/>
        </w:rPr>
      </w:pPr>
      <w:r>
        <w:rPr>
          <w:rFonts w:ascii="Arial" w:cs="Arial" w:eastAsia="Arial" w:hAnsi="Arial"/>
          <w:sz w:val="22"/>
          <w:szCs w:val="22"/>
          <w:color w:val="auto"/>
        </w:rPr>
        <w:t>Stock Options granted under the Plan may be either Incentive Stock Options or Non- 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228" w:lineRule="exact"/>
        <w:rPr>
          <w:sz w:val="20"/>
          <w:szCs w:val="20"/>
          <w:color w:val="auto"/>
        </w:rPr>
      </w:pPr>
    </w:p>
    <w:p>
      <w:pPr>
        <w:jc w:val="both"/>
        <w:ind w:firstLine="656"/>
        <w:spacing w:after="0" w:line="312" w:lineRule="auto"/>
        <w:tabs>
          <w:tab w:leader="none" w:pos="1185"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Terms of Stock Options</w:t>
      </w:r>
      <w:r>
        <w:rPr>
          <w:rFonts w:ascii="Arial" w:cs="Arial" w:eastAsia="Arial" w:hAnsi="Arial"/>
          <w:sz w:val="19"/>
          <w:szCs w:val="19"/>
          <w:color w:val="auto"/>
        </w:rPr>
        <w:t>.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w:t>
      </w:r>
    </w:p>
    <w:p>
      <w:pPr>
        <w:spacing w:after="0" w:line="214" w:lineRule="exact"/>
        <w:rPr>
          <w:rFonts w:ascii="Arial" w:cs="Arial" w:eastAsia="Arial" w:hAnsi="Arial"/>
          <w:sz w:val="19"/>
          <w:szCs w:val="19"/>
          <w:color w:val="auto"/>
        </w:rPr>
      </w:pPr>
    </w:p>
    <w:p>
      <w:pPr>
        <w:jc w:val="both"/>
        <w:ind w:firstLine="1304"/>
        <w:spacing w:after="0" w:line="302" w:lineRule="auto"/>
        <w:tabs>
          <w:tab w:leader="none" w:pos="1837"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182" w:lineRule="exact"/>
        <w:rPr>
          <w:rFonts w:ascii="Arial" w:cs="Arial" w:eastAsia="Arial" w:hAnsi="Arial"/>
          <w:sz w:val="19"/>
          <w:szCs w:val="19"/>
          <w:color w:val="auto"/>
        </w:rPr>
      </w:pPr>
    </w:p>
    <w:p>
      <w:pPr>
        <w:jc w:val="both"/>
        <w:ind w:firstLine="1304"/>
        <w:spacing w:after="0" w:line="271" w:lineRule="auto"/>
        <w:tabs>
          <w:tab w:leader="none" w:pos="1843" w:val="left"/>
        </w:tabs>
        <w:numPr>
          <w:ilvl w:val="1"/>
          <w:numId w:val="69"/>
        </w:numPr>
        <w:rPr>
          <w:rFonts w:ascii="Arial" w:cs="Arial" w:eastAsia="Arial" w:hAnsi="Arial"/>
          <w:sz w:val="21"/>
          <w:szCs w:val="21"/>
          <w:color w:val="auto"/>
        </w:rPr>
      </w:pPr>
      <w:r>
        <w:rPr>
          <w:rFonts w:ascii="Arial" w:cs="Arial" w:eastAsia="Arial" w:hAnsi="Arial"/>
          <w:sz w:val="21"/>
          <w:szCs w:val="21"/>
          <w:u w:val="single" w:color="auto"/>
          <w:color w:val="auto"/>
        </w:rPr>
        <w:t>Option Term</w:t>
      </w:r>
      <w:r>
        <w:rPr>
          <w:rFonts w:ascii="Arial" w:cs="Arial" w:eastAsia="Arial" w:hAnsi="Arial"/>
          <w:sz w:val="21"/>
          <w:szCs w:val="21"/>
          <w:color w:val="auto"/>
        </w:rPr>
        <w:t>.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w:t>
      </w:r>
    </w:p>
    <w:p>
      <w:pPr>
        <w:spacing w:after="0" w:line="194" w:lineRule="exact"/>
        <w:rPr>
          <w:rFonts w:ascii="Arial" w:cs="Arial" w:eastAsia="Arial" w:hAnsi="Arial"/>
          <w:sz w:val="21"/>
          <w:szCs w:val="21"/>
          <w:color w:val="auto"/>
        </w:rPr>
      </w:pPr>
    </w:p>
    <w:p>
      <w:pPr>
        <w:jc w:val="both"/>
        <w:ind w:firstLine="1304"/>
        <w:spacing w:after="0" w:line="258" w:lineRule="auto"/>
        <w:tabs>
          <w:tab w:leader="none" w:pos="1836" w:val="left"/>
        </w:tabs>
        <w:numPr>
          <w:ilvl w:val="1"/>
          <w:numId w:val="69"/>
        </w:numPr>
        <w:rPr>
          <w:rFonts w:ascii="Arial" w:cs="Arial" w:eastAsia="Arial" w:hAnsi="Arial"/>
          <w:sz w:val="21"/>
          <w:szCs w:val="21"/>
          <w:color w:val="auto"/>
        </w:rPr>
      </w:pPr>
      <w:r>
        <w:rPr>
          <w:rFonts w:ascii="Arial" w:cs="Arial" w:eastAsia="Arial" w:hAnsi="Arial"/>
          <w:sz w:val="21"/>
          <w:szCs w:val="21"/>
          <w:u w:val="single" w:color="auto"/>
          <w:color w:val="auto"/>
        </w:rPr>
        <w:t>Exercisability; Rights of a Stockholder</w:t>
      </w:r>
      <w:r>
        <w:rPr>
          <w:rFonts w:ascii="Arial" w:cs="Arial" w:eastAsia="Arial" w:hAnsi="Arial"/>
          <w:sz w:val="21"/>
          <w:szCs w:val="21"/>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225" w:lineRule="exact"/>
        <w:rPr>
          <w:rFonts w:ascii="Arial" w:cs="Arial" w:eastAsia="Arial" w:hAnsi="Arial"/>
          <w:sz w:val="21"/>
          <w:szCs w:val="21"/>
          <w:color w:val="auto"/>
        </w:rPr>
      </w:pPr>
    </w:p>
    <w:p>
      <w:pPr>
        <w:jc w:val="both"/>
        <w:ind w:firstLine="1304"/>
        <w:spacing w:after="0" w:line="250" w:lineRule="auto"/>
        <w:tabs>
          <w:tab w:leader="none" w:pos="1837"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201" w:lineRule="exact"/>
        <w:rPr>
          <w:rFonts w:ascii="Arial" w:cs="Arial" w:eastAsia="Arial" w:hAnsi="Arial"/>
          <w:sz w:val="22"/>
          <w:szCs w:val="22"/>
          <w:color w:val="auto"/>
        </w:rPr>
      </w:pPr>
    </w:p>
    <w:p>
      <w:pPr>
        <w:ind w:left="660" w:firstLine="1292"/>
        <w:spacing w:after="0" w:line="250" w:lineRule="auto"/>
        <w:tabs>
          <w:tab w:leader="none" w:pos="2499" w:val="left"/>
        </w:tabs>
        <w:numPr>
          <w:ilvl w:val="2"/>
          <w:numId w:val="69"/>
        </w:numPr>
        <w:rPr>
          <w:rFonts w:ascii="Arial" w:cs="Arial" w:eastAsia="Arial" w:hAnsi="Arial"/>
          <w:sz w:val="22"/>
          <w:szCs w:val="22"/>
          <w:color w:val="auto"/>
        </w:rPr>
      </w:pPr>
      <w:r>
        <w:rPr>
          <w:rFonts w:ascii="Arial" w:cs="Arial" w:eastAsia="Arial" w:hAnsi="Arial"/>
          <w:sz w:val="22"/>
          <w:szCs w:val="22"/>
          <w:color w:val="auto"/>
        </w:rPr>
        <w:t>In cash, by certified or bank check, by wire transfer of immediately available funds, or other instrument acceptable to the Committee;</w:t>
      </w:r>
    </w:p>
    <w:p>
      <w:pPr>
        <w:sectPr>
          <w:pgSz w:w="11900" w:h="16838" w:orient="portrait"/>
          <w:cols w:equalWidth="0" w:num="1">
            <w:col w:w="11040"/>
          </w:cols>
          <w:pgMar w:left="420" w:top="1374" w:right="439" w:bottom="1440" w:gutter="0" w:footer="0" w:header="0"/>
        </w:sectPr>
      </w:pPr>
    </w:p>
    <w:bookmarkStart w:id="41" w:name="page42"/>
    <w:bookmarkEnd w:id="41"/>
    <w:p>
      <w:pPr>
        <w:jc w:val="both"/>
        <w:ind w:left="660" w:firstLine="1292"/>
        <w:spacing w:after="0" w:line="250" w:lineRule="auto"/>
        <w:tabs>
          <w:tab w:leader="none" w:pos="25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Arial" w:cs="Arial" w:eastAsia="Arial" w:hAnsi="Arial"/>
          <w:sz w:val="22"/>
          <w:szCs w:val="22"/>
          <w:u w:val="single" w:color="auto"/>
          <w:color w:val="auto"/>
        </w:rPr>
        <w:t>provided</w:t>
      </w:r>
      <w:r>
        <w:rPr>
          <w:rFonts w:ascii="Arial" w:cs="Arial" w:eastAsia="Arial" w:hAnsi="Arial"/>
          <w:sz w:val="22"/>
          <w:szCs w:val="22"/>
          <w:color w:val="auto"/>
        </w:rPr>
        <w:t>, that at least so much of the exercise price as represents the par value of the Stock shall be paid in cash if required by state law;</w:t>
      </w:r>
    </w:p>
    <w:p>
      <w:pPr>
        <w:spacing w:after="0" w:line="228" w:lineRule="exact"/>
        <w:rPr>
          <w:rFonts w:ascii="Arial" w:cs="Arial" w:eastAsia="Arial" w:hAnsi="Arial"/>
          <w:sz w:val="22"/>
          <w:szCs w:val="22"/>
          <w:color w:val="auto"/>
        </w:rPr>
      </w:pPr>
    </w:p>
    <w:p>
      <w:pPr>
        <w:jc w:val="both"/>
        <w:ind w:left="660" w:firstLine="1292"/>
        <w:spacing w:after="0" w:line="248" w:lineRule="auto"/>
        <w:tabs>
          <w:tab w:leader="none" w:pos="25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w:t>
      </w:r>
    </w:p>
    <w:p>
      <w:pPr>
        <w:spacing w:after="0" w:line="30"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originally purchased from the Company shall have been owned by the optionee for at least six months. Such surrendered Shares shall be valued at Fair Market Value on the exercise date;</w:t>
      </w:r>
    </w:p>
    <w:p>
      <w:pPr>
        <w:spacing w:after="0" w:line="296" w:lineRule="exact"/>
        <w:rPr>
          <w:sz w:val="20"/>
          <w:szCs w:val="20"/>
          <w:color w:val="auto"/>
        </w:rPr>
      </w:pPr>
    </w:p>
    <w:p>
      <w:pPr>
        <w:jc w:val="both"/>
        <w:ind w:left="660" w:firstLine="1292"/>
        <w:spacing w:after="0" w:line="294" w:lineRule="auto"/>
        <w:tabs>
          <w:tab w:leader="none" w:pos="2499"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176" w:lineRule="exact"/>
        <w:rPr>
          <w:rFonts w:ascii="Arial" w:cs="Arial" w:eastAsia="Arial" w:hAnsi="Arial"/>
          <w:sz w:val="19"/>
          <w:szCs w:val="19"/>
          <w:color w:val="auto"/>
        </w:rPr>
      </w:pPr>
    </w:p>
    <w:p>
      <w:pPr>
        <w:jc w:val="both"/>
        <w:ind w:left="660" w:firstLine="1292"/>
        <w:spacing w:after="0" w:line="250" w:lineRule="auto"/>
        <w:tabs>
          <w:tab w:leader="none" w:pos="2502" w:val="left"/>
        </w:tabs>
        <w:numPr>
          <w:ilvl w:val="0"/>
          <w:numId w:val="71"/>
        </w:numPr>
        <w:rPr>
          <w:rFonts w:ascii="Arial" w:cs="Arial" w:eastAsia="Arial" w:hAnsi="Arial"/>
          <w:sz w:val="22"/>
          <w:szCs w:val="22"/>
          <w:color w:val="auto"/>
        </w:rPr>
      </w:pPr>
      <w:r>
        <w:rPr>
          <w:rFonts w:ascii="Arial" w:cs="Arial" w:eastAsia="Arial" w:hAnsi="Arial"/>
          <w:sz w:val="22"/>
          <w:szCs w:val="22"/>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pacing w:after="0" w:line="21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w:t>
      </w:r>
    </w:p>
    <w:p>
      <w:pPr>
        <w:spacing w:after="0" w:line="6" w:lineRule="exact"/>
        <w:rPr>
          <w:sz w:val="20"/>
          <w:szCs w:val="20"/>
          <w:color w:val="auto"/>
        </w:rPr>
      </w:pPr>
    </w:p>
    <w:p>
      <w:pPr>
        <w:jc w:val="both"/>
        <w:ind w:firstLine="8"/>
        <w:spacing w:after="0" w:line="244" w:lineRule="auto"/>
        <w:tabs>
          <w:tab w:leader="none" w:pos="3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legending of the certificate (or notation on any book entry) representing the Shares to evidence the foregoing restrictions, and (iii) obtaining from optionee payment or provision for all withholding taxes due as a result of the exercise of the Option. The delivery of certificates representing the shares of Stock (or the transfer to the optionee on the records of the Company with respect to uncertificated Stock) to be purchased pursuant to the exercise of a Stock Option will be contingent upon (A) receipt from the optionee (or a purchaser acting in his or her stead in accordance with the provisions of the Stock Option) by the Company of the full purchase price</w:t>
      </w:r>
    </w:p>
    <w:p>
      <w:pPr>
        <w:sectPr>
          <w:pgSz w:w="11900" w:h="16838" w:orient="portrait"/>
          <w:cols w:equalWidth="0" w:num="1">
            <w:col w:w="11040"/>
          </w:cols>
          <w:pgMar w:left="420" w:top="1374" w:right="439" w:bottom="1440" w:gutter="0" w:footer="0" w:header="0"/>
        </w:sectPr>
      </w:pPr>
    </w:p>
    <w:bookmarkStart w:id="42" w:name="page43"/>
    <w:bookmarkEnd w:id="42"/>
    <w:p>
      <w:pPr>
        <w:jc w:val="both"/>
        <w:spacing w:after="0" w:line="297" w:lineRule="auto"/>
        <w:rPr>
          <w:sz w:val="20"/>
          <w:szCs w:val="20"/>
          <w:color w:val="auto"/>
        </w:rPr>
      </w:pPr>
      <w:r>
        <w:rPr>
          <w:rFonts w:ascii="Arial" w:cs="Arial" w:eastAsia="Arial" w:hAnsi="Arial"/>
          <w:sz w:val="19"/>
          <w:szCs w:val="19"/>
          <w:color w:val="auto"/>
        </w:rPr>
        <w:t>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187" w:lineRule="exact"/>
        <w:rPr>
          <w:sz w:val="20"/>
          <w:szCs w:val="20"/>
          <w:color w:val="auto"/>
        </w:rPr>
      </w:pPr>
    </w:p>
    <w:p>
      <w:pPr>
        <w:jc w:val="both"/>
        <w:ind w:firstLine="656"/>
        <w:spacing w:after="0" w:line="265" w:lineRule="auto"/>
        <w:tabs>
          <w:tab w:leader="none" w:pos="1183"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Annual Limit on Incentive Stock Options</w:t>
      </w:r>
      <w:r>
        <w:rPr>
          <w:rFonts w:ascii="Arial" w:cs="Arial" w:eastAsia="Arial" w:hAnsi="Arial"/>
          <w:sz w:val="21"/>
          <w:szCs w:val="21"/>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w:t>
      </w:r>
    </w:p>
    <w:p>
      <w:pPr>
        <w:spacing w:after="0" w:line="1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$100,000 or such other limit as may be in effect from time to time under Section 422 of the Code. To the extent that any Stock Option exceeds this limit, it shall constitute a Non-Qualified Stock Option.</w:t>
      </w:r>
    </w:p>
    <w:p>
      <w:pPr>
        <w:spacing w:after="0" w:line="215" w:lineRule="exact"/>
        <w:rPr>
          <w:sz w:val="20"/>
          <w:szCs w:val="20"/>
          <w:color w:val="auto"/>
        </w:rPr>
      </w:pPr>
    </w:p>
    <w:p>
      <w:pPr>
        <w:jc w:val="both"/>
        <w:ind w:firstLine="656"/>
        <w:spacing w:after="0" w:line="285" w:lineRule="auto"/>
        <w:tabs>
          <w:tab w:leader="none" w:pos="1185"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Any portion of a Stock Option that is not vested and exercisable on the date of termination of an optionee’s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12 months following the date on which the optionee’s Service Relationship terminates due to death or Disability (or such longer period of time as determined by the Committee and set forth in the applicable Award Agreement), or</w:t>
      </w:r>
    </w:p>
    <w:p>
      <w:pPr>
        <w:jc w:val="both"/>
        <w:ind w:firstLine="8"/>
        <w:spacing w:after="0" w:line="244" w:lineRule="auto"/>
        <w:tabs>
          <w:tab w:leader="none" w:pos="359"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three months following the date on which the optionee’s Service Relationship terminates if the termination is due to any reason other than death or Disability (or such longer period of time as determined by the Committee and set forth in the applicable Award Agreement), or (ii) the Expiration Date set forth in the Award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RESTRICTED STOCK AWARDS</w:t>
      </w:r>
    </w:p>
    <w:p>
      <w:pPr>
        <w:spacing w:after="0" w:line="247" w:lineRule="exact"/>
        <w:rPr>
          <w:sz w:val="20"/>
          <w:szCs w:val="20"/>
          <w:color w:val="auto"/>
        </w:rPr>
      </w:pPr>
    </w:p>
    <w:p>
      <w:pPr>
        <w:jc w:val="both"/>
        <w:ind w:firstLine="656"/>
        <w:spacing w:after="0" w:line="259" w:lineRule="auto"/>
        <w:tabs>
          <w:tab w:leader="none" w:pos="1185"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Nature of Restricted Stock Awards</w:t>
      </w:r>
      <w:r>
        <w:rPr>
          <w:rFonts w:ascii="Arial" w:cs="Arial" w:eastAsia="Arial" w:hAnsi="Arial"/>
          <w:sz w:val="21"/>
          <w:szCs w:val="21"/>
          <w:color w:val="auto"/>
        </w:rPr>
        <w:t>. The Committee may, in its sole discretion, grant (or sell at par value or such other purchase price 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ectPr>
          <w:pgSz w:w="11900" w:h="16838" w:orient="portrait"/>
          <w:cols w:equalWidth="0" w:num="1">
            <w:col w:w="11040"/>
          </w:cols>
          <w:pgMar w:left="420" w:top="1374" w:right="439" w:bottom="1440" w:gutter="0" w:footer="0" w:header="0"/>
        </w:sectPr>
      </w:pPr>
    </w:p>
    <w:bookmarkStart w:id="43" w:name="page44"/>
    <w:bookmarkEnd w:id="43"/>
    <w:p>
      <w:pPr>
        <w:jc w:val="both"/>
        <w:ind w:firstLine="656"/>
        <w:spacing w:after="0" w:line="259" w:lineRule="auto"/>
        <w:tabs>
          <w:tab w:leader="none" w:pos="1183"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w:t>
      </w:r>
    </w:p>
    <w:p>
      <w:pPr>
        <w:spacing w:after="0" w:line="273" w:lineRule="exact"/>
        <w:rPr>
          <w:rFonts w:ascii="Arial" w:cs="Arial" w:eastAsia="Arial" w:hAnsi="Arial"/>
          <w:sz w:val="21"/>
          <w:szCs w:val="21"/>
          <w:color w:val="auto"/>
        </w:rPr>
      </w:pPr>
    </w:p>
    <w:p>
      <w:pPr>
        <w:jc w:val="both"/>
        <w:ind w:firstLine="656"/>
        <w:spacing w:after="0" w:line="261" w:lineRule="auto"/>
        <w:tabs>
          <w:tab w:leader="none" w:pos="1185"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Restrictions</w:t>
      </w:r>
      <w:r>
        <w:rPr>
          <w:rFonts w:ascii="Arial" w:cs="Arial" w:eastAsia="Arial" w:hAnsi="Arial"/>
          <w:sz w:val="21"/>
          <w:szCs w:val="21"/>
          <w:color w:val="auto"/>
        </w:rPr>
        <w:t>.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206" w:lineRule="exact"/>
        <w:rPr>
          <w:rFonts w:ascii="Arial" w:cs="Arial" w:eastAsia="Arial" w:hAnsi="Arial"/>
          <w:sz w:val="21"/>
          <w:szCs w:val="21"/>
          <w:color w:val="auto"/>
        </w:rPr>
      </w:pPr>
    </w:p>
    <w:p>
      <w:pPr>
        <w:jc w:val="both"/>
        <w:ind w:firstLine="656"/>
        <w:spacing w:after="0" w:line="250" w:lineRule="auto"/>
        <w:tabs>
          <w:tab w:leader="none" w:pos="1183"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w:t>
      </w:r>
      <w:r>
        <w:rPr>
          <w:rFonts w:ascii="Arial" w:cs="Arial" w:eastAsia="Arial" w:hAnsi="Arial"/>
          <w:sz w:val="22"/>
          <w:szCs w:val="22"/>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UNRESTRICTED STOCK AWARDS</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RESTRICTED STOCK UNITS</w:t>
      </w:r>
    </w:p>
    <w:p>
      <w:pPr>
        <w:spacing w:after="0" w:line="260" w:lineRule="exact"/>
        <w:rPr>
          <w:sz w:val="20"/>
          <w:szCs w:val="20"/>
          <w:color w:val="auto"/>
        </w:rPr>
      </w:pPr>
    </w:p>
    <w:p>
      <w:pPr>
        <w:jc w:val="both"/>
        <w:ind w:firstLine="656"/>
        <w:spacing w:after="0" w:line="292" w:lineRule="auto"/>
        <w:tabs>
          <w:tab w:leader="none" w:pos="1185"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Nature of Restricted Stock Units</w:t>
      </w:r>
      <w:r>
        <w:rPr>
          <w:rFonts w:ascii="Arial" w:cs="Arial" w:eastAsia="Arial" w:hAnsi="Arial"/>
          <w:sz w:val="19"/>
          <w:szCs w:val="19"/>
          <w:color w:val="auto"/>
        </w:rPr>
        <w:t>.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w:t>
      </w:r>
    </w:p>
    <w:p>
      <w:pPr>
        <w:sectPr>
          <w:pgSz w:w="11900" w:h="16838" w:orient="portrait"/>
          <w:cols w:equalWidth="0" w:num="1">
            <w:col w:w="11040"/>
          </w:cols>
          <w:pgMar w:left="420" w:top="1374" w:right="439" w:bottom="1440" w:gutter="0" w:footer="0" w:header="0"/>
        </w:sectPr>
      </w:pPr>
    </w:p>
    <w:bookmarkStart w:id="44" w:name="page45"/>
    <w:bookmarkEnd w:id="44"/>
    <w:p>
      <w:pPr>
        <w:jc w:val="both"/>
        <w:spacing w:after="0" w:line="312" w:lineRule="auto"/>
        <w:rPr>
          <w:sz w:val="20"/>
          <w:szCs w:val="20"/>
          <w:color w:val="auto"/>
        </w:rPr>
      </w:pPr>
      <w:r>
        <w:rPr>
          <w:rFonts w:ascii="Arial" w:cs="Arial" w:eastAsia="Arial" w:hAnsi="Arial"/>
          <w:sz w:val="19"/>
          <w:szCs w:val="19"/>
          <w:color w:val="auto"/>
        </w:rPr>
        <w:t>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w:t>
      </w:r>
    </w:p>
    <w:p>
      <w:pPr>
        <w:spacing w:after="0" w:line="160" w:lineRule="exact"/>
        <w:rPr>
          <w:sz w:val="20"/>
          <w:szCs w:val="20"/>
          <w:color w:val="auto"/>
        </w:rPr>
      </w:pPr>
    </w:p>
    <w:p>
      <w:pPr>
        <w:jc w:val="both"/>
        <w:ind w:firstLine="656"/>
        <w:spacing w:after="0" w:line="247" w:lineRule="auto"/>
        <w:tabs>
          <w:tab w:leader="none" w:pos="1183"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287" w:lineRule="exact"/>
        <w:rPr>
          <w:rFonts w:ascii="Arial" w:cs="Arial" w:eastAsia="Arial" w:hAnsi="Arial"/>
          <w:sz w:val="22"/>
          <w:szCs w:val="22"/>
          <w:color w:val="auto"/>
        </w:rPr>
      </w:pPr>
    </w:p>
    <w:p>
      <w:pPr>
        <w:jc w:val="both"/>
        <w:ind w:firstLine="656"/>
        <w:spacing w:after="0" w:line="250" w:lineRule="auto"/>
        <w:tabs>
          <w:tab w:leader="none" w:pos="1185"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201" w:lineRule="exact"/>
        <w:rPr>
          <w:sz w:val="20"/>
          <w:szCs w:val="20"/>
          <w:color w:val="auto"/>
        </w:rPr>
      </w:pPr>
    </w:p>
    <w:p>
      <w:pPr>
        <w:ind w:left="1300" w:right="660" w:hanging="1295"/>
        <w:spacing w:after="0" w:line="250"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TRANSFER RESTRICTIONS; COMPANY RIGHT OF FIRST REFUSAL; COMPANY REPURCHASE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RIGHTS</w:t>
      </w:r>
    </w:p>
    <w:p>
      <w:pPr>
        <w:spacing w:after="0" w:line="215" w:lineRule="exact"/>
        <w:rPr>
          <w:sz w:val="20"/>
          <w:szCs w:val="20"/>
          <w:color w:val="auto"/>
        </w:rPr>
      </w:pPr>
    </w:p>
    <w:p>
      <w:pPr>
        <w:ind w:left="1300" w:hanging="645"/>
        <w:spacing w:after="0"/>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Restrictions on Transfer</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1100"/>
        <w:spacing w:after="0" w:line="286" w:lineRule="auto"/>
        <w:tabs>
          <w:tab w:leader="none" w:pos="1836"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Non-Transferability of Stock Options</w:t>
      </w:r>
      <w:r>
        <w:rPr>
          <w:rFonts w:ascii="Arial" w:cs="Arial" w:eastAsia="Arial" w:hAnsi="Arial"/>
          <w:sz w:val="19"/>
          <w:szCs w:val="19"/>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192" w:lineRule="exact"/>
        <w:rPr>
          <w:rFonts w:ascii="Arial" w:cs="Arial" w:eastAsia="Arial" w:hAnsi="Arial"/>
          <w:sz w:val="19"/>
          <w:szCs w:val="19"/>
          <w:color w:val="auto"/>
        </w:rPr>
      </w:pPr>
    </w:p>
    <w:p>
      <w:pPr>
        <w:jc w:val="both"/>
        <w:ind w:firstLine="1040"/>
        <w:spacing w:after="0" w:line="312" w:lineRule="auto"/>
        <w:tabs>
          <w:tab w:leader="none" w:pos="1836"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Shares</w:t>
      </w:r>
      <w:r>
        <w:rPr>
          <w:rFonts w:ascii="Arial" w:cs="Arial" w:eastAsia="Arial" w:hAnsi="Arial"/>
          <w:sz w:val="19"/>
          <w:szCs w:val="19"/>
          <w:color w:val="auto"/>
        </w:rPr>
        <w:t>.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w:t>
      </w:r>
    </w:p>
    <w:p>
      <w:pPr>
        <w:sectPr>
          <w:pgSz w:w="11900" w:h="16838" w:orient="portrait"/>
          <w:cols w:equalWidth="0" w:num="1">
            <w:col w:w="11040"/>
          </w:cols>
          <w:pgMar w:left="420" w:top="1374" w:right="439" w:bottom="1440" w:gutter="0" w:footer="0" w:header="0"/>
        </w:sectPr>
      </w:pPr>
    </w:p>
    <w:bookmarkStart w:id="45" w:name="page46"/>
    <w:bookmarkEnd w:id="45"/>
    <w:p>
      <w:pPr>
        <w:ind w:left="100"/>
        <w:spacing w:after="0" w:line="251" w:lineRule="auto"/>
        <w:rPr>
          <w:sz w:val="20"/>
          <w:szCs w:val="20"/>
          <w:color w:val="auto"/>
        </w:rPr>
      </w:pPr>
      <w:r>
        <w:rPr>
          <w:rFonts w:ascii="Arial" w:cs="Arial" w:eastAsia="Arial" w:hAnsi="Arial"/>
          <w:sz w:val="22"/>
          <w:szCs w:val="22"/>
          <w:color w:val="auto"/>
        </w:rPr>
        <w:t>Securities Act), and with the terms and conditions of this Section 9, (ii) the transfer does not cause the Company to become subject to the reporting requirements of the Exchange Act, and</w:t>
      </w:r>
    </w:p>
    <w:p>
      <w:pPr>
        <w:spacing w:after="0" w:line="2" w:lineRule="exact"/>
        <w:rPr>
          <w:sz w:val="20"/>
          <w:szCs w:val="20"/>
          <w:color w:val="auto"/>
        </w:rPr>
      </w:pPr>
    </w:p>
    <w:p>
      <w:pPr>
        <w:jc w:val="both"/>
        <w:ind w:left="80" w:firstLine="9"/>
        <w:spacing w:after="0" w:line="286" w:lineRule="auto"/>
        <w:tabs>
          <w:tab w:leader="none" w:pos="488"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Shares may be transferred pursuant to the following specific terms and conditions (provided that with respect to any transfer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Restricted Stock, all vesting and forfeiture provisions shall continue to apply with respect to the original recipient):</w:t>
      </w:r>
    </w:p>
    <w:p>
      <w:pPr>
        <w:spacing w:after="0" w:line="229" w:lineRule="exact"/>
        <w:rPr>
          <w:sz w:val="20"/>
          <w:szCs w:val="20"/>
          <w:color w:val="auto"/>
        </w:rPr>
      </w:pPr>
    </w:p>
    <w:p>
      <w:pPr>
        <w:jc w:val="both"/>
        <w:ind w:left="760" w:firstLine="1292"/>
        <w:spacing w:after="0" w:line="246" w:lineRule="auto"/>
        <w:tabs>
          <w:tab w:leader="none" w:pos="2599"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Transfers to Permitted Transferees</w:t>
      </w:r>
      <w:r>
        <w:rPr>
          <w:rFonts w:ascii="Arial" w:cs="Arial" w:eastAsia="Arial" w:hAnsi="Arial"/>
          <w:sz w:val="22"/>
          <w:szCs w:val="22"/>
          <w:color w:val="auto"/>
        </w:rPr>
        <w:t xml:space="preserve">. The Holder may transfer any or all of the Shares to one or more Permitted Transferees; </w:t>
      </w:r>
      <w:r>
        <w:rPr>
          <w:rFonts w:ascii="Arial" w:cs="Arial" w:eastAsia="Arial" w:hAnsi="Arial"/>
          <w:sz w:val="22"/>
          <w:szCs w:val="22"/>
          <w:i w:val="1"/>
          <w:iCs w:val="1"/>
          <w:color w:val="auto"/>
        </w:rPr>
        <w:t>provided, however</w:t>
      </w:r>
      <w:r>
        <w:rPr>
          <w:rFonts w:ascii="Arial" w:cs="Arial" w:eastAsia="Arial" w:hAnsi="Arial"/>
          <w:sz w:val="22"/>
          <w:szCs w:val="22"/>
          <w:color w:val="auto"/>
        </w:rPr>
        <w:t>, that following such transfer, such Shares shall continue to be subject to the terms of this Plan (including this Section 9) and 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223" w:lineRule="exact"/>
        <w:rPr>
          <w:rFonts w:ascii="Arial" w:cs="Arial" w:eastAsia="Arial" w:hAnsi="Arial"/>
          <w:sz w:val="22"/>
          <w:szCs w:val="22"/>
          <w:color w:val="auto"/>
        </w:rPr>
      </w:pPr>
    </w:p>
    <w:p>
      <w:pPr>
        <w:jc w:val="both"/>
        <w:ind w:left="760" w:firstLine="1292"/>
        <w:spacing w:after="0" w:line="263" w:lineRule="auto"/>
        <w:tabs>
          <w:tab w:leader="none" w:pos="2600"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Transfers Upon Death</w:t>
      </w:r>
      <w:r>
        <w:rPr>
          <w:rFonts w:ascii="Arial" w:cs="Arial" w:eastAsia="Arial" w:hAnsi="Arial"/>
          <w:sz w:val="21"/>
          <w:szCs w:val="21"/>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215" w:lineRule="exact"/>
        <w:rPr>
          <w:rFonts w:ascii="Arial" w:cs="Arial" w:eastAsia="Arial" w:hAnsi="Arial"/>
          <w:sz w:val="21"/>
          <w:szCs w:val="21"/>
          <w:color w:val="auto"/>
        </w:rPr>
      </w:pPr>
    </w:p>
    <w:p>
      <w:pPr>
        <w:jc w:val="both"/>
        <w:ind w:left="100" w:firstLine="656"/>
        <w:spacing w:after="0" w:line="292" w:lineRule="auto"/>
        <w:tabs>
          <w:tab w:leader="none" w:pos="1283"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Right of First Refusal</w:t>
      </w:r>
      <w:r>
        <w:rPr>
          <w:rFonts w:ascii="Arial" w:cs="Arial" w:eastAsia="Arial" w:hAnsi="Arial"/>
          <w:sz w:val="19"/>
          <w:szCs w:val="19"/>
          <w:color w:val="auto"/>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“Offered Shares”),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w:t>
      </w:r>
    </w:p>
    <w:p>
      <w:pPr>
        <w:sectPr>
          <w:pgSz w:w="11900" w:h="16838" w:orient="portrait"/>
          <w:cols w:equalWidth="0" w:num="1">
            <w:col w:w="11140"/>
          </w:cols>
          <w:pgMar w:left="320" w:top="1374" w:right="439" w:bottom="1440" w:gutter="0" w:footer="0" w:header="0"/>
        </w:sectPr>
      </w:pPr>
    </w:p>
    <w:bookmarkStart w:id="46" w:name="page47"/>
    <w:bookmarkEnd w:id="46"/>
    <w:p>
      <w:pPr>
        <w:jc w:val="both"/>
        <w:spacing w:after="0" w:line="283" w:lineRule="auto"/>
        <w:rPr>
          <w:sz w:val="20"/>
          <w:szCs w:val="20"/>
          <w:color w:val="auto"/>
        </w:rPr>
      </w:pPr>
      <w:r>
        <w:rPr>
          <w:rFonts w:ascii="Arial" w:cs="Arial" w:eastAsia="Arial" w:hAnsi="Arial"/>
          <w:sz w:val="19"/>
          <w:szCs w:val="19"/>
          <w:color w:val="auto"/>
        </w:rPr>
        <w:t>right by mailing or delivering written notice to the Holder within the foregoing 30- 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shall be required to pay a transaction processing fee of $10,000 to the Company (unless waived by the Committee) and then may, within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w:t>
      </w:r>
    </w:p>
    <w:p>
      <w:pPr>
        <w:spacing w:after="0" w:line="7" w:lineRule="exact"/>
        <w:rPr>
          <w:sz w:val="20"/>
          <w:szCs w:val="20"/>
          <w:color w:val="auto"/>
        </w:rPr>
      </w:pPr>
    </w:p>
    <w:p>
      <w:pPr>
        <w:jc w:val="both"/>
        <w:ind w:firstLine="8"/>
        <w:spacing w:after="0" w:line="245" w:lineRule="auto"/>
        <w:tabs>
          <w:tab w:leader="none" w:pos="335"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44" w:lineRule="exact"/>
        <w:rPr>
          <w:rFonts w:ascii="Arial" w:cs="Arial" w:eastAsia="Arial" w:hAnsi="Arial"/>
          <w:sz w:val="22"/>
          <w:szCs w:val="22"/>
          <w:color w:val="auto"/>
        </w:rPr>
      </w:pPr>
    </w:p>
    <w:p>
      <w:pPr>
        <w:ind w:left="1300" w:hanging="645"/>
        <w:spacing w:after="0"/>
        <w:tabs>
          <w:tab w:leader="none" w:pos="1300"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Company’s Right of Repurchase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1100"/>
        <w:spacing w:after="0" w:line="292" w:lineRule="auto"/>
        <w:tabs>
          <w:tab w:leader="none" w:pos="1836" w:val="left"/>
        </w:tabs>
        <w:numPr>
          <w:ilvl w:val="2"/>
          <w:numId w:val="84"/>
        </w:numPr>
        <w:rPr>
          <w:rFonts w:ascii="Arial" w:cs="Arial" w:eastAsia="Arial" w:hAnsi="Arial"/>
          <w:sz w:val="19"/>
          <w:szCs w:val="19"/>
          <w:color w:val="auto"/>
        </w:rPr>
      </w:pPr>
      <w:r>
        <w:rPr>
          <w:rFonts w:ascii="Arial" w:cs="Arial" w:eastAsia="Arial" w:hAnsi="Arial"/>
          <w:sz w:val="19"/>
          <w:szCs w:val="19"/>
          <w:u w:val="single" w:color="auto"/>
          <w:color w:val="auto"/>
        </w:rPr>
        <w:t>Right of Repurchase for Unvested Shares Issued Upon the Exercise of an Option</w:t>
      </w:r>
      <w:r>
        <w:rPr>
          <w:rFonts w:ascii="Arial" w:cs="Arial" w:eastAsia="Arial" w:hAnsi="Arial"/>
          <w:sz w:val="19"/>
          <w:szCs w:val="19"/>
          <w:color w:val="auto"/>
        </w:rPr>
        <w:t>. Upon a Termination Event, the Company or its assigns shall have the right and option to repurchase from a Holder of Shares acquired upon exercise of a Stock Option which are still subject to a risk of forfeiture as of the Termination Event. Such repurchase rights may be exercised by the Company within the later of (A) six months following the date of such Termination Event or (B) seven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w:t>
      </w:r>
    </w:p>
    <w:p>
      <w:pPr>
        <w:spacing w:after="0" w:line="177" w:lineRule="exact"/>
        <w:rPr>
          <w:rFonts w:ascii="Arial" w:cs="Arial" w:eastAsia="Arial" w:hAnsi="Arial"/>
          <w:sz w:val="19"/>
          <w:szCs w:val="19"/>
          <w:color w:val="auto"/>
        </w:rPr>
      </w:pPr>
    </w:p>
    <w:p>
      <w:pPr>
        <w:jc w:val="both"/>
        <w:ind w:firstLine="1040"/>
        <w:spacing w:after="0" w:line="294" w:lineRule="auto"/>
        <w:tabs>
          <w:tab w:leader="none" w:pos="1836" w:val="left"/>
        </w:tabs>
        <w:numPr>
          <w:ilvl w:val="2"/>
          <w:numId w:val="84"/>
        </w:numPr>
        <w:rPr>
          <w:rFonts w:ascii="Arial" w:cs="Arial" w:eastAsia="Arial" w:hAnsi="Arial"/>
          <w:sz w:val="19"/>
          <w:szCs w:val="19"/>
          <w:color w:val="auto"/>
        </w:rPr>
      </w:pPr>
      <w:r>
        <w:rPr>
          <w:rFonts w:ascii="Arial" w:cs="Arial" w:eastAsia="Arial" w:hAnsi="Arial"/>
          <w:sz w:val="19"/>
          <w:szCs w:val="19"/>
          <w:u w:val="single" w:color="auto"/>
          <w:color w:val="auto"/>
        </w:rPr>
        <w:t>Right of Repurchase With Respect to Restricted Stock</w:t>
      </w:r>
      <w:r>
        <w:rPr>
          <w:rFonts w:ascii="Arial" w:cs="Arial" w:eastAsia="Arial" w:hAnsi="Arial"/>
          <w:sz w:val="19"/>
          <w:szCs w:val="19"/>
          <w:color w:val="auto"/>
        </w:rPr>
        <w:t>.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w:t>
      </w:r>
    </w:p>
    <w:p>
      <w:pPr>
        <w:spacing w:after="0" w:line="189" w:lineRule="exact"/>
        <w:rPr>
          <w:rFonts w:ascii="Arial" w:cs="Arial" w:eastAsia="Arial" w:hAnsi="Arial"/>
          <w:sz w:val="19"/>
          <w:szCs w:val="19"/>
          <w:color w:val="auto"/>
        </w:rPr>
      </w:pPr>
    </w:p>
    <w:p>
      <w:pPr>
        <w:jc w:val="both"/>
        <w:ind w:firstLine="980"/>
        <w:spacing w:after="0" w:line="246" w:lineRule="auto"/>
        <w:tabs>
          <w:tab w:leader="none" w:pos="1836" w:val="left"/>
        </w:tabs>
        <w:numPr>
          <w:ilvl w:val="2"/>
          <w:numId w:val="84"/>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w:t>
      </w:r>
    </w:p>
    <w:p>
      <w:pPr>
        <w:sectPr>
          <w:pgSz w:w="11900" w:h="16838" w:orient="portrait"/>
          <w:cols w:equalWidth="0" w:num="1">
            <w:col w:w="11040"/>
          </w:cols>
          <w:pgMar w:left="420" w:top="1374" w:right="439" w:bottom="1440" w:gutter="0" w:footer="0" w:header="0"/>
        </w:sectPr>
      </w:pPr>
    </w:p>
    <w:bookmarkStart w:id="47" w:name="page48"/>
    <w:bookmarkEnd w:id="47"/>
    <w:p>
      <w:pPr>
        <w:spacing w:after="0" w:line="263" w:lineRule="auto"/>
        <w:rPr>
          <w:sz w:val="20"/>
          <w:szCs w:val="20"/>
          <w:color w:val="auto"/>
        </w:rPr>
      </w:pPr>
      <w:r>
        <w:rPr>
          <w:rFonts w:ascii="Arial" w:cs="Arial" w:eastAsia="Arial" w:hAnsi="Arial"/>
          <w:sz w:val="22"/>
          <w:szCs w:val="22"/>
          <w:color w:val="auto"/>
        </w:rPr>
        <w:t xml:space="preserve">price;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Company may pay the repurchase price by offsetting and canceling any indebtedness then owed by the Holder to the Company.</w:t>
      </w:r>
    </w:p>
    <w:p>
      <w:pPr>
        <w:spacing w:after="0" w:line="215" w:lineRule="exact"/>
        <w:rPr>
          <w:sz w:val="20"/>
          <w:szCs w:val="20"/>
          <w:color w:val="auto"/>
        </w:rPr>
      </w:pPr>
    </w:p>
    <w:p>
      <w:pPr>
        <w:ind w:left="1300" w:hanging="645"/>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300" w:hanging="645"/>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Escrow Arrangement</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1100"/>
        <w:spacing w:after="0" w:line="290" w:lineRule="auto"/>
        <w:tabs>
          <w:tab w:leader="none" w:pos="1836"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Escrow</w:t>
      </w:r>
      <w:r>
        <w:rPr>
          <w:rFonts w:ascii="Arial" w:cs="Arial" w:eastAsia="Arial" w:hAnsi="Arial"/>
          <w:sz w:val="19"/>
          <w:szCs w:val="19"/>
          <w:color w:val="auto"/>
        </w:rPr>
        <w:t>.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250" w:lineRule="exact"/>
        <w:rPr>
          <w:sz w:val="20"/>
          <w:szCs w:val="20"/>
          <w:color w:val="auto"/>
        </w:rPr>
      </w:pPr>
    </w:p>
    <w:p>
      <w:pPr>
        <w:jc w:val="both"/>
        <w:ind w:firstLine="1061"/>
        <w:spacing w:after="0" w:line="287" w:lineRule="auto"/>
        <w:tabs>
          <w:tab w:leader="none" w:pos="1843"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Remedy</w:t>
      </w:r>
      <w:r>
        <w:rPr>
          <w:rFonts w:ascii="Arial" w:cs="Arial" w:eastAsia="Arial" w:hAnsi="Arial"/>
          <w:sz w:val="19"/>
          <w:szCs w:val="19"/>
          <w:color w:val="auto"/>
        </w:rPr>
        <w:t>.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jc w:val="both"/>
        <w:ind w:firstLine="656"/>
        <w:spacing w:after="0" w:line="248" w:lineRule="auto"/>
        <w:tabs>
          <w:tab w:leader="none" w:pos="118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Lockup Provision</w:t>
      </w:r>
      <w:r>
        <w:rPr>
          <w:rFonts w:ascii="Arial" w:cs="Arial" w:eastAsia="Arial" w:hAnsi="Arial"/>
          <w:sz w:val="22"/>
          <w:szCs w:val="22"/>
          <w:color w:val="auto"/>
        </w:rPr>
        <w:t>. If requested by the Company, a Holder shall not sell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comply with this Section.</w:t>
      </w:r>
    </w:p>
    <w:p>
      <w:pPr>
        <w:spacing w:after="0" w:line="232" w:lineRule="exact"/>
        <w:rPr>
          <w:rFonts w:ascii="Arial" w:cs="Arial" w:eastAsia="Arial" w:hAnsi="Arial"/>
          <w:sz w:val="22"/>
          <w:szCs w:val="22"/>
          <w:color w:val="auto"/>
        </w:rPr>
      </w:pPr>
    </w:p>
    <w:p>
      <w:pPr>
        <w:ind w:firstLine="656"/>
        <w:spacing w:after="0" w:line="263" w:lineRule="auto"/>
        <w:tabs>
          <w:tab w:leader="none" w:pos="1183"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Adjustments for Changes in Capital Structure</w:t>
      </w:r>
      <w:r>
        <w:rPr>
          <w:rFonts w:ascii="Arial" w:cs="Arial" w:eastAsia="Arial" w:hAnsi="Arial"/>
          <w:sz w:val="22"/>
          <w:szCs w:val="22"/>
          <w:color w:val="auto"/>
        </w:rPr>
        <w:t>. If, as a result of any reorganization, recapitalization, reclassification, stock dividend, stock split, reverse stock split or other similar</w:t>
      </w:r>
    </w:p>
    <w:p>
      <w:pPr>
        <w:sectPr>
          <w:pgSz w:w="11900" w:h="16838" w:orient="portrait"/>
          <w:cols w:equalWidth="0" w:num="1">
            <w:col w:w="11040"/>
          </w:cols>
          <w:pgMar w:left="420" w:top="1374" w:right="439" w:bottom="1440" w:gutter="0" w:footer="0" w:header="0"/>
        </w:sectPr>
      </w:pPr>
    </w:p>
    <w:bookmarkStart w:id="48" w:name="page49"/>
    <w:bookmarkEnd w:id="48"/>
    <w:p>
      <w:pPr>
        <w:jc w:val="both"/>
        <w:spacing w:after="0" w:line="312" w:lineRule="auto"/>
        <w:rPr>
          <w:sz w:val="20"/>
          <w:szCs w:val="20"/>
          <w:color w:val="auto"/>
        </w:rPr>
      </w:pPr>
      <w:r>
        <w:rPr>
          <w:rFonts w:ascii="Arial" w:cs="Arial" w:eastAsia="Arial" w:hAnsi="Arial"/>
          <w:sz w:val="19"/>
          <w:szCs w:val="19"/>
          <w:color w:val="auto"/>
        </w:rPr>
        <w:t>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w:t>
      </w:r>
    </w:p>
    <w:p>
      <w:pPr>
        <w:spacing w:after="0" w:line="174" w:lineRule="exact"/>
        <w:rPr>
          <w:sz w:val="20"/>
          <w:szCs w:val="20"/>
          <w:color w:val="auto"/>
        </w:rPr>
      </w:pPr>
    </w:p>
    <w:p>
      <w:pPr>
        <w:jc w:val="both"/>
        <w:ind w:firstLine="656"/>
        <w:spacing w:after="0" w:line="265" w:lineRule="auto"/>
        <w:tabs>
          <w:tab w:leader="none" w:pos="1183"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The terms and provisions of Section 9(b) and Section 9(c)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TAX WITHHOLDING</w:t>
      </w:r>
    </w:p>
    <w:p>
      <w:pPr>
        <w:spacing w:after="0" w:line="247" w:lineRule="exact"/>
        <w:rPr>
          <w:sz w:val="20"/>
          <w:szCs w:val="20"/>
          <w:color w:val="auto"/>
        </w:rPr>
      </w:pPr>
    </w:p>
    <w:p>
      <w:pPr>
        <w:jc w:val="both"/>
        <w:ind w:firstLine="656"/>
        <w:spacing w:after="0" w:line="247" w:lineRule="auto"/>
        <w:tabs>
          <w:tab w:leader="none" w:pos="1185"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Payment by Grantee</w:t>
      </w:r>
      <w:r>
        <w:rPr>
          <w:rFonts w:ascii="Arial" w:cs="Arial" w:eastAsia="Arial" w:hAnsi="Arial"/>
          <w:sz w:val="22"/>
          <w:szCs w:val="22"/>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w:t>
      </w:r>
    </w:p>
    <w:p>
      <w:pPr>
        <w:spacing w:after="0" w:line="4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Company’s obligation to deliver stock certificates (or evidence of book entry) to any grantee is subject to and conditioned on any such tax withholding obligations being satisfied by the grantee.</w:t>
      </w:r>
    </w:p>
    <w:p>
      <w:pPr>
        <w:spacing w:after="0" w:line="202" w:lineRule="exact"/>
        <w:rPr>
          <w:sz w:val="20"/>
          <w:szCs w:val="20"/>
          <w:color w:val="auto"/>
        </w:rPr>
      </w:pPr>
    </w:p>
    <w:p>
      <w:pPr>
        <w:jc w:val="both"/>
        <w:ind w:firstLine="656"/>
        <w:spacing w:after="0" w:line="312" w:lineRule="auto"/>
        <w:tabs>
          <w:tab w:leader="none" w:pos="1183"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Payment in Stock</w:t>
      </w:r>
      <w:r>
        <w:rPr>
          <w:rFonts w:ascii="Arial" w:cs="Arial" w:eastAsia="Arial" w:hAnsi="Arial"/>
          <w:sz w:val="19"/>
          <w:szCs w:val="19"/>
          <w:color w:val="auto"/>
        </w:rPr>
        <w:t>.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SECTION 409A AWARDS.</w:t>
      </w:r>
    </w:p>
    <w:p>
      <w:pPr>
        <w:spacing w:after="0" w:line="2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To the extent that any Award is determined to constitute “nonqualified deferred compensation” within the meaning of Section 409A (a “409A Award”),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AMENDMENTS AND TERMINATION</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Board may, at any time, amend or discontinue the Plan and the Committee may, at any time, amend or cancel any outstanding Award for the purpose of satisfying changes in law or</w:t>
      </w:r>
    </w:p>
    <w:p>
      <w:pPr>
        <w:sectPr>
          <w:pgSz w:w="11900" w:h="16838" w:orient="portrait"/>
          <w:cols w:equalWidth="0" w:num="1">
            <w:col w:w="11040"/>
          </w:cols>
          <w:pgMar w:left="420" w:top="1374" w:right="439" w:bottom="1440" w:gutter="0" w:footer="0" w:header="0"/>
        </w:sectPr>
      </w:pPr>
    </w:p>
    <w:bookmarkStart w:id="49" w:name="page50"/>
    <w:bookmarkEnd w:id="49"/>
    <w:p>
      <w:pPr>
        <w:jc w:val="both"/>
        <w:spacing w:after="0" w:line="289" w:lineRule="auto"/>
        <w:rPr>
          <w:sz w:val="20"/>
          <w:szCs w:val="20"/>
          <w:color w:val="auto"/>
        </w:rPr>
      </w:pPr>
      <w:r>
        <w:rPr>
          <w:rFonts w:ascii="Arial" w:cs="Arial" w:eastAsia="Arial" w:hAnsi="Arial"/>
          <w:sz w:val="19"/>
          <w:szCs w:val="19"/>
          <w:color w:val="auto"/>
        </w:rPr>
        <w:t>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 Section 3(c). The Board reserves the right to amend the Plan and/or the terms of any outstanding Stock Options to the extent reasonably necessary to comply with the requirements of the exemption pursuant to paragraph (f)(4) of Rule 12h-1 of the Exchange Act.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STATUS OF PLAN</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GENERAL PROVISIONS</w:t>
      </w:r>
    </w:p>
    <w:p>
      <w:pPr>
        <w:spacing w:after="0" w:line="260" w:lineRule="exact"/>
        <w:rPr>
          <w:sz w:val="20"/>
          <w:szCs w:val="20"/>
          <w:color w:val="auto"/>
        </w:rPr>
      </w:pPr>
    </w:p>
    <w:p>
      <w:pPr>
        <w:jc w:val="both"/>
        <w:ind w:firstLine="656"/>
        <w:spacing w:after="0" w:line="297" w:lineRule="auto"/>
        <w:tabs>
          <w:tab w:leader="none" w:pos="1185"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No Distribution; Compliance with Legal Requirements</w:t>
      </w:r>
      <w:r>
        <w:rPr>
          <w:rFonts w:ascii="Arial" w:cs="Arial" w:eastAsia="Arial" w:hAnsi="Arial"/>
          <w:sz w:val="19"/>
          <w:szCs w:val="19"/>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173" w:lineRule="exact"/>
        <w:rPr>
          <w:rFonts w:ascii="Arial" w:cs="Arial" w:eastAsia="Arial" w:hAnsi="Arial"/>
          <w:sz w:val="19"/>
          <w:szCs w:val="19"/>
          <w:color w:val="auto"/>
        </w:rPr>
      </w:pPr>
    </w:p>
    <w:p>
      <w:pPr>
        <w:jc w:val="both"/>
        <w:ind w:firstLine="656"/>
        <w:spacing w:after="0" w:line="290" w:lineRule="auto"/>
        <w:tabs>
          <w:tab w:leader="none" w:pos="1183"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Delivery of Stock Certificates</w:t>
      </w:r>
      <w:r>
        <w:rPr>
          <w:rFonts w:ascii="Arial" w:cs="Arial" w:eastAsia="Arial" w:hAnsi="Arial"/>
          <w:sz w:val="19"/>
          <w:szCs w:val="19"/>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176" w:lineRule="exact"/>
        <w:rPr>
          <w:rFonts w:ascii="Arial" w:cs="Arial" w:eastAsia="Arial" w:hAnsi="Arial"/>
          <w:sz w:val="19"/>
          <w:szCs w:val="19"/>
          <w:color w:val="auto"/>
        </w:rPr>
      </w:pPr>
    </w:p>
    <w:p>
      <w:pPr>
        <w:ind w:firstLine="656"/>
        <w:spacing w:after="0" w:line="269" w:lineRule="auto"/>
        <w:tabs>
          <w:tab w:leader="none" w:pos="1185"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 Employment Rights</w:t>
      </w:r>
      <w:r>
        <w:rPr>
          <w:rFonts w:ascii="Arial" w:cs="Arial" w:eastAsia="Arial" w:hAnsi="Arial"/>
          <w:sz w:val="22"/>
          <w:szCs w:val="22"/>
          <w:b w:val="1"/>
          <w:bCs w:val="1"/>
          <w:color w:val="auto"/>
        </w:rPr>
        <w:t>.</w:t>
      </w:r>
      <w:r>
        <w:rPr>
          <w:rFonts w:ascii="Arial" w:cs="Arial" w:eastAsia="Arial" w:hAnsi="Arial"/>
          <w:sz w:val="22"/>
          <w:szCs w:val="22"/>
          <w:color w:val="auto"/>
        </w:rPr>
        <w:t xml:space="preserve"> The adoption of the Plan and the grant of Awards do not confer upon any Person any right to continued employment or Service Relationship with the Company or any Subsidiary.</w:t>
      </w:r>
    </w:p>
    <w:p>
      <w:pPr>
        <w:sectPr>
          <w:pgSz w:w="11900" w:h="16838" w:orient="portrait"/>
          <w:cols w:equalWidth="0" w:num="1">
            <w:col w:w="11040"/>
          </w:cols>
          <w:pgMar w:left="420" w:top="1374" w:right="439" w:bottom="1440" w:gutter="0" w:footer="0" w:header="0"/>
        </w:sectPr>
      </w:pPr>
    </w:p>
    <w:bookmarkStart w:id="50" w:name="page51"/>
    <w:bookmarkEnd w:id="50"/>
    <w:p>
      <w:pPr>
        <w:jc w:val="both"/>
        <w:ind w:firstLine="656"/>
        <w:spacing w:after="0" w:line="253" w:lineRule="auto"/>
        <w:tabs>
          <w:tab w:leader="none" w:pos="1183"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225" w:lineRule="exact"/>
        <w:rPr>
          <w:rFonts w:ascii="Arial" w:cs="Arial" w:eastAsia="Arial" w:hAnsi="Arial"/>
          <w:sz w:val="22"/>
          <w:szCs w:val="22"/>
          <w:color w:val="auto"/>
        </w:rPr>
      </w:pPr>
    </w:p>
    <w:p>
      <w:pPr>
        <w:jc w:val="both"/>
        <w:ind w:firstLine="656"/>
        <w:spacing w:after="0" w:line="297" w:lineRule="auto"/>
        <w:tabs>
          <w:tab w:leader="none" w:pos="1185"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173" w:lineRule="exact"/>
        <w:rPr>
          <w:rFonts w:ascii="Arial" w:cs="Arial" w:eastAsia="Arial" w:hAnsi="Arial"/>
          <w:sz w:val="19"/>
          <w:szCs w:val="19"/>
          <w:color w:val="auto"/>
        </w:rPr>
      </w:pPr>
    </w:p>
    <w:p>
      <w:pPr>
        <w:ind w:firstLine="656"/>
        <w:spacing w:after="0" w:line="251" w:lineRule="auto"/>
        <w:tabs>
          <w:tab w:leader="none" w:pos="118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Legend</w:t>
      </w:r>
      <w:r>
        <w:rPr>
          <w:rFonts w:ascii="Arial" w:cs="Arial" w:eastAsia="Arial" w:hAnsi="Arial"/>
          <w:sz w:val="22"/>
          <w:szCs w:val="22"/>
          <w:color w:val="auto"/>
        </w:rPr>
        <w:t>. Any certificate(s) representing the Shares shall carry substantially the following legend (and with respect to uncertificated Stock, the book entries evidencing such shares shall contain the following notation):</w:t>
      </w:r>
    </w:p>
    <w:p>
      <w:pPr>
        <w:spacing w:after="0" w:line="1" w:lineRule="exact"/>
        <w:rPr>
          <w:rFonts w:ascii="Arial" w:cs="Arial" w:eastAsia="Arial" w:hAnsi="Arial"/>
          <w:sz w:val="22"/>
          <w:szCs w:val="22"/>
          <w:color w:val="auto"/>
        </w:rPr>
      </w:pPr>
    </w:p>
    <w:p>
      <w:pPr>
        <w:jc w:val="both"/>
        <w:ind w:left="1300" w:right="1300"/>
        <w:spacing w:after="0" w:line="245" w:lineRule="auto"/>
        <w:rPr>
          <w:rFonts w:ascii="Arial" w:cs="Arial" w:eastAsia="Arial" w:hAnsi="Arial"/>
          <w:sz w:val="22"/>
          <w:szCs w:val="22"/>
          <w:color w:val="auto"/>
        </w:rPr>
      </w:pPr>
      <w:r>
        <w:rPr>
          <w:rFonts w:ascii="Arial" w:cs="Arial" w:eastAsia="Arial" w:hAnsi="Arial"/>
          <w:sz w:val="22"/>
          <w:szCs w:val="22"/>
          <w:color w:val="auto"/>
        </w:rPr>
        <w:t>The transferability of this certificate and the shares of stock represented hereby are subject to the restrictions, terms and conditions (including repurchase and restrictions against transfers) contained in the DocSend, Inc. 2015 Stock Option and Grant Plan</w:t>
      </w:r>
    </w:p>
    <w:p>
      <w:pPr>
        <w:spacing w:after="0" w:line="44" w:lineRule="exact"/>
        <w:rPr>
          <w:sz w:val="20"/>
          <w:szCs w:val="20"/>
          <w:color w:val="auto"/>
        </w:rPr>
      </w:pPr>
    </w:p>
    <w:p>
      <w:pPr>
        <w:ind w:left="1300" w:right="1300"/>
        <w:spacing w:after="0" w:line="343" w:lineRule="auto"/>
        <w:rPr>
          <w:sz w:val="20"/>
          <w:szCs w:val="20"/>
          <w:color w:val="auto"/>
        </w:rPr>
      </w:pPr>
      <w:r>
        <w:rPr>
          <w:rFonts w:ascii="Arial" w:cs="Arial" w:eastAsia="Arial" w:hAnsi="Arial"/>
          <w:sz w:val="19"/>
          <w:szCs w:val="19"/>
          <w:color w:val="auto"/>
        </w:rPr>
        <w:t>and any agreements entered into thereunder by and between the company and the holder of this certificate (a copy of which is available at the offices of the company for examination).</w:t>
      </w:r>
    </w:p>
    <w:p>
      <w:pPr>
        <w:spacing w:after="0" w:line="131" w:lineRule="exact"/>
        <w:rPr>
          <w:sz w:val="20"/>
          <w:szCs w:val="20"/>
          <w:color w:val="auto"/>
        </w:rPr>
      </w:pPr>
    </w:p>
    <w:p>
      <w:pPr>
        <w:jc w:val="both"/>
        <w:ind w:firstLine="656"/>
        <w:spacing w:after="0" w:line="247" w:lineRule="auto"/>
        <w:tabs>
          <w:tab w:leader="none" w:pos="1183"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Information to Holders of Options</w:t>
      </w:r>
      <w:r>
        <w:rPr>
          <w:rFonts w:ascii="Arial" w:cs="Arial" w:eastAsia="Arial" w:hAnsi="Arial"/>
          <w:sz w:val="22"/>
          <w:szCs w:val="22"/>
          <w:color w:val="auto"/>
        </w:rPr>
        <w:t>.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EFFECTIVE DATE OF PLAN</w:t>
      </w:r>
    </w:p>
    <w:p>
      <w:pPr>
        <w:spacing w:after="0" w:line="2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Plan shall become effective upon adoption by the Board and shall be approved by stockholders in accordance with applicable state law and the Company’s articles of incorporation and bylaws within 12 months thereafter. If the stockholders fail to approve the Plan within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ectPr>
          <w:pgSz w:w="11900" w:h="16838" w:orient="portrait"/>
          <w:cols w:equalWidth="0" w:num="1">
            <w:col w:w="11040"/>
          </w:cols>
          <w:pgMar w:left="420" w:top="1374" w:right="439" w:bottom="1440" w:gutter="0" w:footer="0" w:header="0"/>
        </w:sectPr>
      </w:pPr>
    </w:p>
    <w:bookmarkStart w:id="51" w:name="page52"/>
    <w:bookmarkEnd w:id="51"/>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GOVERNING LAW</w:t>
      </w:r>
    </w:p>
    <w:p>
      <w:pPr>
        <w:spacing w:after="0" w:line="2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200" w:lineRule="exact"/>
        <w:rPr>
          <w:sz w:val="20"/>
          <w:szCs w:val="20"/>
          <w:color w:val="auto"/>
        </w:rPr>
      </w:pPr>
    </w:p>
    <w:p>
      <w:pPr>
        <w:spacing w:after="0" w:line="226" w:lineRule="exact"/>
        <w:rPr>
          <w:sz w:val="20"/>
          <w:szCs w:val="20"/>
          <w:color w:val="auto"/>
        </w:rPr>
      </w:pPr>
    </w:p>
    <w:p>
      <w:pPr>
        <w:spacing w:after="0"/>
        <w:tabs>
          <w:tab w:leader="none" w:pos="5100" w:val="left"/>
        </w:tabs>
        <w:rPr>
          <w:sz w:val="20"/>
          <w:szCs w:val="20"/>
          <w:color w:val="auto"/>
        </w:rPr>
      </w:pPr>
      <w:r>
        <w:rPr>
          <w:rFonts w:ascii="Arial" w:cs="Arial" w:eastAsia="Arial" w:hAnsi="Arial"/>
          <w:sz w:val="22"/>
          <w:szCs w:val="22"/>
          <w:color w:val="auto"/>
        </w:rPr>
        <w:t>DATE ADOPTED BY THE BOARD OF DIRECTORS:</w:t>
      </w:r>
      <w:r>
        <w:rPr>
          <w:sz w:val="20"/>
          <w:szCs w:val="20"/>
          <w:color w:val="auto"/>
        </w:rPr>
        <w:tab/>
      </w:r>
      <w:r>
        <w:rPr>
          <w:rFonts w:ascii="Arial" w:cs="Arial" w:eastAsia="Arial" w:hAnsi="Arial"/>
          <w:sz w:val="19"/>
          <w:szCs w:val="19"/>
          <w:color w:val="auto"/>
        </w:rPr>
        <w:t>JUNE 23, 2015 DATE APPROVED BY THE</w:t>
      </w:r>
    </w:p>
    <w:p>
      <w:pPr>
        <w:spacing w:after="0" w:line="206"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STOCKHOLDERS:</w:t>
      </w:r>
      <w:r>
        <w:rPr>
          <w:sz w:val="20"/>
          <w:szCs w:val="20"/>
          <w:color w:val="auto"/>
        </w:rPr>
        <w:tab/>
      </w:r>
      <w:r>
        <w:rPr>
          <w:rFonts w:ascii="Arial" w:cs="Arial" w:eastAsia="Arial" w:hAnsi="Arial"/>
          <w:sz w:val="19"/>
          <w:szCs w:val="19"/>
          <w:color w:val="auto"/>
        </w:rPr>
        <w:t>JUNE 23, 2015</w:t>
      </w:r>
    </w:p>
    <w:p>
      <w:pPr>
        <w:sectPr>
          <w:pgSz w:w="11900" w:h="16838" w:orient="portrait"/>
          <w:cols w:equalWidth="0" w:num="1">
            <w:col w:w="11040"/>
          </w:cols>
          <w:pgMar w:left="420" w:top="1440" w:right="439" w:bottom="1440" w:gutter="0" w:footer="0" w:header="0"/>
        </w:sectPr>
      </w:pPr>
    </w:p>
    <w:bookmarkStart w:id="52" w:name="page53"/>
    <w:bookmarkEnd w:id="52"/>
    <w:p>
      <w:pPr>
        <w:jc w:val="center"/>
        <w:spacing w:after="0"/>
        <w:rPr>
          <w:sz w:val="20"/>
          <w:szCs w:val="20"/>
          <w:color w:val="auto"/>
        </w:rPr>
      </w:pPr>
      <w:r>
        <w:rPr>
          <w:rFonts w:ascii="Arial" w:cs="Arial" w:eastAsia="Arial" w:hAnsi="Arial"/>
          <w:sz w:val="25"/>
          <w:szCs w:val="25"/>
          <w:b w:val="1"/>
          <w:bCs w:val="1"/>
          <w:color w:val="auto"/>
        </w:rPr>
        <w:t>INCENTIVE STOCK OPTION GRANT NOTICE UNDER THE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DOCSEND,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2015 STOCK OPTION AND GRANT PLAN</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Pursuant to the DocSend, Inc. 2015 Stock Option and Grant Plan (the “Plan”), DocSend,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$0.001 per share (“Common Stock”), of the Company indicated below (the “Shares”), at the Option Exercise Price per share, subject to the terms and conditions set forth in this Incentive Stock Option Grant Notice (the “Grant Notice”), the attached Incentive Stock Option Agreement (the “Agreement”) and the Plan. This Stock Option is intended to qualify as an “incentive stock option” as defined in Section 422(b) of the Internal Revenue Code of 1986, as amended from time to time (the “Code”). To the extent that any portion of the Stock Option does not so qualify, it shall be deemed a non-qualified stock option.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00" w:type="dxa"/>
            <w:vAlign w:val="bottom"/>
            <w:gridSpan w:val="3"/>
          </w:tcPr>
          <w:p>
            <w:pPr>
              <w:spacing w:after="0"/>
              <w:rPr>
                <w:sz w:val="20"/>
                <w:szCs w:val="20"/>
                <w:color w:val="auto"/>
              </w:rPr>
            </w:pPr>
            <w:r>
              <w:rPr>
                <w:rFonts w:ascii="Arial" w:cs="Arial" w:eastAsia="Arial" w:hAnsi="Arial"/>
                <w:sz w:val="22"/>
                <w:szCs w:val="22"/>
                <w:color w:val="auto"/>
                <w:w w:val="90"/>
              </w:rPr>
              <w:t>Name of Optionee:</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80" w:type="dxa"/>
            <w:vAlign w:val="bottom"/>
            <w:gridSpan w:val="6"/>
          </w:tcPr>
          <w:p>
            <w:pPr>
              <w:ind w:left="40"/>
              <w:spacing w:after="0"/>
              <w:rPr>
                <w:sz w:val="20"/>
                <w:szCs w:val="20"/>
                <w:color w:val="auto"/>
              </w:rPr>
            </w:pPr>
            <w:r>
              <w:rPr>
                <w:rFonts w:ascii="Arial" w:cs="Arial" w:eastAsia="Arial" w:hAnsi="Arial"/>
                <w:sz w:val="22"/>
                <w:szCs w:val="22"/>
                <w:color w:val="auto"/>
              </w:rPr>
              <w:t>(the “Optionee”) No. of Shares:</w:t>
            </w:r>
          </w:p>
        </w:tc>
        <w:tc>
          <w:tcPr>
            <w:tcW w:w="2360" w:type="dxa"/>
            <w:vAlign w:val="bottom"/>
          </w:tcPr>
          <w:p>
            <w:pPr>
              <w:ind w:left="40"/>
              <w:spacing w:after="0"/>
              <w:rPr>
                <w:sz w:val="20"/>
                <w:szCs w:val="20"/>
                <w:color w:val="auto"/>
              </w:rPr>
            </w:pPr>
            <w:r>
              <w:rPr>
                <w:rFonts w:ascii="Arial" w:cs="Arial" w:eastAsia="Arial" w:hAnsi="Arial"/>
                <w:sz w:val="22"/>
                <w:szCs w:val="22"/>
                <w:color w:val="auto"/>
                <w:w w:val="91"/>
              </w:rPr>
              <w:t>Shares of Common Stock</w:t>
            </w:r>
          </w:p>
        </w:tc>
        <w:tc>
          <w:tcPr>
            <w:tcW w:w="3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22"/>
                <w:szCs w:val="22"/>
                <w:color w:val="auto"/>
              </w:rPr>
              <w:t>Grant Date:</w:t>
            </w:r>
          </w:p>
        </w:tc>
        <w:tc>
          <w:tcPr>
            <w:tcW w:w="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588"/>
        </w:trPr>
        <w:tc>
          <w:tcPr>
            <w:tcW w:w="2640" w:type="dxa"/>
            <w:vAlign w:val="bottom"/>
            <w:gridSpan w:val="6"/>
          </w:tcPr>
          <w:p>
            <w:pPr>
              <w:spacing w:after="0"/>
              <w:rPr>
                <w:sz w:val="20"/>
                <w:szCs w:val="20"/>
                <w:color w:val="auto"/>
              </w:rPr>
            </w:pPr>
            <w:r>
              <w:rPr>
                <w:rFonts w:ascii="Arial" w:cs="Arial" w:eastAsia="Arial" w:hAnsi="Arial"/>
                <w:sz w:val="22"/>
                <w:szCs w:val="22"/>
                <w:color w:val="auto"/>
                <w:w w:val="87"/>
              </w:rPr>
              <w:t>Vesting Commencement Date:</w:t>
            </w:r>
          </w:p>
        </w:tc>
        <w:tc>
          <w:tcPr>
            <w:tcW w:w="40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40" w:type="dxa"/>
            <w:vAlign w:val="bottom"/>
            <w:gridSpan w:val="3"/>
          </w:tcPr>
          <w:p>
            <w:pPr>
              <w:spacing w:after="0"/>
              <w:rPr>
                <w:sz w:val="20"/>
                <w:szCs w:val="20"/>
                <w:color w:val="auto"/>
              </w:rPr>
            </w:pPr>
            <w:r>
              <w:rPr>
                <w:rFonts w:ascii="Arial" w:cs="Arial" w:eastAsia="Arial" w:hAnsi="Arial"/>
                <w:sz w:val="22"/>
                <w:szCs w:val="22"/>
                <w:color w:val="auto"/>
                <w:w w:val="94"/>
              </w:rPr>
              <w:t>(the “Vesting Commencement Date”) Expiration Date:</w:t>
            </w:r>
          </w:p>
        </w:tc>
        <w:tc>
          <w:tcPr>
            <w:tcW w:w="320" w:type="dxa"/>
            <w:vAlign w:val="bottom"/>
            <w:tcBorders>
              <w:bottom w:val="single" w:sz="8" w:color="auto"/>
            </w:tcBorders>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w w:val="93"/>
              </w:rPr>
              <w:t>(the “Expiration Date”)</w:t>
            </w:r>
          </w:p>
        </w:tc>
      </w:tr>
      <w:tr>
        <w:trPr>
          <w:trHeight w:val="344"/>
        </w:trPr>
        <w:tc>
          <w:tcPr>
            <w:tcW w:w="3040" w:type="dxa"/>
            <w:vAlign w:val="bottom"/>
            <w:gridSpan w:val="8"/>
          </w:tcPr>
          <w:p>
            <w:pPr>
              <w:spacing w:after="0"/>
              <w:rPr>
                <w:sz w:val="20"/>
                <w:szCs w:val="20"/>
                <w:color w:val="auto"/>
              </w:rPr>
            </w:pPr>
            <w:r>
              <w:rPr>
                <w:rFonts w:ascii="Arial" w:cs="Arial" w:eastAsia="Arial" w:hAnsi="Arial"/>
                <w:sz w:val="22"/>
                <w:szCs w:val="22"/>
                <w:color w:val="auto"/>
                <w:w w:val="98"/>
              </w:rPr>
              <w:t>Option Exercise Price/Share:  $</w:t>
            </w:r>
          </w:p>
        </w:tc>
        <w:tc>
          <w:tcPr>
            <w:tcW w:w="2600" w:type="dxa"/>
            <w:vAlign w:val="bottom"/>
            <w:gridSpan w:val="3"/>
          </w:tcPr>
          <w:p>
            <w:pPr>
              <w:spacing w:after="0"/>
              <w:rPr>
                <w:sz w:val="20"/>
                <w:szCs w:val="20"/>
                <w:color w:val="auto"/>
              </w:rPr>
            </w:pPr>
            <w:r>
              <w:rPr>
                <w:rFonts w:ascii="Arial" w:cs="Arial" w:eastAsia="Arial" w:hAnsi="Arial"/>
                <w:sz w:val="22"/>
                <w:szCs w:val="22"/>
                <w:color w:val="auto"/>
                <w:w w:val="92"/>
              </w:rPr>
              <w:t>(the “Option Exercise Price”)</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170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530"/>
        </w:trPr>
        <w:tc>
          <w:tcPr>
            <w:tcW w:w="1700" w:type="dxa"/>
            <w:vAlign w:val="bottom"/>
            <w:gridSpan w:val="3"/>
          </w:tcPr>
          <w:p>
            <w:pPr>
              <w:spacing w:after="0"/>
              <w:rPr>
                <w:sz w:val="20"/>
                <w:szCs w:val="20"/>
                <w:color w:val="auto"/>
              </w:rPr>
            </w:pPr>
            <w:r>
              <w:rPr>
                <w:rFonts w:ascii="Arial" w:cs="Arial" w:eastAsia="Arial" w:hAnsi="Arial"/>
                <w:sz w:val="22"/>
                <w:szCs w:val="22"/>
                <w:color w:val="auto"/>
                <w:w w:val="94"/>
              </w:rPr>
              <w:t>Vesting Schedule:</w:t>
            </w:r>
          </w:p>
        </w:tc>
        <w:tc>
          <w:tcPr>
            <w:tcW w:w="6300" w:type="dxa"/>
            <w:vAlign w:val="bottom"/>
            <w:gridSpan w:val="9"/>
          </w:tcPr>
          <w:p>
            <w:pPr>
              <w:ind w:left="60"/>
              <w:spacing w:after="0"/>
              <w:rPr>
                <w:sz w:val="20"/>
                <w:szCs w:val="20"/>
                <w:color w:val="auto"/>
              </w:rPr>
            </w:pPr>
            <w:r>
              <w:rPr>
                <w:rFonts w:ascii="Arial" w:cs="Arial" w:eastAsia="Arial" w:hAnsi="Arial"/>
                <w:sz w:val="22"/>
                <w:szCs w:val="22"/>
                <w:color w:val="auto"/>
                <w:w w:val="99"/>
              </w:rPr>
              <w:t>[25] percent of the Shares shall vest and become exercisable on</w:t>
            </w: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jc w:val="both"/>
        <w:ind w:left="2800"/>
        <w:spacing w:after="0" w:line="288" w:lineRule="auto"/>
        <w:rPr>
          <w:sz w:val="20"/>
          <w:szCs w:val="20"/>
          <w:color w:val="auto"/>
        </w:rPr>
      </w:pPr>
      <w:r>
        <w:rPr>
          <w:rFonts w:ascii="Arial" w:cs="Arial" w:eastAsia="Arial" w:hAnsi="Arial"/>
          <w:sz w:val="19"/>
          <w:szCs w:val="19"/>
          <w:color w:val="auto"/>
        </w:rPr>
        <w:t>the first anniversary of the Vesting Commencement Date, provided that the Optionee continues to have a Service Relationship with the Company at such time. Thereafter, the remaining [75] percent of the Shares shall vest and become exercisable in [36] equal monthly installments following the first anniversary of the Vesting Commencement Date, provided the Optionee continues to have a Service Relationship with the Company on each vesting date. Notwithstanding anything in the Agreement to the contrary, in the case of a Sale Event, this Stock Option and the Shares shall be treated as provided in Section 3(c) of the Plan</w:t>
      </w:r>
      <w:r>
        <w:rPr>
          <w:rFonts w:ascii="Arial" w:cs="Arial" w:eastAsia="Arial" w:hAnsi="Arial"/>
          <w:sz w:val="19"/>
          <w:szCs w:val="19"/>
          <w:b w:val="1"/>
          <w:bCs w:val="1"/>
          <w:color w:val="auto"/>
        </w:rPr>
        <w: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Attachments</w:t>
      </w:r>
      <w:r>
        <w:rPr>
          <w:rFonts w:ascii="Arial" w:cs="Arial" w:eastAsia="Arial" w:hAnsi="Arial"/>
          <w:sz w:val="22"/>
          <w:szCs w:val="22"/>
          <w:color w:val="auto"/>
        </w:rPr>
        <w:t>: Incentive Stock Option Agreement, 2015 Stock Option and Grant Plan</w:t>
      </w:r>
    </w:p>
    <w:p>
      <w:pPr>
        <w:sectPr>
          <w:pgSz w:w="11900" w:h="16838" w:orient="portrait"/>
          <w:cols w:equalWidth="0" w:num="1">
            <w:col w:w="11020"/>
          </w:cols>
          <w:pgMar w:left="440" w:top="1413" w:right="439" w:bottom="1440" w:gutter="0" w:footer="0" w:header="0"/>
        </w:sectPr>
      </w:pPr>
    </w:p>
    <w:bookmarkStart w:id="53" w:name="page54"/>
    <w:bookmarkEnd w:id="53"/>
    <w:p>
      <w:pPr>
        <w:jc w:val="center"/>
        <w:spacing w:after="0"/>
        <w:rPr>
          <w:sz w:val="20"/>
          <w:szCs w:val="20"/>
          <w:color w:val="auto"/>
        </w:rPr>
      </w:pPr>
      <w:r>
        <w:rPr>
          <w:rFonts w:ascii="Arial" w:cs="Arial" w:eastAsia="Arial" w:hAnsi="Arial"/>
          <w:sz w:val="25"/>
          <w:szCs w:val="25"/>
          <w:b w:val="1"/>
          <w:bCs w:val="1"/>
          <w:color w:val="auto"/>
        </w:rPr>
        <w:t>INCENTIVE STOCK OPTION AGREEMENT UNDER THE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DOCSEND,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2015 STOCK OPTION AND GRANT PLAN</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All capitalized terms used herein and not otherwise defined shall have the respective meanings set forth in the Grant Notice and the Plan.</w:t>
      </w:r>
    </w:p>
    <w:p>
      <w:pPr>
        <w:spacing w:after="0" w:line="215" w:lineRule="exact"/>
        <w:rPr>
          <w:sz w:val="20"/>
          <w:szCs w:val="20"/>
          <w:color w:val="auto"/>
        </w:rPr>
      </w:pPr>
    </w:p>
    <w:p>
      <w:pPr>
        <w:ind w:left="1300" w:hanging="656"/>
        <w:spacing w:after="0"/>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Vesting, Exercisability and Termination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820" w:hanging="528"/>
        <w:spacing w:after="0"/>
        <w:tabs>
          <w:tab w:leader="none" w:pos="1820" w:val="left"/>
        </w:tabs>
        <w:numPr>
          <w:ilvl w:val="1"/>
          <w:numId w:val="94"/>
        </w:numPr>
        <w:rPr>
          <w:rFonts w:ascii="Arial" w:cs="Arial" w:eastAsia="Arial" w:hAnsi="Arial"/>
          <w:sz w:val="21"/>
          <w:szCs w:val="21"/>
          <w:color w:val="auto"/>
        </w:rPr>
      </w:pPr>
      <w:r>
        <w:rPr>
          <w:rFonts w:ascii="Arial" w:cs="Arial" w:eastAsia="Arial" w:hAnsi="Arial"/>
          <w:sz w:val="21"/>
          <w:szCs w:val="21"/>
          <w:color w:val="auto"/>
        </w:rPr>
        <w:t>No portion of this Stock Option may be exercised until such portion shall have vested and become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exercisable.</w:t>
      </w:r>
    </w:p>
    <w:p>
      <w:pPr>
        <w:spacing w:after="0" w:line="228" w:lineRule="exact"/>
        <w:rPr>
          <w:rFonts w:ascii="Arial" w:cs="Arial" w:eastAsia="Arial" w:hAnsi="Arial"/>
          <w:sz w:val="21"/>
          <w:szCs w:val="21"/>
          <w:color w:val="auto"/>
        </w:rPr>
      </w:pPr>
    </w:p>
    <w:p>
      <w:pPr>
        <w:jc w:val="both"/>
        <w:ind w:firstLine="1292"/>
        <w:spacing w:after="0" w:line="253" w:lineRule="auto"/>
        <w:tabs>
          <w:tab w:leader="none" w:pos="1831" w:val="left"/>
        </w:tabs>
        <w:numPr>
          <w:ilvl w:val="1"/>
          <w:numId w:val="94"/>
        </w:numPr>
        <w:rPr>
          <w:rFonts w:ascii="Arial" w:cs="Arial" w:eastAsia="Arial" w:hAnsi="Arial"/>
          <w:sz w:val="22"/>
          <w:szCs w:val="22"/>
          <w:color w:val="auto"/>
        </w:rPr>
      </w:pPr>
      <w:r>
        <w:rPr>
          <w:rFonts w:ascii="Arial" w:cs="Arial" w:eastAsia="Arial" w:hAnsi="Arial"/>
          <w:sz w:val="22"/>
          <w:szCs w:val="22"/>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225" w:lineRule="exact"/>
        <w:rPr>
          <w:rFonts w:ascii="Arial" w:cs="Arial" w:eastAsia="Arial" w:hAnsi="Arial"/>
          <w:sz w:val="22"/>
          <w:szCs w:val="22"/>
          <w:color w:val="auto"/>
        </w:rPr>
      </w:pPr>
    </w:p>
    <w:p>
      <w:pPr>
        <w:ind w:left="2580" w:hanging="844"/>
        <w:spacing w:after="0"/>
        <w:tabs>
          <w:tab w:leader="none" w:pos="2580" w:val="left"/>
        </w:tabs>
        <w:numPr>
          <w:ilvl w:val="2"/>
          <w:numId w:val="94"/>
        </w:numPr>
        <w:rPr>
          <w:rFonts w:ascii="Arial" w:cs="Arial" w:eastAsia="Arial" w:hAnsi="Arial"/>
          <w:sz w:val="22"/>
          <w:szCs w:val="22"/>
          <w:color w:val="auto"/>
        </w:rPr>
      </w:pPr>
      <w:r>
        <w:rPr>
          <w:rFonts w:ascii="Arial" w:cs="Arial" w:eastAsia="Arial" w:hAnsi="Arial"/>
          <w:sz w:val="22"/>
          <w:szCs w:val="22"/>
          <w:color w:val="auto"/>
        </w:rPr>
        <w:t>This Stock Option shall initially be unvested and unexercisable.</w:t>
      </w:r>
    </w:p>
    <w:p>
      <w:pPr>
        <w:spacing w:after="0" w:line="260" w:lineRule="exact"/>
        <w:rPr>
          <w:rFonts w:ascii="Arial" w:cs="Arial" w:eastAsia="Arial" w:hAnsi="Arial"/>
          <w:sz w:val="22"/>
          <w:szCs w:val="22"/>
          <w:color w:val="auto"/>
        </w:rPr>
      </w:pPr>
    </w:p>
    <w:p>
      <w:pPr>
        <w:ind w:left="640" w:firstLine="1036"/>
        <w:spacing w:after="0" w:line="263" w:lineRule="auto"/>
        <w:tabs>
          <w:tab w:leader="none" w:pos="2476" w:val="left"/>
        </w:tabs>
        <w:numPr>
          <w:ilvl w:val="2"/>
          <w:numId w:val="94"/>
        </w:numPr>
        <w:rPr>
          <w:rFonts w:ascii="Arial" w:cs="Arial" w:eastAsia="Arial" w:hAnsi="Arial"/>
          <w:sz w:val="22"/>
          <w:szCs w:val="22"/>
          <w:color w:val="auto"/>
        </w:rPr>
      </w:pPr>
      <w:r>
        <w:rPr>
          <w:rFonts w:ascii="Arial" w:cs="Arial" w:eastAsia="Arial" w:hAnsi="Arial"/>
          <w:sz w:val="22"/>
          <w:szCs w:val="22"/>
          <w:color w:val="auto"/>
        </w:rPr>
        <w:t>This Stock Option shall vest and become exercisable in accordance with the Vesting Schedule set forth in the Grant Notice.</w:t>
      </w:r>
    </w:p>
    <w:p>
      <w:pPr>
        <w:spacing w:after="0" w:line="201" w:lineRule="exact"/>
        <w:rPr>
          <w:rFonts w:ascii="Arial" w:cs="Arial" w:eastAsia="Arial" w:hAnsi="Arial"/>
          <w:sz w:val="22"/>
          <w:szCs w:val="22"/>
          <w:color w:val="auto"/>
        </w:rPr>
      </w:pPr>
    </w:p>
    <w:p>
      <w:pPr>
        <w:jc w:val="both"/>
        <w:ind w:firstLine="1292"/>
        <w:spacing w:after="0" w:line="250" w:lineRule="auto"/>
        <w:tabs>
          <w:tab w:leader="none" w:pos="1833"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228" w:lineRule="exact"/>
        <w:rPr>
          <w:rFonts w:ascii="Arial" w:cs="Arial" w:eastAsia="Arial" w:hAnsi="Arial"/>
          <w:sz w:val="22"/>
          <w:szCs w:val="22"/>
          <w:color w:val="auto"/>
        </w:rPr>
      </w:pPr>
    </w:p>
    <w:p>
      <w:pPr>
        <w:jc w:val="both"/>
        <w:ind w:left="640" w:firstLine="1095"/>
        <w:spacing w:after="0" w:line="250" w:lineRule="auto"/>
        <w:tabs>
          <w:tab w:leader="none" w:pos="2476" w:val="left"/>
        </w:tabs>
        <w:numPr>
          <w:ilvl w:val="2"/>
          <w:numId w:val="94"/>
        </w:numPr>
        <w:rPr>
          <w:rFonts w:ascii="Arial" w:cs="Arial" w:eastAsia="Arial" w:hAnsi="Arial"/>
          <w:sz w:val="22"/>
          <w:szCs w:val="22"/>
          <w:color w:val="auto"/>
        </w:rPr>
      </w:pPr>
      <w:r>
        <w:rPr>
          <w:rFonts w:ascii="Arial" w:cs="Arial" w:eastAsia="Arial" w:hAnsi="Arial"/>
          <w:sz w:val="22"/>
          <w:szCs w:val="22"/>
          <w:u w:val="single" w:color="auto"/>
          <w:color w:val="auto"/>
        </w:rPr>
        <w:t>Termination Due to Death or Disability</w:t>
      </w:r>
      <w:r>
        <w:rPr>
          <w:rFonts w:ascii="Arial" w:cs="Arial" w:eastAsia="Arial" w:hAnsi="Arial"/>
          <w:sz w:val="22"/>
          <w:szCs w:val="22"/>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228" w:lineRule="exact"/>
        <w:rPr>
          <w:rFonts w:ascii="Arial" w:cs="Arial" w:eastAsia="Arial" w:hAnsi="Arial"/>
          <w:sz w:val="22"/>
          <w:szCs w:val="22"/>
          <w:color w:val="auto"/>
        </w:rPr>
      </w:pPr>
    </w:p>
    <w:p>
      <w:pPr>
        <w:jc w:val="both"/>
        <w:ind w:left="640" w:firstLine="1035"/>
        <w:spacing w:after="0" w:line="248" w:lineRule="auto"/>
        <w:tabs>
          <w:tab w:leader="none" w:pos="2476" w:val="left"/>
        </w:tabs>
        <w:numPr>
          <w:ilvl w:val="2"/>
          <w:numId w:val="94"/>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Arial" w:cs="Arial" w:eastAsia="Arial" w:hAnsi="Arial"/>
          <w:sz w:val="22"/>
          <w:szCs w:val="22"/>
          <w:u w:val="single" w:color="auto"/>
          <w:color w:val="auto"/>
        </w:rPr>
        <w:t>provided however</w:t>
      </w:r>
      <w:r>
        <w:rPr>
          <w:rFonts w:ascii="Arial" w:cs="Arial" w:eastAsia="Arial" w:hAnsi="Arial"/>
          <w:sz w:val="22"/>
          <w:szCs w:val="22"/>
          <w:color w:val="auto"/>
        </w:rPr>
        <w:t>, if the Optionee’s Service Relationship is terminated for Cause, this Stock Option shall terminate immediately upon the date of such termination.</w:t>
      </w:r>
    </w:p>
    <w:p>
      <w:pPr>
        <w:spacing w:after="0" w:line="21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For purposes hereof, the Committee’s determination of the reason for termination of the Optionee’s Service Relationship shall be conclusive and binding on the Optionee and his or her representatives or legatees. Any portion of this Stock Option that is not vested and exercisable on the date of termination of the Service Relationship shall terminate immediately and be null and void.</w:t>
      </w:r>
    </w:p>
    <w:p>
      <w:pPr>
        <w:sectPr>
          <w:pgSz w:w="11900" w:h="16838" w:orient="portrait"/>
          <w:cols w:equalWidth="0" w:num="1">
            <w:col w:w="11020"/>
          </w:cols>
          <w:pgMar w:left="440" w:top="1413" w:right="439" w:bottom="1440" w:gutter="0" w:footer="0" w:header="0"/>
        </w:sectPr>
      </w:pPr>
    </w:p>
    <w:bookmarkStart w:id="54" w:name="page55"/>
    <w:bookmarkEnd w:id="54"/>
    <w:p>
      <w:pPr>
        <w:jc w:val="both"/>
        <w:ind w:left="-643" w:firstLine="1291"/>
        <w:spacing w:after="0" w:line="287" w:lineRule="auto"/>
        <w:tabs>
          <w:tab w:leader="none" w:pos="1188" w:val="left"/>
        </w:tabs>
        <w:numPr>
          <w:ilvl w:val="1"/>
          <w:numId w:val="95"/>
        </w:numPr>
        <w:rPr>
          <w:rFonts w:ascii="Arial" w:cs="Arial" w:eastAsia="Arial" w:hAnsi="Arial"/>
          <w:sz w:val="19"/>
          <w:szCs w:val="19"/>
          <w:color w:val="auto"/>
        </w:rPr>
      </w:pPr>
      <w:r>
        <w:rPr>
          <w:rFonts w:ascii="Arial" w:cs="Arial" w:eastAsia="Arial" w:hAnsi="Arial"/>
          <w:sz w:val="19"/>
          <w:szCs w:val="19"/>
          <w:color w:val="auto"/>
        </w:rPr>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one-year period beginning on the day after the day of the transfer of such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w:t>
      </w:r>
    </w:p>
    <w:p>
      <w:pPr>
        <w:spacing w:after="0" w:line="185" w:lineRule="exact"/>
        <w:rPr>
          <w:rFonts w:ascii="Arial" w:cs="Arial" w:eastAsia="Arial" w:hAnsi="Arial"/>
          <w:sz w:val="19"/>
          <w:szCs w:val="19"/>
          <w:color w:val="auto"/>
        </w:rPr>
      </w:pPr>
    </w:p>
    <w:p>
      <w:pPr>
        <w:ind w:left="657" w:hanging="656"/>
        <w:spacing w:after="0"/>
        <w:tabs>
          <w:tab w:leader="none" w:pos="657"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Exercise of Stock Option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43" w:firstLine="1291"/>
        <w:spacing w:after="0" w:line="294" w:lineRule="auto"/>
        <w:tabs>
          <w:tab w:leader="none" w:pos="1190"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The Optionee may exercise this Stock Option only in the following manner: Prior to the Expiration Date, the Optionee may deliver a Stock Option exercise notice (an “Exercise Notice”) in the form of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189" w:lineRule="exact"/>
        <w:rPr>
          <w:rFonts w:ascii="Arial" w:cs="Arial" w:eastAsia="Arial" w:hAnsi="Arial"/>
          <w:sz w:val="19"/>
          <w:szCs w:val="19"/>
          <w:color w:val="auto"/>
        </w:rPr>
      </w:pPr>
    </w:p>
    <w:p>
      <w:pPr>
        <w:ind w:left="-643" w:firstLine="1291"/>
        <w:spacing w:after="0" w:line="263" w:lineRule="auto"/>
        <w:tabs>
          <w:tab w:leader="none" w:pos="1188" w:val="left"/>
        </w:tabs>
        <w:numPr>
          <w:ilvl w:val="1"/>
          <w:numId w:val="96"/>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w:t>
      </w:r>
    </w:p>
    <w:p>
      <w:pPr>
        <w:spacing w:after="0" w:line="201" w:lineRule="exact"/>
        <w:rPr>
          <w:rFonts w:ascii="Arial" w:cs="Arial" w:eastAsia="Arial" w:hAnsi="Arial"/>
          <w:sz w:val="22"/>
          <w:szCs w:val="22"/>
          <w:color w:val="auto"/>
        </w:rPr>
      </w:pPr>
    </w:p>
    <w:p>
      <w:pPr>
        <w:ind w:left="-643" w:firstLine="644"/>
        <w:spacing w:after="0" w:line="263" w:lineRule="auto"/>
        <w:tabs>
          <w:tab w:leader="none" w:pos="545"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w:t>
      </w:r>
    </w:p>
    <w:p>
      <w:pPr>
        <w:spacing w:after="0" w:line="215" w:lineRule="exact"/>
        <w:rPr>
          <w:rFonts w:ascii="Arial" w:cs="Arial" w:eastAsia="Arial" w:hAnsi="Arial"/>
          <w:sz w:val="22"/>
          <w:szCs w:val="22"/>
          <w:color w:val="auto"/>
        </w:rPr>
      </w:pPr>
    </w:p>
    <w:p>
      <w:pPr>
        <w:jc w:val="both"/>
        <w:ind w:left="-643" w:firstLine="643"/>
        <w:spacing w:after="0" w:line="259" w:lineRule="auto"/>
        <w:tabs>
          <w:tab w:leader="none" w:pos="545"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Transferability of Stock Option</w:t>
      </w:r>
      <w:r>
        <w:rPr>
          <w:rFonts w:ascii="Arial" w:cs="Arial" w:eastAsia="Arial" w:hAnsi="Arial"/>
          <w:sz w:val="21"/>
          <w:szCs w:val="21"/>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ectPr>
          <w:pgSz w:w="11900" w:h="16838" w:orient="portrait"/>
          <w:cols w:equalWidth="0" w:num="1">
            <w:col w:w="10377"/>
          </w:cols>
          <w:pgMar w:left="1083" w:top="1428" w:right="439" w:bottom="1440" w:gutter="0" w:footer="0" w:header="0"/>
        </w:sectPr>
      </w:pPr>
    </w:p>
    <w:bookmarkStart w:id="55" w:name="page56"/>
    <w:bookmarkEnd w:id="55"/>
    <w:p>
      <w:pPr>
        <w:jc w:val="both"/>
        <w:ind w:left="-644" w:firstLine="644"/>
        <w:spacing w:after="0" w:line="253" w:lineRule="auto"/>
        <w:tabs>
          <w:tab w:leader="none" w:pos="544"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Shares</w:t>
      </w:r>
      <w:r>
        <w:rPr>
          <w:rFonts w:ascii="Arial" w:cs="Arial" w:eastAsia="Arial" w:hAnsi="Arial"/>
          <w:sz w:val="22"/>
          <w:szCs w:val="22"/>
          <w:color w:val="auto"/>
        </w:rPr>
        <w:t>. The Shares acquired upon exercise of the Stock Option shall be subject to certain transfer restrictions and other limitations including, without limitation, the provisions contained in Section 9 of the Plan.</w:t>
      </w:r>
    </w:p>
    <w:p>
      <w:pPr>
        <w:spacing w:after="0" w:line="212" w:lineRule="exact"/>
        <w:rPr>
          <w:rFonts w:ascii="Arial" w:cs="Arial" w:eastAsia="Arial" w:hAnsi="Arial"/>
          <w:sz w:val="22"/>
          <w:szCs w:val="22"/>
          <w:color w:val="auto"/>
        </w:rPr>
      </w:pPr>
    </w:p>
    <w:p>
      <w:pPr>
        <w:ind w:left="656" w:hanging="656"/>
        <w:spacing w:after="0"/>
        <w:tabs>
          <w:tab w:leader="none" w:pos="656"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44" w:right="20" w:firstLine="1291"/>
        <w:spacing w:after="0" w:line="253" w:lineRule="auto"/>
        <w:tabs>
          <w:tab w:leader="none" w:pos="1189"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Equitable Relief</w:t>
      </w:r>
      <w:r>
        <w:rPr>
          <w:rFonts w:ascii="Arial" w:cs="Arial" w:eastAsia="Arial" w:hAnsi="Arial"/>
          <w:sz w:val="22"/>
          <w:szCs w:val="22"/>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225" w:lineRule="exact"/>
        <w:rPr>
          <w:rFonts w:ascii="Arial" w:cs="Arial" w:eastAsia="Arial" w:hAnsi="Arial"/>
          <w:sz w:val="22"/>
          <w:szCs w:val="22"/>
          <w:color w:val="auto"/>
        </w:rPr>
      </w:pPr>
    </w:p>
    <w:p>
      <w:pPr>
        <w:jc w:val="both"/>
        <w:ind w:left="-644" w:firstLine="1292"/>
        <w:spacing w:after="0" w:line="247" w:lineRule="auto"/>
        <w:tabs>
          <w:tab w:leader="none" w:pos="1187"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Adjustments for Changes in Capital Structure</w:t>
      </w:r>
      <w:r>
        <w:rPr>
          <w:rFonts w:ascii="Arial" w:cs="Arial" w:eastAsia="Arial" w:hAnsi="Arial"/>
          <w:sz w:val="22"/>
          <w:szCs w:val="22"/>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219" w:lineRule="exact"/>
        <w:rPr>
          <w:rFonts w:ascii="Arial" w:cs="Arial" w:eastAsia="Arial" w:hAnsi="Arial"/>
          <w:sz w:val="22"/>
          <w:szCs w:val="22"/>
          <w:color w:val="auto"/>
        </w:rPr>
      </w:pPr>
    </w:p>
    <w:p>
      <w:pPr>
        <w:jc w:val="both"/>
        <w:ind w:left="-644" w:firstLine="1292"/>
        <w:spacing w:after="0" w:line="253" w:lineRule="auto"/>
        <w:tabs>
          <w:tab w:leader="none" w:pos="1189"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Change and Modifications</w:t>
      </w:r>
      <w:r>
        <w:rPr>
          <w:rFonts w:ascii="Arial" w:cs="Arial" w:eastAsia="Arial" w:hAnsi="Arial"/>
          <w:sz w:val="22"/>
          <w:szCs w:val="22"/>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225" w:lineRule="exact"/>
        <w:rPr>
          <w:rFonts w:ascii="Arial" w:cs="Arial" w:eastAsia="Arial" w:hAnsi="Arial"/>
          <w:sz w:val="22"/>
          <w:szCs w:val="22"/>
          <w:color w:val="auto"/>
        </w:rPr>
      </w:pPr>
    </w:p>
    <w:p>
      <w:pPr>
        <w:jc w:val="both"/>
        <w:ind w:left="-644" w:firstLine="1292"/>
        <w:spacing w:after="0" w:line="265" w:lineRule="auto"/>
        <w:tabs>
          <w:tab w:leader="none" w:pos="1187" w:val="left"/>
        </w:tabs>
        <w:numPr>
          <w:ilvl w:val="1"/>
          <w:numId w:val="97"/>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215" w:lineRule="exact"/>
        <w:rPr>
          <w:rFonts w:ascii="Arial" w:cs="Arial" w:eastAsia="Arial" w:hAnsi="Arial"/>
          <w:sz w:val="21"/>
          <w:szCs w:val="21"/>
          <w:color w:val="auto"/>
        </w:rPr>
      </w:pPr>
    </w:p>
    <w:p>
      <w:pPr>
        <w:ind w:left="-644" w:right="20" w:firstLine="1292"/>
        <w:spacing w:after="0" w:line="287" w:lineRule="auto"/>
        <w:tabs>
          <w:tab w:leader="none" w:pos="1189" w:val="left"/>
        </w:tabs>
        <w:numPr>
          <w:ilvl w:val="1"/>
          <w:numId w:val="97"/>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are intended only for convenience in finding the subject matter and do not constitute part of the text of this Agreement and shall not be considered in the interpretation of this Agreement.</w:t>
      </w:r>
    </w:p>
    <w:p>
      <w:pPr>
        <w:spacing w:after="0" w:line="178" w:lineRule="exact"/>
        <w:rPr>
          <w:rFonts w:ascii="Arial" w:cs="Arial" w:eastAsia="Arial" w:hAnsi="Arial"/>
          <w:sz w:val="21"/>
          <w:szCs w:val="21"/>
          <w:color w:val="auto"/>
        </w:rPr>
      </w:pPr>
    </w:p>
    <w:p>
      <w:pPr>
        <w:ind w:left="-644" w:right="20" w:firstLine="1292"/>
        <w:spacing w:after="0" w:line="287" w:lineRule="auto"/>
        <w:tabs>
          <w:tab w:leader="none" w:pos="1192" w:val="left"/>
        </w:tabs>
        <w:numPr>
          <w:ilvl w:val="1"/>
          <w:numId w:val="97"/>
        </w:numPr>
        <w:rPr>
          <w:rFonts w:ascii="Arial" w:cs="Arial" w:eastAsia="Arial" w:hAnsi="Arial"/>
          <w:sz w:val="21"/>
          <w:szCs w:val="21"/>
          <w:color w:val="auto"/>
        </w:rPr>
      </w:pPr>
      <w:r>
        <w:rPr>
          <w:rFonts w:ascii="Arial" w:cs="Arial" w:eastAsia="Arial" w:hAnsi="Arial"/>
          <w:sz w:val="21"/>
          <w:szCs w:val="21"/>
          <w:u w:val="single" w:color="auto"/>
          <w:color w:val="auto"/>
        </w:rPr>
        <w:t>Saving Clause</w:t>
      </w:r>
      <w:r>
        <w:rPr>
          <w:rFonts w:ascii="Arial" w:cs="Arial" w:eastAsia="Arial" w:hAnsi="Arial"/>
          <w:sz w:val="21"/>
          <w:szCs w:val="21"/>
          <w:color w:val="auto"/>
        </w:rPr>
        <w:t>. If any provision(s) of this Agreement shall be determined to be illegal or unenforceable, such determination shall in no manner affect the legality or enforceability of any other provision hereof.</w:t>
      </w:r>
    </w:p>
    <w:p>
      <w:pPr>
        <w:spacing w:after="0" w:line="191" w:lineRule="exact"/>
        <w:rPr>
          <w:rFonts w:ascii="Arial" w:cs="Arial" w:eastAsia="Arial" w:hAnsi="Arial"/>
          <w:sz w:val="21"/>
          <w:szCs w:val="21"/>
          <w:color w:val="auto"/>
        </w:rPr>
      </w:pPr>
    </w:p>
    <w:p>
      <w:pPr>
        <w:jc w:val="both"/>
        <w:ind w:left="-644" w:firstLine="1292"/>
        <w:spacing w:after="0" w:line="302" w:lineRule="auto"/>
        <w:tabs>
          <w:tab w:leader="none" w:pos="1187"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250" w:lineRule="exact"/>
        <w:rPr>
          <w:rFonts w:ascii="Arial" w:cs="Arial" w:eastAsia="Arial" w:hAnsi="Arial"/>
          <w:sz w:val="19"/>
          <w:szCs w:val="19"/>
          <w:color w:val="auto"/>
        </w:rPr>
      </w:pPr>
    </w:p>
    <w:p>
      <w:pPr>
        <w:ind w:left="-644" w:right="360" w:firstLine="1292"/>
        <w:spacing w:after="0" w:line="263" w:lineRule="auto"/>
        <w:tabs>
          <w:tab w:leader="none" w:pos="1187"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Benefit and Binding Effect</w:t>
      </w:r>
      <w:r>
        <w:rPr>
          <w:rFonts w:ascii="Arial" w:cs="Arial" w:eastAsia="Arial" w:hAnsi="Arial"/>
          <w:sz w:val="22"/>
          <w:szCs w:val="22"/>
          <w:color w:val="auto"/>
        </w:rPr>
        <w:t>. This Agreement shall be binding upon and shall inure to the benefit of the parties hereto, their respective successors, assigns, and legal</w:t>
      </w:r>
    </w:p>
    <w:p>
      <w:pPr>
        <w:sectPr>
          <w:pgSz w:w="11900" w:h="16838" w:orient="portrait"/>
          <w:cols w:equalWidth="0" w:num="1">
            <w:col w:w="10376"/>
          </w:cols>
          <w:pgMar w:left="1084" w:top="1428" w:right="439" w:bottom="1440" w:gutter="0" w:footer="0" w:header="0"/>
        </w:sectPr>
      </w:pPr>
    </w:p>
    <w:bookmarkStart w:id="56" w:name="page57"/>
    <w:bookmarkEnd w:id="56"/>
    <w:p>
      <w:pPr>
        <w:spacing w:after="0" w:line="263" w:lineRule="auto"/>
        <w:rPr>
          <w:sz w:val="20"/>
          <w:szCs w:val="20"/>
          <w:color w:val="auto"/>
        </w:rPr>
      </w:pPr>
      <w:r>
        <w:rPr>
          <w:rFonts w:ascii="Arial" w:cs="Arial" w:eastAsia="Arial" w:hAnsi="Arial"/>
          <w:sz w:val="22"/>
          <w:szCs w:val="22"/>
          <w:color w:val="auto"/>
        </w:rPr>
        <w:t>representatives. The Company has the right to assign this Agreement, and such assignee shall become entitled to all the rights of the Company hereunder to the extent of such assignment.</w:t>
      </w:r>
    </w:p>
    <w:p>
      <w:pPr>
        <w:spacing w:after="0" w:line="202" w:lineRule="exact"/>
        <w:rPr>
          <w:sz w:val="20"/>
          <w:szCs w:val="20"/>
          <w:color w:val="auto"/>
        </w:rPr>
      </w:pPr>
    </w:p>
    <w:p>
      <w:pPr>
        <w:jc w:val="both"/>
        <w:ind w:right="80" w:firstLine="1292"/>
        <w:spacing w:after="0" w:line="253" w:lineRule="auto"/>
        <w:tabs>
          <w:tab w:leader="none" w:pos="1824"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225" w:lineRule="exact"/>
        <w:rPr>
          <w:rFonts w:ascii="Arial" w:cs="Arial" w:eastAsia="Arial" w:hAnsi="Arial"/>
          <w:sz w:val="22"/>
          <w:szCs w:val="22"/>
          <w:color w:val="auto"/>
        </w:rPr>
      </w:pPr>
    </w:p>
    <w:p>
      <w:pPr>
        <w:ind w:right="80" w:firstLine="1292"/>
        <w:spacing w:after="0" w:line="343" w:lineRule="auto"/>
        <w:tabs>
          <w:tab w:leader="none" w:pos="1824"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44" w:lineRule="exact"/>
        <w:rPr>
          <w:rFonts w:ascii="Arial" w:cs="Arial" w:eastAsia="Arial" w:hAnsi="Arial"/>
          <w:sz w:val="19"/>
          <w:szCs w:val="19"/>
          <w:color w:val="auto"/>
        </w:rPr>
      </w:pPr>
    </w:p>
    <w:p>
      <w:pPr>
        <w:ind w:left="1300" w:hanging="656"/>
        <w:spacing w:after="0"/>
        <w:tabs>
          <w:tab w:leader="none" w:pos="130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right="60" w:firstLine="1292"/>
        <w:spacing w:after="0" w:line="286" w:lineRule="auto"/>
        <w:tabs>
          <w:tab w:leader="none" w:pos="1833" w:val="left"/>
        </w:tabs>
        <w:numPr>
          <w:ilvl w:val="1"/>
          <w:numId w:val="99"/>
        </w:numPr>
        <w:rPr>
          <w:rFonts w:ascii="Arial" w:cs="Arial" w:eastAsia="Arial" w:hAnsi="Arial"/>
          <w:sz w:val="19"/>
          <w:szCs w:val="19"/>
          <w:color w:val="auto"/>
        </w:rPr>
      </w:pPr>
      <w:r>
        <w:rPr>
          <w:rFonts w:ascii="Arial" w:cs="Arial" w:eastAsia="Arial" w:hAnsi="Arial"/>
          <w:sz w:val="19"/>
          <w:szCs w:val="19"/>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w:t>
      </w:r>
    </w:p>
    <w:p>
      <w:pPr>
        <w:spacing w:after="0" w:line="2" w:lineRule="exact"/>
        <w:rPr>
          <w:rFonts w:ascii="Arial" w:cs="Arial" w:eastAsia="Arial" w:hAnsi="Arial"/>
          <w:sz w:val="19"/>
          <w:szCs w:val="19"/>
          <w:color w:val="auto"/>
        </w:rPr>
      </w:pPr>
    </w:p>
    <w:p>
      <w:pPr>
        <w:ind w:right="60"/>
        <w:spacing w:after="0" w:line="246" w:lineRule="auto"/>
        <w:rPr>
          <w:rFonts w:ascii="Arial" w:cs="Arial" w:eastAsia="Arial" w:hAnsi="Arial"/>
          <w:sz w:val="19"/>
          <w:szCs w:val="19"/>
          <w:color w:val="auto"/>
        </w:rPr>
      </w:pPr>
      <w:r>
        <w:rPr>
          <w:rFonts w:ascii="Arial" w:cs="Arial" w:eastAsia="Arial" w:hAnsi="Arial"/>
          <w:sz w:val="22"/>
          <w:szCs w:val="22"/>
          <w:color w:val="auto"/>
        </w:rPr>
        <w:t>U.S.C. Sections 1 16, and judgment upon the award rendered by the arbitrators may be entered by any court having jurisdiction thereof. The place of arbitration shall be San Francisco, California.</w:t>
      </w:r>
    </w:p>
    <w:p>
      <w:pPr>
        <w:spacing w:after="0" w:line="300" w:lineRule="exact"/>
        <w:rPr>
          <w:rFonts w:ascii="Arial" w:cs="Arial" w:eastAsia="Arial" w:hAnsi="Arial"/>
          <w:sz w:val="19"/>
          <w:szCs w:val="19"/>
          <w:color w:val="auto"/>
        </w:rPr>
      </w:pPr>
    </w:p>
    <w:p>
      <w:pPr>
        <w:jc w:val="both"/>
        <w:ind w:right="60" w:firstLine="1291"/>
        <w:spacing w:after="0" w:line="287" w:lineRule="auto"/>
        <w:tabs>
          <w:tab w:leader="none" w:pos="1831"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266" w:lineRule="exact"/>
        <w:rPr>
          <w:rFonts w:ascii="Arial" w:cs="Arial" w:eastAsia="Arial" w:hAnsi="Arial"/>
          <w:sz w:val="19"/>
          <w:szCs w:val="19"/>
          <w:color w:val="auto"/>
        </w:rPr>
      </w:pPr>
    </w:p>
    <w:p>
      <w:pPr>
        <w:jc w:val="both"/>
        <w:ind w:right="60" w:firstLine="1291"/>
        <w:spacing w:after="0" w:line="248" w:lineRule="auto"/>
        <w:tabs>
          <w:tab w:leader="none" w:pos="1833"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ectPr>
          <w:pgSz w:w="11900" w:h="16838" w:orient="portrait"/>
          <w:cols w:equalWidth="0" w:num="1">
            <w:col w:w="11080"/>
          </w:cols>
          <w:pgMar w:left="440" w:top="1428" w:right="379" w:bottom="1440" w:gutter="0" w:footer="0" w:header="0"/>
        </w:sectPr>
      </w:pPr>
    </w:p>
    <w:bookmarkStart w:id="57" w:name="page58"/>
    <w:bookmarkEnd w:id="57"/>
    <w:p>
      <w:pPr>
        <w:jc w:val="both"/>
        <w:ind w:firstLine="1292"/>
        <w:spacing w:after="0" w:line="287" w:lineRule="auto"/>
        <w:tabs>
          <w:tab w:leader="none" w:pos="183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020"/>
          </w:cols>
          <w:pgMar w:left="440" w:top="1428" w:right="439" w:bottom="1440" w:gutter="0" w:footer="0" w:header="0"/>
        </w:sectPr>
      </w:pPr>
    </w:p>
    <w:bookmarkStart w:id="58" w:name="page59"/>
    <w:bookmarkEnd w:id="58"/>
    <w:p>
      <w:pPr>
        <w:ind w:right="80" w:firstLine="648"/>
        <w:spacing w:after="0" w:line="26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as of the date first above written.</w:t>
      </w:r>
    </w:p>
    <w:p>
      <w:pPr>
        <w:spacing w:after="0" w:line="202"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DOCSEND, INC.</w:t>
      </w:r>
    </w:p>
    <w:p>
      <w:pPr>
        <w:spacing w:after="0" w:line="200" w:lineRule="exact"/>
        <w:rPr>
          <w:sz w:val="20"/>
          <w:szCs w:val="20"/>
          <w:color w:val="auto"/>
        </w:rPr>
      </w:pPr>
    </w:p>
    <w:p>
      <w:pPr>
        <w:spacing w:after="0" w:line="303" w:lineRule="exact"/>
        <w:rPr>
          <w:sz w:val="20"/>
          <w:szCs w:val="20"/>
          <w:color w:val="auto"/>
        </w:rPr>
      </w:pPr>
    </w:p>
    <w:p>
      <w:pPr>
        <w:ind w:left="420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-17780</wp:posOffset>
            </wp:positionV>
            <wp:extent cx="274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8"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Title: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OF THIS AGREEMENT, are hereby agreed to, by the undersigned as of the date first above written.</w:t>
      </w:r>
    </w:p>
    <w:p>
      <w:pPr>
        <w:spacing w:after="0" w:line="232"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OPTIONEE:</w:t>
      </w:r>
    </w:p>
    <w:p>
      <w:pPr>
        <w:spacing w:after="0" w:line="200" w:lineRule="exact"/>
        <w:rPr>
          <w:sz w:val="20"/>
          <w:szCs w:val="20"/>
          <w:color w:val="auto"/>
        </w:rPr>
      </w:pPr>
    </w:p>
    <w:p>
      <w:pPr>
        <w:spacing w:after="0" w:line="35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Name:</w:t>
      </w:r>
    </w:p>
    <w:p>
      <w:pPr>
        <w:spacing w:after="0" w:line="24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[SPOUSE’S CONSENT</w:t>
      </w:r>
      <w:r>
        <w:rPr>
          <w:rFonts w:ascii="Arial" w:cs="Arial" w:eastAsia="Arial" w:hAnsi="Arial"/>
          <w:sz w:val="28"/>
          <w:szCs w:val="28"/>
          <w:color w:val="auto"/>
          <w:vertAlign w:val="superscript"/>
        </w:rPr>
        <w:t>1</w:t>
      </w:r>
    </w:p>
    <w:p>
      <w:pPr>
        <w:spacing w:after="0"/>
        <w:rPr>
          <w:sz w:val="20"/>
          <w:szCs w:val="20"/>
          <w:color w:val="auto"/>
        </w:rPr>
      </w:pPr>
      <w:r>
        <w:rPr>
          <w:rFonts w:ascii="Arial" w:cs="Arial" w:eastAsia="Arial" w:hAnsi="Arial"/>
          <w:sz w:val="22"/>
          <w:szCs w:val="22"/>
          <w:color w:val="auto"/>
        </w:rPr>
        <w:t>I acknowledge that I have read the</w:t>
      </w:r>
    </w:p>
    <w:p>
      <w:pPr>
        <w:spacing w:after="0" w:line="3" w:lineRule="exact"/>
        <w:rPr>
          <w:sz w:val="20"/>
          <w:szCs w:val="20"/>
          <w:color w:val="auto"/>
        </w:rPr>
      </w:pPr>
    </w:p>
    <w:p>
      <w:pPr>
        <w:ind w:right="4660"/>
        <w:spacing w:after="0" w:line="246" w:lineRule="auto"/>
        <w:rPr>
          <w:sz w:val="20"/>
          <w:szCs w:val="20"/>
          <w:color w:val="auto"/>
        </w:rPr>
      </w:pPr>
      <w:r>
        <w:rPr>
          <w:rFonts w:ascii="Arial" w:cs="Arial" w:eastAsia="Arial" w:hAnsi="Arial"/>
          <w:sz w:val="22"/>
          <w:szCs w:val="22"/>
          <w:color w:val="auto"/>
        </w:rPr>
        <w:t>foregoing Incentive Stock Option Agreement and understand the contents thereof.</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u w:val="single" w:color="auto"/>
          <w:color w:val="auto"/>
        </w:rPr>
        <w:t>_________________</w:t>
      </w: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ind w:right="660" w:firstLine="385"/>
        <w:spacing w:after="0" w:line="227" w:lineRule="auto"/>
        <w:tabs>
          <w:tab w:leader="none" w:pos="492" w:val="left"/>
        </w:tabs>
        <w:numPr>
          <w:ilvl w:val="0"/>
          <w:numId w:val="101"/>
        </w:numPr>
        <w:rPr>
          <w:rFonts w:ascii="Arial" w:cs="Arial" w:eastAsia="Arial" w:hAnsi="Arial"/>
          <w:sz w:val="23"/>
          <w:szCs w:val="23"/>
          <w:color w:val="auto"/>
          <w:vertAlign w:val="superscript"/>
        </w:rPr>
      </w:pPr>
      <w:r>
        <w:rPr>
          <w:rFonts w:ascii="Arial" w:cs="Arial" w:eastAsia="Arial" w:hAnsi="Arial"/>
          <w:sz w:val="18"/>
          <w:szCs w:val="18"/>
          <w:color w:val="auto"/>
        </w:rPr>
        <w:t>A spouse’s consent is recommended only if the Optionee’s state of residence is one of the following community property states: Arizona, California, Idaho, Louisiana, Nevada, New Mexico, Texas, Washington and Wisconsin.</w:t>
      </w:r>
    </w:p>
    <w:p>
      <w:pPr>
        <w:sectPr>
          <w:pgSz w:w="11900" w:h="16838" w:orient="portrait"/>
          <w:cols w:equalWidth="0" w:num="1">
            <w:col w:w="11020"/>
          </w:cols>
          <w:pgMar w:left="440" w:top="1428" w:right="439" w:bottom="1440" w:gutter="0" w:footer="0" w:header="0"/>
        </w:sectPr>
      </w:pPr>
    </w:p>
    <w:bookmarkStart w:id="59" w:name="page60"/>
    <w:bookmarkEnd w:id="59"/>
    <w:p>
      <w:pPr>
        <w:jc w:val="center"/>
        <w:ind w:right="-240"/>
        <w:spacing w:after="0"/>
        <w:rPr>
          <w:sz w:val="20"/>
          <w:szCs w:val="20"/>
          <w:color w:val="auto"/>
        </w:rPr>
      </w:pPr>
      <w:r>
        <w:rPr>
          <w:rFonts w:ascii="Arial" w:cs="Arial" w:eastAsia="Arial" w:hAnsi="Arial"/>
          <w:sz w:val="19"/>
          <w:szCs w:val="19"/>
          <w:color w:val="auto"/>
        </w:rPr>
        <w:t>DESIGNATED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Beneficiary’s Address:</w:t>
      </w:r>
    </w:p>
    <w:p>
      <w:pPr>
        <w:sectPr>
          <w:pgSz w:w="11900" w:h="16838" w:orient="portrait"/>
          <w:cols w:equalWidth="0" w:num="1">
            <w:col w:w="9019"/>
          </w:cols>
          <w:pgMar w:left="1440" w:top="1428"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EXERCISE NOTICE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color w:val="auto"/>
        </w:rPr>
        <w:t>DocSend,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Pursuant to the terms of the grant notice and stock option agreement between the undersigned and DocSend, Inc. (the “Company”) dated (the “Agreement”) under the DocSend, Inc. 2015 Stock Option and Grant Plan, I, [Insert Name] , hereby [Circle One] partially/fully exercise such option by including herein payment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-194310</wp:posOffset>
            </wp:positionV>
            <wp:extent cx="205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-194310</wp:posOffset>
            </wp:positionV>
            <wp:extent cx="205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ind w:right="4460"/>
        <w:spacing w:after="0" w:line="246" w:lineRule="auto"/>
        <w:rPr>
          <w:sz w:val="20"/>
          <w:szCs w:val="20"/>
          <w:color w:val="auto"/>
        </w:rPr>
      </w:pPr>
      <w:r>
        <w:rPr>
          <w:rFonts w:ascii="Arial" w:cs="Arial" w:eastAsia="Arial" w:hAnsi="Arial"/>
          <w:sz w:val="22"/>
          <w:szCs w:val="22"/>
          <w:color w:val="auto"/>
        </w:rPr>
        <w:t>amount of $ representing the purchase price for [Fill in number of Shares] Shares. I have chosen the following form(s)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-198120</wp:posOffset>
            </wp:positionV>
            <wp:extent cx="137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-198120</wp:posOffset>
            </wp:positionV>
            <wp:extent cx="137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9" w:lineRule="exact"/>
        <w:rPr>
          <w:sz w:val="20"/>
          <w:szCs w:val="20"/>
          <w:color w:val="auto"/>
        </w:rPr>
      </w:pPr>
    </w:p>
    <w:p>
      <w:pPr>
        <w:ind w:left="1300"/>
        <w:spacing w:after="0"/>
        <w:tabs>
          <w:tab w:leader="none" w:pos="1680" w:val="left"/>
          <w:tab w:leader="none" w:pos="2060" w:val="left"/>
        </w:tabs>
        <w:rPr>
          <w:sz w:val="20"/>
          <w:szCs w:val="20"/>
          <w:color w:val="auto"/>
        </w:rPr>
      </w:pPr>
      <w:r>
        <w:rPr>
          <w:rFonts w:ascii="Arial" w:cs="Arial" w:eastAsia="Arial" w:hAnsi="Arial"/>
          <w:sz w:val="22"/>
          <w:szCs w:val="22"/>
          <w:color w:val="auto"/>
        </w:rPr>
        <w:t>[ ]</w:t>
        <w:tab/>
        <w:t>1.</w:t>
      </w:r>
      <w:r>
        <w:rPr>
          <w:sz w:val="20"/>
          <w:szCs w:val="20"/>
          <w:color w:val="auto"/>
        </w:rPr>
        <w:tab/>
      </w:r>
      <w:r>
        <w:rPr>
          <w:rFonts w:ascii="Arial" w:cs="Arial" w:eastAsia="Arial" w:hAnsi="Arial"/>
          <w:sz w:val="18"/>
          <w:szCs w:val="18"/>
          <w:color w:val="auto"/>
        </w:rPr>
        <w:t>Cash</w:t>
      </w:r>
    </w:p>
    <w:p>
      <w:pPr>
        <w:spacing w:after="0" w:line="21" w:lineRule="exact"/>
        <w:rPr>
          <w:sz w:val="20"/>
          <w:szCs w:val="20"/>
          <w:color w:val="auto"/>
        </w:rPr>
      </w:pPr>
    </w:p>
    <w:p>
      <w:pPr>
        <w:ind w:left="1300"/>
        <w:spacing w:after="0"/>
        <w:tabs>
          <w:tab w:leader="none" w:pos="1680" w:val="left"/>
          <w:tab w:leader="none" w:pos="2060" w:val="left"/>
        </w:tabs>
        <w:rPr>
          <w:sz w:val="20"/>
          <w:szCs w:val="20"/>
          <w:color w:val="auto"/>
        </w:rPr>
      </w:pPr>
      <w:r>
        <w:rPr>
          <w:rFonts w:ascii="Arial" w:cs="Arial" w:eastAsia="Arial" w:hAnsi="Arial"/>
          <w:sz w:val="22"/>
          <w:szCs w:val="22"/>
          <w:color w:val="auto"/>
        </w:rPr>
        <w:t>[ ]</w:t>
        <w:tab/>
        <w:t>2.</w:t>
      </w:r>
      <w:r>
        <w:rPr>
          <w:sz w:val="20"/>
          <w:szCs w:val="20"/>
          <w:color w:val="auto"/>
        </w:rPr>
        <w:tab/>
      </w:r>
      <w:r>
        <w:rPr>
          <w:rFonts w:ascii="Arial" w:cs="Arial" w:eastAsia="Arial" w:hAnsi="Arial"/>
          <w:sz w:val="19"/>
          <w:szCs w:val="19"/>
          <w:color w:val="auto"/>
        </w:rPr>
        <w:t>Certified or bank check payable to DocSend, Inc.</w:t>
      </w:r>
    </w:p>
    <w:p>
      <w:pPr>
        <w:spacing w:after="0" w:line="4" w:lineRule="exact"/>
        <w:rPr>
          <w:sz w:val="20"/>
          <w:szCs w:val="20"/>
          <w:color w:val="auto"/>
        </w:rPr>
      </w:pPr>
    </w:p>
    <w:p>
      <w:pPr>
        <w:ind w:left="1420" w:hanging="128"/>
        <w:spacing w:after="0"/>
        <w:tabs>
          <w:tab w:leader="none" w:pos="14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3.  Other (as referenced in the Agreement and described in the Plan (please describe))</w:t>
      </w:r>
    </w:p>
    <w:p>
      <w:pPr>
        <w:spacing w:after="0" w:line="242" w:lineRule="exact"/>
        <w:rPr>
          <w:rFonts w:ascii="Arial" w:cs="Arial" w:eastAsia="Arial" w:hAnsi="Arial"/>
          <w:sz w:val="22"/>
          <w:szCs w:val="22"/>
          <w:color w:val="auto"/>
        </w:rPr>
      </w:pPr>
    </w:p>
    <w:p>
      <w:pPr>
        <w:ind w:left="280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-17780</wp:posOffset>
            </wp:positionV>
            <wp:extent cx="137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0"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In connection with my exercise of the option as set forth above, I hereby represent and warrant to the Company as follows:</w:t>
      </w:r>
    </w:p>
    <w:p>
      <w:pPr>
        <w:spacing w:after="0" w:line="202" w:lineRule="exact"/>
        <w:rPr>
          <w:sz w:val="20"/>
          <w:szCs w:val="20"/>
          <w:color w:val="auto"/>
        </w:rPr>
      </w:pPr>
    </w:p>
    <w:p>
      <w:pPr>
        <w:ind w:left="640" w:right="20" w:firstLine="1299"/>
        <w:spacing w:after="0" w:line="263" w:lineRule="auto"/>
        <w:tabs>
          <w:tab w:leader="none" w:pos="246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 am purchasing the Shares for my own account for investment only, and not for resale or with a view to the distribution thereof.</w:t>
      </w:r>
    </w:p>
    <w:p>
      <w:pPr>
        <w:spacing w:after="0" w:line="215" w:lineRule="exact"/>
        <w:rPr>
          <w:rFonts w:ascii="Arial" w:cs="Arial" w:eastAsia="Arial" w:hAnsi="Arial"/>
          <w:sz w:val="22"/>
          <w:szCs w:val="22"/>
          <w:color w:val="auto"/>
        </w:rPr>
      </w:pPr>
    </w:p>
    <w:p>
      <w:pPr>
        <w:jc w:val="both"/>
        <w:ind w:left="640" w:right="20" w:firstLine="1300"/>
        <w:spacing w:after="0" w:line="253" w:lineRule="auto"/>
        <w:tabs>
          <w:tab w:leader="none" w:pos="247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225" w:lineRule="exact"/>
        <w:rPr>
          <w:rFonts w:ascii="Arial" w:cs="Arial" w:eastAsia="Arial" w:hAnsi="Arial"/>
          <w:sz w:val="22"/>
          <w:szCs w:val="22"/>
          <w:color w:val="auto"/>
        </w:rPr>
      </w:pPr>
    </w:p>
    <w:p>
      <w:pPr>
        <w:jc w:val="both"/>
        <w:ind w:left="640" w:right="20" w:firstLine="1300"/>
        <w:spacing w:after="0" w:line="253" w:lineRule="auto"/>
        <w:tabs>
          <w:tab w:leader="none" w:pos="247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212" w:lineRule="exact"/>
        <w:rPr>
          <w:rFonts w:ascii="Arial" w:cs="Arial" w:eastAsia="Arial" w:hAnsi="Arial"/>
          <w:sz w:val="22"/>
          <w:szCs w:val="22"/>
          <w:color w:val="auto"/>
        </w:rPr>
      </w:pPr>
    </w:p>
    <w:p>
      <w:pPr>
        <w:ind w:left="640" w:right="20" w:firstLine="1300"/>
        <w:spacing w:after="0" w:line="263" w:lineRule="auto"/>
        <w:tabs>
          <w:tab w:leader="none" w:pos="246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 can afford a complete loss of the value of the Shares and am able to bear the economic risk of holding such Shares for an indefinite period of time.</w:t>
      </w:r>
    </w:p>
    <w:p>
      <w:pPr>
        <w:spacing w:after="0" w:line="215" w:lineRule="exact"/>
        <w:rPr>
          <w:rFonts w:ascii="Arial" w:cs="Arial" w:eastAsia="Arial" w:hAnsi="Arial"/>
          <w:sz w:val="22"/>
          <w:szCs w:val="22"/>
          <w:color w:val="auto"/>
        </w:rPr>
      </w:pPr>
    </w:p>
    <w:p>
      <w:pPr>
        <w:ind w:left="640" w:right="20" w:firstLine="1300"/>
        <w:spacing w:after="0" w:line="263" w:lineRule="auto"/>
        <w:tabs>
          <w:tab w:leader="none" w:pos="247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 understand that the Shares may not be registered under the Securities Act of 1933 (it being understood that the Shares are being issued and sold in</w:t>
      </w:r>
    </w:p>
    <w:p>
      <w:pPr>
        <w:sectPr>
          <w:pgSz w:w="11900" w:h="16838" w:orient="portrait"/>
          <w:cols w:equalWidth="0" w:num="1">
            <w:col w:w="11020"/>
          </w:cols>
          <w:pgMar w:left="440" w:top="1422" w:right="439" w:bottom="1440" w:gutter="0" w:footer="0" w:header="0"/>
        </w:sectPr>
      </w:pPr>
    </w:p>
    <w:bookmarkStart w:id="61" w:name="page62"/>
    <w:bookmarkEnd w:id="61"/>
    <w:p>
      <w:pPr>
        <w:jc w:val="both"/>
        <w:ind w:right="20"/>
        <w:spacing w:after="0" w:line="263" w:lineRule="auto"/>
        <w:rPr>
          <w:sz w:val="20"/>
          <w:szCs w:val="20"/>
          <w:color w:val="auto"/>
        </w:rPr>
      </w:pPr>
      <w:r>
        <w:rPr>
          <w:rFonts w:ascii="Arial" w:cs="Arial" w:eastAsia="Arial" w:hAnsi="Arial"/>
          <w:sz w:val="22"/>
          <w:szCs w:val="22"/>
          <w:color w:val="auto"/>
        </w:rPr>
        <w:t>reliance on the exemption provided in Rule 701 thereunder) or any applicable state securities or “blue sky” laws and may not be sold or otherwise transferred or disposed of</w:t>
      </w:r>
    </w:p>
    <w:p>
      <w:pPr>
        <w:spacing w:after="0" w:line="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215" w:lineRule="exact"/>
        <w:rPr>
          <w:sz w:val="20"/>
          <w:szCs w:val="20"/>
          <w:color w:val="auto"/>
        </w:rPr>
      </w:pPr>
    </w:p>
    <w:p>
      <w:pPr>
        <w:jc w:val="both"/>
        <w:ind w:firstLine="1299"/>
        <w:spacing w:after="0" w:line="343" w:lineRule="auto"/>
        <w:tabs>
          <w:tab w:leader="none" w:pos="182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144" w:lineRule="exact"/>
        <w:rPr>
          <w:rFonts w:ascii="Arial" w:cs="Arial" w:eastAsia="Arial" w:hAnsi="Arial"/>
          <w:sz w:val="19"/>
          <w:szCs w:val="19"/>
          <w:color w:val="auto"/>
        </w:rPr>
      </w:pPr>
    </w:p>
    <w:p>
      <w:pPr>
        <w:ind w:right="20" w:firstLine="1300"/>
        <w:spacing w:after="0" w:line="263" w:lineRule="auto"/>
        <w:tabs>
          <w:tab w:leader="none" w:pos="183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 understand and agree that the Company has a right of first refusal with respect to the Shares pursuant to Section 9(b) of the Plan.</w:t>
      </w:r>
    </w:p>
    <w:p>
      <w:pPr>
        <w:spacing w:after="0" w:line="215" w:lineRule="exact"/>
        <w:rPr>
          <w:rFonts w:ascii="Arial" w:cs="Arial" w:eastAsia="Arial" w:hAnsi="Arial"/>
          <w:sz w:val="22"/>
          <w:szCs w:val="22"/>
          <w:color w:val="auto"/>
        </w:rPr>
      </w:pPr>
    </w:p>
    <w:p>
      <w:pPr>
        <w:ind w:firstLine="1300"/>
        <w:spacing w:after="0" w:line="263" w:lineRule="auto"/>
        <w:tabs>
          <w:tab w:leader="none" w:pos="183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 understand and agree that the Company has certain repurchase rights with respect to the Shares pursuant to Section 9(c) of the Plan.</w:t>
      </w:r>
    </w:p>
    <w:p>
      <w:pPr>
        <w:spacing w:after="0" w:line="201" w:lineRule="exact"/>
        <w:rPr>
          <w:rFonts w:ascii="Arial" w:cs="Arial" w:eastAsia="Arial" w:hAnsi="Arial"/>
          <w:sz w:val="22"/>
          <w:szCs w:val="22"/>
          <w:color w:val="auto"/>
        </w:rPr>
      </w:pPr>
    </w:p>
    <w:p>
      <w:pPr>
        <w:jc w:val="both"/>
        <w:ind w:firstLine="1300"/>
        <w:spacing w:after="0" w:line="343" w:lineRule="auto"/>
        <w:tabs>
          <w:tab w:leader="none" w:pos="182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 understand and agree that I may not sell or otherwise transfer or dispose of the Shares for a period of time following the effective date of a public offering by the Company as described in Section 9(f) of the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Sincerely yours,</w:t>
      </w:r>
    </w:p>
    <w:p>
      <w:pPr>
        <w:spacing w:after="0" w:line="200" w:lineRule="exact"/>
        <w:rPr>
          <w:sz w:val="20"/>
          <w:szCs w:val="20"/>
          <w:color w:val="auto"/>
        </w:rPr>
      </w:pPr>
    </w:p>
    <w:p>
      <w:pPr>
        <w:spacing w:after="0" w:line="371"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-17780</wp:posOffset>
            </wp:positionV>
            <wp:extent cx="171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0380"/>
          </w:cols>
          <w:pgMar w:left="1080" w:top="1360" w:right="439" w:bottom="1440" w:gutter="0" w:footer="0" w:header="0"/>
        </w:sectPr>
      </w:pPr>
    </w:p>
    <w:bookmarkStart w:id="62" w:name="page63"/>
    <w:bookmarkEnd w:id="62"/>
    <w:p>
      <w:pPr>
        <w:jc w:val="center"/>
        <w:spacing w:after="0"/>
        <w:rPr>
          <w:sz w:val="20"/>
          <w:szCs w:val="20"/>
          <w:color w:val="auto"/>
        </w:rPr>
      </w:pPr>
      <w:r>
        <w:rPr>
          <w:rFonts w:ascii="Arial" w:cs="Arial" w:eastAsia="Arial" w:hAnsi="Arial"/>
          <w:sz w:val="25"/>
          <w:szCs w:val="25"/>
          <w:b w:val="1"/>
          <w:bCs w:val="1"/>
          <w:color w:val="auto"/>
        </w:rPr>
        <w:t>NON-QUALIFIED STOCK OPTION GRANT NOTICE UNDER THE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DOCSEND,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2015 STOCK OPTION AND GRANT PLAN</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Pursuant to the DocSend, Inc. 2015 Stock Option and Grant Plan (the “Plan”), DocSend,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$0.001 per share (“Common Stock”), of the Company indicated below (the “Shares”), at the Option Exercise Price per share, subject to the terms and conditions set forth in this Non-Qualified Stock Option Grant Notice (the “Grant Notice”), the attached Non- Qualified Stock Option Agreement (the “Agreement”) and the Plan. This Stock Option is not intended to qualify as an “incentive stock option” as defined in Section 422(b) of the Internal Revenue Code of 1986, as amended from time to time (the “Code”).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00" w:type="dxa"/>
            <w:vAlign w:val="bottom"/>
            <w:gridSpan w:val="3"/>
          </w:tcPr>
          <w:p>
            <w:pPr>
              <w:spacing w:after="0"/>
              <w:rPr>
                <w:sz w:val="20"/>
                <w:szCs w:val="20"/>
                <w:color w:val="auto"/>
              </w:rPr>
            </w:pPr>
            <w:r>
              <w:rPr>
                <w:rFonts w:ascii="Arial" w:cs="Arial" w:eastAsia="Arial" w:hAnsi="Arial"/>
                <w:sz w:val="22"/>
                <w:szCs w:val="22"/>
                <w:color w:val="auto"/>
                <w:w w:val="90"/>
              </w:rPr>
              <w:t>Name of Optionee:</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80" w:type="dxa"/>
            <w:vAlign w:val="bottom"/>
            <w:gridSpan w:val="6"/>
          </w:tcPr>
          <w:p>
            <w:pPr>
              <w:ind w:left="40"/>
              <w:spacing w:after="0"/>
              <w:rPr>
                <w:sz w:val="20"/>
                <w:szCs w:val="20"/>
                <w:color w:val="auto"/>
              </w:rPr>
            </w:pPr>
            <w:r>
              <w:rPr>
                <w:rFonts w:ascii="Arial" w:cs="Arial" w:eastAsia="Arial" w:hAnsi="Arial"/>
                <w:sz w:val="22"/>
                <w:szCs w:val="22"/>
                <w:color w:val="auto"/>
              </w:rPr>
              <w:t>(the “Optionee”) No. of Shares:</w:t>
            </w:r>
          </w:p>
        </w:tc>
        <w:tc>
          <w:tcPr>
            <w:tcW w:w="2360" w:type="dxa"/>
            <w:vAlign w:val="bottom"/>
          </w:tcPr>
          <w:p>
            <w:pPr>
              <w:ind w:left="40"/>
              <w:spacing w:after="0"/>
              <w:rPr>
                <w:sz w:val="20"/>
                <w:szCs w:val="20"/>
                <w:color w:val="auto"/>
              </w:rPr>
            </w:pPr>
            <w:r>
              <w:rPr>
                <w:rFonts w:ascii="Arial" w:cs="Arial" w:eastAsia="Arial" w:hAnsi="Arial"/>
                <w:sz w:val="22"/>
                <w:szCs w:val="22"/>
                <w:color w:val="auto"/>
                <w:w w:val="91"/>
              </w:rPr>
              <w:t>Shares of Common Stock</w:t>
            </w:r>
          </w:p>
        </w:tc>
        <w:tc>
          <w:tcPr>
            <w:tcW w:w="3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344"/>
        </w:trPr>
        <w:tc>
          <w:tcPr>
            <w:tcW w:w="1220" w:type="dxa"/>
            <w:vAlign w:val="bottom"/>
          </w:tcPr>
          <w:p>
            <w:pPr>
              <w:spacing w:after="0"/>
              <w:rPr>
                <w:sz w:val="20"/>
                <w:szCs w:val="20"/>
                <w:color w:val="auto"/>
              </w:rPr>
            </w:pPr>
            <w:r>
              <w:rPr>
                <w:rFonts w:ascii="Arial" w:cs="Arial" w:eastAsia="Arial" w:hAnsi="Arial"/>
                <w:sz w:val="22"/>
                <w:szCs w:val="22"/>
                <w:color w:val="auto"/>
              </w:rPr>
              <w:t>Grant Date:</w:t>
            </w:r>
          </w:p>
        </w:tc>
        <w:tc>
          <w:tcPr>
            <w:tcW w:w="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588"/>
        </w:trPr>
        <w:tc>
          <w:tcPr>
            <w:tcW w:w="2640" w:type="dxa"/>
            <w:vAlign w:val="bottom"/>
            <w:gridSpan w:val="6"/>
          </w:tcPr>
          <w:p>
            <w:pPr>
              <w:spacing w:after="0"/>
              <w:rPr>
                <w:sz w:val="20"/>
                <w:szCs w:val="20"/>
                <w:color w:val="auto"/>
              </w:rPr>
            </w:pPr>
            <w:r>
              <w:rPr>
                <w:rFonts w:ascii="Arial" w:cs="Arial" w:eastAsia="Arial" w:hAnsi="Arial"/>
                <w:sz w:val="22"/>
                <w:szCs w:val="22"/>
                <w:color w:val="auto"/>
                <w:w w:val="87"/>
              </w:rPr>
              <w:t>Vesting Commencement Date:</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40" w:type="dxa"/>
            <w:vAlign w:val="bottom"/>
            <w:gridSpan w:val="3"/>
          </w:tcPr>
          <w:p>
            <w:pPr>
              <w:spacing w:after="0"/>
              <w:rPr>
                <w:sz w:val="20"/>
                <w:szCs w:val="20"/>
                <w:color w:val="auto"/>
              </w:rPr>
            </w:pPr>
            <w:r>
              <w:rPr>
                <w:rFonts w:ascii="Arial" w:cs="Arial" w:eastAsia="Arial" w:hAnsi="Arial"/>
                <w:sz w:val="22"/>
                <w:szCs w:val="22"/>
                <w:color w:val="auto"/>
                <w:w w:val="94"/>
              </w:rPr>
              <w:t>(the “Vesting Commencement Date”) Expiration Date:</w:t>
            </w:r>
          </w:p>
        </w:tc>
        <w:tc>
          <w:tcPr>
            <w:tcW w:w="320" w:type="dxa"/>
            <w:vAlign w:val="bottom"/>
            <w:tcBorders>
              <w:bottom w:val="single" w:sz="8" w:color="auto"/>
            </w:tcBorders>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22"/>
                <w:szCs w:val="22"/>
                <w:color w:val="auto"/>
                <w:w w:val="93"/>
              </w:rPr>
              <w:t>(the “Expiration Date”)</w:t>
            </w:r>
          </w:p>
        </w:tc>
      </w:tr>
      <w:tr>
        <w:trPr>
          <w:trHeight w:val="345"/>
        </w:trPr>
        <w:tc>
          <w:tcPr>
            <w:tcW w:w="2820" w:type="dxa"/>
            <w:vAlign w:val="bottom"/>
            <w:gridSpan w:val="7"/>
          </w:tcPr>
          <w:p>
            <w:pPr>
              <w:spacing w:after="0"/>
              <w:rPr>
                <w:sz w:val="20"/>
                <w:szCs w:val="20"/>
                <w:color w:val="auto"/>
              </w:rPr>
            </w:pPr>
            <w:r>
              <w:rPr>
                <w:rFonts w:ascii="Arial" w:cs="Arial" w:eastAsia="Arial" w:hAnsi="Arial"/>
                <w:sz w:val="22"/>
                <w:szCs w:val="22"/>
                <w:color w:val="auto"/>
                <w:w w:val="91"/>
              </w:rPr>
              <w:t>Option Exercise Price/Share:  $</w:t>
            </w:r>
          </w:p>
        </w:tc>
        <w:tc>
          <w:tcPr>
            <w:tcW w:w="220" w:type="dxa"/>
            <w:vAlign w:val="bottom"/>
            <w:tcBorders>
              <w:bottom w:val="single" w:sz="8" w:color="auto"/>
            </w:tcBorders>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22"/>
                <w:szCs w:val="22"/>
                <w:color w:val="auto"/>
                <w:w w:val="92"/>
              </w:rPr>
              <w:t>(the “Option Exercise Price”)</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530"/>
        </w:trPr>
        <w:tc>
          <w:tcPr>
            <w:tcW w:w="1700" w:type="dxa"/>
            <w:vAlign w:val="bottom"/>
            <w:gridSpan w:val="3"/>
          </w:tcPr>
          <w:p>
            <w:pPr>
              <w:spacing w:after="0"/>
              <w:rPr>
                <w:sz w:val="20"/>
                <w:szCs w:val="20"/>
                <w:color w:val="auto"/>
              </w:rPr>
            </w:pPr>
            <w:r>
              <w:rPr>
                <w:rFonts w:ascii="Arial" w:cs="Arial" w:eastAsia="Arial" w:hAnsi="Arial"/>
                <w:sz w:val="22"/>
                <w:szCs w:val="22"/>
                <w:color w:val="auto"/>
                <w:w w:val="94"/>
              </w:rPr>
              <w:t>Vesting Schedule:</w:t>
            </w:r>
          </w:p>
        </w:tc>
        <w:tc>
          <w:tcPr>
            <w:tcW w:w="6300" w:type="dxa"/>
            <w:vAlign w:val="bottom"/>
            <w:gridSpan w:val="9"/>
          </w:tcPr>
          <w:p>
            <w:pPr>
              <w:ind w:left="60"/>
              <w:spacing w:after="0"/>
              <w:rPr>
                <w:sz w:val="20"/>
                <w:szCs w:val="20"/>
                <w:color w:val="auto"/>
              </w:rPr>
            </w:pPr>
            <w:r>
              <w:rPr>
                <w:rFonts w:ascii="Arial" w:cs="Arial" w:eastAsia="Arial" w:hAnsi="Arial"/>
                <w:sz w:val="22"/>
                <w:szCs w:val="22"/>
                <w:color w:val="auto"/>
              </w:rPr>
              <w:t>The Shares shall vest and become exercisable in 24 equal</w:t>
            </w: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jc w:val="both"/>
        <w:ind w:left="2800"/>
        <w:spacing w:after="0" w:line="244" w:lineRule="auto"/>
        <w:rPr>
          <w:sz w:val="20"/>
          <w:szCs w:val="20"/>
          <w:color w:val="auto"/>
        </w:rPr>
      </w:pPr>
      <w:r>
        <w:rPr>
          <w:rFonts w:ascii="Arial" w:cs="Arial" w:eastAsia="Arial" w:hAnsi="Arial"/>
          <w:sz w:val="22"/>
          <w:szCs w:val="22"/>
          <w:color w:val="auto"/>
        </w:rPr>
        <w:t>monthly installments following the first anniversary of the Vesting Commencement Date, provided the Optionee continues to have a Service Relationship with the Company on each vesting date. Notwithstanding anything in the Agreement to the contrary, in the case of a Sale Event, this Stock Option and the Shares shall be treated as provided in Section 3(c) of the Plan</w:t>
      </w:r>
      <w:r>
        <w:rPr>
          <w:rFonts w:ascii="Arial" w:cs="Arial" w:eastAsia="Arial" w:hAnsi="Arial"/>
          <w:sz w:val="22"/>
          <w:szCs w:val="22"/>
          <w:b w:val="1"/>
          <w:bCs w:val="1"/>
          <w:color w:val="auto"/>
        </w:rPr>
        <w:t>.</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Attachments</w:t>
      </w:r>
      <w:r>
        <w:rPr>
          <w:rFonts w:ascii="Arial" w:cs="Arial" w:eastAsia="Arial" w:hAnsi="Arial"/>
          <w:sz w:val="22"/>
          <w:szCs w:val="22"/>
          <w:color w:val="auto"/>
        </w:rPr>
        <w:t>: Non-Qualified Stock Option Agreement, 2015 Stock Option and Grant Plan</w:t>
      </w:r>
    </w:p>
    <w:p>
      <w:pPr>
        <w:sectPr>
          <w:pgSz w:w="11900" w:h="16838" w:orient="portrait"/>
          <w:cols w:equalWidth="0" w:num="1">
            <w:col w:w="11020"/>
          </w:cols>
          <w:pgMar w:left="440" w:top="1413" w:right="439" w:bottom="1440" w:gutter="0" w:footer="0" w:header="0"/>
        </w:sectPr>
      </w:pPr>
    </w:p>
    <w:bookmarkStart w:id="63" w:name="page64"/>
    <w:bookmarkEnd w:id="63"/>
    <w:p>
      <w:pPr>
        <w:jc w:val="center"/>
        <w:spacing w:after="0"/>
        <w:rPr>
          <w:sz w:val="20"/>
          <w:szCs w:val="20"/>
          <w:color w:val="auto"/>
        </w:rPr>
      </w:pPr>
      <w:r>
        <w:rPr>
          <w:rFonts w:ascii="Arial" w:cs="Arial" w:eastAsia="Arial" w:hAnsi="Arial"/>
          <w:sz w:val="25"/>
          <w:szCs w:val="25"/>
          <w:b w:val="1"/>
          <w:bCs w:val="1"/>
          <w:color w:val="auto"/>
        </w:rPr>
        <w:t>NON-QUALIFIED STOCK OPTION AGREEMENT UNDER THE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DOCSEND,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2015 STOCK OPTION AND GRANT PLAN</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All capitalized terms used herein and not otherwise defined shall have the respective meanings set forth in the Grant Notice and the Plan.</w:t>
      </w:r>
    </w:p>
    <w:p>
      <w:pPr>
        <w:spacing w:after="0" w:line="215" w:lineRule="exact"/>
        <w:rPr>
          <w:sz w:val="20"/>
          <w:szCs w:val="20"/>
          <w:color w:val="auto"/>
        </w:rPr>
      </w:pPr>
    </w:p>
    <w:p>
      <w:pPr>
        <w:ind w:left="1300" w:hanging="656"/>
        <w:spacing w:after="0"/>
        <w:tabs>
          <w:tab w:leader="none" w:pos="130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Vesting, Exercisability and Termination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820" w:hanging="528"/>
        <w:spacing w:after="0"/>
        <w:tabs>
          <w:tab w:leader="none" w:pos="182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No portion of this Stock Option may be exercised until such portion shall have vested and become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exercisable.</w:t>
      </w:r>
    </w:p>
    <w:p>
      <w:pPr>
        <w:spacing w:after="0" w:line="228" w:lineRule="exact"/>
        <w:rPr>
          <w:rFonts w:ascii="Arial" w:cs="Arial" w:eastAsia="Arial" w:hAnsi="Arial"/>
          <w:sz w:val="21"/>
          <w:szCs w:val="21"/>
          <w:color w:val="auto"/>
        </w:rPr>
      </w:pPr>
    </w:p>
    <w:p>
      <w:pPr>
        <w:jc w:val="both"/>
        <w:ind w:firstLine="1292"/>
        <w:spacing w:after="0" w:line="253" w:lineRule="auto"/>
        <w:tabs>
          <w:tab w:leader="none" w:pos="1831" w:val="left"/>
        </w:tabs>
        <w:numPr>
          <w:ilvl w:val="1"/>
          <w:numId w:val="105"/>
        </w:numPr>
        <w:rPr>
          <w:rFonts w:ascii="Arial" w:cs="Arial" w:eastAsia="Arial" w:hAnsi="Arial"/>
          <w:sz w:val="22"/>
          <w:szCs w:val="22"/>
          <w:color w:val="auto"/>
        </w:rPr>
      </w:pPr>
      <w:r>
        <w:rPr>
          <w:rFonts w:ascii="Arial" w:cs="Arial" w:eastAsia="Arial" w:hAnsi="Arial"/>
          <w:sz w:val="22"/>
          <w:szCs w:val="22"/>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225" w:lineRule="exact"/>
        <w:rPr>
          <w:rFonts w:ascii="Arial" w:cs="Arial" w:eastAsia="Arial" w:hAnsi="Arial"/>
          <w:sz w:val="22"/>
          <w:szCs w:val="22"/>
          <w:color w:val="auto"/>
        </w:rPr>
      </w:pPr>
    </w:p>
    <w:p>
      <w:pPr>
        <w:ind w:left="2580" w:hanging="844"/>
        <w:spacing w:after="0"/>
        <w:tabs>
          <w:tab w:leader="none" w:pos="2580" w:val="left"/>
        </w:tabs>
        <w:numPr>
          <w:ilvl w:val="2"/>
          <w:numId w:val="105"/>
        </w:numPr>
        <w:rPr>
          <w:rFonts w:ascii="Arial" w:cs="Arial" w:eastAsia="Arial" w:hAnsi="Arial"/>
          <w:sz w:val="22"/>
          <w:szCs w:val="22"/>
          <w:color w:val="auto"/>
        </w:rPr>
      </w:pPr>
      <w:r>
        <w:rPr>
          <w:rFonts w:ascii="Arial" w:cs="Arial" w:eastAsia="Arial" w:hAnsi="Arial"/>
          <w:sz w:val="22"/>
          <w:szCs w:val="22"/>
          <w:color w:val="auto"/>
        </w:rPr>
        <w:t>This Stock Option shall initially be unvested and unexercisable.</w:t>
      </w:r>
    </w:p>
    <w:p>
      <w:pPr>
        <w:spacing w:after="0" w:line="260" w:lineRule="exact"/>
        <w:rPr>
          <w:rFonts w:ascii="Arial" w:cs="Arial" w:eastAsia="Arial" w:hAnsi="Arial"/>
          <w:sz w:val="22"/>
          <w:szCs w:val="22"/>
          <w:color w:val="auto"/>
        </w:rPr>
      </w:pPr>
    </w:p>
    <w:p>
      <w:pPr>
        <w:ind w:left="640" w:firstLine="1036"/>
        <w:spacing w:after="0" w:line="263" w:lineRule="auto"/>
        <w:tabs>
          <w:tab w:leader="none" w:pos="2476" w:val="left"/>
        </w:tabs>
        <w:numPr>
          <w:ilvl w:val="2"/>
          <w:numId w:val="105"/>
        </w:numPr>
        <w:rPr>
          <w:rFonts w:ascii="Arial" w:cs="Arial" w:eastAsia="Arial" w:hAnsi="Arial"/>
          <w:sz w:val="22"/>
          <w:szCs w:val="22"/>
          <w:color w:val="auto"/>
        </w:rPr>
      </w:pPr>
      <w:r>
        <w:rPr>
          <w:rFonts w:ascii="Arial" w:cs="Arial" w:eastAsia="Arial" w:hAnsi="Arial"/>
          <w:sz w:val="22"/>
          <w:szCs w:val="22"/>
          <w:color w:val="auto"/>
        </w:rPr>
        <w:t>This Stock Option shall vest and become exercisable in accordance with the Vesting Schedule set forth in the Grant Notice.</w:t>
      </w:r>
    </w:p>
    <w:p>
      <w:pPr>
        <w:spacing w:after="0" w:line="201" w:lineRule="exact"/>
        <w:rPr>
          <w:rFonts w:ascii="Arial" w:cs="Arial" w:eastAsia="Arial" w:hAnsi="Arial"/>
          <w:sz w:val="22"/>
          <w:szCs w:val="22"/>
          <w:color w:val="auto"/>
        </w:rPr>
      </w:pPr>
    </w:p>
    <w:p>
      <w:pPr>
        <w:jc w:val="both"/>
        <w:ind w:firstLine="1292"/>
        <w:spacing w:after="0" w:line="250" w:lineRule="auto"/>
        <w:tabs>
          <w:tab w:leader="none" w:pos="1833"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228" w:lineRule="exact"/>
        <w:rPr>
          <w:rFonts w:ascii="Arial" w:cs="Arial" w:eastAsia="Arial" w:hAnsi="Arial"/>
          <w:sz w:val="22"/>
          <w:szCs w:val="22"/>
          <w:color w:val="auto"/>
        </w:rPr>
      </w:pPr>
    </w:p>
    <w:p>
      <w:pPr>
        <w:jc w:val="both"/>
        <w:ind w:left="640" w:firstLine="1095"/>
        <w:spacing w:after="0" w:line="250" w:lineRule="auto"/>
        <w:tabs>
          <w:tab w:leader="none" w:pos="2476" w:val="left"/>
        </w:tabs>
        <w:numPr>
          <w:ilvl w:val="2"/>
          <w:numId w:val="105"/>
        </w:numPr>
        <w:rPr>
          <w:rFonts w:ascii="Arial" w:cs="Arial" w:eastAsia="Arial" w:hAnsi="Arial"/>
          <w:sz w:val="22"/>
          <w:szCs w:val="22"/>
          <w:color w:val="auto"/>
        </w:rPr>
      </w:pPr>
      <w:r>
        <w:rPr>
          <w:rFonts w:ascii="Arial" w:cs="Arial" w:eastAsia="Arial" w:hAnsi="Arial"/>
          <w:sz w:val="22"/>
          <w:szCs w:val="22"/>
          <w:u w:val="single" w:color="auto"/>
          <w:color w:val="auto"/>
        </w:rPr>
        <w:t>Termination Due to Death or Disability</w:t>
      </w:r>
      <w:r>
        <w:rPr>
          <w:rFonts w:ascii="Arial" w:cs="Arial" w:eastAsia="Arial" w:hAnsi="Arial"/>
          <w:sz w:val="22"/>
          <w:szCs w:val="22"/>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228" w:lineRule="exact"/>
        <w:rPr>
          <w:rFonts w:ascii="Arial" w:cs="Arial" w:eastAsia="Arial" w:hAnsi="Arial"/>
          <w:sz w:val="22"/>
          <w:szCs w:val="22"/>
          <w:color w:val="auto"/>
        </w:rPr>
      </w:pPr>
    </w:p>
    <w:p>
      <w:pPr>
        <w:jc w:val="both"/>
        <w:ind w:left="640" w:firstLine="1035"/>
        <w:spacing w:after="0" w:line="248" w:lineRule="auto"/>
        <w:tabs>
          <w:tab w:leader="none" w:pos="2476" w:val="left"/>
        </w:tabs>
        <w:numPr>
          <w:ilvl w:val="2"/>
          <w:numId w:val="105"/>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Arial" w:cs="Arial" w:eastAsia="Arial" w:hAnsi="Arial"/>
          <w:sz w:val="22"/>
          <w:szCs w:val="22"/>
          <w:u w:val="single" w:color="auto"/>
          <w:color w:val="auto"/>
        </w:rPr>
        <w:t>provided however</w:t>
      </w:r>
      <w:r>
        <w:rPr>
          <w:rFonts w:ascii="Arial" w:cs="Arial" w:eastAsia="Arial" w:hAnsi="Arial"/>
          <w:sz w:val="22"/>
          <w:szCs w:val="22"/>
          <w:color w:val="auto"/>
        </w:rPr>
        <w:t>, if the Optionee’s Service Relationship is terminated for Cause, this Stock Option shall terminate immediately upon the date of such termination.</w:t>
      </w:r>
    </w:p>
    <w:p>
      <w:pPr>
        <w:spacing w:after="0" w:line="21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vested and exercisable on the date of termination of the Service Relationship shall terminate immediately and be null and void.</w:t>
      </w:r>
    </w:p>
    <w:p>
      <w:pPr>
        <w:sectPr>
          <w:pgSz w:w="11900" w:h="16838" w:orient="portrait"/>
          <w:cols w:equalWidth="0" w:num="1">
            <w:col w:w="11020"/>
          </w:cols>
          <w:pgMar w:left="440" w:top="1413" w:right="439" w:bottom="1440" w:gutter="0" w:footer="0" w:header="0"/>
        </w:sectPr>
      </w:pPr>
    </w:p>
    <w:bookmarkStart w:id="64" w:name="page65"/>
    <w:bookmarkEnd w:id="64"/>
    <w:p>
      <w:pPr>
        <w:ind w:left="657" w:hanging="656"/>
        <w:spacing w:after="0"/>
        <w:tabs>
          <w:tab w:leader="none" w:pos="657"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Exercise of Stock Option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643" w:firstLine="1291"/>
        <w:spacing w:after="0" w:line="294" w:lineRule="auto"/>
        <w:tabs>
          <w:tab w:leader="none" w:pos="119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The Optionee may exercise this Stock Option only in the following manner: Prior to the Expiration Date, the Optionee may deliver a Stock Option exercise notice (an “Exercise Notice”) in the form of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189" w:lineRule="exact"/>
        <w:rPr>
          <w:rFonts w:ascii="Arial" w:cs="Arial" w:eastAsia="Arial" w:hAnsi="Arial"/>
          <w:sz w:val="19"/>
          <w:szCs w:val="19"/>
          <w:color w:val="auto"/>
        </w:rPr>
      </w:pPr>
    </w:p>
    <w:p>
      <w:pPr>
        <w:ind w:left="-643" w:firstLine="1291"/>
        <w:spacing w:after="0" w:line="263" w:lineRule="auto"/>
        <w:tabs>
          <w:tab w:leader="none" w:pos="1188" w:val="left"/>
        </w:tabs>
        <w:numPr>
          <w:ilvl w:val="1"/>
          <w:numId w:val="106"/>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w:t>
      </w:r>
    </w:p>
    <w:p>
      <w:pPr>
        <w:spacing w:after="0" w:line="215" w:lineRule="exact"/>
        <w:rPr>
          <w:rFonts w:ascii="Arial" w:cs="Arial" w:eastAsia="Arial" w:hAnsi="Arial"/>
          <w:sz w:val="22"/>
          <w:szCs w:val="22"/>
          <w:color w:val="auto"/>
        </w:rPr>
      </w:pPr>
    </w:p>
    <w:p>
      <w:pPr>
        <w:ind w:left="-643" w:firstLine="644"/>
        <w:spacing w:after="0" w:line="263" w:lineRule="auto"/>
        <w:tabs>
          <w:tab w:leader="none" w:pos="545"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w:t>
      </w:r>
    </w:p>
    <w:p>
      <w:pPr>
        <w:spacing w:after="0" w:line="201" w:lineRule="exact"/>
        <w:rPr>
          <w:rFonts w:ascii="Arial" w:cs="Arial" w:eastAsia="Arial" w:hAnsi="Arial"/>
          <w:sz w:val="22"/>
          <w:szCs w:val="22"/>
          <w:color w:val="auto"/>
        </w:rPr>
      </w:pPr>
    </w:p>
    <w:p>
      <w:pPr>
        <w:jc w:val="both"/>
        <w:ind w:left="-643" w:firstLine="643"/>
        <w:spacing w:after="0" w:line="259" w:lineRule="auto"/>
        <w:tabs>
          <w:tab w:leader="none" w:pos="545"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Transferability of Stock Option</w:t>
      </w:r>
      <w:r>
        <w:rPr>
          <w:rFonts w:ascii="Arial" w:cs="Arial" w:eastAsia="Arial" w:hAnsi="Arial"/>
          <w:sz w:val="21"/>
          <w:szCs w:val="21"/>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219" w:lineRule="exact"/>
        <w:rPr>
          <w:rFonts w:ascii="Arial" w:cs="Arial" w:eastAsia="Arial" w:hAnsi="Arial"/>
          <w:sz w:val="21"/>
          <w:szCs w:val="21"/>
          <w:color w:val="auto"/>
        </w:rPr>
      </w:pPr>
    </w:p>
    <w:p>
      <w:pPr>
        <w:jc w:val="both"/>
        <w:ind w:left="-643" w:firstLine="644"/>
        <w:spacing w:after="0" w:line="253" w:lineRule="auto"/>
        <w:tabs>
          <w:tab w:leader="none" w:pos="545"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Shares</w:t>
      </w:r>
      <w:r>
        <w:rPr>
          <w:rFonts w:ascii="Arial" w:cs="Arial" w:eastAsia="Arial" w:hAnsi="Arial"/>
          <w:sz w:val="22"/>
          <w:szCs w:val="22"/>
          <w:color w:val="auto"/>
        </w:rPr>
        <w:t>. The Shares acquired upon exercise of the Stock Option shall be subject to certain transfer restrictions and other limitations including, without limitation, the provisions contained in Section 9 of the Plan.</w:t>
      </w:r>
    </w:p>
    <w:p>
      <w:pPr>
        <w:spacing w:after="0" w:line="225" w:lineRule="exact"/>
        <w:rPr>
          <w:rFonts w:ascii="Arial" w:cs="Arial" w:eastAsia="Arial" w:hAnsi="Arial"/>
          <w:sz w:val="22"/>
          <w:szCs w:val="22"/>
          <w:color w:val="auto"/>
        </w:rPr>
      </w:pPr>
    </w:p>
    <w:p>
      <w:pPr>
        <w:ind w:left="657" w:hanging="656"/>
        <w:spacing w:after="0"/>
        <w:tabs>
          <w:tab w:leader="none" w:pos="657"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643" w:right="20" w:firstLine="1291"/>
        <w:spacing w:after="0" w:line="253" w:lineRule="auto"/>
        <w:tabs>
          <w:tab w:leader="none" w:pos="1190"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Equitable Relief</w:t>
      </w:r>
      <w:r>
        <w:rPr>
          <w:rFonts w:ascii="Arial" w:cs="Arial" w:eastAsia="Arial" w:hAnsi="Arial"/>
          <w:sz w:val="22"/>
          <w:szCs w:val="22"/>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225" w:lineRule="exact"/>
        <w:rPr>
          <w:rFonts w:ascii="Arial" w:cs="Arial" w:eastAsia="Arial" w:hAnsi="Arial"/>
          <w:sz w:val="22"/>
          <w:szCs w:val="22"/>
          <w:color w:val="auto"/>
        </w:rPr>
      </w:pPr>
    </w:p>
    <w:p>
      <w:pPr>
        <w:jc w:val="both"/>
        <w:ind w:left="-643" w:firstLine="1292"/>
        <w:spacing w:after="0" w:line="247" w:lineRule="auto"/>
        <w:tabs>
          <w:tab w:leader="none" w:pos="1188"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Adjustments for Changes in Capital Structure</w:t>
      </w:r>
      <w:r>
        <w:rPr>
          <w:rFonts w:ascii="Arial" w:cs="Arial" w:eastAsia="Arial" w:hAnsi="Arial"/>
          <w:sz w:val="22"/>
          <w:szCs w:val="22"/>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ectPr>
          <w:pgSz w:w="11900" w:h="16838" w:orient="portrait"/>
          <w:cols w:equalWidth="0" w:num="1">
            <w:col w:w="10377"/>
          </w:cols>
          <w:pgMar w:left="1083" w:top="1428" w:right="439" w:bottom="1440" w:gutter="0" w:footer="0" w:header="0"/>
        </w:sectPr>
      </w:pPr>
    </w:p>
    <w:bookmarkStart w:id="65" w:name="page66"/>
    <w:bookmarkEnd w:id="65"/>
    <w:p>
      <w:pPr>
        <w:jc w:val="both"/>
        <w:ind w:firstLine="1292"/>
        <w:spacing w:after="0" w:line="253" w:lineRule="auto"/>
        <w:tabs>
          <w:tab w:leader="none" w:pos="1833"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Change and Modifications</w:t>
      </w:r>
      <w:r>
        <w:rPr>
          <w:rFonts w:ascii="Arial" w:cs="Arial" w:eastAsia="Arial" w:hAnsi="Arial"/>
          <w:sz w:val="22"/>
          <w:szCs w:val="22"/>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212" w:lineRule="exact"/>
        <w:rPr>
          <w:rFonts w:ascii="Arial" w:cs="Arial" w:eastAsia="Arial" w:hAnsi="Arial"/>
          <w:sz w:val="22"/>
          <w:szCs w:val="22"/>
          <w:color w:val="auto"/>
        </w:rPr>
      </w:pPr>
    </w:p>
    <w:p>
      <w:pPr>
        <w:jc w:val="both"/>
        <w:ind w:firstLine="1292"/>
        <w:spacing w:after="0" w:line="265" w:lineRule="auto"/>
        <w:tabs>
          <w:tab w:leader="none" w:pos="1831" w:val="left"/>
        </w:tabs>
        <w:numPr>
          <w:ilvl w:val="1"/>
          <w:numId w:val="107"/>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215" w:lineRule="exact"/>
        <w:rPr>
          <w:rFonts w:ascii="Arial" w:cs="Arial" w:eastAsia="Arial" w:hAnsi="Arial"/>
          <w:sz w:val="21"/>
          <w:szCs w:val="21"/>
          <w:color w:val="auto"/>
        </w:rPr>
      </w:pPr>
    </w:p>
    <w:p>
      <w:pPr>
        <w:ind w:right="20" w:firstLine="1292"/>
        <w:spacing w:after="0" w:line="287" w:lineRule="auto"/>
        <w:tabs>
          <w:tab w:leader="none" w:pos="1833" w:val="left"/>
        </w:tabs>
        <w:numPr>
          <w:ilvl w:val="1"/>
          <w:numId w:val="107"/>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are intended only for convenience in finding the subject matter and do not constitute part of the text of this Agreement and shall not be considered in the interpretation of this Agreement.</w:t>
      </w:r>
    </w:p>
    <w:p>
      <w:pPr>
        <w:spacing w:after="0" w:line="191" w:lineRule="exact"/>
        <w:rPr>
          <w:rFonts w:ascii="Arial" w:cs="Arial" w:eastAsia="Arial" w:hAnsi="Arial"/>
          <w:sz w:val="21"/>
          <w:szCs w:val="21"/>
          <w:color w:val="auto"/>
        </w:rPr>
      </w:pPr>
    </w:p>
    <w:p>
      <w:pPr>
        <w:ind w:right="20" w:firstLine="1292"/>
        <w:spacing w:after="0" w:line="287" w:lineRule="auto"/>
        <w:tabs>
          <w:tab w:leader="none" w:pos="1836" w:val="left"/>
        </w:tabs>
        <w:numPr>
          <w:ilvl w:val="1"/>
          <w:numId w:val="107"/>
        </w:numPr>
        <w:rPr>
          <w:rFonts w:ascii="Arial" w:cs="Arial" w:eastAsia="Arial" w:hAnsi="Arial"/>
          <w:sz w:val="21"/>
          <w:szCs w:val="21"/>
          <w:color w:val="auto"/>
        </w:rPr>
      </w:pPr>
      <w:r>
        <w:rPr>
          <w:rFonts w:ascii="Arial" w:cs="Arial" w:eastAsia="Arial" w:hAnsi="Arial"/>
          <w:sz w:val="21"/>
          <w:szCs w:val="21"/>
          <w:u w:val="single" w:color="auto"/>
          <w:color w:val="auto"/>
        </w:rPr>
        <w:t>Saving Clause</w:t>
      </w:r>
      <w:r>
        <w:rPr>
          <w:rFonts w:ascii="Arial" w:cs="Arial" w:eastAsia="Arial" w:hAnsi="Arial"/>
          <w:sz w:val="21"/>
          <w:szCs w:val="21"/>
          <w:color w:val="auto"/>
        </w:rPr>
        <w:t>. If any provision(s) of this Agreement shall be determined to be illegal or unenforceable, such determination shall in no manner affect the legality or enforceability of any other provision hereof.</w:t>
      </w:r>
    </w:p>
    <w:p>
      <w:pPr>
        <w:spacing w:after="0" w:line="178" w:lineRule="exact"/>
        <w:rPr>
          <w:rFonts w:ascii="Arial" w:cs="Arial" w:eastAsia="Arial" w:hAnsi="Arial"/>
          <w:sz w:val="21"/>
          <w:szCs w:val="21"/>
          <w:color w:val="auto"/>
        </w:rPr>
      </w:pPr>
    </w:p>
    <w:p>
      <w:pPr>
        <w:jc w:val="both"/>
        <w:ind w:firstLine="1292"/>
        <w:spacing w:after="0" w:line="302" w:lineRule="auto"/>
        <w:tabs>
          <w:tab w:leader="none" w:pos="1831"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250" w:lineRule="exact"/>
        <w:rPr>
          <w:rFonts w:ascii="Arial" w:cs="Arial" w:eastAsia="Arial" w:hAnsi="Arial"/>
          <w:sz w:val="19"/>
          <w:szCs w:val="19"/>
          <w:color w:val="auto"/>
        </w:rPr>
      </w:pPr>
    </w:p>
    <w:p>
      <w:pPr>
        <w:jc w:val="both"/>
        <w:ind w:firstLine="1292"/>
        <w:spacing w:after="0" w:line="250" w:lineRule="auto"/>
        <w:tabs>
          <w:tab w:leader="none" w:pos="1831"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Benefit and Binding Effect</w:t>
      </w:r>
      <w:r>
        <w:rPr>
          <w:rFonts w:ascii="Arial" w:cs="Arial" w:eastAsia="Arial" w:hAnsi="Arial"/>
          <w:sz w:val="22"/>
          <w:szCs w:val="22"/>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228" w:lineRule="exact"/>
        <w:rPr>
          <w:rFonts w:ascii="Arial" w:cs="Arial" w:eastAsia="Arial" w:hAnsi="Arial"/>
          <w:sz w:val="22"/>
          <w:szCs w:val="22"/>
          <w:color w:val="auto"/>
        </w:rPr>
      </w:pPr>
    </w:p>
    <w:p>
      <w:pPr>
        <w:jc w:val="both"/>
        <w:ind w:right="20" w:firstLine="1292"/>
        <w:spacing w:after="0" w:line="253" w:lineRule="auto"/>
        <w:tabs>
          <w:tab w:leader="none" w:pos="1824"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225" w:lineRule="exact"/>
        <w:rPr>
          <w:rFonts w:ascii="Arial" w:cs="Arial" w:eastAsia="Arial" w:hAnsi="Arial"/>
          <w:sz w:val="22"/>
          <w:szCs w:val="22"/>
          <w:color w:val="auto"/>
        </w:rPr>
      </w:pPr>
    </w:p>
    <w:p>
      <w:pPr>
        <w:ind w:right="20" w:firstLine="1292"/>
        <w:spacing w:after="0" w:line="343" w:lineRule="auto"/>
        <w:tabs>
          <w:tab w:leader="none" w:pos="1824"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31" w:lineRule="exact"/>
        <w:rPr>
          <w:rFonts w:ascii="Arial" w:cs="Arial" w:eastAsia="Arial" w:hAnsi="Arial"/>
          <w:sz w:val="19"/>
          <w:szCs w:val="19"/>
          <w:color w:val="auto"/>
        </w:rPr>
      </w:pPr>
    </w:p>
    <w:p>
      <w:pPr>
        <w:ind w:left="1300" w:hanging="656"/>
        <w:spacing w:after="0"/>
        <w:tabs>
          <w:tab w:leader="none" w:pos="130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292"/>
        <w:spacing w:after="0" w:line="286" w:lineRule="auto"/>
        <w:tabs>
          <w:tab w:leader="none" w:pos="1833" w:val="left"/>
        </w:tabs>
        <w:numPr>
          <w:ilvl w:val="1"/>
          <w:numId w:val="108"/>
        </w:numPr>
        <w:rPr>
          <w:rFonts w:ascii="Arial" w:cs="Arial" w:eastAsia="Arial" w:hAnsi="Arial"/>
          <w:sz w:val="19"/>
          <w:szCs w:val="19"/>
          <w:color w:val="auto"/>
        </w:rPr>
      </w:pPr>
      <w:r>
        <w:rPr>
          <w:rFonts w:ascii="Arial" w:cs="Arial" w:eastAsia="Arial" w:hAnsi="Arial"/>
          <w:sz w:val="19"/>
          <w:szCs w:val="19"/>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U.S.C. Sections 1-16, and judgment upon the award rendered by the arbitrators may be entered</w:t>
      </w:r>
    </w:p>
    <w:p>
      <w:pPr>
        <w:sectPr>
          <w:pgSz w:w="11900" w:h="16838" w:orient="portrait"/>
          <w:cols w:equalWidth="0" w:num="1">
            <w:col w:w="11020"/>
          </w:cols>
          <w:pgMar w:left="440" w:top="1428" w:right="439" w:bottom="1440" w:gutter="0" w:footer="0" w:header="0"/>
        </w:sectPr>
      </w:pPr>
    </w:p>
    <w:bookmarkStart w:id="66" w:name="page67"/>
    <w:bookmarkEnd w:id="66"/>
    <w:p>
      <w:pPr>
        <w:spacing w:after="0"/>
        <w:tabs>
          <w:tab w:leader="none" w:pos="3660" w:val="left"/>
        </w:tabs>
        <w:rPr>
          <w:sz w:val="20"/>
          <w:szCs w:val="20"/>
          <w:color w:val="auto"/>
        </w:rPr>
      </w:pPr>
      <w:r>
        <w:rPr>
          <w:rFonts w:ascii="Arial" w:cs="Arial" w:eastAsia="Arial" w:hAnsi="Arial"/>
          <w:sz w:val="22"/>
          <w:szCs w:val="22"/>
          <w:color w:val="auto"/>
        </w:rPr>
        <w:t>by any court having jurisdiction thereof.</w:t>
      </w:r>
      <w:r>
        <w:rPr>
          <w:sz w:val="20"/>
          <w:szCs w:val="20"/>
          <w:color w:val="auto"/>
        </w:rPr>
        <w:tab/>
      </w:r>
      <w:r>
        <w:rPr>
          <w:rFonts w:ascii="Arial" w:cs="Arial" w:eastAsia="Arial" w:hAnsi="Arial"/>
          <w:sz w:val="19"/>
          <w:szCs w:val="19"/>
          <w:color w:val="auto"/>
        </w:rPr>
        <w:t>The place of arbitration shall be San Francisco, California.</w:t>
      </w:r>
    </w:p>
    <w:p>
      <w:pPr>
        <w:spacing w:after="0" w:line="328" w:lineRule="exact"/>
        <w:rPr>
          <w:sz w:val="20"/>
          <w:szCs w:val="20"/>
          <w:color w:val="auto"/>
        </w:rPr>
      </w:pPr>
    </w:p>
    <w:p>
      <w:pPr>
        <w:jc w:val="both"/>
        <w:ind w:firstLine="1291"/>
        <w:spacing w:after="0" w:line="287" w:lineRule="auto"/>
        <w:tabs>
          <w:tab w:leader="none" w:pos="183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266" w:lineRule="exact"/>
        <w:rPr>
          <w:rFonts w:ascii="Arial" w:cs="Arial" w:eastAsia="Arial" w:hAnsi="Arial"/>
          <w:sz w:val="19"/>
          <w:szCs w:val="19"/>
          <w:color w:val="auto"/>
        </w:rPr>
      </w:pPr>
    </w:p>
    <w:p>
      <w:pPr>
        <w:jc w:val="both"/>
        <w:ind w:firstLine="1291"/>
        <w:spacing w:after="0" w:line="248" w:lineRule="auto"/>
        <w:tabs>
          <w:tab w:leader="none" w:pos="183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232" w:lineRule="exact"/>
        <w:rPr>
          <w:rFonts w:ascii="Arial" w:cs="Arial" w:eastAsia="Arial" w:hAnsi="Arial"/>
          <w:sz w:val="22"/>
          <w:szCs w:val="22"/>
          <w:color w:val="auto"/>
        </w:rPr>
      </w:pPr>
    </w:p>
    <w:p>
      <w:pPr>
        <w:jc w:val="both"/>
        <w:ind w:firstLine="1292"/>
        <w:spacing w:after="0" w:line="287" w:lineRule="auto"/>
        <w:tabs>
          <w:tab w:leader="none" w:pos="183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020"/>
          </w:cols>
          <w:pgMar w:left="440" w:top="1428" w:right="439" w:bottom="1440" w:gutter="0" w:footer="0" w:header="0"/>
        </w:sectPr>
      </w:pPr>
    </w:p>
    <w:bookmarkStart w:id="67" w:name="page68"/>
    <w:bookmarkEnd w:id="67"/>
    <w:p>
      <w:pPr>
        <w:ind w:right="80" w:firstLine="648"/>
        <w:spacing w:after="0" w:line="26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as of the date first above written.</w:t>
      </w:r>
    </w:p>
    <w:p>
      <w:pPr>
        <w:spacing w:after="0" w:line="202"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DOCSEND, INC.</w:t>
      </w:r>
    </w:p>
    <w:p>
      <w:pPr>
        <w:spacing w:after="0" w:line="200" w:lineRule="exact"/>
        <w:rPr>
          <w:sz w:val="20"/>
          <w:szCs w:val="20"/>
          <w:color w:val="auto"/>
        </w:rPr>
      </w:pPr>
    </w:p>
    <w:p>
      <w:pPr>
        <w:spacing w:after="0" w:line="303" w:lineRule="exact"/>
        <w:rPr>
          <w:sz w:val="20"/>
          <w:szCs w:val="20"/>
          <w:color w:val="auto"/>
        </w:rPr>
      </w:pPr>
    </w:p>
    <w:p>
      <w:pPr>
        <w:ind w:left="420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-17780</wp:posOffset>
            </wp:positionV>
            <wp:extent cx="274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8"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Title: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OF THIS AGREEMENT, are hereby agreed to, by the undersigned as of the date first above written.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OPTIONEE:</w:t>
      </w:r>
    </w:p>
    <w:p>
      <w:pPr>
        <w:spacing w:after="0" w:line="200" w:lineRule="exact"/>
        <w:rPr>
          <w:sz w:val="20"/>
          <w:szCs w:val="20"/>
          <w:color w:val="auto"/>
        </w:rPr>
      </w:pPr>
    </w:p>
    <w:p>
      <w:pPr>
        <w:spacing w:after="0" w:line="37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[SPOUSE’S CONSENT</w:t>
      </w:r>
      <w:r>
        <w:rPr>
          <w:rFonts w:ascii="Arial" w:cs="Arial" w:eastAsia="Arial" w:hAnsi="Arial"/>
          <w:sz w:val="28"/>
          <w:szCs w:val="28"/>
          <w:color w:val="auto"/>
          <w:vertAlign w:val="superscript"/>
        </w:rPr>
        <w:t>1</w:t>
      </w:r>
    </w:p>
    <w:p>
      <w:pPr>
        <w:spacing w:after="0"/>
        <w:rPr>
          <w:sz w:val="20"/>
          <w:szCs w:val="20"/>
          <w:color w:val="auto"/>
        </w:rPr>
      </w:pPr>
      <w:r>
        <w:rPr>
          <w:rFonts w:ascii="Arial" w:cs="Arial" w:eastAsia="Arial" w:hAnsi="Arial"/>
          <w:sz w:val="22"/>
          <w:szCs w:val="22"/>
          <w:color w:val="auto"/>
        </w:rPr>
        <w:t>I acknowledge that I have read the</w:t>
      </w:r>
    </w:p>
    <w:p>
      <w:pPr>
        <w:spacing w:after="0" w:line="3" w:lineRule="exact"/>
        <w:rPr>
          <w:sz w:val="20"/>
          <w:szCs w:val="20"/>
          <w:color w:val="auto"/>
        </w:rPr>
      </w:pPr>
    </w:p>
    <w:p>
      <w:pPr>
        <w:ind w:right="4200"/>
        <w:spacing w:after="0" w:line="246" w:lineRule="auto"/>
        <w:rPr>
          <w:sz w:val="20"/>
          <w:szCs w:val="20"/>
          <w:color w:val="auto"/>
        </w:rPr>
      </w:pPr>
      <w:r>
        <w:rPr>
          <w:rFonts w:ascii="Arial" w:cs="Arial" w:eastAsia="Arial" w:hAnsi="Arial"/>
          <w:sz w:val="22"/>
          <w:szCs w:val="22"/>
          <w:color w:val="auto"/>
        </w:rPr>
        <w:t>foregoing Non-Qualified Stock Option Agreement and understand the contents thereof.</w:t>
      </w: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37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9" w:lineRule="exact"/>
        <w:rPr>
          <w:sz w:val="20"/>
          <w:szCs w:val="20"/>
          <w:color w:val="auto"/>
        </w:rPr>
      </w:pPr>
    </w:p>
    <w:p>
      <w:pPr>
        <w:ind w:right="660" w:firstLine="385"/>
        <w:spacing w:after="0" w:line="227" w:lineRule="auto"/>
        <w:tabs>
          <w:tab w:leader="none" w:pos="492" w:val="left"/>
        </w:tabs>
        <w:numPr>
          <w:ilvl w:val="0"/>
          <w:numId w:val="110"/>
        </w:numPr>
        <w:rPr>
          <w:rFonts w:ascii="Arial" w:cs="Arial" w:eastAsia="Arial" w:hAnsi="Arial"/>
          <w:sz w:val="23"/>
          <w:szCs w:val="23"/>
          <w:color w:val="auto"/>
          <w:vertAlign w:val="superscript"/>
        </w:rPr>
      </w:pPr>
      <w:r>
        <w:rPr>
          <w:rFonts w:ascii="Arial" w:cs="Arial" w:eastAsia="Arial" w:hAnsi="Arial"/>
          <w:sz w:val="18"/>
          <w:szCs w:val="18"/>
          <w:color w:val="auto"/>
        </w:rPr>
        <w:t>A spouse’s consent is recommended only if the Optionee’s state of residence is one of the following community property states: Arizona, California, Idaho, Louisiana, Nevada, New Mexico, Texas, Washington and Wisconsin.</w:t>
      </w:r>
    </w:p>
    <w:p>
      <w:pPr>
        <w:sectPr>
          <w:pgSz w:w="11900" w:h="16838" w:orient="portrait"/>
          <w:cols w:equalWidth="0" w:num="1">
            <w:col w:w="11020"/>
          </w:cols>
          <w:pgMar w:left="440" w:top="1428" w:right="439" w:bottom="1440" w:gutter="0" w:footer="0" w:header="0"/>
        </w:sectPr>
      </w:pPr>
    </w:p>
    <w:bookmarkStart w:id="68" w:name="page69"/>
    <w:bookmarkEnd w:id="68"/>
    <w:p>
      <w:pPr>
        <w:jc w:val="center"/>
        <w:ind w:right="-240"/>
        <w:spacing w:after="0"/>
        <w:rPr>
          <w:sz w:val="20"/>
          <w:szCs w:val="20"/>
          <w:color w:val="auto"/>
        </w:rPr>
      </w:pPr>
      <w:r>
        <w:rPr>
          <w:rFonts w:ascii="Arial" w:cs="Arial" w:eastAsia="Arial" w:hAnsi="Arial"/>
          <w:sz w:val="19"/>
          <w:szCs w:val="19"/>
          <w:color w:val="auto"/>
        </w:rPr>
        <w:t>DESIGNATED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Beneficiary’s Address:</w:t>
      </w:r>
    </w:p>
    <w:p>
      <w:pPr>
        <w:sectPr>
          <w:pgSz w:w="11900" w:h="16838" w:orient="portrait"/>
          <w:cols w:equalWidth="0" w:num="1">
            <w:col w:w="9019"/>
          </w:cols>
          <w:pgMar w:left="1440" w:top="1428"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EXERCISE NOTICE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color w:val="auto"/>
        </w:rPr>
        <w:t>DocSend,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Pursuant to the terms of the grant notice and stock option agreement between the undersigned and DocSend, Inc. (the “Company”) dated (the “Agreement”) under the DocSend, Inc. 2015 Stock Option and Grant Plan, I, [Insert Name] , hereby [Circle One] partially/fully exercise such option by including herein payment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-194310</wp:posOffset>
            </wp:positionV>
            <wp:extent cx="2057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6747510</wp:posOffset>
            </wp:positionH>
            <wp:positionV relativeFrom="paragraph">
              <wp:posOffset>-194310</wp:posOffset>
            </wp:positionV>
            <wp:extent cx="2057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ind w:left="260" w:right="4460" w:hanging="269"/>
        <w:spacing w:after="0" w:line="246" w:lineRule="auto"/>
        <w:rPr>
          <w:sz w:val="20"/>
          <w:szCs w:val="20"/>
          <w:color w:val="auto"/>
        </w:rPr>
      </w:pPr>
      <w:r>
        <w:rPr>
          <w:rFonts w:ascii="Arial" w:cs="Arial" w:eastAsia="Arial" w:hAnsi="Arial"/>
          <w:sz w:val="22"/>
          <w:szCs w:val="22"/>
          <w:color w:val="auto"/>
        </w:rPr>
        <w:t>amount of $</w:t>
      </w:r>
      <w:r>
        <w:rPr>
          <w:sz w:val="20"/>
          <w:szCs w:val="20"/>
          <w:color w:val="auto"/>
        </w:rPr>
        <w:t xml:space="preserve"> </w:t>
      </w:r>
      <w:r>
        <w:rPr>
          <w:rFonts w:ascii="Arial" w:cs="Arial" w:eastAsia="Arial" w:hAnsi="Arial"/>
          <w:sz w:val="22"/>
          <w:szCs w:val="22"/>
          <w:color w:val="auto"/>
        </w:rPr>
        <w:t>representing the purchase price for [Fill in number of Shares] Shares. I have chosen the following form(s)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-198120</wp:posOffset>
            </wp:positionV>
            <wp:extent cx="137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-34925</wp:posOffset>
            </wp:positionV>
            <wp:extent cx="137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3" w:lineRule="exact"/>
        <w:rPr>
          <w:sz w:val="20"/>
          <w:szCs w:val="20"/>
          <w:color w:val="auto"/>
        </w:rPr>
      </w:pPr>
    </w:p>
    <w:p>
      <w:pPr>
        <w:ind w:left="1300"/>
        <w:spacing w:after="0"/>
        <w:tabs>
          <w:tab w:leader="none" w:pos="1680" w:val="left"/>
          <w:tab w:leader="none" w:pos="2060" w:val="left"/>
        </w:tabs>
        <w:rPr>
          <w:sz w:val="20"/>
          <w:szCs w:val="20"/>
          <w:color w:val="auto"/>
        </w:rPr>
      </w:pPr>
      <w:r>
        <w:rPr>
          <w:rFonts w:ascii="Arial" w:cs="Arial" w:eastAsia="Arial" w:hAnsi="Arial"/>
          <w:sz w:val="22"/>
          <w:szCs w:val="22"/>
          <w:color w:val="auto"/>
        </w:rPr>
        <w:t>[ ]</w:t>
        <w:tab/>
        <w:t>1.</w:t>
      </w:r>
      <w:r>
        <w:rPr>
          <w:sz w:val="20"/>
          <w:szCs w:val="20"/>
          <w:color w:val="auto"/>
        </w:rPr>
        <w:tab/>
      </w:r>
      <w:r>
        <w:rPr>
          <w:rFonts w:ascii="Arial" w:cs="Arial" w:eastAsia="Arial" w:hAnsi="Arial"/>
          <w:sz w:val="18"/>
          <w:szCs w:val="18"/>
          <w:color w:val="auto"/>
        </w:rPr>
        <w:t>Cash</w:t>
      </w:r>
    </w:p>
    <w:p>
      <w:pPr>
        <w:spacing w:after="0" w:line="21" w:lineRule="exact"/>
        <w:rPr>
          <w:sz w:val="20"/>
          <w:szCs w:val="20"/>
          <w:color w:val="auto"/>
        </w:rPr>
      </w:pPr>
    </w:p>
    <w:p>
      <w:pPr>
        <w:ind w:left="1300"/>
        <w:spacing w:after="0"/>
        <w:tabs>
          <w:tab w:leader="none" w:pos="1680" w:val="left"/>
          <w:tab w:leader="none" w:pos="2060" w:val="left"/>
        </w:tabs>
        <w:rPr>
          <w:sz w:val="20"/>
          <w:szCs w:val="20"/>
          <w:color w:val="auto"/>
        </w:rPr>
      </w:pPr>
      <w:r>
        <w:rPr>
          <w:rFonts w:ascii="Arial" w:cs="Arial" w:eastAsia="Arial" w:hAnsi="Arial"/>
          <w:sz w:val="22"/>
          <w:szCs w:val="22"/>
          <w:color w:val="auto"/>
        </w:rPr>
        <w:t>[ ]</w:t>
        <w:tab/>
        <w:t>2.</w:t>
      </w:r>
      <w:r>
        <w:rPr>
          <w:sz w:val="20"/>
          <w:szCs w:val="20"/>
          <w:color w:val="auto"/>
        </w:rPr>
        <w:tab/>
      </w:r>
      <w:r>
        <w:rPr>
          <w:rFonts w:ascii="Arial" w:cs="Arial" w:eastAsia="Arial" w:hAnsi="Arial"/>
          <w:sz w:val="19"/>
          <w:szCs w:val="19"/>
          <w:color w:val="auto"/>
        </w:rPr>
        <w:t>Certified or bank check payable to DocSend, Inc.</w:t>
      </w:r>
    </w:p>
    <w:p>
      <w:pPr>
        <w:spacing w:after="0" w:line="4" w:lineRule="exact"/>
        <w:rPr>
          <w:sz w:val="20"/>
          <w:szCs w:val="20"/>
          <w:color w:val="auto"/>
        </w:rPr>
      </w:pPr>
    </w:p>
    <w:p>
      <w:pPr>
        <w:ind w:left="1300"/>
        <w:spacing w:after="0"/>
        <w:tabs>
          <w:tab w:leader="none" w:pos="1680" w:val="left"/>
          <w:tab w:leader="none" w:pos="2060" w:val="left"/>
        </w:tabs>
        <w:rPr>
          <w:sz w:val="20"/>
          <w:szCs w:val="20"/>
          <w:color w:val="auto"/>
        </w:rPr>
      </w:pPr>
      <w:r>
        <w:rPr>
          <w:rFonts w:ascii="Arial" w:cs="Arial" w:eastAsia="Arial" w:hAnsi="Arial"/>
          <w:sz w:val="22"/>
          <w:szCs w:val="22"/>
          <w:color w:val="auto"/>
        </w:rPr>
        <w:t>[ ]</w:t>
        <w:tab/>
        <w:t>3.</w:t>
      </w:r>
      <w:r>
        <w:rPr>
          <w:sz w:val="20"/>
          <w:szCs w:val="20"/>
          <w:color w:val="auto"/>
        </w:rPr>
        <w:tab/>
      </w:r>
      <w:r>
        <w:rPr>
          <w:rFonts w:ascii="Arial" w:cs="Arial" w:eastAsia="Arial" w:hAnsi="Arial"/>
          <w:sz w:val="19"/>
          <w:szCs w:val="19"/>
          <w:color w:val="auto"/>
        </w:rPr>
        <w:t>Other (as referenced in the Agreement and described in the Plan (please describe))</w:t>
      </w:r>
    </w:p>
    <w:p>
      <w:pPr>
        <w:spacing w:after="0" w:line="242"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-17780</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7"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In connection with my exercise of the option as set forth above, I hereby represent and warrant to the Company as follows:</w:t>
      </w:r>
    </w:p>
    <w:p>
      <w:pPr>
        <w:spacing w:after="0" w:line="215" w:lineRule="exact"/>
        <w:rPr>
          <w:sz w:val="20"/>
          <w:szCs w:val="20"/>
          <w:color w:val="auto"/>
        </w:rPr>
      </w:pPr>
    </w:p>
    <w:p>
      <w:pPr>
        <w:ind w:left="640" w:right="20" w:firstLine="1299"/>
        <w:spacing w:after="0" w:line="263" w:lineRule="auto"/>
        <w:tabs>
          <w:tab w:leader="none" w:pos="246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 am purchasing the Shares for my own account for investment only, and not for resale or with a view to the distribution thereof.</w:t>
      </w:r>
    </w:p>
    <w:p>
      <w:pPr>
        <w:spacing w:after="0" w:line="215" w:lineRule="exact"/>
        <w:rPr>
          <w:rFonts w:ascii="Arial" w:cs="Arial" w:eastAsia="Arial" w:hAnsi="Arial"/>
          <w:sz w:val="22"/>
          <w:szCs w:val="22"/>
          <w:color w:val="auto"/>
        </w:rPr>
      </w:pPr>
    </w:p>
    <w:p>
      <w:pPr>
        <w:jc w:val="both"/>
        <w:ind w:left="640" w:right="20" w:firstLine="1300"/>
        <w:spacing w:after="0" w:line="253" w:lineRule="auto"/>
        <w:tabs>
          <w:tab w:leader="none" w:pos="247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212" w:lineRule="exact"/>
        <w:rPr>
          <w:rFonts w:ascii="Arial" w:cs="Arial" w:eastAsia="Arial" w:hAnsi="Arial"/>
          <w:sz w:val="22"/>
          <w:szCs w:val="22"/>
          <w:color w:val="auto"/>
        </w:rPr>
      </w:pPr>
    </w:p>
    <w:p>
      <w:pPr>
        <w:jc w:val="both"/>
        <w:ind w:left="640" w:right="20" w:firstLine="1300"/>
        <w:spacing w:after="0" w:line="253" w:lineRule="auto"/>
        <w:tabs>
          <w:tab w:leader="none" w:pos="247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225" w:lineRule="exact"/>
        <w:rPr>
          <w:rFonts w:ascii="Arial" w:cs="Arial" w:eastAsia="Arial" w:hAnsi="Arial"/>
          <w:sz w:val="22"/>
          <w:szCs w:val="22"/>
          <w:color w:val="auto"/>
        </w:rPr>
      </w:pPr>
    </w:p>
    <w:p>
      <w:pPr>
        <w:ind w:left="640" w:right="20" w:firstLine="1300"/>
        <w:spacing w:after="0" w:line="263" w:lineRule="auto"/>
        <w:tabs>
          <w:tab w:leader="none" w:pos="246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 can afford a complete loss of the value of the Shares and am able to bear the economic risk of holding such Shares for an indefinite period of time.</w:t>
      </w:r>
    </w:p>
    <w:p>
      <w:pPr>
        <w:spacing w:after="0" w:line="215" w:lineRule="exact"/>
        <w:rPr>
          <w:rFonts w:ascii="Arial" w:cs="Arial" w:eastAsia="Arial" w:hAnsi="Arial"/>
          <w:sz w:val="22"/>
          <w:szCs w:val="22"/>
          <w:color w:val="auto"/>
        </w:rPr>
      </w:pPr>
    </w:p>
    <w:p>
      <w:pPr>
        <w:jc w:val="both"/>
        <w:ind w:left="640" w:firstLine="1300"/>
        <w:spacing w:after="0" w:line="265" w:lineRule="auto"/>
        <w:tabs>
          <w:tab w:leader="none" w:pos="2471" w:val="left"/>
        </w:tabs>
        <w:numPr>
          <w:ilvl w:val="0"/>
          <w:numId w:val="111"/>
        </w:numPr>
        <w:rPr>
          <w:rFonts w:ascii="Arial" w:cs="Arial" w:eastAsia="Arial" w:hAnsi="Arial"/>
          <w:sz w:val="21"/>
          <w:szCs w:val="21"/>
          <w:color w:val="auto"/>
        </w:rPr>
      </w:pPr>
      <w:r>
        <w:rPr>
          <w:rFonts w:ascii="Arial" w:cs="Arial" w:eastAsia="Arial" w:hAnsi="Arial"/>
          <w:sz w:val="21"/>
          <w:szCs w:val="21"/>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w:t>
      </w:r>
    </w:p>
    <w:p>
      <w:pPr>
        <w:sectPr>
          <w:pgSz w:w="11900" w:h="16838" w:orient="portrait"/>
          <w:cols w:equalWidth="0" w:num="1">
            <w:col w:w="11020"/>
          </w:cols>
          <w:pgMar w:left="440" w:top="1422" w:right="439" w:bottom="1440" w:gutter="0" w:footer="0" w:header="0"/>
        </w:sectPr>
      </w:pPr>
    </w:p>
    <w:bookmarkStart w:id="70" w:name="page71"/>
    <w:bookmarkEnd w:id="70"/>
    <w:p>
      <w:pPr>
        <w:jc w:val="both"/>
        <w:spacing w:after="0" w:line="253" w:lineRule="auto"/>
        <w:rPr>
          <w:sz w:val="20"/>
          <w:szCs w:val="20"/>
          <w:color w:val="auto"/>
        </w:rPr>
      </w:pPr>
      <w:r>
        <w:rPr>
          <w:rFonts w:ascii="Arial" w:cs="Arial" w:eastAsia="Arial" w:hAnsi="Arial"/>
          <w:sz w:val="22"/>
          <w:szCs w:val="22"/>
          <w:color w:val="auto"/>
        </w:rPr>
        <w:t>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212" w:lineRule="exact"/>
        <w:rPr>
          <w:sz w:val="20"/>
          <w:szCs w:val="20"/>
          <w:color w:val="auto"/>
        </w:rPr>
      </w:pPr>
    </w:p>
    <w:p>
      <w:pPr>
        <w:jc w:val="both"/>
        <w:ind w:firstLine="1299"/>
        <w:spacing w:after="0" w:line="343" w:lineRule="auto"/>
        <w:tabs>
          <w:tab w:leader="none" w:pos="182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144" w:lineRule="exact"/>
        <w:rPr>
          <w:rFonts w:ascii="Arial" w:cs="Arial" w:eastAsia="Arial" w:hAnsi="Arial"/>
          <w:sz w:val="19"/>
          <w:szCs w:val="19"/>
          <w:color w:val="auto"/>
        </w:rPr>
      </w:pPr>
    </w:p>
    <w:p>
      <w:pPr>
        <w:ind w:right="20" w:firstLine="1300"/>
        <w:spacing w:after="0" w:line="263" w:lineRule="auto"/>
        <w:tabs>
          <w:tab w:leader="none" w:pos="183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 understand and agree that the Company has a right of first refusal with respect to the Shares pursuant to Section 9(b) of the Plan.</w:t>
      </w:r>
    </w:p>
    <w:p>
      <w:pPr>
        <w:spacing w:after="0" w:line="215" w:lineRule="exact"/>
        <w:rPr>
          <w:rFonts w:ascii="Arial" w:cs="Arial" w:eastAsia="Arial" w:hAnsi="Arial"/>
          <w:sz w:val="22"/>
          <w:szCs w:val="22"/>
          <w:color w:val="auto"/>
        </w:rPr>
      </w:pPr>
    </w:p>
    <w:p>
      <w:pPr>
        <w:ind w:firstLine="1300"/>
        <w:spacing w:after="0" w:line="263" w:lineRule="auto"/>
        <w:tabs>
          <w:tab w:leader="none" w:pos="183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 understand and agree that the Company has certain repurchase rights with respect to the Shares pursuant to Section 9(c) of the Plan.</w:t>
      </w:r>
    </w:p>
    <w:p>
      <w:pPr>
        <w:spacing w:after="0" w:line="201" w:lineRule="exact"/>
        <w:rPr>
          <w:rFonts w:ascii="Arial" w:cs="Arial" w:eastAsia="Arial" w:hAnsi="Arial"/>
          <w:sz w:val="22"/>
          <w:szCs w:val="22"/>
          <w:color w:val="auto"/>
        </w:rPr>
      </w:pPr>
    </w:p>
    <w:p>
      <w:pPr>
        <w:jc w:val="both"/>
        <w:ind w:firstLine="1300"/>
        <w:spacing w:after="0" w:line="343" w:lineRule="auto"/>
        <w:tabs>
          <w:tab w:leader="none" w:pos="182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 understand and agree that I may not sell or otherwise transfer or dispose of the Shares for a period of time following the effective date of a public offering by the Company as described in Section 9(f) of the Plan.</w:t>
      </w:r>
    </w:p>
    <w:p>
      <w:pPr>
        <w:spacing w:after="0" w:line="14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-17780</wp:posOffset>
            </wp:positionV>
            <wp:extent cx="1714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0380"/>
          </w:cols>
          <w:pgMar w:left="1080" w:top="1428" w:right="439" w:bottom="1440" w:gutter="0" w:footer="0" w:header="0"/>
        </w:sectPr>
      </w:pPr>
    </w:p>
    <w:bookmarkStart w:id="71" w:name="page72"/>
    <w:bookmarkEnd w:id="71"/>
    <w:p>
      <w:pPr>
        <w:jc w:val="center"/>
        <w:ind w:right="-99"/>
        <w:spacing w:after="0"/>
        <w:rPr>
          <w:sz w:val="20"/>
          <w:szCs w:val="20"/>
          <w:color w:val="auto"/>
        </w:rPr>
      </w:pPr>
      <w:r>
        <w:rPr>
          <w:rFonts w:ascii="Arial" w:cs="Arial" w:eastAsia="Arial" w:hAnsi="Arial"/>
          <w:sz w:val="20"/>
          <w:szCs w:val="20"/>
          <w:b w:val="1"/>
          <w:bCs w:val="1"/>
          <w:color w:val="auto"/>
        </w:rPr>
        <w:t>DOCSEND, INC.</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2015 STOCK OPTION AND GRANT PLAN</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RESTRICTED STOCK UNIT AGREEMENT</w:t>
      </w: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u w:val="single" w:color="auto"/>
          <w:color w:val="auto"/>
        </w:rPr>
        <w:t>NOTICE OF RESTRICTED STOCK UNIT GRANT</w:t>
      </w:r>
    </w:p>
    <w:p>
      <w:pPr>
        <w:spacing w:after="0" w:line="24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Unless otherwise defined herein, the terms defined in the DocSend, Inc. 2015 Stock Option and Grant Plan (the “Plan”) will have the same defined meanings in this Restricted Stock Unit Agreement, which includes the Notice of Restricted Stock Unit Grant (the “Notice of Grant”) and Terms and Conditions of Restricted Stock Unit Grant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(together, the “Award 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Participant: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Address:</w:t>
      </w:r>
    </w:p>
    <w:p>
      <w:pPr>
        <w:spacing w:after="0" w:line="235"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Participant named above has been granted the right to receive an Award of Restricted Stock Units, subject to (i) the Closing of the Merger (each as defined below), (ii) Participant accepting an offer of employment from Dropbox, Inc. prior to the Closing, (iii) Participant maintaining a continuous Service Relationship through immediately prior to the Closing, and (iv) the terms and conditions of the Plan and this Award Agreement, as follows:</w:t>
      </w:r>
    </w:p>
    <w:p>
      <w:pPr>
        <w:spacing w:after="0" w:line="340"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Date of Grant:</w:t>
      </w:r>
      <w:r>
        <w:rPr>
          <w:sz w:val="20"/>
          <w:szCs w:val="20"/>
          <w:color w:val="auto"/>
        </w:rPr>
        <w:tab/>
      </w:r>
      <w:r>
        <w:rPr>
          <w:rFonts w:ascii="Arial" w:cs="Arial" w:eastAsia="Arial" w:hAnsi="Arial"/>
          <w:sz w:val="16"/>
          <w:szCs w:val="16"/>
          <w:color w:val="auto"/>
        </w:rPr>
        <w:t>Closing Date of the Merger (each as defined below)</w:t>
      </w:r>
    </w:p>
    <w:p>
      <w:pPr>
        <w:spacing w:after="0" w:line="229" w:lineRule="exact"/>
        <w:rPr>
          <w:sz w:val="20"/>
          <w:szCs w:val="20"/>
          <w:color w:val="auto"/>
        </w:rPr>
      </w:pPr>
    </w:p>
    <w:p>
      <w:pPr>
        <w:spacing w:after="0"/>
        <w:tabs>
          <w:tab w:leader="none" w:pos="2660" w:val="left"/>
        </w:tabs>
        <w:rPr>
          <w:sz w:val="20"/>
          <w:szCs w:val="20"/>
          <w:color w:val="auto"/>
        </w:rPr>
      </w:pPr>
      <w:r>
        <w:rPr>
          <w:rFonts w:ascii="Arial" w:cs="Arial" w:eastAsia="Arial" w:hAnsi="Arial"/>
          <w:sz w:val="20"/>
          <w:szCs w:val="20"/>
          <w:color w:val="auto"/>
        </w:rPr>
        <w:t>Vesting Commencement Date:</w:t>
      </w:r>
      <w:r>
        <w:rPr>
          <w:sz w:val="20"/>
          <w:szCs w:val="20"/>
          <w:color w:val="auto"/>
        </w:rPr>
        <w:tab/>
      </w:r>
      <w:r>
        <w:rPr>
          <w:rFonts w:ascii="Arial" w:cs="Arial" w:eastAsia="Arial" w:hAnsi="Arial"/>
          <w:sz w:val="16"/>
          <w:szCs w:val="16"/>
          <w:color w:val="auto"/>
        </w:rPr>
        <w:t>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1697355</wp:posOffset>
            </wp:positionH>
            <wp:positionV relativeFrom="paragraph">
              <wp:posOffset>-14605</wp:posOffset>
            </wp:positionV>
            <wp:extent cx="10502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-14605</wp:posOffset>
            </wp:positionV>
            <wp:extent cx="1257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8" w:lineRule="exact"/>
        <w:rPr>
          <w:sz w:val="20"/>
          <w:szCs w:val="20"/>
          <w:color w:val="auto"/>
        </w:rPr>
      </w:pPr>
    </w:p>
    <w:p>
      <w:pPr>
        <w:ind w:right="20" w:firstLine="725"/>
        <w:spacing w:after="0" w:line="250" w:lineRule="auto"/>
        <w:rPr>
          <w:sz w:val="20"/>
          <w:szCs w:val="20"/>
          <w:color w:val="auto"/>
        </w:rPr>
      </w:pPr>
      <w:r>
        <w:rPr>
          <w:rFonts w:ascii="Arial" w:cs="Arial" w:eastAsia="Arial" w:hAnsi="Arial"/>
          <w:sz w:val="20"/>
          <w:szCs w:val="20"/>
          <w:color w:val="auto"/>
        </w:rPr>
        <w:t>“Merger” shall mean the transactions contemplated by that certain Agreement and Plan of Merger by and among Dropbox, Inc., Dolphin Merger Sub, Inc., the Company and Fortis Advisors LLC, as Stockholders’ Representative, dated as of March 8, 2021 (the “Merger Agreement”).</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“Closing” and “Closing Date” shall have the definitions ascribed to such terms in the Merger Agreement.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w:t>
      </w:r>
    </w:p>
    <w:p>
      <w:pPr>
        <w:spacing w:after="0" w:line="243"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Subject to any acceleration provisions contained in the Plan or set forth below, the Restricted Stock Units will vest in accordance with the following schedule:</w:t>
      </w:r>
    </w:p>
    <w:p>
      <w:pPr>
        <w:spacing w:after="0" w:line="204"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Twenty-five percent (25%) of the Restricted Stock Units will vest on the one (1)-year anniversary of the Vesting Commencement Date, and one sixteenth (1/16th) of the Restricted Stock Units will vest on each Quarterly Vesting Date thereafter, subject to Participant continuing to be a Service Provider through each applicable vesting date.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“Service Provider” shall mean a Participant who so maintains a continuous Service Relationship.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 “Quarterly Vesting Date” is each of February 15, May 15, August 15, and November 15.</w:t>
      </w:r>
    </w:p>
    <w:p>
      <w:pPr>
        <w:sectPr>
          <w:pgSz w:w="11900" w:h="16838" w:orient="portrait"/>
          <w:cols w:equalWidth="0" w:num="1">
            <w:col w:w="11140"/>
          </w:cols>
          <w:pgMar w:left="320" w:top="1413" w:right="439" w:bottom="1440" w:gutter="0" w:footer="0" w:header="0"/>
        </w:sectPr>
      </w:pPr>
    </w:p>
    <w:bookmarkStart w:id="72" w:name="page73"/>
    <w:bookmarkEnd w:id="72"/>
    <w:p>
      <w:pPr>
        <w:ind w:right="680"/>
        <w:spacing w:after="0" w:line="287" w:lineRule="auto"/>
        <w:rPr>
          <w:sz w:val="20"/>
          <w:szCs w:val="20"/>
          <w:color w:val="auto"/>
        </w:rPr>
      </w:pPr>
      <w:r>
        <w:rPr>
          <w:rFonts w:ascii="Arial" w:cs="Arial" w:eastAsia="Arial" w:hAnsi="Arial"/>
          <w:sz w:val="19"/>
          <w:szCs w:val="19"/>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By accepting this Award, Participant acknowledges receipt of a copy of the Plan and agrees (i) that this Award of Restricted Stock Units is granted under and governed by the terms and conditions of the Plan and this Award Agreement, (ii) that Participant has reviewed the Plan and this Award Agreement in their entirety, has had an opportunity to obtain the advice of counsel, and fully understands all provisions of the Plan and this Award Agreement, (iii) to accept as binding, conclusive, and final all decisions or interpretations of the Administrator upon any questions relating to the Plan and the Award Agreement, and (iv) to notify the Company or, following the closing of the Merger, Dropbox, Inc., upon any change in the residence address indicated below.</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By signing below, Participant acknowledges and agrees that this Award is being granted in lieu of and in full satisfaction of any pending or promised option to purchase shares of common stock of the Company (the “Options”) and hereby releases and forever waives any rights or entitlements under or related to the Options. Participant hereby irrevocably and unconditionally waives, releases and forever discharges the Company, Dropbox, Inc., the Surviving Entity (as defined in the Merger Agreement) and any of their respective subsidiaries, parents, employees, officers, directors, shareholders, agents, representatives, affiliates, predecessors, parents, subsidiaries, attorneys, successors and assigns (collectively, the “Releasees” and each, a “Releasee”) from any and all claims, damages, actions and causes of action, obligations and liabilities of any kind or character whatsoever, known or unknown, suspected or unsuspected, in contract or in tort, at law or in equity, that Participant ever had or now has or claims to have against or with respect to the Releases, relating to (i) the grant or issuance of all or any portion of the Options to Participant, (ii) the payment to Participant of any amounts or consideration in respect of all or any portion of the Options (including, without limitation, any proceeds or other consideration to which Participant would otherwise be entitled in respect of the Options or shares subject to the Options in connection with the Merger) or (iii) otherwise in respect of or in any way relating to or arising in connection with the Options, including, without limitation, as a result of any action by the Releasees or omission to act by the Releasees. The parties understand and agree that the claims released by this Award Agreement do not include (A) any of Participant’s rights contained in this Award Agreement or (B) any rights or claims that are, as a matter of law, not subject to release or waiver (collectively, the “Excluded Claims”). Participant acknowledges that Participant may discover facts or law different from, or in addition to, the facts or law that Participant knows or believes to be true with respect to the claims, liabilities and obligations released in this Award Agreement and agrees, nonetheless, that this Award Agreement and the release contained in it will be and remain effective in all respects notwithstanding such different or additional facts or the discovery of them. Participant declares and represents that Participant intends this Award Agreement to be complete and not subject to any claim of mistake, and that the release herein expresses a full and complete release and that Participant intends the release herein to be final and complete.</w:t>
      </w:r>
    </w:p>
    <w:p>
      <w:pPr>
        <w:spacing w:after="0" w:line="210"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Participant understands and agrees that the claims released by this Award Agreement include not only claims presently known to Participant, but also include all unknown or unanticipated claims, that would otherwise come within the scope of the claims described above. Participant knowingly and voluntarily waives any and all rights or benefits that Participant may now have, or in the future may have, with respect to unknown claims under the terms of Section 1542 of the California Civil Code (or any analogous applicable law), which states:</w:t>
      </w:r>
    </w:p>
    <w:p>
      <w:pPr>
        <w:spacing w:after="0" w:line="3" w:lineRule="exact"/>
        <w:rPr>
          <w:sz w:val="20"/>
          <w:szCs w:val="20"/>
          <w:color w:val="auto"/>
        </w:rPr>
      </w:pPr>
    </w:p>
    <w:p>
      <w:pPr>
        <w:ind w:left="660" w:right="880"/>
        <w:spacing w:after="0" w:line="241" w:lineRule="auto"/>
        <w:rPr>
          <w:sz w:val="20"/>
          <w:szCs w:val="20"/>
          <w:color w:val="auto"/>
        </w:rPr>
      </w:pPr>
      <w:r>
        <w:rPr>
          <w:rFonts w:ascii="Arial" w:cs="Arial" w:eastAsia="Arial" w:hAnsi="Arial"/>
          <w:sz w:val="20"/>
          <w:szCs w:val="20"/>
          <w:b w:val="1"/>
          <w:bCs w:val="1"/>
          <w:color w:val="auto"/>
        </w:rPr>
        <w:t>A GENERAL RELEASE DOES NOT EXTEND TO CLAIMS THAT THE CREDITOR OR RELEASING PARTY DOES NOT KNOW OR SUSPECT TO EXIST IN HIS OR HER FAVOR AT THE TIME OF EXECUTING THE RELEASE AND</w:t>
      </w:r>
    </w:p>
    <w:p>
      <w:pPr>
        <w:sectPr>
          <w:pgSz w:w="11900" w:h="16838" w:orient="portrait"/>
          <w:cols w:equalWidth="0" w:num="1">
            <w:col w:w="11240"/>
          </w:cols>
          <w:pgMar w:left="320" w:top="1419" w:right="339" w:bottom="1440" w:gutter="0" w:footer="0" w:header="0"/>
        </w:sectPr>
      </w:pPr>
    </w:p>
    <w:bookmarkStart w:id="73" w:name="page74"/>
    <w:bookmarkEnd w:id="73"/>
    <w:p>
      <w:pPr>
        <w:ind w:left="660" w:right="700"/>
        <w:spacing w:after="0" w:line="267" w:lineRule="auto"/>
        <w:rPr>
          <w:sz w:val="20"/>
          <w:szCs w:val="20"/>
          <w:color w:val="auto"/>
        </w:rPr>
      </w:pPr>
      <w:r>
        <w:rPr>
          <w:rFonts w:ascii="Arial" w:cs="Arial" w:eastAsia="Arial" w:hAnsi="Arial"/>
          <w:sz w:val="20"/>
          <w:szCs w:val="20"/>
          <w:b w:val="1"/>
          <w:bCs w:val="1"/>
          <w:color w:val="auto"/>
        </w:rPr>
        <w:t>THAT, IF KNOWN BY HIM OR HER, WOULD HAVE MATERIALLY AFFECTED HIS OR HER SETTLEMENT WITH THE DEBTOR OR RELEASED PARTY.</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Participant understands that nothing in this Award Agreement limits Participant’s ability to file a charge or complaint with the Equal Employment Opportunity Commission, the Department of Labor, the National Labor Relations Board, the Occupational Safety and Health Administration, the Securities and Exchange Commission or any other federal, state or local governmental agency or commission (collectively, the “Government Agencies”). Participant further understands that this Award Agreement does not limit Participant’s ability to communicate with any Government Agencies or otherwise participate in any investigation or proceeding that may be conducted by any Government Agency, including providing documents or other information (but does not include the disclosure of any Company or Dropbox, Inc. attorney-client privileged communications), without notice to the Company or Dropbox, Inc. While this Award Agreement does not limit Participant’s right to receive an award for information provided to the Securities and Exchange Commission, Participant understands and agrees that, to the maximum extent permitted by law, Participant is otherwise waiving any and all rights Participant may have to individual relief based on any claims that Participant has released and any rights Participant has waived by signing this Award Agreement. Participant hereby represents and warrants that, other than the Excluded Claims, Participant is not aware of any claims Participant have or might have against any of the Releasees that are not included in the release set forth herein.</w:t>
      </w:r>
    </w:p>
    <w:p>
      <w:pPr>
        <w:spacing w:after="0" w:line="170" w:lineRule="exact"/>
        <w:rPr>
          <w:sz w:val="20"/>
          <w:szCs w:val="20"/>
          <w:color w:val="auto"/>
        </w:rPr>
      </w:pPr>
    </w:p>
    <w:p>
      <w:pPr>
        <w:ind w:right="480"/>
        <w:spacing w:after="0" w:line="253" w:lineRule="auto"/>
        <w:rPr>
          <w:sz w:val="20"/>
          <w:szCs w:val="20"/>
          <w:color w:val="auto"/>
        </w:rPr>
      </w:pPr>
      <w:r>
        <w:rPr>
          <w:rFonts w:ascii="Arial" w:cs="Arial" w:eastAsia="Arial" w:hAnsi="Arial"/>
          <w:sz w:val="20"/>
          <w:szCs w:val="20"/>
          <w:b w:val="1"/>
          <w:bCs w:val="1"/>
          <w:color w:val="auto"/>
        </w:rPr>
        <w:t>IF PARTICIPANT DOES NOT SIGN THIS AWARD AGREEMENT BY THE FIFTH BUSINESS DAY FOLLOWING THE CLOSING DATE, THIS AWARD OF RESTRICTED STOCK UNITS SHALL BE VOID AND OF NO FURTHER FORCE OR EFFECT.</w:t>
      </w:r>
    </w:p>
    <w:p>
      <w:pPr>
        <w:spacing w:after="0" w:line="183"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20"/>
          <w:szCs w:val="20"/>
          <w:color w:val="auto"/>
        </w:rPr>
        <w:t>DOCSEND,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628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628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317"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198755</wp:posOffset>
            </wp:positionV>
            <wp:extent cx="2514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31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Title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2514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EXHIBIT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TERMS AND CONDITIONS OF RESTRICTED STOCK UNIT GRANT</w:t>
      </w:r>
    </w:p>
    <w:p>
      <w:pPr>
        <w:spacing w:after="0" w:line="222" w:lineRule="exact"/>
        <w:rPr>
          <w:sz w:val="20"/>
          <w:szCs w:val="20"/>
          <w:color w:val="auto"/>
        </w:rPr>
      </w:pPr>
    </w:p>
    <w:p>
      <w:pPr>
        <w:ind w:left="-20" w:right="80" w:firstLine="656"/>
        <w:spacing w:after="0" w:line="282" w:lineRule="auto"/>
        <w:tabs>
          <w:tab w:leader="none" w:pos="127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Company hereby grants to the individual (the “Participant”) named in the Notice of Grant of Restricted Stock Units of this Award Agreement (the “Notice of Grant”) under the Plan an Award of Restricted Stock Units, subject to all of the terms and conditions in this Award Agreement and the Plan, which is incorporated herein by reference. In the event of a conflict between the terms and conditions of the Plan and this Award Agreement the terms and conditions of the Plan shall prevail.</w:t>
      </w:r>
    </w:p>
    <w:p>
      <w:pPr>
        <w:spacing w:after="0" w:line="161" w:lineRule="exact"/>
        <w:rPr>
          <w:rFonts w:ascii="Arial" w:cs="Arial" w:eastAsia="Arial" w:hAnsi="Arial"/>
          <w:sz w:val="18"/>
          <w:szCs w:val="18"/>
          <w:color w:val="auto"/>
        </w:rPr>
      </w:pPr>
    </w:p>
    <w:p>
      <w:pPr>
        <w:ind w:left="-20" w:right="140" w:firstLine="656"/>
        <w:spacing w:after="0" w:line="263" w:lineRule="auto"/>
        <w:tabs>
          <w:tab w:leader="none" w:pos="1276"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Company’s Obligation to Pay</w:t>
      </w:r>
      <w:r>
        <w:rPr>
          <w:rFonts w:ascii="Arial" w:cs="Arial" w:eastAsia="Arial" w:hAnsi="Arial"/>
          <w:sz w:val="19"/>
          <w:szCs w:val="19"/>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6" w:lineRule="exact"/>
        <w:rPr>
          <w:rFonts w:ascii="Arial" w:cs="Arial" w:eastAsia="Arial" w:hAnsi="Arial"/>
          <w:sz w:val="19"/>
          <w:szCs w:val="19"/>
          <w:color w:val="auto"/>
        </w:rPr>
      </w:pPr>
    </w:p>
    <w:p>
      <w:pPr>
        <w:ind w:left="-20" w:right="100" w:firstLine="656"/>
        <w:spacing w:after="0" w:line="282" w:lineRule="auto"/>
        <w:tabs>
          <w:tab w:leader="none" w:pos="127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4, and subject to Section 5, the Restricted Stock Units awarded by this Award Agreement will vest in accordance with the vesting schedule set forth in the Notice of Grant, subject to Participant continuing to be a Service Provider through each applicable vesting date. As a further condition to vesting, the Participant must accept the terms of this Award of Restricted Stock Units by signing the Notice of Grant no later than the date that is five business days following the Closing Date.</w:t>
      </w:r>
    </w:p>
    <w:p>
      <w:pPr>
        <w:spacing w:after="0" w:line="161" w:lineRule="exact"/>
        <w:rPr>
          <w:rFonts w:ascii="Arial" w:cs="Arial" w:eastAsia="Arial" w:hAnsi="Arial"/>
          <w:sz w:val="18"/>
          <w:szCs w:val="18"/>
          <w:color w:val="auto"/>
        </w:rPr>
      </w:pPr>
    </w:p>
    <w:p>
      <w:pPr>
        <w:ind w:left="1280" w:hanging="644"/>
        <w:spacing w:after="0"/>
        <w:tabs>
          <w:tab w:leader="none" w:pos="1280"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Payment after Vesting</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20" w:right="40" w:firstLine="1304"/>
        <w:spacing w:after="0" w:line="254" w:lineRule="auto"/>
        <w:tabs>
          <w:tab w:leader="none" w:pos="1921" w:val="left"/>
        </w:tabs>
        <w:numPr>
          <w:ilvl w:val="1"/>
          <w:numId w:val="113"/>
        </w:numPr>
        <w:rPr>
          <w:rFonts w:ascii="Arial" w:cs="Arial" w:eastAsia="Arial" w:hAnsi="Arial"/>
          <w:sz w:val="21"/>
          <w:szCs w:val="21"/>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Subject to Section 8, any Restricted Stock Units that vest will be paid to Participant (or in the event of Participant’s death, to his or her properly designated beneficiary or estate) in whole Shares. Subject to the provisions of Section 4(b),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207" w:lineRule="exact"/>
        <w:rPr>
          <w:rFonts w:ascii="Arial" w:cs="Arial" w:eastAsia="Arial" w:hAnsi="Arial"/>
          <w:sz w:val="21"/>
          <w:szCs w:val="21"/>
          <w:color w:val="auto"/>
        </w:rPr>
      </w:pPr>
    </w:p>
    <w:p>
      <w:pPr>
        <w:ind w:left="1920" w:hanging="636"/>
        <w:spacing w:after="0"/>
        <w:tabs>
          <w:tab w:leader="none" w:pos="1920" w:val="left"/>
        </w:tabs>
        <w:numPr>
          <w:ilvl w:val="1"/>
          <w:numId w:val="113"/>
        </w:numPr>
        <w:rPr>
          <w:rFonts w:ascii="Arial" w:cs="Arial" w:eastAsia="Arial" w:hAnsi="Arial"/>
          <w:sz w:val="22"/>
          <w:szCs w:val="22"/>
          <w:color w:val="auto"/>
        </w:rPr>
      </w:pPr>
      <w:r>
        <w:rPr>
          <w:rFonts w:ascii="Arial" w:cs="Arial" w:eastAsia="Arial" w:hAnsi="Arial"/>
          <w:sz w:val="20"/>
          <w:szCs w:val="20"/>
          <w:u w:val="single" w:color="auto"/>
          <w:color w:val="auto"/>
        </w:rPr>
        <w:t>Acceleration</w:t>
      </w:r>
      <w:r>
        <w:rPr>
          <w:rFonts w:ascii="Arial" w:cs="Arial" w:eastAsia="Arial" w:hAnsi="Arial"/>
          <w:sz w:val="20"/>
          <w:szCs w:val="20"/>
          <w:color w:val="auto"/>
        </w:rPr>
        <w:t>.</w:t>
      </w:r>
    </w:p>
    <w:p>
      <w:pPr>
        <w:spacing w:after="0" w:line="195" w:lineRule="exact"/>
        <w:rPr>
          <w:rFonts w:ascii="Arial" w:cs="Arial" w:eastAsia="Arial" w:hAnsi="Arial"/>
          <w:sz w:val="22"/>
          <w:szCs w:val="22"/>
          <w:color w:val="auto"/>
        </w:rPr>
      </w:pPr>
    </w:p>
    <w:p>
      <w:pPr>
        <w:ind w:left="-20" w:right="60" w:firstLine="1952"/>
        <w:spacing w:after="0" w:line="259" w:lineRule="auto"/>
        <w:tabs>
          <w:tab w:leader="none" w:pos="2570" w:val="left"/>
        </w:tabs>
        <w:numPr>
          <w:ilvl w:val="2"/>
          <w:numId w:val="113"/>
        </w:numPr>
        <w:rPr>
          <w:rFonts w:ascii="Arial" w:cs="Arial" w:eastAsia="Arial" w:hAnsi="Arial"/>
          <w:sz w:val="19"/>
          <w:szCs w:val="19"/>
          <w:color w:val="auto"/>
        </w:rPr>
      </w:pPr>
      <w:r>
        <w:rPr>
          <w:rFonts w:ascii="Arial" w:cs="Arial" w:eastAsia="Arial" w:hAnsi="Arial"/>
          <w:sz w:val="19"/>
          <w:szCs w:val="19"/>
          <w:u w:val="single" w:color="auto"/>
          <w:color w:val="auto"/>
        </w:rPr>
        <w:t>Discretionary Acceleration</w:t>
      </w:r>
      <w:r>
        <w:rPr>
          <w:rFonts w:ascii="Arial" w:cs="Arial" w:eastAsia="Arial" w:hAnsi="Arial"/>
          <w:sz w:val="19"/>
          <w:szCs w:val="19"/>
          <w:color w:val="auto"/>
        </w:rPr>
        <w:t>. The administrator of the Plan (the “Administrator”) may, in its discretion,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78" w:lineRule="exact"/>
        <w:rPr>
          <w:rFonts w:ascii="Arial" w:cs="Arial" w:eastAsia="Arial" w:hAnsi="Arial"/>
          <w:sz w:val="19"/>
          <w:szCs w:val="19"/>
          <w:color w:val="auto"/>
        </w:rPr>
      </w:pPr>
    </w:p>
    <w:p>
      <w:pPr>
        <w:ind w:left="-20" w:firstLine="1952"/>
        <w:spacing w:after="0" w:line="282" w:lineRule="auto"/>
        <w:tabs>
          <w:tab w:leader="none" w:pos="2571" w:val="left"/>
        </w:tabs>
        <w:numPr>
          <w:ilvl w:val="2"/>
          <w:numId w:val="113"/>
        </w:numPr>
        <w:rPr>
          <w:rFonts w:ascii="Arial" w:cs="Arial" w:eastAsia="Arial" w:hAnsi="Arial"/>
          <w:sz w:val="18"/>
          <w:szCs w:val="18"/>
          <w:color w:val="auto"/>
        </w:rPr>
      </w:pPr>
      <w:r>
        <w:rPr>
          <w:rFonts w:ascii="Arial" w:cs="Arial" w:eastAsia="Arial" w:hAnsi="Arial"/>
          <w:sz w:val="18"/>
          <w:szCs w:val="18"/>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Participant’s death, and if (x)</w:t>
      </w:r>
    </w:p>
    <w:p>
      <w:pPr>
        <w:sectPr>
          <w:pgSz w:w="11900" w:h="16838" w:orient="portrait"/>
          <w:cols w:equalWidth="0" w:num="1">
            <w:col w:w="11200"/>
          </w:cols>
          <w:pgMar w:left="340" w:top="1413" w:right="359" w:bottom="1440" w:gutter="0" w:footer="0" w:header="0"/>
        </w:sectPr>
      </w:pPr>
    </w:p>
    <w:bookmarkStart w:id="75" w:name="page76"/>
    <w:bookmarkEnd w:id="75"/>
    <w:p>
      <w:pPr>
        <w:spacing w:after="0" w:line="19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w:t>
      </w:r>
    </w:p>
    <w:p>
      <w:pPr>
        <w:spacing w:after="0" w:line="192" w:lineRule="exact"/>
        <w:rPr>
          <w:sz w:val="20"/>
          <w:szCs w:val="20"/>
          <w:color w:val="auto"/>
        </w:rPr>
      </w:pPr>
    </w:p>
    <w:p>
      <w:pPr>
        <w:ind w:right="140" w:firstLine="1304"/>
        <w:spacing w:after="0" w:line="273" w:lineRule="auto"/>
        <w:tabs>
          <w:tab w:leader="none" w:pos="1941" w:val="left"/>
        </w:tabs>
        <w:numPr>
          <w:ilvl w:val="2"/>
          <w:numId w:val="114"/>
        </w:numPr>
        <w:rPr>
          <w:rFonts w:ascii="Arial" w:cs="Arial" w:eastAsia="Arial" w:hAnsi="Arial"/>
          <w:sz w:val="19"/>
          <w:szCs w:val="19"/>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reimburse Participant, or be otherwise responsible for, any taxes or costs that may be imposed on Participant as a result of Section 409A.</w:t>
      </w:r>
    </w:p>
    <w:p>
      <w:pPr>
        <w:spacing w:after="0" w:line="167" w:lineRule="exact"/>
        <w:rPr>
          <w:rFonts w:ascii="Arial" w:cs="Arial" w:eastAsia="Arial" w:hAnsi="Arial"/>
          <w:sz w:val="19"/>
          <w:szCs w:val="19"/>
          <w:color w:val="auto"/>
        </w:rPr>
      </w:pPr>
    </w:p>
    <w:p>
      <w:pPr>
        <w:ind w:right="100" w:firstLine="656"/>
        <w:spacing w:after="0" w:line="269" w:lineRule="auto"/>
        <w:tabs>
          <w:tab w:leader="none" w:pos="1296"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 as a Service Provider</w:t>
      </w:r>
      <w:r>
        <w:rPr>
          <w:rFonts w:ascii="Arial" w:cs="Arial" w:eastAsia="Arial" w:hAnsi="Arial"/>
          <w:sz w:val="19"/>
          <w:szCs w:val="19"/>
          <w:color w:val="auto"/>
        </w:rPr>
        <w:t>. Notwithstanding any contrary provision of this Award Agreement,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69" w:lineRule="exact"/>
        <w:rPr>
          <w:rFonts w:ascii="Arial" w:cs="Arial" w:eastAsia="Arial" w:hAnsi="Arial"/>
          <w:sz w:val="19"/>
          <w:szCs w:val="19"/>
          <w:color w:val="auto"/>
        </w:rPr>
      </w:pPr>
    </w:p>
    <w:p>
      <w:pPr>
        <w:ind w:right="80" w:firstLine="656"/>
        <w:spacing w:after="0" w:line="278" w:lineRule="auto"/>
        <w:tabs>
          <w:tab w:leader="none" w:pos="1296"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Tax-Related Items (as defined in Section 8 below) that may arise as a result of this investment or the transactions contemplated by this Award Agreement.</w:t>
      </w:r>
    </w:p>
    <w:p>
      <w:pPr>
        <w:spacing w:after="0" w:line="164" w:lineRule="exact"/>
        <w:rPr>
          <w:rFonts w:ascii="Arial" w:cs="Arial" w:eastAsia="Arial" w:hAnsi="Arial"/>
          <w:sz w:val="18"/>
          <w:szCs w:val="18"/>
          <w:color w:val="auto"/>
        </w:rPr>
      </w:pPr>
    </w:p>
    <w:p>
      <w:pPr>
        <w:ind w:firstLine="656"/>
        <w:spacing w:after="0" w:line="244" w:lineRule="auto"/>
        <w:tabs>
          <w:tab w:leader="none" w:pos="1296" w:val="left"/>
        </w:tabs>
        <w:numPr>
          <w:ilvl w:val="1"/>
          <w:numId w:val="115"/>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Any distribution or delivery to be made to Participant under this Award Agreement will, if Participant is then deceased, be made to Participant’s designated beneficiary, provided such designation is valid under applicable laws,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94" w:lineRule="exact"/>
        <w:rPr>
          <w:rFonts w:ascii="Arial" w:cs="Arial" w:eastAsia="Arial" w:hAnsi="Arial"/>
          <w:sz w:val="20"/>
          <w:szCs w:val="20"/>
          <w:color w:val="auto"/>
        </w:rPr>
      </w:pPr>
    </w:p>
    <w:p>
      <w:pPr>
        <w:ind w:left="1300" w:hanging="644"/>
        <w:spacing w:after="0"/>
        <w:tabs>
          <w:tab w:leader="none" w:pos="1300" w:val="left"/>
        </w:tabs>
        <w:numPr>
          <w:ilvl w:val="1"/>
          <w:numId w:val="115"/>
        </w:numPr>
        <w:rPr>
          <w:rFonts w:ascii="Arial" w:cs="Arial" w:eastAsia="Arial" w:hAnsi="Arial"/>
          <w:sz w:val="20"/>
          <w:szCs w:val="20"/>
          <w:color w:val="auto"/>
        </w:rPr>
      </w:pPr>
      <w:r>
        <w:rPr>
          <w:rFonts w:ascii="Arial" w:cs="Arial" w:eastAsia="Arial" w:hAnsi="Arial"/>
          <w:sz w:val="20"/>
          <w:szCs w:val="20"/>
          <w:u w:val="single" w:color="auto"/>
          <w:color w:val="auto"/>
        </w:rPr>
        <w:t>Tax-Related Items.</w:t>
      </w:r>
    </w:p>
    <w:p>
      <w:pPr>
        <w:spacing w:after="0" w:line="242" w:lineRule="exact"/>
        <w:rPr>
          <w:rFonts w:ascii="Arial" w:cs="Arial" w:eastAsia="Arial" w:hAnsi="Arial"/>
          <w:sz w:val="20"/>
          <w:szCs w:val="20"/>
          <w:color w:val="auto"/>
        </w:rPr>
      </w:pPr>
    </w:p>
    <w:p>
      <w:pPr>
        <w:ind w:right="40" w:firstLine="1304"/>
        <w:spacing w:after="0" w:line="267" w:lineRule="auto"/>
        <w:tabs>
          <w:tab w:leader="none" w:pos="1941" w:val="left"/>
        </w:tabs>
        <w:numPr>
          <w:ilvl w:val="2"/>
          <w:numId w:val="115"/>
        </w:numPr>
        <w:rPr>
          <w:rFonts w:ascii="Arial" w:cs="Arial" w:eastAsia="Arial" w:hAnsi="Arial"/>
          <w:sz w:val="19"/>
          <w:szCs w:val="19"/>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Restricted Stock Units, including, without limitation,</w:t>
      </w:r>
    </w:p>
    <w:p>
      <w:pPr>
        <w:ind w:firstLine="8"/>
        <w:spacing w:after="0" w:line="297" w:lineRule="auto"/>
        <w:tabs>
          <w:tab w:leader="none" w:pos="2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federal, state, and local taxes (including the Participant’s Federal Insurance Contributions Act (FICA) obligation) that are required to be withheld by the Company or the Employer or other payment of tax-related items related to Participant’s participation in the Plan and legally</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9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applicable to Participant, (ii) the Participant’s and, to the extent required by the Company (or Service Recipient), the Company’s (or Service Recipient’s) fringe benefit tax liability, if any, associated with the grant, vesting, or settlement of the Restricted Stock Units or sale of Shares, and (iii) any other Company (or Service Recipient) taxes the responsibility for which the Participant has, or has agreed to bear, with respect to the Restricted Stock Units (or settlement thereof or issuance of Shares thereunder) (collectively, the “Tax-Related Items”),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do not commit to and are under no obligation to structure the terms of the grant or any aspect of the Restricted Stock Units to reduce or eliminate Participant’s liability for Tax-Related Items or achieve any particular tax result.</w:t>
      </w:r>
    </w:p>
    <w:p>
      <w:pPr>
        <w:spacing w:after="0" w:line="201" w:lineRule="exact"/>
        <w:rPr>
          <w:sz w:val="20"/>
          <w:szCs w:val="20"/>
          <w:color w:val="auto"/>
        </w:rPr>
      </w:pPr>
    </w:p>
    <w:p>
      <w:pPr>
        <w:ind w:firstLine="1304"/>
        <w:spacing w:after="0" w:line="267" w:lineRule="auto"/>
        <w:tabs>
          <w:tab w:leader="none" w:pos="1939" w:val="left"/>
        </w:tabs>
        <w:numPr>
          <w:ilvl w:val="1"/>
          <w:numId w:val="117"/>
        </w:numPr>
        <w:rPr>
          <w:rFonts w:ascii="Arial" w:cs="Arial" w:eastAsia="Arial" w:hAnsi="Arial"/>
          <w:sz w:val="19"/>
          <w:szCs w:val="19"/>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When Shares are issued as payment for vested Restricted Stock Units,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Tax-Related Items. The Administrator, in its sole discretion and pursuant to such procedures as it may specify from time to time, may permit Participant to satisfy such Tax-Related Items, in whole or in part (without limitation), if permissible by applicable local law, by (i) requiring Participant to make a payment in a form acceptable to the Company; (ii) withholding in Shares to be issued upon settlement of the Restricted Stock Units, (iii) withholding from Participant’s wages or other cash compensation payable to Participant by the Company and/or the Service Recipient, (iv) delivering to the Company already vested and owned Shares having a fair market value equal to such Tax-Related Items, or (v) withholding from proceeds of the sale of Shares acquired upon settlement of the Restricted Stock Units either through a voluntary sale or through a mandatory sale arranged by the Company (on Participant’s behalf pursuant to this authorization without further consent). To the extent determined appropriate by the Company in its discretion, it will have the right (but not the obligation) to satisfy any Tax-Related Items by reducing the number of Shares otherwise deliverable to Participant and, until determined otherwise by the Company, this will be the method by which such Tax-Related Items are satisfied. The Company may withhold or account for Tax-Related Items by considering statutory or other withholding rates, including minimum or maximum rates applicable in Participant’s jurisdiction(s).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such Tax-Related Items hereunder at the time any applicable Restricted Stock Units otherwise are scheduled to vest pursuant to Sections 3 or 4, Participant will permanently forfeit such Restricted Stock Units and any right to receive Shares thereunder and such Restricted Stock Units will be returned to the Company at no cost to the Company. Participant acknowledges and agrees that the Company may refuse to deliver the Shares if such Tax-Related Items are not delivered at the time they are due.</w:t>
      </w:r>
    </w:p>
    <w:p>
      <w:pPr>
        <w:spacing w:after="0" w:line="186" w:lineRule="exact"/>
        <w:rPr>
          <w:rFonts w:ascii="Arial" w:cs="Arial" w:eastAsia="Arial" w:hAnsi="Arial"/>
          <w:sz w:val="19"/>
          <w:szCs w:val="19"/>
          <w:color w:val="auto"/>
        </w:rPr>
      </w:pPr>
    </w:p>
    <w:p>
      <w:pPr>
        <w:ind w:right="100" w:firstLine="656"/>
        <w:spacing w:after="0" w:line="260" w:lineRule="auto"/>
        <w:tabs>
          <w:tab w:leader="none" w:pos="1296"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Neither Participant, nor any person claiming under or through Participant, will have any of the rights or privileges of a stockholder of the Company in respect of any Shares</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95"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6" w:lineRule="exact"/>
        <w:rPr>
          <w:sz w:val="20"/>
          <w:szCs w:val="20"/>
          <w:color w:val="auto"/>
        </w:rPr>
      </w:pPr>
    </w:p>
    <w:p>
      <w:pPr>
        <w:ind w:firstLine="656"/>
        <w:spacing w:after="0" w:line="271" w:lineRule="auto"/>
        <w:tabs>
          <w:tab w:leader="none" w:pos="1287"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THE RESTRICTED STOCK UNITS PURSUANT TO THE VESTING SCHEDULE HEREOF IS EARNED ONLY BY CONTINUING AS A SERVICE PROVIDER, WHICH UNLESS PROVIDED OTHERWISE UNDER APPLICABLE LAW IS AT THE WILL OF THE COMPANY (OR THE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69" w:lineRule="exact"/>
        <w:rPr>
          <w:rFonts w:ascii="Arial" w:cs="Arial" w:eastAsia="Arial" w:hAnsi="Arial"/>
          <w:sz w:val="18"/>
          <w:szCs w:val="18"/>
          <w:color w:val="auto"/>
        </w:rPr>
      </w:pPr>
    </w:p>
    <w:p>
      <w:pPr>
        <w:ind w:right="160" w:firstLine="656"/>
        <w:spacing w:after="0" w:line="278" w:lineRule="auto"/>
        <w:tabs>
          <w:tab w:leader="none" w:pos="1279"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64" w:lineRule="exact"/>
        <w:rPr>
          <w:rFonts w:ascii="Arial" w:cs="Arial" w:eastAsia="Arial" w:hAnsi="Arial"/>
          <w:sz w:val="18"/>
          <w:szCs w:val="18"/>
          <w:color w:val="auto"/>
        </w:rPr>
      </w:pPr>
    </w:p>
    <w:p>
      <w:pPr>
        <w:ind w:right="120" w:firstLine="656"/>
        <w:spacing w:after="0" w:line="246" w:lineRule="auto"/>
        <w:tabs>
          <w:tab w:leader="none" w:pos="1287"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91" w:lineRule="exact"/>
        <w:rPr>
          <w:rFonts w:ascii="Arial" w:cs="Arial" w:eastAsia="Arial" w:hAnsi="Arial"/>
          <w:sz w:val="20"/>
          <w:szCs w:val="20"/>
          <w:color w:val="auto"/>
        </w:rPr>
      </w:pPr>
    </w:p>
    <w:p>
      <w:pPr>
        <w:ind w:firstLine="656"/>
        <w:spacing w:after="0" w:line="250" w:lineRule="auto"/>
        <w:tabs>
          <w:tab w:leader="none" w:pos="1287"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Any notice to be given to the Company under the terms of this Award Agreement will be addressed to the Company or following the Closing Date, to the Company at Dropbox, Inc., 1800 Owens Street, Suite 200, San Francisco, CA 94158, or at such other address as may hereafter be designated in writing.</w:t>
      </w:r>
    </w:p>
    <w:p>
      <w:pPr>
        <w:spacing w:after="0" w:line="185" w:lineRule="exact"/>
        <w:rPr>
          <w:rFonts w:ascii="Arial" w:cs="Arial" w:eastAsia="Arial" w:hAnsi="Arial"/>
          <w:sz w:val="20"/>
          <w:szCs w:val="20"/>
          <w:color w:val="auto"/>
        </w:rPr>
      </w:pPr>
    </w:p>
    <w:p>
      <w:pPr>
        <w:ind w:right="60" w:firstLine="656"/>
        <w:spacing w:after="0" w:line="276" w:lineRule="auto"/>
        <w:tabs>
          <w:tab w:leader="none" w:pos="1287"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 now or in the future. Participant must provide the Company or any designated third party administrator with a paper copy of any documents if his or her attempted electronic delivery of such document fails.</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95" w:lineRule="exact"/>
        <w:rPr>
          <w:sz w:val="20"/>
          <w:szCs w:val="20"/>
          <w:color w:val="auto"/>
        </w:rPr>
      </w:pPr>
    </w:p>
    <w:p>
      <w:pPr>
        <w:ind w:left="-656" w:right="100" w:firstLine="656"/>
        <w:spacing w:after="0" w:line="246" w:lineRule="auto"/>
        <w:tabs>
          <w:tab w:leader="none" w:pos="631"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91" w:lineRule="exact"/>
        <w:rPr>
          <w:rFonts w:ascii="Arial" w:cs="Arial" w:eastAsia="Arial" w:hAnsi="Arial"/>
          <w:sz w:val="20"/>
          <w:szCs w:val="20"/>
          <w:color w:val="auto"/>
        </w:rPr>
      </w:pPr>
    </w:p>
    <w:p>
      <w:pPr>
        <w:ind w:left="-656" w:right="20" w:firstLine="656"/>
        <w:spacing w:after="0" w:line="244" w:lineRule="auto"/>
        <w:tabs>
          <w:tab w:leader="none" w:pos="631"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94" w:lineRule="exact"/>
        <w:rPr>
          <w:rFonts w:ascii="Arial" w:cs="Arial" w:eastAsia="Arial" w:hAnsi="Arial"/>
          <w:sz w:val="20"/>
          <w:szCs w:val="20"/>
          <w:color w:val="auto"/>
        </w:rPr>
      </w:pPr>
    </w:p>
    <w:p>
      <w:pPr>
        <w:ind w:left="-656" w:right="180" w:firstLine="656"/>
        <w:spacing w:after="0" w:line="271" w:lineRule="auto"/>
        <w:tabs>
          <w:tab w:leader="none" w:pos="631"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vesting of the Restricted Stock Units as the Administrator may establish from time to time for reasons of administrative convenience.</w:t>
      </w:r>
    </w:p>
    <w:p>
      <w:pPr>
        <w:spacing w:after="0" w:line="173" w:lineRule="exact"/>
        <w:rPr>
          <w:rFonts w:ascii="Arial" w:cs="Arial" w:eastAsia="Arial" w:hAnsi="Arial"/>
          <w:sz w:val="18"/>
          <w:szCs w:val="18"/>
          <w:color w:val="auto"/>
        </w:rPr>
      </w:pPr>
    </w:p>
    <w:p>
      <w:pPr>
        <w:ind w:left="-656" w:firstLine="656"/>
        <w:spacing w:after="0" w:line="259" w:lineRule="auto"/>
        <w:tabs>
          <w:tab w:leader="none" w:pos="631"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78" w:lineRule="exact"/>
        <w:rPr>
          <w:rFonts w:ascii="Arial" w:cs="Arial" w:eastAsia="Arial" w:hAnsi="Arial"/>
          <w:sz w:val="19"/>
          <w:szCs w:val="19"/>
          <w:color w:val="auto"/>
        </w:rPr>
      </w:pPr>
    </w:p>
    <w:p>
      <w:pPr>
        <w:ind w:left="-656" w:right="80" w:firstLine="656"/>
        <w:spacing w:after="0" w:line="260" w:lineRule="auto"/>
        <w:tabs>
          <w:tab w:leader="none" w:pos="631"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Captions provided herein are for convenience only and are not to serve as a basis for interpretation or construction of this Award Agreement.</w:t>
      </w:r>
    </w:p>
    <w:p>
      <w:pPr>
        <w:spacing w:after="0" w:line="176" w:lineRule="exact"/>
        <w:rPr>
          <w:rFonts w:ascii="Arial" w:cs="Arial" w:eastAsia="Arial" w:hAnsi="Arial"/>
          <w:sz w:val="20"/>
          <w:szCs w:val="20"/>
          <w:color w:val="auto"/>
        </w:rPr>
      </w:pPr>
    </w:p>
    <w:p>
      <w:pPr>
        <w:ind w:left="-656" w:right="80" w:firstLine="656"/>
        <w:spacing w:after="0" w:line="342" w:lineRule="auto"/>
        <w:tabs>
          <w:tab w:leader="none" w:pos="631"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17" w:lineRule="exact"/>
        <w:rPr>
          <w:rFonts w:ascii="Arial" w:cs="Arial" w:eastAsia="Arial" w:hAnsi="Arial"/>
          <w:sz w:val="16"/>
          <w:szCs w:val="16"/>
          <w:color w:val="auto"/>
        </w:rPr>
      </w:pPr>
    </w:p>
    <w:p>
      <w:pPr>
        <w:ind w:left="-656" w:right="260" w:firstLine="656"/>
        <w:spacing w:after="0" w:line="282" w:lineRule="auto"/>
        <w:tabs>
          <w:tab w:leader="none" w:pos="631"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Modifications to the Award Agreement</w:t>
      </w:r>
      <w:r>
        <w:rPr>
          <w:rFonts w:ascii="Arial" w:cs="Arial" w:eastAsia="Arial" w:hAnsi="Arial"/>
          <w:sz w:val="18"/>
          <w:szCs w:val="18"/>
          <w:color w:val="auto"/>
        </w:rPr>
        <w:t>. This Award Agreement constitutes the entire understanding of the parties on the subjects covered. Participant expressly warrants that he or she is not accepting this Award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w:t>
      </w:r>
    </w:p>
    <w:p>
      <w:pPr>
        <w:sectPr>
          <w:pgSz w:w="11900" w:h="16838" w:orient="portrait"/>
          <w:cols w:equalWidth="0" w:num="1">
            <w:col w:w="10564"/>
          </w:cols>
          <w:pgMar w:left="976" w:top="1440" w:right="359" w:bottom="1440" w:gutter="0" w:footer="0" w:header="0"/>
        </w:sectPr>
      </w:pPr>
    </w:p>
    <w:bookmarkStart w:id="79" w:name="page80"/>
    <w:bookmarkEnd w:id="79"/>
    <w:p>
      <w:pPr>
        <w:spacing w:after="0" w:line="195"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 or to comply with any laws or regulations of countries or other jurisdictions, including without limitation the United States, in each case as deemed necessary or advisable by the Company.</w:t>
      </w:r>
    </w:p>
    <w:p>
      <w:pPr>
        <w:spacing w:after="0" w:line="194" w:lineRule="exact"/>
        <w:rPr>
          <w:sz w:val="20"/>
          <w:szCs w:val="20"/>
          <w:color w:val="auto"/>
        </w:rPr>
      </w:pPr>
    </w:p>
    <w:p>
      <w:pPr>
        <w:ind w:right="60" w:firstLine="656"/>
        <w:spacing w:after="0" w:line="243" w:lineRule="auto"/>
        <w:tabs>
          <w:tab w:leader="none" w:pos="1287"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Governing Law; Venue; Severability</w:t>
      </w:r>
      <w:r>
        <w:rPr>
          <w:rFonts w:ascii="Arial" w:cs="Arial" w:eastAsia="Arial" w:hAnsi="Arial"/>
          <w:sz w:val="20"/>
          <w:szCs w:val="20"/>
          <w:color w:val="auto"/>
        </w:rPr>
        <w:t>. This Award Agreement and the Restricted Stock Units are governed by the internal substantive laws, but not the choice of law rules, of California. For purposes of litigating any dispute that arises under these Restricted Stock Units or this Award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Award Agreement is made and/or to be performed. In the event that any provision hereof becomes or is declared by a court of competent jurisdiction to be illegal, unenforceable or void, this Award Agreement shall continue in full force and effect.</w:t>
      </w:r>
    </w:p>
    <w:p>
      <w:pPr>
        <w:spacing w:after="0" w:line="192" w:lineRule="exact"/>
        <w:rPr>
          <w:rFonts w:ascii="Arial" w:cs="Arial" w:eastAsia="Arial" w:hAnsi="Arial"/>
          <w:sz w:val="20"/>
          <w:szCs w:val="20"/>
          <w:color w:val="auto"/>
        </w:rPr>
      </w:pPr>
    </w:p>
    <w:p>
      <w:pPr>
        <w:jc w:val="both"/>
        <w:ind w:right="260" w:firstLine="656"/>
        <w:spacing w:after="0" w:line="328" w:lineRule="auto"/>
        <w:tabs>
          <w:tab w:leader="none" w:pos="1287"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is incorporated herein by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55" w:lineRule="exact"/>
        <w:rPr>
          <w:rFonts w:ascii="Arial" w:cs="Arial" w:eastAsia="Arial" w:hAnsi="Arial"/>
          <w:sz w:val="16"/>
          <w:szCs w:val="16"/>
          <w:color w:val="auto"/>
        </w:rPr>
      </w:pPr>
    </w:p>
    <w:p>
      <w:pPr>
        <w:ind w:firstLine="656"/>
        <w:spacing w:after="0" w:line="244" w:lineRule="auto"/>
        <w:tabs>
          <w:tab w:leader="none" w:pos="1287"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Country Addendum</w:t>
      </w:r>
      <w:r>
        <w:rPr>
          <w:rFonts w:ascii="Arial" w:cs="Arial" w:eastAsia="Arial" w:hAnsi="Arial"/>
          <w:sz w:val="20"/>
          <w:szCs w:val="20"/>
          <w:color w:val="auto"/>
        </w:rPr>
        <w:t>. The Restricted Stock Unit grant shall be subject to any additional terms and conditions set forth in any addendum for Participant’s country. Moreover, if Participant relocates to a country other than the United States, the terms and conditions for such country, as provided to Participant from time to time, will apply to Participant to the extent the Company determines that the application of such terms and conditions is necessary or advisable for legal or administrative reasons. Any such addendum will constitute part of this Award Agreement.</w:t>
      </w:r>
    </w:p>
    <w:p>
      <w:pPr>
        <w:sectPr>
          <w:pgSz w:w="11900" w:h="16838" w:orient="portrait"/>
          <w:cols w:equalWidth="0" w:num="1">
            <w:col w:w="11200"/>
          </w:cols>
          <w:pgMar w:left="320" w:top="1440" w:right="379" w:bottom="1440" w:gutter="0" w:footer="0" w:header="0"/>
        </w:sectPr>
      </w:pPr>
    </w:p>
    <w:bookmarkStart w:id="80" w:name="page81"/>
    <w:bookmarkEnd w:id="80"/>
    <w:p>
      <w:pPr>
        <w:ind w:left="10240"/>
        <w:spacing w:after="0"/>
        <w:rPr>
          <w:sz w:val="20"/>
          <w:szCs w:val="20"/>
          <w:color w:val="auto"/>
        </w:rPr>
      </w:pPr>
      <w:r>
        <w:rPr>
          <w:rFonts w:ascii="Arial" w:cs="Arial" w:eastAsia="Arial" w:hAnsi="Arial"/>
          <w:sz w:val="19"/>
          <w:szCs w:val="19"/>
          <w:b w:val="1"/>
          <w:bCs w:val="1"/>
          <w:color w:val="auto"/>
        </w:rPr>
        <w:t>Exhibit 5.1</w:t>
      </w:r>
    </w:p>
    <w:p>
      <w:pPr>
        <w:spacing w:after="0" w:line="87"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003D4C"/>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-89535</wp:posOffset>
            </wp:positionV>
            <wp:extent cx="109728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4"/>
          <w:szCs w:val="14"/>
          <w:color w:val="003D4C"/>
        </w:rPr>
        <w:t>Professional Corporation</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003D4C"/>
        </w:rPr>
        <w:t>650 Page Mill Road</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003D4C"/>
        </w:rPr>
        <w:t>Palo Alto, CA 94304-1050</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003D4C"/>
        </w:rPr>
        <w:t>o: 650.493.9300</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30, 2021</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Dropbox,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1800 Owens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 94158</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 Registration Statement on Form S-8</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ind w:right="20" w:firstLine="648"/>
        <w:spacing w:after="0" w:line="293" w:lineRule="auto"/>
        <w:rPr>
          <w:sz w:val="20"/>
          <w:szCs w:val="20"/>
          <w:color w:val="auto"/>
        </w:rPr>
      </w:pPr>
      <w:r>
        <w:rPr>
          <w:rFonts w:ascii="Arial" w:cs="Arial" w:eastAsia="Arial" w:hAnsi="Arial"/>
          <w:sz w:val="19"/>
          <w:szCs w:val="19"/>
          <w:color w:val="auto"/>
        </w:rPr>
        <w:t>We have examined the Registration Statement on Form S-8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to be filed by Dropbox,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with the Securities and Exchange Commission on or about the date hereof, relating to the registration under the Securities Act of 1933, as amended, of an aggregate of 384,648 shares (the “</w:t>
      </w:r>
      <w:r>
        <w:rPr>
          <w:rFonts w:ascii="Arial" w:cs="Arial" w:eastAsia="Arial" w:hAnsi="Arial"/>
          <w:sz w:val="19"/>
          <w:szCs w:val="19"/>
          <w:b w:val="1"/>
          <w:bCs w:val="1"/>
          <w:color w:val="auto"/>
        </w:rPr>
        <w:t>Shares</w:t>
      </w:r>
      <w:r>
        <w:rPr>
          <w:rFonts w:ascii="Arial" w:cs="Arial" w:eastAsia="Arial" w:hAnsi="Arial"/>
          <w:sz w:val="19"/>
          <w:szCs w:val="19"/>
          <w:color w:val="auto"/>
        </w:rPr>
        <w:t>”) of the Company’s Class A common stock, par value $0.00001 per share, consisting of (i) 31,947 shares of the Company’s Class A common stock to be issued under the DocSend, Inc. 2013 Stock Plan (the “</w:t>
      </w:r>
      <w:r>
        <w:rPr>
          <w:rFonts w:ascii="Arial" w:cs="Arial" w:eastAsia="Arial" w:hAnsi="Arial"/>
          <w:sz w:val="19"/>
          <w:szCs w:val="19"/>
          <w:b w:val="1"/>
          <w:bCs w:val="1"/>
          <w:color w:val="auto"/>
        </w:rPr>
        <w:t>DocSend 2013 Plan</w:t>
      </w:r>
      <w:r>
        <w:rPr>
          <w:rFonts w:ascii="Arial" w:cs="Arial" w:eastAsia="Arial" w:hAnsi="Arial"/>
          <w:sz w:val="19"/>
          <w:szCs w:val="19"/>
          <w:color w:val="auto"/>
        </w:rPr>
        <w:t>”) and (ii) 352,701 shares of the Company’s Class A common stock to be issued under the DocSend, Inc. 2015 Stock Option and Grant Plan (the “</w:t>
      </w:r>
      <w:r>
        <w:rPr>
          <w:rFonts w:ascii="Arial" w:cs="Arial" w:eastAsia="Arial" w:hAnsi="Arial"/>
          <w:sz w:val="19"/>
          <w:szCs w:val="19"/>
          <w:b w:val="1"/>
          <w:bCs w:val="1"/>
          <w:color w:val="auto"/>
        </w:rPr>
        <w:t>DocSend 2015 Plan</w:t>
      </w:r>
      <w:r>
        <w:rPr>
          <w:rFonts w:ascii="Arial" w:cs="Arial" w:eastAsia="Arial" w:hAnsi="Arial"/>
          <w:sz w:val="19"/>
          <w:szCs w:val="19"/>
          <w:color w:val="auto"/>
        </w:rPr>
        <w:t>” and, together with the DocSend 2013 Plan, the “</w:t>
      </w:r>
      <w:r>
        <w:rPr>
          <w:rFonts w:ascii="Arial" w:cs="Arial" w:eastAsia="Arial" w:hAnsi="Arial"/>
          <w:sz w:val="19"/>
          <w:szCs w:val="19"/>
          <w:b w:val="1"/>
          <w:bCs w:val="1"/>
          <w:color w:val="auto"/>
        </w:rPr>
        <w:t>DocSend Plans</w:t>
      </w:r>
      <w:r>
        <w:rPr>
          <w:rFonts w:ascii="Arial" w:cs="Arial" w:eastAsia="Arial" w:hAnsi="Arial"/>
          <w:sz w:val="19"/>
          <w:szCs w:val="19"/>
          <w:color w:val="auto"/>
        </w:rPr>
        <w:t>”).</w:t>
      </w:r>
    </w:p>
    <w:p>
      <w:pPr>
        <w:spacing w:after="0" w:line="150" w:lineRule="exact"/>
        <w:rPr>
          <w:sz w:val="20"/>
          <w:szCs w:val="20"/>
          <w:color w:val="auto"/>
        </w:rPr>
      </w:pPr>
    </w:p>
    <w:p>
      <w:pPr>
        <w:jc w:val="both"/>
        <w:ind w:right="160" w:firstLine="648"/>
        <w:spacing w:after="0" w:line="253" w:lineRule="auto"/>
        <w:rPr>
          <w:sz w:val="20"/>
          <w:szCs w:val="20"/>
          <w:color w:val="auto"/>
        </w:rPr>
      </w:pPr>
      <w:r>
        <w:rPr>
          <w:rFonts w:ascii="Arial" w:cs="Arial" w:eastAsia="Arial" w:hAnsi="Arial"/>
          <w:sz w:val="22"/>
          <w:szCs w:val="22"/>
          <w:color w:val="auto"/>
        </w:rPr>
        <w:t>On the basis of the foregoing, and in reliance thereon, we are of the opinion that the Shares, when issued and sold in the manner referred to in the DocSend Plans and pursuant to the agreements that accompany the DocSend Plans, will be legally and validly issued, fully paid, and nonassessable.</w:t>
      </w:r>
    </w:p>
    <w:p>
      <w:pPr>
        <w:spacing w:after="0" w:line="185"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Very truly yours,</w:t>
      </w:r>
    </w:p>
    <w:p>
      <w:pPr>
        <w:spacing w:after="0" w:line="32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/s/ Wilson Sonsini Goodrich &amp; Rosati</w:t>
      </w:r>
    </w:p>
    <w:p>
      <w:pPr>
        <w:spacing w:after="0" w:line="247"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WILSON SONSINI GOODRICH &amp;</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ROSATI</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Professional Corporation</w:t>
      </w:r>
    </w:p>
    <w:p>
      <w:pPr>
        <w:sectPr>
          <w:pgSz w:w="11900" w:h="16838" w:orient="portrait"/>
          <w:cols w:equalWidth="0" w:num="1">
            <w:col w:w="11240"/>
          </w:cols>
          <w:pgMar w:left="320" w:top="126"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4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333333"/>
        </w:rPr>
        <w:t>We consent to the incorporation by reference in the Registration Statement (Form S-8) pertaining to the 2013 Stock Plan and 2015 Stock Option and Grant Plan of DocSend, Inc. of our reports dated February 19, 2021, with respect to the consolidated financial statements of Dropbox, Inc. and the effectiveness of internal control over financial reporting of Dropbox, Inc. included in its Annual Report (Form 10-K) for the year ended December 31, 2020, filed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333333"/>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333333"/>
        </w:rPr>
        <w:t>April 30, 2021</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1)"/>
      <w:numFmt w:val="decimal"/>
      <w:start w:val="3"/>
    </w:lvl>
  </w:abstractNum>
  <w:abstractNum w:abstractNumId="2">
    <w:nsid w:val="61574095"/>
    <w:multiLevelType w:val="hybridMultilevel"/>
    <w:lvl w:ilvl="0">
      <w:lvlJc w:val="left"/>
      <w:lvlText w:val="(%1)"/>
      <w:numFmt w:val="decimal"/>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1)"/>
      <w:numFmt w:val="decimal"/>
      <w:start w:val="1"/>
    </w:lvl>
  </w:abstractNum>
  <w:abstractNum w:abstractNumId="5">
    <w:nsid w:val="579BE4F1"/>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
    <w:nsid w:val="310C50B3"/>
    <w:multiLevelType w:val="hybridMultilevel"/>
    <w:lvl w:ilvl="0">
      <w:lvlJc w:val="left"/>
      <w:lvlText w:val="%1"/>
      <w:numFmt w:val="upperLetter"/>
      <w:start w:val="1"/>
    </w:lvl>
    <w:lvl w:ilvl="1">
      <w:lvlJc w:val="left"/>
      <w:lvlText w:val="(%2)"/>
      <w:numFmt w:val="decimal"/>
      <w:start w:val="2"/>
    </w:lvl>
  </w:abstractNum>
  <w:abstractNum w:abstractNumId="7">
    <w:nsid w:val="5FF87E05"/>
    <w:multiLevelType w:val="hybridMultilevel"/>
    <w:lvl w:ilvl="0">
      <w:lvlJc w:val="left"/>
      <w:lvlText w:val="%1."/>
      <w:numFmt w:val="upperLetter"/>
      <w:start w:val="2"/>
    </w:lvl>
    <w:lvl w:ilvl="1">
      <w:lvlJc w:val="left"/>
      <w:lvlText w:val="%2"/>
      <w:numFmt w:val="decimal"/>
      <w:start w:val="1"/>
    </w:lvl>
  </w:abstractNum>
  <w:abstractNum w:abstractNumId="8">
    <w:nsid w:val="2F305DEF"/>
    <w:multiLevelType w:val="hybridMultilevel"/>
    <w:lvl w:ilvl="0">
      <w:lvlJc w:val="left"/>
      <w:lvlText w:val="(%1)"/>
      <w:numFmt w:val="lowerLetter"/>
      <w:start w:val="2"/>
    </w:lvl>
  </w:abstractNum>
  <w:abstractNum w:abstractNumId="9">
    <w:nsid w:val="25A70BF7"/>
    <w:multiLevelType w:val="hybridMultilevel"/>
    <w:lvl w:ilvl="0">
      <w:lvlJc w:val="left"/>
      <w:lvlText w:val="(%1)"/>
      <w:numFmt w:val="lowerLetter"/>
      <w:start w:val="2"/>
    </w:lvl>
  </w:abstractNum>
  <w:abstractNum w:abstractNumId="10">
    <w:nsid w:val="1DBABF00"/>
    <w:multiLevelType w:val="hybridMultilevel"/>
    <w:lvl w:ilvl="0">
      <w:lvlJc w:val="left"/>
      <w:lvlText w:val="(%1)"/>
      <w:numFmt w:val="lowerLetter"/>
      <w:start w:val="2"/>
    </w:lvl>
  </w:abstractNum>
  <w:abstractNum w:abstractNumId="11">
    <w:nsid w:val="4AD084E9"/>
    <w:multiLevelType w:val="hybridMultilevel"/>
    <w:lvl w:ilvl="0">
      <w:lvlJc w:val="left"/>
      <w:lvlText w:val="(%1)"/>
      <w:numFmt w:val="lowerLetter"/>
      <w:start w:val="2"/>
    </w:lvl>
  </w:abstractNum>
  <w:abstractNum w:abstractNumId="12">
    <w:nsid w:val="1F48EAA1"/>
    <w:multiLevelType w:val="hybridMultilevel"/>
    <w:lvl w:ilvl="0">
      <w:lvlJc w:val="left"/>
      <w:lvlText w:val="(%1)"/>
      <w:numFmt w:val="lowerLetter"/>
      <w:start w:val="4"/>
    </w:lvl>
  </w:abstractNum>
  <w:abstractNum w:abstractNumId="13">
    <w:nsid w:val="1381823A"/>
    <w:multiLevelType w:val="hybridMultilevel"/>
    <w:lvl w:ilvl="0">
      <w:lvlJc w:val="left"/>
      <w:lvlText w:val="(%1)"/>
      <w:numFmt w:val="lowerLetter"/>
      <w:start w:val="2"/>
    </w:lvl>
  </w:abstractNum>
  <w:abstractNum w:abstractNumId="14">
    <w:nsid w:val="5DB70AE5"/>
    <w:multiLevelType w:val="hybridMultilevel"/>
    <w:lvl w:ilvl="0">
      <w:lvlJc w:val="left"/>
      <w:lvlText w:val="(%1)"/>
      <w:numFmt w:val="lowerLetter"/>
      <w:start w:val="4"/>
    </w:lvl>
  </w:abstractNum>
  <w:abstractNum w:abstractNumId="15">
    <w:nsid w:val="100F8FCA"/>
    <w:multiLevelType w:val="hybridMultilevel"/>
    <w:lvl w:ilvl="0">
      <w:lvlJc w:val="left"/>
      <w:lvlText w:val="(%1)"/>
      <w:numFmt w:val="lowerRoman"/>
      <w:start w:val="1"/>
    </w:lvl>
  </w:abstractNum>
  <w:abstractNum w:abstractNumId="16">
    <w:nsid w:val="6590700B"/>
    <w:multiLevelType w:val="hybridMultilevel"/>
    <w:lvl w:ilvl="0">
      <w:lvlJc w:val="left"/>
      <w:lvlText w:val="(%1)"/>
      <w:numFmt w:val="lowerLetter"/>
      <w:start w:val="7"/>
    </w:lvl>
    <w:lvl w:ilvl="1">
      <w:lvlJc w:val="left"/>
      <w:lvlText w:val="(%2)"/>
      <w:numFmt w:val="lowerRoman"/>
      <w:start w:val="1"/>
    </w:lvl>
  </w:abstractNum>
  <w:abstractNum w:abstractNumId="17">
    <w:nsid w:val="15014ACB"/>
    <w:multiLevelType w:val="hybridMultilevel"/>
    <w:lvl w:ilvl="0">
      <w:lvlJc w:val="left"/>
      <w:lvlText w:val="%1"/>
      <w:numFmt w:val="lowerLetter"/>
      <w:start w:val="1"/>
    </w:lvl>
    <w:lvl w:ilvl="1">
      <w:lvlJc w:val="left"/>
      <w:lvlText w:val="(%2)"/>
      <w:numFmt w:val="lowerLetter"/>
      <w:start w:val="11"/>
    </w:lvl>
  </w:abstractNum>
  <w:abstractNum w:abstractNumId="18">
    <w:nsid w:val="5F5E7FD0"/>
    <w:multiLevelType w:val="hybridMultilevel"/>
    <w:lvl w:ilvl="0">
      <w:lvlJc w:val="left"/>
      <w:lvlText w:val="(%1)"/>
      <w:numFmt w:val="lowerLetter"/>
      <w:start w:val="61"/>
    </w:lvl>
    <w:lvl w:ilvl="1">
      <w:lvlJc w:val="left"/>
      <w:lvlText w:val="(%2)"/>
      <w:numFmt w:val="lowerLetter"/>
      <w:start w:val="13"/>
    </w:lvl>
  </w:abstractNum>
  <w:abstractNum w:abstractNumId="19">
    <w:nsid w:val="98A3148"/>
    <w:multiLevelType w:val="hybridMultilevel"/>
    <w:lvl w:ilvl="0">
      <w:lvlJc w:val="left"/>
      <w:lvlText w:val="(%1)"/>
      <w:numFmt w:val="lowerLetter"/>
      <w:start w:val="14"/>
    </w:lvl>
  </w:abstractNum>
  <w:abstractNum w:abstractNumId="20">
    <w:nsid w:val="799D0247"/>
    <w:multiLevelType w:val="hybridMultilevel"/>
    <w:lvl w:ilvl="0">
      <w:lvlJc w:val="left"/>
      <w:lvlText w:val="(%1)"/>
      <w:numFmt w:val="lowerLetter"/>
      <w:start w:val="11"/>
    </w:lvl>
  </w:abstractNum>
  <w:abstractNum w:abstractNumId="21">
    <w:nsid w:val="6B94764"/>
    <w:multiLevelType w:val="hybridMultilevel"/>
    <w:lvl w:ilvl="0">
      <w:lvlJc w:val="left"/>
      <w:lvlText w:val="(%1)"/>
      <w:numFmt w:val="lowerLetter"/>
      <w:start w:val="11"/>
    </w:lvl>
    <w:lvl w:ilvl="1">
      <w:lvlJc w:val="left"/>
      <w:lvlText w:val="(%2)"/>
      <w:numFmt w:val="lowerRoman"/>
      <w:start w:val="1"/>
    </w:lvl>
  </w:abstractNum>
  <w:abstractNum w:abstractNumId="22">
    <w:nsid w:val="42C296BD"/>
    <w:multiLevelType w:val="hybridMultilevel"/>
    <w:lvl w:ilvl="0">
      <w:lvlJc w:val="left"/>
      <w:lvlText w:val="(%1)"/>
      <w:numFmt w:val="lowerLetter"/>
      <w:start w:val="11"/>
    </w:lvl>
  </w:abstractNum>
  <w:abstractNum w:abstractNumId="23">
    <w:nsid w:val="168E121F"/>
    <w:multiLevelType w:val="hybridMultilevel"/>
    <w:lvl w:ilvl="0">
      <w:lvlJc w:val="left"/>
      <w:lvlText w:val="(%1)"/>
      <w:numFmt w:val="lowerLetter"/>
      <w:start w:val="11"/>
    </w:lvl>
    <w:lvl w:ilvl="1">
      <w:lvlJc w:val="left"/>
      <w:lvlText w:val="(%2)"/>
      <w:numFmt w:val="lowerRoman"/>
      <w:start w:val="1"/>
    </w:lvl>
  </w:abstractNum>
  <w:abstractNum w:abstractNumId="24">
    <w:nsid w:val="1EBA5D23"/>
    <w:multiLevelType w:val="hybridMultilevel"/>
    <w:lvl w:ilvl="0">
      <w:lvlJc w:val="left"/>
      <w:lvlText w:val="(%1)"/>
      <w:numFmt w:val="lowerLetter"/>
      <w:start w:val="20"/>
    </w:lvl>
  </w:abstractNum>
  <w:abstractNum w:abstractNumId="25">
    <w:nsid w:val="661E3F1E"/>
    <w:multiLevelType w:val="hybridMultilevel"/>
    <w:lvl w:ilvl="0">
      <w:lvlJc w:val="left"/>
      <w:lvlText w:val="(%1)"/>
      <w:numFmt w:val="lowerLetter"/>
      <w:start w:val="27"/>
    </w:lvl>
  </w:abstractNum>
  <w:abstractNum w:abstractNumId="26">
    <w:nsid w:val="5DC79EA8"/>
    <w:multiLevelType w:val="hybridMultilevel"/>
    <w:lvl w:ilvl="0">
      <w:lvlJc w:val="left"/>
      <w:lvlText w:val="(%1)"/>
      <w:numFmt w:val="lowerLetter"/>
      <w:start w:val="35"/>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1)"/>
      <w:numFmt w:val="lowerLetter"/>
      <w:start w:val="1"/>
    </w:lvl>
  </w:abstractNum>
  <w:abstractNum w:abstractNumId="29">
    <w:nsid w:val="51D9C564"/>
    <w:multiLevelType w:val="hybridMultilevel"/>
    <w:lvl w:ilvl="0">
      <w:lvlJc w:val="left"/>
      <w:lvlText w:val="(%1)"/>
      <w:numFmt w:val="lowerLetter"/>
      <w:start w:val="1"/>
    </w:lvl>
    <w:lvl w:ilvl="1">
      <w:lvlJc w:val="left"/>
      <w:lvlText w:val="(%2)"/>
      <w:numFmt w:val="lowerLetter"/>
      <w:start w:val="9"/>
    </w:lvl>
  </w:abstractNum>
  <w:abstractNum w:abstractNumId="30">
    <w:nsid w:val="613EFDC5"/>
    <w:multiLevelType w:val="hybridMultilevel"/>
    <w:lvl w:ilvl="0">
      <w:lvlJc w:val="left"/>
      <w:lvlText w:val="%1"/>
      <w:numFmt w:val="lowerLetter"/>
      <w:start w:val="1"/>
    </w:lvl>
    <w:lvl w:ilvl="1">
      <w:lvlJc w:val="left"/>
      <w:lvlText w:val="(%2)"/>
      <w:numFmt w:val="lowerLetter"/>
      <w:start w:val="35"/>
    </w:lvl>
  </w:abstractNum>
  <w:abstractNum w:abstractNumId="31">
    <w:nsid w:val="BF72B14"/>
    <w:multiLevelType w:val="hybridMultilevel"/>
    <w:lvl w:ilvl="0">
      <w:lvlJc w:val="left"/>
      <w:lvlText w:val="(%1)"/>
      <w:numFmt w:val="lowerLetter"/>
      <w:start w:val="2"/>
    </w:lvl>
    <w:lvl w:ilvl="1">
      <w:lvlJc w:val="left"/>
      <w:lvlText w:val="%2"/>
      <w:numFmt w:val="lowerLetter"/>
      <w:start w:val="1"/>
    </w:lvl>
  </w:abstractNum>
  <w:abstractNum w:abstractNumId="32">
    <w:nsid w:val="11447B73"/>
    <w:multiLevelType w:val="hybridMultilevel"/>
    <w:lvl w:ilvl="0">
      <w:lvlJc w:val="left"/>
      <w:lvlText w:val="%1"/>
      <w:numFmt w:val="lowerLetter"/>
      <w:start w:val="1"/>
    </w:lvl>
    <w:lvl w:ilvl="1">
      <w:lvlJc w:val="left"/>
      <w:lvlText w:val="(%2)"/>
      <w:numFmt w:val="lowerLetter"/>
      <w:start w:val="1"/>
    </w:lvl>
  </w:abstractNum>
  <w:abstractNum w:abstractNumId="33">
    <w:nsid w:val="42963E5A"/>
    <w:multiLevelType w:val="hybridMultilevel"/>
    <w:lvl w:ilvl="0">
      <w:lvlJc w:val="left"/>
      <w:lvlText w:val="(%1)"/>
      <w:numFmt w:val="lowerLetter"/>
      <w:start w:val="35"/>
    </w:lvl>
    <w:lvl w:ilvl="1">
      <w:lvlJc w:val="left"/>
      <w:lvlText w:val="(%2)"/>
      <w:numFmt w:val="lowerLetter"/>
      <w:start w:val="3"/>
    </w:lvl>
  </w:abstractNum>
  <w:abstractNum w:abstractNumId="34">
    <w:nsid w:val="A0382C5"/>
    <w:multiLevelType w:val="hybridMultilevel"/>
    <w:lvl w:ilvl="0">
      <w:lvlJc w:val="left"/>
      <w:lvlText w:val="(%1)"/>
      <w:numFmt w:val="lowerLetter"/>
      <w:start w:val="1"/>
    </w:lvl>
  </w:abstractNum>
  <w:abstractNum w:abstractNumId="35">
    <w:nsid w:val="8F2B15E"/>
    <w:multiLevelType w:val="hybridMultilevel"/>
    <w:lvl w:ilvl="0">
      <w:lvlJc w:val="left"/>
      <w:lvlText w:val="%1"/>
      <w:numFmt w:val="lowerLetter"/>
      <w:start w:val="1"/>
    </w:lvl>
    <w:lvl w:ilvl="1">
      <w:lvlJc w:val="left"/>
      <w:lvlText w:val="(%2)"/>
      <w:numFmt w:val="lowerLetter"/>
      <w:start w:val="3"/>
    </w:lvl>
  </w:abstractNum>
  <w:abstractNum w:abstractNumId="36">
    <w:nsid w:val="1A32234B"/>
    <w:multiLevelType w:val="hybridMultilevel"/>
    <w:lvl w:ilvl="0">
      <w:lvlJc w:val="left"/>
      <w:lvlText w:val="(%1)"/>
      <w:numFmt w:val="lowerLetter"/>
      <w:start w:val="35"/>
    </w:lvl>
    <w:lvl w:ilvl="1">
      <w:lvlJc w:val="left"/>
      <w:lvlText w:val="%2"/>
      <w:numFmt w:val="lowerLetter"/>
      <w:start w:val="1"/>
    </w:lvl>
  </w:abstractNum>
  <w:abstractNum w:abstractNumId="37">
    <w:nsid w:val="3B0FD379"/>
    <w:multiLevelType w:val="hybridMultilevel"/>
    <w:lvl w:ilvl="0">
      <w:lvlJc w:val="left"/>
      <w:lvlText w:val="(%1)"/>
      <w:numFmt w:val="lowerLetter"/>
      <w:start w:val="1"/>
    </w:lvl>
    <w:lvl w:ilvl="1">
      <w:lvlJc w:val="left"/>
      <w:lvlText w:val="(%2)"/>
      <w:numFmt w:val="lowerRoman"/>
      <w:start w:val="1"/>
    </w:lvl>
  </w:abstractNum>
  <w:abstractNum w:abstractNumId="38">
    <w:nsid w:val="68EB2F63"/>
    <w:multiLevelType w:val="hybridMultilevel"/>
    <w:lvl w:ilvl="0">
      <w:lvlJc w:val="left"/>
      <w:lvlText w:val="(%1)"/>
      <w:numFmt w:val="lowerLetter"/>
      <w:start w:val="3"/>
    </w:lvl>
    <w:lvl w:ilvl="1">
      <w:lvlJc w:val="left"/>
      <w:lvlText w:val="(%2)"/>
      <w:numFmt w:val="lowerRoman"/>
      <w:start w:val="1"/>
    </w:lvl>
  </w:abstractNum>
  <w:abstractNum w:abstractNumId="39">
    <w:nsid w:val="4962813B"/>
    <w:multiLevelType w:val="hybridMultilevel"/>
    <w:lvl w:ilvl="0">
      <w:lvlJc w:val="left"/>
      <w:lvlText w:val="(%1)"/>
      <w:numFmt w:val="lowerLetter"/>
      <w:start w:val="4"/>
    </w:lvl>
    <w:lvl w:ilvl="1">
      <w:lvlJc w:val="left"/>
      <w:lvlText w:val="(%2)"/>
      <w:numFmt w:val="lowerRoman"/>
      <w:start w:val="1"/>
    </w:lvl>
  </w:abstractNum>
  <w:abstractNum w:abstractNumId="40">
    <w:nsid w:val="60B6DF70"/>
    <w:multiLevelType w:val="hybridMultilevel"/>
    <w:lvl w:ilvl="0">
      <w:lvlJc w:val="left"/>
      <w:lvlText w:val="(%1)"/>
      <w:numFmt w:val="lowerLetter"/>
      <w:start w:val="1"/>
    </w:lvl>
  </w:abstractNum>
  <w:abstractNum w:abstractNumId="41">
    <w:nsid w:val="6A5EE64"/>
    <w:multiLevelType w:val="hybridMultilevel"/>
    <w:lvl w:ilvl="0">
      <w:lvlJc w:val="left"/>
      <w:lvlText w:val="(%1)"/>
      <w:numFmt w:val="lowerLetter"/>
      <w:start w:val="3"/>
    </w:lvl>
  </w:abstractNum>
  <w:abstractNum w:abstractNumId="42">
    <w:nsid w:val="14330624"/>
    <w:multiLevelType w:val="hybridMultilevel"/>
    <w:lvl w:ilvl="0">
      <w:lvlJc w:val="left"/>
      <w:lvlText w:val="(%1)"/>
      <w:numFmt w:val="lowerLetter"/>
      <w:start w:val="1"/>
    </w:lvl>
  </w:abstractNum>
  <w:abstractNum w:abstractNumId="43">
    <w:nsid w:val="7FFFCA11"/>
    <w:multiLevelType w:val="hybridMultilevel"/>
    <w:lvl w:ilvl="0">
      <w:lvlJc w:val="left"/>
      <w:lvlText w:val="(%1)"/>
      <w:numFmt w:val="lowerLetter"/>
      <w:start w:val="1"/>
    </w:lvl>
  </w:abstractNum>
  <w:abstractNum w:abstractNumId="44">
    <w:nsid w:val="1A27709E"/>
    <w:multiLevelType w:val="hybridMultilevel"/>
    <w:lvl w:ilvl="0">
      <w:lvlJc w:val="left"/>
      <w:lvlText w:val="(%1)"/>
      <w:numFmt w:val="lowerLetter"/>
      <w:start w:val="3"/>
    </w:lvl>
  </w:abstractNum>
  <w:abstractNum w:abstractNumId="45">
    <w:nsid w:val="71EA1109"/>
    <w:multiLevelType w:val="hybridMultilevel"/>
    <w:lvl w:ilvl="0">
      <w:lvlJc w:val="left"/>
      <w:lvlText w:val="(%1)"/>
      <w:numFmt w:val="lowerLetter"/>
      <w:start w:val="6"/>
    </w:lvl>
  </w:abstractNum>
  <w:abstractNum w:abstractNumId="46">
    <w:nsid w:val="100F59DC"/>
    <w:multiLevelType w:val="hybridMultilevel"/>
    <w:lvl w:ilvl="0">
      <w:lvlJc w:val="left"/>
      <w:lvlText w:val="(%1)"/>
      <w:numFmt w:val="lowerLetter"/>
      <w:start w:val="1"/>
    </w:lvl>
  </w:abstractNum>
  <w:abstractNum w:abstractNumId="47">
    <w:nsid w:val="7FB7E0AA"/>
    <w:multiLevelType w:val="hybridMultilevel"/>
    <w:lvl w:ilvl="0">
      <w:lvlJc w:val="left"/>
      <w:lvlText w:val="(%1)"/>
      <w:numFmt w:val="lowerLetter"/>
      <w:start w:val="1"/>
    </w:lvl>
  </w:abstractNum>
  <w:abstractNum w:abstractNumId="48">
    <w:nsid w:val="6EB5BD4"/>
    <w:multiLevelType w:val="hybridMultilevel"/>
    <w:lvl w:ilvl="0">
      <w:lvlJc w:val="left"/>
      <w:lvlText w:val="(%1)"/>
      <w:numFmt w:val="lowerLetter"/>
      <w:start w:val="2"/>
    </w:lvl>
  </w:abstractNum>
  <w:abstractNum w:abstractNumId="49">
    <w:nsid w:val="6F6DD9AC"/>
    <w:multiLevelType w:val="hybridMultilevel"/>
    <w:lvl w:ilvl="0">
      <w:lvlJc w:val="left"/>
      <w:lvlText w:val="(%1)"/>
      <w:numFmt w:val="lowerLetter"/>
      <w:start w:val="1"/>
    </w:lvl>
    <w:lvl w:ilvl="1">
      <w:lvlJc w:val="left"/>
      <w:lvlText w:val="(%2)"/>
      <w:numFmt w:val="lowerRoman"/>
      <w:start w:val="1"/>
    </w:lvl>
  </w:abstractNum>
  <w:abstractNum w:abstractNumId="50">
    <w:nsid w:val="94211F2"/>
    <w:multiLevelType w:val="hybridMultilevel"/>
    <w:lvl w:ilvl="0">
      <w:lvlJc w:val="left"/>
      <w:lvlText w:val="(%1)"/>
      <w:numFmt w:val="lowerLetter"/>
      <w:start w:val="5"/>
    </w:lvl>
    <w:lvl w:ilvl="1">
      <w:lvlJc w:val="left"/>
      <w:lvlText w:val="(%2)"/>
      <w:numFmt w:val="lowerRoman"/>
      <w:start w:val="1"/>
    </w:lvl>
  </w:abstractNum>
  <w:abstractNum w:abstractNumId="51">
    <w:nsid w:val="885E1B"/>
    <w:multiLevelType w:val="hybridMultilevel"/>
    <w:lvl w:ilvl="0">
      <w:lvlJc w:val="left"/>
      <w:lvlText w:val="(%1)"/>
      <w:numFmt w:val="lowerLetter"/>
      <w:start w:val="17"/>
    </w:lvl>
  </w:abstractNum>
  <w:abstractNum w:abstractNumId="52">
    <w:nsid w:val="76272110"/>
    <w:multiLevelType w:val="hybridMultilevel"/>
    <w:lvl w:ilvl="0">
      <w:lvlJc w:val="left"/>
      <w:lvlText w:val="(%1)"/>
      <w:numFmt w:val="lowerLetter"/>
      <w:start w:val="23"/>
    </w:lvl>
  </w:abstractNum>
  <w:abstractNum w:abstractNumId="53">
    <w:nsid w:val="4C04A8AF"/>
    <w:multiLevelType w:val="hybridMultilevel"/>
    <w:lvl w:ilvl="0">
      <w:lvlJc w:val="left"/>
      <w:lvlText w:val="(%1)"/>
      <w:numFmt w:val="lowerLetter"/>
      <w:start w:val="27"/>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1)"/>
      <w:numFmt w:val="lowerRoman"/>
      <w:start w:val="1"/>
    </w:lvl>
  </w:abstractNum>
  <w:abstractNum w:abstractNumId="56">
    <w:nsid w:val="3222E7CD"/>
    <w:multiLevelType w:val="hybridMultilevel"/>
    <w:lvl w:ilvl="0">
      <w:lvlJc w:val="left"/>
      <w:lvlText w:val="(%1)"/>
      <w:numFmt w:val="lowerRoman"/>
      <w:start w:val="6"/>
    </w:lvl>
  </w:abstractNum>
  <w:abstractNum w:abstractNumId="57">
    <w:nsid w:val="74DE0EE3"/>
    <w:multiLevelType w:val="hybridMultilevel"/>
    <w:lvl w:ilvl="0">
      <w:lvlJc w:val="left"/>
      <w:lvlText w:val="(%1)"/>
      <w:numFmt w:val="lowerRoman"/>
      <w:start w:val="2"/>
    </w:lvl>
  </w:abstractNum>
  <w:abstractNum w:abstractNumId="58">
    <w:nsid w:val="68EBC550"/>
    <w:multiLevelType w:val="hybridMultilevel"/>
    <w:lvl w:ilvl="0">
      <w:lvlJc w:val="left"/>
      <w:lvlText w:val="(%1)"/>
      <w:numFmt w:val="lowerLetter"/>
      <w:start w:val="1"/>
    </w:lvl>
  </w:abstractNum>
  <w:abstractNum w:abstractNumId="59">
    <w:nsid w:val="2DF6D648"/>
    <w:multiLevelType w:val="hybridMultilevel"/>
    <w:lvl w:ilvl="0">
      <w:lvlJc w:val="left"/>
      <w:lvlText w:val="(%1)"/>
      <w:numFmt w:val="lowerLetter"/>
      <w:start w:val="2"/>
    </w:lvl>
    <w:lvl w:ilvl="1">
      <w:lvlJc w:val="left"/>
      <w:lvlText w:val="(%2)"/>
      <w:numFmt w:val="lowerRoman"/>
      <w:start w:val="1"/>
    </w:lvl>
  </w:abstractNum>
  <w:abstractNum w:abstractNumId="60">
    <w:nsid w:val="46B7D447"/>
    <w:multiLevelType w:val="hybridMultilevel"/>
    <w:lvl w:ilvl="0">
      <w:lvlJc w:val="left"/>
      <w:lvlText w:val="(%1)"/>
      <w:numFmt w:val="lowerRoman"/>
      <w:start w:val="3"/>
    </w:lvl>
  </w:abstractNum>
  <w:abstractNum w:abstractNumId="61">
    <w:nsid w:val="4A2AC315"/>
    <w:multiLevelType w:val="hybridMultilevel"/>
    <w:lvl w:ilvl="0">
      <w:lvlJc w:val="left"/>
      <w:lvlText w:val="(%1)"/>
      <w:numFmt w:val="lowerRoman"/>
      <w:start w:val="6"/>
    </w:lvl>
  </w:abstractNum>
  <w:abstractNum w:abstractNumId="62">
    <w:nsid w:val="39EE015C"/>
    <w:multiLevelType w:val="hybridMultilevel"/>
    <w:lvl w:ilvl="0">
      <w:lvlJc w:val="left"/>
      <w:lvlText w:val="(%1)"/>
      <w:numFmt w:val="lowerLetter"/>
      <w:start w:val="3"/>
    </w:lvl>
  </w:abstractNum>
  <w:abstractNum w:abstractNumId="63">
    <w:nsid w:val="57FC4FBB"/>
    <w:multiLevelType w:val="hybridMultilevel"/>
    <w:lvl w:ilvl="0">
      <w:lvlJc w:val="left"/>
      <w:lvlText w:val="(%1)"/>
      <w:numFmt w:val="lowerLetter"/>
      <w:start w:val="5"/>
    </w:lvl>
  </w:abstractNum>
  <w:abstractNum w:abstractNumId="64">
    <w:nsid w:val="CC1016F"/>
    <w:multiLevelType w:val="hybridMultilevel"/>
    <w:lvl w:ilvl="0">
      <w:lvlJc w:val="left"/>
      <w:lvlText w:val="(%1)"/>
      <w:numFmt w:val="lowerLetter"/>
      <w:start w:val="1"/>
    </w:lvl>
  </w:abstractNum>
  <w:abstractNum w:abstractNumId="65">
    <w:nsid w:val="43F18422"/>
    <w:multiLevelType w:val="hybridMultilevel"/>
    <w:lvl w:ilvl="0">
      <w:lvlJc w:val="left"/>
      <w:lvlText w:val="(%1)"/>
      <w:numFmt w:val="lowerLetter"/>
      <w:start w:val="2"/>
    </w:lvl>
  </w:abstractNum>
  <w:abstractNum w:abstractNumId="66">
    <w:nsid w:val="60EF011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7">
    <w:nsid w:val="26F324BA"/>
    <w:multiLevelType w:val="hybridMultilevel"/>
    <w:lvl w:ilvl="0">
      <w:lvlJc w:val="left"/>
      <w:lvlText w:val="(%1)"/>
      <w:numFmt w:val="lowerRoman"/>
      <w:start w:val="2"/>
    </w:lvl>
    <w:lvl w:ilvl="1">
      <w:lvlJc w:val="left"/>
      <w:lvlText w:val="(%2)"/>
      <w:numFmt w:val="upperLetter"/>
      <w:start w:val="1"/>
    </w:lvl>
  </w:abstractNum>
  <w:abstractNum w:abstractNumId="68">
    <w:nsid w:val="7F01579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9">
    <w:nsid w:val="49DA307D"/>
    <w:multiLevelType w:val="hybridMultilevel"/>
    <w:lvl w:ilvl="0">
      <w:lvlJc w:val="left"/>
      <w:lvlText w:val="(%1)"/>
      <w:numFmt w:val="upperLetter"/>
      <w:start w:val="2"/>
    </w:lvl>
  </w:abstractNum>
  <w:abstractNum w:abstractNumId="70">
    <w:nsid w:val="7055A5F5"/>
    <w:multiLevelType w:val="hybridMultilevel"/>
    <w:lvl w:ilvl="0">
      <w:lvlJc w:val="left"/>
      <w:lvlText w:val="(%1)"/>
      <w:numFmt w:val="upperLetter"/>
      <w:start w:val="4"/>
    </w:lvl>
  </w:abstractNum>
  <w:abstractNum w:abstractNumId="71">
    <w:nsid w:val="5FB8370B"/>
    <w:multiLevelType w:val="hybridMultilevel"/>
    <w:lvl w:ilvl="0">
      <w:lvlJc w:val="left"/>
      <w:lvlText w:val="(%1)"/>
      <w:numFmt w:val="lowerRoman"/>
      <w:start w:val="2"/>
    </w:lvl>
  </w:abstractNum>
  <w:abstractNum w:abstractNumId="72">
    <w:nsid w:val="50801EE1"/>
    <w:multiLevelType w:val="hybridMultilevel"/>
    <w:lvl w:ilvl="0">
      <w:lvlJc w:val="left"/>
      <w:lvlText w:val="(%1)"/>
      <w:numFmt w:val="lowerLetter"/>
      <w:start w:val="2"/>
    </w:lvl>
  </w:abstractNum>
  <w:abstractNum w:abstractNumId="73">
    <w:nsid w:val="488AC1A"/>
    <w:multiLevelType w:val="hybridMultilevel"/>
    <w:lvl w:ilvl="0">
      <w:lvlJc w:val="left"/>
      <w:lvlText w:val="%1"/>
      <w:numFmt w:val="upperLetter"/>
      <w:start w:val="1"/>
    </w:lvl>
    <w:lvl w:ilvl="1">
      <w:lvlJc w:val="left"/>
      <w:lvlText w:val="(%2)"/>
      <w:numFmt w:val="lowerLetter"/>
      <w:start w:val="3"/>
    </w:lvl>
  </w:abstractNum>
  <w:abstractNum w:abstractNumId="74">
    <w:nsid w:val="5FB8011C"/>
    <w:multiLevelType w:val="hybridMultilevel"/>
    <w:lvl w:ilvl="0">
      <w:lvlJc w:val="left"/>
      <w:lvlText w:val="(%1)"/>
      <w:numFmt w:val="upperLetter"/>
      <w:start w:val="2"/>
    </w:lvl>
    <w:lvl w:ilvl="1">
      <w:lvlJc w:val="left"/>
      <w:lvlText w:val="%2"/>
      <w:numFmt w:val="lowerLetter"/>
      <w:start w:val="1"/>
    </w:lvl>
  </w:abstractNum>
  <w:abstractNum w:abstractNumId="75">
    <w:nsid w:val="6AA78F7F"/>
    <w:multiLevelType w:val="hybridMultilevel"/>
    <w:lvl w:ilvl="0">
      <w:lvlJc w:val="left"/>
      <w:lvlText w:val="(%1)"/>
      <w:numFmt w:val="lowerLetter"/>
      <w:start w:val="1"/>
    </w:lvl>
  </w:abstractNum>
  <w:abstractNum w:abstractNumId="76">
    <w:nsid w:val="7672BD23"/>
    <w:multiLevelType w:val="hybridMultilevel"/>
    <w:lvl w:ilvl="0">
      <w:lvlJc w:val="left"/>
      <w:lvlText w:val="(%1)"/>
      <w:numFmt w:val="lowerLetter"/>
      <w:start w:val="2"/>
    </w:lvl>
  </w:abstractNum>
  <w:abstractNum w:abstractNumId="77">
    <w:nsid w:val="6FC75AF8"/>
    <w:multiLevelType w:val="hybridMultilevel"/>
    <w:lvl w:ilvl="0">
      <w:lvlJc w:val="left"/>
      <w:lvlText w:val="(%1)"/>
      <w:numFmt w:val="lowerLetter"/>
      <w:start w:val="1"/>
    </w:lvl>
  </w:abstractNum>
  <w:abstractNum w:abstractNumId="78">
    <w:nsid w:val="6A5F7029"/>
    <w:multiLevelType w:val="hybridMultilevel"/>
    <w:lvl w:ilvl="0">
      <w:lvlJc w:val="left"/>
      <w:lvlText w:val="(%1)"/>
      <w:numFmt w:val="lowerLetter"/>
      <w:start w:val="2"/>
    </w:lvl>
  </w:abstractNum>
  <w:abstractNum w:abstractNumId="79">
    <w:nsid w:val="7D5E18F8"/>
    <w:multiLevelType w:val="hybridMultilevel"/>
    <w:lvl w:ilvl="0">
      <w:lvlJc w:val="left"/>
      <w:lvlText w:val="(%1)"/>
      <w:numFmt w:val="lowerLetter"/>
      <w:start w:val="1"/>
    </w:lvl>
    <w:lvl w:ilvl="1">
      <w:lvlJc w:val="left"/>
      <w:lvlText w:val="(%2)"/>
      <w:numFmt w:val="lowerRoman"/>
      <w:start w:val="1"/>
    </w:lvl>
  </w:abstractNum>
  <w:abstractNum w:abstractNumId="80">
    <w:nsid w:val="5F3534A4"/>
    <w:multiLevelType w:val="hybridMultilevel"/>
    <w:lvl w:ilvl="0">
      <w:lvlJc w:val="left"/>
      <w:lvlText w:val="(%1)"/>
      <w:numFmt w:val="lowerRoman"/>
      <w:start w:val="3"/>
    </w:lvl>
  </w:abstractNum>
  <w:abstractNum w:abstractNumId="81">
    <w:nsid w:val="73A1821B"/>
    <w:multiLevelType w:val="hybridMultilevel"/>
    <w:lvl w:ilvl="0">
      <w:lvlJc w:val="left"/>
      <w:lvlText w:val="%1"/>
      <w:numFmt w:val="lowerLetter"/>
      <w:start w:val="1"/>
    </w:lvl>
    <w:lvl w:ilvl="1">
      <w:lvlJc w:val="left"/>
      <w:lvlText w:val="(%2)"/>
      <w:numFmt w:val="upperLetter"/>
      <w:start w:val="1"/>
    </w:lvl>
  </w:abstractNum>
  <w:abstractNum w:abstractNumId="82">
    <w:nsid w:val="7DE67713"/>
    <w:multiLevelType w:val="hybridMultilevel"/>
    <w:lvl w:ilvl="0">
      <w:lvlJc w:val="left"/>
      <w:lvlText w:val="(%1)"/>
      <w:numFmt w:val="lowerLetter"/>
      <w:start w:val="2"/>
    </w:lvl>
    <w:lvl w:ilvl="1">
      <w:lvlJc w:val="left"/>
      <w:lvlText w:val="%2"/>
      <w:numFmt w:val="upperLetter"/>
      <w:start w:val="1"/>
    </w:lvl>
  </w:abstractNum>
  <w:abstractNum w:abstractNumId="83">
    <w:nsid w:val="555C55B5"/>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84">
    <w:nsid w:val="3FA62ACA"/>
    <w:multiLevelType w:val="hybridMultilevel"/>
    <w:lvl w:ilvl="0">
      <w:lvlJc w:val="left"/>
      <w:lvlText w:val="(%1)"/>
      <w:numFmt w:val="lowerLetter"/>
      <w:start w:val="4"/>
    </w:lvl>
    <w:lvl w:ilvl="1">
      <w:lvlJc w:val="left"/>
      <w:lvlText w:val="(%2)"/>
      <w:numFmt w:val="lowerLetter"/>
      <w:start w:val="9"/>
    </w:lvl>
  </w:abstractNum>
  <w:abstractNum w:abstractNumId="85">
    <w:nsid w:val="14FCE74E"/>
    <w:multiLevelType w:val="hybridMultilevel"/>
    <w:lvl w:ilvl="0">
      <w:lvlJc w:val="left"/>
      <w:lvlText w:val="%1"/>
      <w:numFmt w:val="lowerLetter"/>
      <w:start w:val="1"/>
    </w:lvl>
    <w:lvl w:ilvl="1">
      <w:lvlJc w:val="left"/>
      <w:lvlText w:val="(%2)"/>
      <w:numFmt w:val="lowerLetter"/>
      <w:start w:val="35"/>
    </w:lvl>
  </w:abstractNum>
  <w:abstractNum w:abstractNumId="86">
    <w:nsid w:val="6A3DD3E8"/>
    <w:multiLevelType w:val="hybridMultilevel"/>
    <w:lvl w:ilvl="0">
      <w:lvlJc w:val="left"/>
      <w:lvlText w:val="(%1)"/>
      <w:numFmt w:val="lowerLetter"/>
      <w:start w:val="6"/>
    </w:lvl>
    <w:lvl w:ilvl="1">
      <w:lvlJc w:val="left"/>
      <w:lvlText w:val="%2"/>
      <w:numFmt w:val="lowerLetter"/>
      <w:start w:val="1"/>
    </w:lvl>
  </w:abstractNum>
  <w:abstractNum w:abstractNumId="87">
    <w:nsid w:val="71C91298"/>
    <w:multiLevelType w:val="hybridMultilevel"/>
    <w:lvl w:ilvl="0">
      <w:lvlJc w:val="left"/>
      <w:lvlText w:val="(%1)"/>
      <w:numFmt w:val="lowerLetter"/>
      <w:start w:val="8"/>
    </w:lvl>
  </w:abstractNum>
  <w:abstractNum w:abstractNumId="88">
    <w:nsid w:val="9DAF632"/>
    <w:multiLevelType w:val="hybridMultilevel"/>
    <w:lvl w:ilvl="0">
      <w:lvlJc w:val="left"/>
      <w:lvlText w:val="(%1)"/>
      <w:numFmt w:val="lowerLetter"/>
      <w:start w:val="1"/>
    </w:lvl>
  </w:abstractNum>
  <w:abstractNum w:abstractNumId="89">
    <w:nsid w:val="53299938"/>
    <w:multiLevelType w:val="hybridMultilevel"/>
    <w:lvl w:ilvl="0">
      <w:lvlJc w:val="left"/>
      <w:lvlText w:val="(%1)"/>
      <w:numFmt w:val="lowerLetter"/>
      <w:start w:val="2"/>
    </w:lvl>
  </w:abstractNum>
  <w:abstractNum w:abstractNumId="90">
    <w:nsid w:val="1FBFE8E0"/>
    <w:multiLevelType w:val="hybridMultilevel"/>
    <w:lvl w:ilvl="0">
      <w:lvlJc w:val="left"/>
      <w:lvlText w:val="(%1)"/>
      <w:numFmt w:val="lowerLetter"/>
      <w:start w:val="1"/>
    </w:lvl>
  </w:abstractNum>
  <w:abstractNum w:abstractNumId="91">
    <w:nsid w:val="5092CA79"/>
    <w:multiLevelType w:val="hybridMultilevel"/>
    <w:lvl w:ilvl="0">
      <w:lvlJc w:val="left"/>
      <w:lvlText w:val="(%1)"/>
      <w:numFmt w:val="lowerLetter"/>
      <w:start w:val="4"/>
    </w:lvl>
  </w:abstractNum>
  <w:abstractNum w:abstractNumId="92">
    <w:nsid w:val="1D545C4D"/>
    <w:multiLevelType w:val="hybridMultilevel"/>
    <w:lvl w:ilvl="0">
      <w:lvlJc w:val="left"/>
      <w:lvlText w:val="(%1)"/>
      <w:numFmt w:val="lowerLetter"/>
      <w:start w:val="7"/>
    </w:lvl>
  </w:abstractNum>
  <w:abstractNum w:abstractNumId="93">
    <w:nsid w:val="59ADEA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288F1A34"/>
    <w:multiLevelType w:val="hybridMultilevel"/>
    <w:lvl w:ilvl="0">
      <w:lvlJc w:val="left"/>
      <w:lvlText w:val="%1"/>
      <w:numFmt w:val="decimal"/>
      <w:start w:val="1"/>
    </w:lvl>
    <w:lvl w:ilvl="1">
      <w:lvlJc w:val="left"/>
      <w:lvlText w:val="(%2)"/>
      <w:numFmt w:val="lowerLetter"/>
      <w:start w:val="4"/>
    </w:lvl>
  </w:abstractNum>
  <w:abstractNum w:abstractNumId="95">
    <w:nsid w:val="2A155DBC"/>
    <w:multiLevelType w:val="hybridMultilevel"/>
    <w:lvl w:ilvl="0">
      <w:lvlJc w:val="left"/>
      <w:lvlText w:val="%1."/>
      <w:numFmt w:val="decimal"/>
      <w:start w:val="2"/>
    </w:lvl>
    <w:lvl w:ilvl="1">
      <w:lvlJc w:val="left"/>
      <w:lvlText w:val="(%2)"/>
      <w:numFmt w:val="lowerLetter"/>
      <w:start w:val="1"/>
    </w:lvl>
  </w:abstractNum>
  <w:abstractNum w:abstractNumId="96">
    <w:nsid w:val="1D9F6E5F"/>
    <w:multiLevelType w:val="hybridMultilevel"/>
    <w:lvl w:ilvl="0">
      <w:lvlJc w:val="left"/>
      <w:lvlText w:val="%1."/>
      <w:numFmt w:val="decimal"/>
      <w:start w:val="5"/>
    </w:lvl>
    <w:lvl w:ilvl="1">
      <w:lvlJc w:val="left"/>
      <w:lvlText w:val="(%2)"/>
      <w:numFmt w:val="lowerLetter"/>
      <w:start w:val="1"/>
    </w:lvl>
  </w:abstractNum>
  <w:abstractNum w:abstractNumId="97">
    <w:nsid w:val="97E1B4E"/>
    <w:multiLevelType w:val="hybridMultilevel"/>
    <w:lvl w:ilvl="0">
      <w:lvlJc w:val="left"/>
      <w:lvlText w:val="%1"/>
      <w:numFmt w:val="decimal"/>
      <w:start w:val="1"/>
    </w:lvl>
    <w:lvl w:ilvl="1">
      <w:lvlJc w:val="left"/>
      <w:lvlText w:val="(%2)"/>
      <w:numFmt w:val="lowerLetter"/>
      <w:start w:val="9"/>
    </w:lvl>
  </w:abstractNum>
  <w:abstractNum w:abstractNumId="98">
    <w:nsid w:val="51088277"/>
    <w:multiLevelType w:val="hybridMultilevel"/>
    <w:lvl w:ilvl="0">
      <w:lvlJc w:val="left"/>
      <w:lvlText w:val="%1."/>
      <w:numFmt w:val="decimal"/>
      <w:start w:val="7"/>
    </w:lvl>
    <w:lvl w:ilvl="1">
      <w:lvlJc w:val="left"/>
      <w:lvlText w:val="(%2)"/>
      <w:numFmt w:val="lowerLetter"/>
      <w:start w:val="1"/>
    </w:lvl>
  </w:abstractNum>
  <w:abstractNum w:abstractNumId="99">
    <w:nsid w:val="1CA0C5FA"/>
    <w:multiLevelType w:val="hybridMultilevel"/>
    <w:lvl w:ilvl="0">
      <w:lvlJc w:val="left"/>
      <w:lvlText w:val="(%1)"/>
      <w:numFmt w:val="lowerLetter"/>
      <w:start w:val="4"/>
    </w:lvl>
  </w:abstractNum>
  <w:abstractNum w:abstractNumId="100">
    <w:nsid w:val="53584BCB"/>
    <w:multiLevelType w:val="hybridMultilevel"/>
    <w:lvl w:ilvl="0">
      <w:lvlJc w:val="left"/>
      <w:lvlText w:val="1"/>
      <w:numFmt w:val="bullet"/>
      <w:start w:val="1"/>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1)"/>
      <w:numFmt w:val="lowerRoman"/>
      <w:start w:val="1"/>
    </w:lvl>
  </w:abstractNum>
  <w:abstractNum w:abstractNumId="103">
    <w:nsid w:val="23D86AAC"/>
    <w:multiLevelType w:val="hybridMultilevel"/>
    <w:lvl w:ilvl="0">
      <w:lvlJc w:val="left"/>
      <w:lvlText w:val="(%1)"/>
      <w:numFmt w:val="lowerRoman"/>
      <w:start w:val="6"/>
    </w:lvl>
  </w:abstractNum>
  <w:abstractNum w:abstractNumId="104">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5">
    <w:nsid w:val="5C10FE21"/>
    <w:multiLevelType w:val="hybridMultilevel"/>
    <w:lvl w:ilvl="0">
      <w:lvlJc w:val="left"/>
      <w:lvlText w:val="%1."/>
      <w:numFmt w:val="decimal"/>
      <w:start w:val="2"/>
    </w:lvl>
    <w:lvl w:ilvl="1">
      <w:lvlJc w:val="left"/>
      <w:lvlText w:val="(%2)"/>
      <w:numFmt w:val="lowerLetter"/>
      <w:start w:val="1"/>
    </w:lvl>
  </w:abstractNum>
  <w:abstractNum w:abstractNumId="106">
    <w:nsid w:val="E7FFA2B"/>
    <w:multiLevelType w:val="hybridMultilevel"/>
    <w:lvl w:ilvl="0">
      <w:lvlJc w:val="left"/>
      <w:lvlText w:val="%1"/>
      <w:numFmt w:val="decimal"/>
      <w:start w:val="1"/>
    </w:lvl>
    <w:lvl w:ilvl="1">
      <w:lvlJc w:val="left"/>
      <w:lvlText w:val="(%2)"/>
      <w:numFmt w:val="lowerLetter"/>
      <w:start w:val="3"/>
    </w:lvl>
  </w:abstractNum>
  <w:abstractNum w:abstractNumId="107">
    <w:nsid w:val="3C5991AA"/>
    <w:multiLevelType w:val="hybridMultilevel"/>
    <w:lvl w:ilvl="0">
      <w:lvlJc w:val="left"/>
      <w:lvlText w:val="%1."/>
      <w:numFmt w:val="decimal"/>
      <w:start w:val="7"/>
    </w:lvl>
    <w:lvl w:ilvl="1">
      <w:lvlJc w:val="left"/>
      <w:lvlText w:val="(%2)"/>
      <w:numFmt w:val="lowerLetter"/>
      <w:start w:val="1"/>
    </w:lvl>
  </w:abstractNum>
  <w:abstractNum w:abstractNumId="108">
    <w:nsid w:val="4BD8591A"/>
    <w:multiLevelType w:val="hybridMultilevel"/>
    <w:lvl w:ilvl="0">
      <w:lvlJc w:val="left"/>
      <w:lvlText w:val="(%1)"/>
      <w:numFmt w:val="lowerLetter"/>
      <w:start w:val="2"/>
    </w:lvl>
  </w:abstractNum>
  <w:abstractNum w:abstractNumId="109">
    <w:nsid w:val="78DF6A55"/>
    <w:multiLevelType w:val="hybridMultilevel"/>
    <w:lvl w:ilvl="0">
      <w:lvlJc w:val="left"/>
      <w:lvlText w:val="1"/>
      <w:numFmt w:val="bullet"/>
      <w:start w:val="1"/>
    </w:lvl>
  </w:abstractNum>
  <w:abstractNum w:abstractNumId="110">
    <w:nsid w:val="39B7AAA2"/>
    <w:multiLevelType w:val="hybridMultilevel"/>
    <w:lvl w:ilvl="0">
      <w:lvlJc w:val="left"/>
      <w:lvlText w:val="(%1)"/>
      <w:numFmt w:val="lowerRoman"/>
      <w:start w:val="1"/>
    </w:lvl>
  </w:abstractNum>
  <w:abstractNum w:abstractNumId="111">
    <w:nsid w:val="2B0D8DBE"/>
    <w:multiLevelType w:val="hybridMultilevel"/>
    <w:lvl w:ilvl="0">
      <w:lvlJc w:val="left"/>
      <w:lvlText w:val="(%1)"/>
      <w:numFmt w:val="lowerRoman"/>
      <w:start w:val="6"/>
    </w:lvl>
  </w:abstractNum>
  <w:abstractNum w:abstractNumId="112">
    <w:nsid w:val="6C80EC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3">
    <w:nsid w:val="379E21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14">
    <w:nsid w:val="69E373"/>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15">
    <w:nsid w:val="2C27173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16">
    <w:nsid w:val="4C9B0904"/>
    <w:multiLevelType w:val="hybridMultilevel"/>
    <w:lvl w:ilvl="0">
      <w:lvlJc w:val="left"/>
      <w:lvlText w:val="%1"/>
      <w:numFmt w:val="decimal"/>
      <w:start w:val="1"/>
    </w:lvl>
    <w:lvl w:ilvl="1">
      <w:lvlJc w:val="left"/>
      <w:lvlText w:val="(%2)"/>
      <w:numFmt w:val="lowerLetter"/>
      <w:start w:val="2"/>
    </w:lvl>
  </w:abstractNum>
  <w:abstractNum w:abstractNumId="117">
    <w:nsid w:val="6AA7B75C"/>
    <w:multiLevelType w:val="hybridMultilevel"/>
    <w:lvl w:ilvl="0">
      <w:lvlJc w:val="left"/>
      <w:lvlText w:val="%1."/>
      <w:numFmt w:val="decimal"/>
      <w:start w:val="9"/>
    </w:lvl>
    <w:lvl w:ilvl="1">
      <w:lvlJc w:val="left"/>
      <w:lvlText w:val="%2"/>
      <w:numFmt w:val="lowerLetter"/>
      <w:start w:val="1"/>
    </w:lvl>
  </w:abstractNum>
  <w:abstractNum w:abstractNumId="118">
    <w:nsid w:val="1DF029D3"/>
    <w:multiLevelType w:val="hybridMultilevel"/>
    <w:lvl w:ilvl="0">
      <w:lvlJc w:val="left"/>
      <w:lvlText w:val="%1."/>
      <w:numFmt w:val="decimal"/>
      <w:start w:val="10"/>
    </w:lvl>
  </w:abstractNum>
  <w:abstractNum w:abstractNumId="119">
    <w:nsid w:val="5675FF36"/>
    <w:multiLevelType w:val="hybridMultilevel"/>
    <w:lvl w:ilvl="0">
      <w:lvlJc w:val="left"/>
      <w:lvlText w:val="%1."/>
      <w:numFmt w:val="decimal"/>
      <w:start w:val="15"/>
    </w:lvl>
  </w:abstractNum>
  <w:abstractNum w:abstractNumId="120">
    <w:nsid w:val="3DD15094"/>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jpeg"/><Relationship Id="rId13" Type="http://schemas.openxmlformats.org/officeDocument/2006/relationships/hyperlink" Target="http://www.sec.gov/Archives/edgar/data/1467623/000119312518078140/d45194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2021-04-30T15:40:09Z</dcterms:created>
  <dcterms:modified xsi:type="dcterms:W3CDTF">2021-04-30T15:40:09Z</dcterms:modified>
</cp:coreProperties>
</file>