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12/31/2021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7"/>
              </w:rPr>
              <w:t>176,523</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2,131,571</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forfeiture of shares of restricted stock to the Issuer as a result of performance targets not being met as of 12/31/2021</w:t>
      </w:r>
    </w:p>
    <w:p>
      <w:pPr>
        <w:spacing w:after="0" w:line="50" w:lineRule="exact"/>
        <w:rPr>
          <w:rFonts w:ascii="Arial" w:cs="Arial" w:eastAsia="Arial" w:hAnsi="Arial"/>
          <w:sz w:val="13"/>
          <w:szCs w:val="13"/>
          <w:color w:val="008000"/>
        </w:rPr>
      </w:pPr>
    </w:p>
    <w:p>
      <w:pPr>
        <w:ind w:left="40" w:right="3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or if certain restricted stock awards do not satisfy market-based or liquidity event-related performance vesting conditions, the unvested restricted stock awards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01/04/2022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2022-01-04T20:33:10Z</dcterms:created>
  <dcterms:modified xsi:type="dcterms:W3CDTF">2022-01-04T20:33:10Z</dcterms:modified>
</cp:coreProperties>
</file>