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26210C 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104</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Arash Ferdowsi</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4"/>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(b)</w:t>
            </w:r>
          </w:p>
        </w:tc>
        <w:tc>
          <w:tcPr>
            <w:tcW w:w="93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60" w:type="dxa"/>
            <w:vAlign w:val="bottom"/>
          </w:tcPr>
          <w:p>
            <w:pPr>
              <w:spacing w:after="0"/>
              <w:rPr>
                <w:sz w:val="19"/>
                <w:szCs w:val="19"/>
                <w:color w:val="auto"/>
              </w:rPr>
            </w:pP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36,287,385 (See Item 4(a) below)</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480" w:type="dxa"/>
            <w:vAlign w:val="bottom"/>
          </w:tcPr>
          <w:p>
            <w:pPr>
              <w:ind w:left="180"/>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6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8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80" w:type="dxa"/>
            <w:vAlign w:val="bottom"/>
          </w:tcPr>
          <w:p>
            <w:pPr>
              <w:ind w:left="180"/>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2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36,287,385 (See Item 4(a) below)</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8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36,287,385 (See Item 4(a) below)</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04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12.0% (See Item 4(b) below)</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Dropbox, Inc.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Arash Ferdowsi</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Dropbox,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(c) 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Arash Ferdowsi is a United States citizen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 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$0.00001 per share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(e) 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26210C 104</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00"/>
        <w:spacing w:after="0" w:line="279" w:lineRule="auto"/>
        <w:rPr>
          <w:rFonts w:ascii="Arial" w:cs="Arial" w:eastAsia="Arial" w:hAnsi="Arial"/>
          <w:sz w:val="18"/>
          <w:szCs w:val="18"/>
          <w:color w:val="auto"/>
        </w:rPr>
      </w:pPr>
      <w:r>
        <w:rPr>
          <w:rFonts w:ascii="Arial" w:cs="Arial" w:eastAsia="Arial" w:hAnsi="Arial"/>
          <w:sz w:val="17"/>
          <w:szCs w:val="17"/>
          <w:color w:val="auto"/>
        </w:rPr>
        <w:t>As of December 31, 2019, (i) 4,400,000 shares of Class A Common Stock were held of record by Arash Ferdowsi, (ii) 400,000 shares of Class A Common Stock and 28,586,583 shares of Class B Common Stock were held of record by the Arash Ferdowsi Revocable Trust dated 4/20/2012, for which Mr. Ferdowsi serves as trustee, and (iii) 2,900,802 shares of Class B Common Stock were held of record by the Arash Ferdowsi Remainder Trust dated 3/21/2011, for which Mr. Ferdowsi serves as trustee.</w:t>
      </w:r>
    </w:p>
    <w:p>
      <w:pPr>
        <w:spacing w:after="0" w:line="63" w:lineRule="exact"/>
        <w:rPr>
          <w:rFonts w:ascii="Arial" w:cs="Arial" w:eastAsia="Arial" w:hAnsi="Arial"/>
          <w:sz w:val="18"/>
          <w:szCs w:val="18"/>
          <w:color w:val="auto"/>
        </w:rPr>
      </w:pPr>
    </w:p>
    <w:p>
      <w:pPr>
        <w:ind w:left="1000" w:right="160"/>
        <w:spacing w:after="0" w:line="259" w:lineRule="auto"/>
        <w:rPr>
          <w:rFonts w:ascii="Arial" w:cs="Arial" w:eastAsia="Arial" w:hAnsi="Arial"/>
          <w:sz w:val="18"/>
          <w:szCs w:val="18"/>
          <w:color w:val="auto"/>
        </w:rPr>
      </w:pPr>
      <w:r>
        <w:rPr>
          <w:rFonts w:ascii="Arial" w:cs="Arial" w:eastAsia="Arial" w:hAnsi="Arial"/>
          <w:sz w:val="18"/>
          <w:szCs w:val="18"/>
          <w:color w:val="auto"/>
        </w:rPr>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ectPr>
          <w:pgSz w:w="11900" w:h="16838" w:orient="portrait"/>
          <w:cols w:equalWidth="0" w:num="1">
            <w:col w:w="11000"/>
          </w:cols>
          <w:pgMar w:left="440" w:top="270" w:right="459" w:bottom="1440" w:gutter="0" w:footer="0" w:header="0"/>
        </w:sectPr>
      </w:pPr>
    </w:p>
    <w:bookmarkStart w:id="3" w:name="page4"/>
    <w:bookmarkEnd w:id="3"/>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 of class: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12.0%</w:t>
      </w:r>
    </w:p>
    <w:p>
      <w:pPr>
        <w:spacing w:after="0" w:line="117" w:lineRule="exact"/>
        <w:rPr>
          <w:rFonts w:ascii="Arial" w:cs="Arial" w:eastAsia="Arial" w:hAnsi="Arial"/>
          <w:sz w:val="18"/>
          <w:szCs w:val="18"/>
          <w:color w:val="auto"/>
        </w:rPr>
      </w:pPr>
    </w:p>
    <w:p>
      <w:pPr>
        <w:ind w:left="1000"/>
        <w:spacing w:after="0" w:line="302" w:lineRule="auto"/>
        <w:rPr>
          <w:rFonts w:ascii="Arial" w:cs="Arial" w:eastAsia="Arial" w:hAnsi="Arial"/>
          <w:sz w:val="18"/>
          <w:szCs w:val="18"/>
          <w:color w:val="auto"/>
        </w:rPr>
      </w:pPr>
      <w:r>
        <w:rPr>
          <w:rFonts w:ascii="Arial" w:cs="Arial" w:eastAsia="Arial" w:hAnsi="Arial"/>
          <w:sz w:val="16"/>
          <w:szCs w:val="16"/>
          <w:color w:val="auto"/>
        </w:rPr>
        <w:t>The ownership percentage above is calculated based on 270,779,612 shares of Class A Common Stock outstanding as of November 4, 2019, as reported in the Issuer’s Form 10-Q filed with the Securities and Exchange Commission on November 8, 2019, but including restricted stock awards subject to vesting as such shares are entitled to vote, plus the assumed conversion of 31,487,385 shares of Class B Common Stock deemed beneficially owned by Mr. Ferdowsi, as described herein, into shares of Class A Common Stock.</w:t>
      </w:r>
    </w:p>
    <w:p>
      <w:pPr>
        <w:spacing w:after="0" w:line="59" w:lineRule="exact"/>
        <w:rPr>
          <w:rFonts w:ascii="Arial" w:cs="Arial" w:eastAsia="Arial" w:hAnsi="Arial"/>
          <w:sz w:val="18"/>
          <w:szCs w:val="18"/>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36,287,385 shares</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36,287,385 shares</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6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00"/>
          </w:cols>
          <w:pgMar w:left="440" w:top="274" w:right="5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Arash Ferdowsi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Arash Ferdowsi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2020-02-14T14:42:48Z</dcterms:created>
  <dcterms:modified xsi:type="dcterms:W3CDTF">2020-02-14T14:42:48Z</dcterms:modified>
</cp:coreProperties>
</file>