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120"/>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w:t>
      </w:r>
    </w:p>
    <w:p>
      <w:pPr>
        <w:spacing w:after="0" w:line="8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1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ind w:left="4600"/>
        <w:spacing w:after="0"/>
        <w:rPr>
          <w:sz w:val="20"/>
          <w:szCs w:val="20"/>
          <w:color w:val="auto"/>
        </w:rPr>
      </w:pPr>
      <w:r>
        <w:rPr>
          <w:rFonts w:ascii="Arial" w:cs="Arial" w:eastAsia="Arial" w:hAnsi="Arial"/>
          <w:sz w:val="22"/>
          <w:szCs w:val="22"/>
          <w:color w:val="auto"/>
        </w:rPr>
        <w:t>_________________</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§240.14a-11(c) or §240.14a-2</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360" w:hanging="334"/>
        <w:spacing w:after="0"/>
        <w:tabs>
          <w:tab w:leader="none" w:pos="36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360" w:hanging="334"/>
        <w:spacing w:after="0"/>
        <w:tabs>
          <w:tab w:leader="none" w:pos="36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5"/>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123825</wp:posOffset>
            </wp:positionV>
            <wp:extent cx="401193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1930" cy="788670"/>
                    </a:xfrm>
                    <a:prstGeom prst="rect">
                      <a:avLst/>
                    </a:prstGeom>
                    <a:noFill/>
                  </pic:spPr>
                </pic:pic>
              </a:graphicData>
            </a:graphic>
          </wp:anchor>
        </w:drawing>
      </w:r>
    </w:p>
    <w:p>
      <w:pPr>
        <w:spacing w:after="0" w:line="38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DROPBOX, INC.</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1800 OWENS STREET</w:t>
      </w:r>
    </w:p>
    <w:p>
      <w:pPr>
        <w:ind w:left="8500"/>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CALIFORNIA 94158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34"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to be held at 9:00 am Pacific Time on Thursday, May 21, 2026</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Dropbox, Inc.:</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cordially invite you to attend the 2026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Nevada corporation, to be held on May 21, 2026 at 9:00 am Pacific Time. The Annual Meeting will be conducted virtually via live audio webcast. You will be able to attend the Annual Meeting virtually by visiting www.virtualshareholdermeeting.com/DBX2026, where you will be able to listen to the meeting live, submit questions and vote online.</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seven directors to serve until the next annual meeting of stockholders and until their successors are duly elected and qualified;</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w:t>
      </w:r>
    </w:p>
    <w:p>
      <w:pPr>
        <w:spacing w:after="0" w:line="167" w:lineRule="exact"/>
        <w:rPr>
          <w:rFonts w:ascii="Arial" w:cs="Arial" w:eastAsia="Arial" w:hAnsi="Arial"/>
          <w:sz w:val="16"/>
          <w:szCs w:val="16"/>
          <w:color w:val="auto"/>
        </w:rPr>
      </w:pPr>
    </w:p>
    <w:p>
      <w:pPr>
        <w:ind w:left="340" w:right="720" w:hanging="332"/>
        <w:spacing w:after="0" w:line="28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and restatement of our articles of incorporation (our "</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to waive jury trials for internal actions, together with contextual and other ministerial changes; and</w:t>
      </w:r>
    </w:p>
    <w:p>
      <w:pPr>
        <w:spacing w:after="0" w:line="10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board of directors has fixed the close of business on March 26, 2026 as the record date for the Annual Meeting. Stockholders of record on March 26, 2026 are entitled to notice of and to vote at the Annual Meeting. Further information regarding voting rights and the matters to be voted upon is presented in the accompanying proxy statement.</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76593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W. Houston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Co-Founder, and Chair of the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7, 2026</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GENERAL INFORMATION</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BOARD OF DIRECTORS AND CORPORATE GOVERNANCE</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Nominees for Director</w:t>
            </w:r>
          </w:p>
        </w:tc>
        <w:tc>
          <w:tcPr>
            <w:tcW w:w="4200" w:type="dxa"/>
            <w:vAlign w:val="bottom"/>
            <w:tcBorders>
              <w:top w:val="single" w:sz="8" w:color="0000FF"/>
            </w:tcBorders>
            <w:gridSpan w:val="20"/>
          </w:tcPr>
          <w:p>
            <w:pPr>
              <w:spacing w:after="0"/>
              <w:rPr>
                <w:sz w:val="24"/>
                <w:szCs w:val="24"/>
                <w:color w:val="auto"/>
              </w:rPr>
            </w:pPr>
          </w:p>
        </w:tc>
        <w:tc>
          <w:tcPr>
            <w:tcW w:w="4500" w:type="dxa"/>
            <w:vAlign w:val="bottom"/>
            <w:gridSpan w:val="4"/>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9"/>
          </w:tcPr>
          <w:p>
            <w:pPr>
              <w:spacing w:after="0"/>
              <w:rPr>
                <w:sz w:val="20"/>
                <w:szCs w:val="20"/>
                <w:color w:val="auto"/>
              </w:rPr>
            </w:pPr>
            <w:r>
              <w:rPr>
                <w:rFonts w:ascii="Arial" w:cs="Arial" w:eastAsia="Arial" w:hAnsi="Arial"/>
                <w:sz w:val="16"/>
                <w:szCs w:val="16"/>
                <w:color w:val="0000FF"/>
              </w:rPr>
              <w:t>Non-Continuing Director</w:t>
            </w:r>
          </w:p>
        </w:tc>
        <w:tc>
          <w:tcPr>
            <w:tcW w:w="8540" w:type="dxa"/>
            <w:vAlign w:val="bottom"/>
            <w:gridSpan w:val="21"/>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6"/>
                <w:szCs w:val="16"/>
                <w:b w:val="1"/>
                <w:bCs w:val="1"/>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Director Independence</w:t>
            </w:r>
          </w:p>
        </w:tc>
        <w:tc>
          <w:tcPr>
            <w:tcW w:w="100" w:type="dxa"/>
            <w:vAlign w:val="bottom"/>
            <w:gridSpan w:val="2"/>
          </w:tcPr>
          <w:p>
            <w:pPr>
              <w:spacing w:after="0"/>
              <w:rPr>
                <w:sz w:val="24"/>
                <w:szCs w:val="24"/>
                <w:color w:val="auto"/>
              </w:rPr>
            </w:pPr>
          </w:p>
        </w:tc>
        <w:tc>
          <w:tcPr>
            <w:tcW w:w="8540" w:type="dxa"/>
            <w:vAlign w:val="bottom"/>
            <w:gridSpan w:val="21"/>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Board Leadership Structure and Role of the Lead Independent Director</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Board Committees</w:t>
            </w:r>
          </w:p>
        </w:tc>
        <w:tc>
          <w:tcPr>
            <w:tcW w:w="3740" w:type="dxa"/>
            <w:vAlign w:val="bottom"/>
            <w:tcBorders>
              <w:top w:val="single" w:sz="8" w:color="0000FF"/>
            </w:tcBorders>
            <w:gridSpan w:val="18"/>
          </w:tcPr>
          <w:p>
            <w:pPr>
              <w:spacing w:after="0"/>
              <w:rPr>
                <w:sz w:val="24"/>
                <w:szCs w:val="24"/>
                <w:color w:val="auto"/>
              </w:rPr>
            </w:pPr>
          </w:p>
        </w:tc>
        <w:tc>
          <w:tcPr>
            <w:tcW w:w="5200" w:type="dxa"/>
            <w:vAlign w:val="bottom"/>
            <w:gridSpan w:val="7"/>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Attendance at Board and Stockholder Meetings</w:t>
            </w:r>
          </w:p>
        </w:tc>
        <w:tc>
          <w:tcPr>
            <w:tcW w:w="6880" w:type="dxa"/>
            <w:vAlign w:val="bottom"/>
            <w:gridSpan w:val="1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Compensation Committee Interlocks and Insider Participation</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Considerations in Evaluating Director Nominees</w:t>
            </w:r>
          </w:p>
        </w:tc>
        <w:tc>
          <w:tcPr>
            <w:tcW w:w="940" w:type="dxa"/>
            <w:vAlign w:val="bottom"/>
            <w:tcBorders>
              <w:top w:val="single" w:sz="8" w:color="0000FF"/>
            </w:tcBorders>
          </w:tcPr>
          <w:p>
            <w:pPr>
              <w:spacing w:after="0"/>
              <w:rPr>
                <w:sz w:val="24"/>
                <w:szCs w:val="24"/>
                <w:color w:val="auto"/>
              </w:rPr>
            </w:pPr>
          </w:p>
        </w:tc>
        <w:tc>
          <w:tcPr>
            <w:tcW w:w="5900" w:type="dxa"/>
            <w:vAlign w:val="bottom"/>
            <w:gridSpan w:val="10"/>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Board Evaluations</w:t>
            </w:r>
          </w:p>
        </w:tc>
        <w:tc>
          <w:tcPr>
            <w:tcW w:w="8960" w:type="dxa"/>
            <w:vAlign w:val="bottom"/>
            <w:gridSpan w:val="26"/>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Stockholder Recommendations and Nominations to the Board of Directors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6"/>
                <w:szCs w:val="16"/>
                <w:color w:val="0000FF"/>
              </w:rPr>
              <w:t>Communications with the Board of Directors</w:t>
            </w:r>
          </w:p>
        </w:tc>
        <w:tc>
          <w:tcPr>
            <w:tcW w:w="2140" w:type="dxa"/>
            <w:vAlign w:val="bottom"/>
            <w:tcBorders>
              <w:top w:val="single" w:sz="8" w:color="0000FF"/>
            </w:tcBorders>
            <w:gridSpan w:val="8"/>
          </w:tcPr>
          <w:p>
            <w:pPr>
              <w:spacing w:after="0"/>
              <w:rPr>
                <w:sz w:val="24"/>
                <w:szCs w:val="24"/>
                <w:color w:val="auto"/>
              </w:rPr>
            </w:pPr>
          </w:p>
        </w:tc>
        <w:tc>
          <w:tcPr>
            <w:tcW w:w="4980" w:type="dxa"/>
            <w:vAlign w:val="bottom"/>
            <w:gridSpan w:val="6"/>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color w:val="0000FF"/>
              </w:rPr>
              <w:t>Corporate Governance Guidelines and Code of Business Conduct and Ethics</w:t>
            </w:r>
          </w:p>
        </w:tc>
        <w:tc>
          <w:tcPr>
            <w:tcW w:w="4740" w:type="dxa"/>
            <w:vAlign w:val="bottom"/>
            <w:gridSpan w:val="5"/>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Stock Ownership Guidelines</w:t>
            </w:r>
          </w:p>
        </w:tc>
        <w:tc>
          <w:tcPr>
            <w:tcW w:w="8240" w:type="dxa"/>
            <w:vAlign w:val="bottom"/>
            <w:gridSpan w:val="1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Role of Board in Risk Oversight Process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Cybersecurity and Data Privacy Governance</w:t>
            </w:r>
          </w:p>
        </w:tc>
        <w:tc>
          <w:tcPr>
            <w:tcW w:w="7080" w:type="dxa"/>
            <w:vAlign w:val="bottom"/>
            <w:gridSpan w:val="13"/>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9"/>
              </w:rPr>
              <w:t>Corporate Responsibility</w:t>
            </w:r>
          </w:p>
        </w:tc>
        <w:tc>
          <w:tcPr>
            <w:tcW w:w="8520" w:type="dxa"/>
            <w:vAlign w:val="bottom"/>
            <w:gridSpan w:val="20"/>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Director Compensation</w:t>
            </w:r>
          </w:p>
        </w:tc>
        <w:tc>
          <w:tcPr>
            <w:tcW w:w="8620" w:type="dxa"/>
            <w:vAlign w:val="bottom"/>
            <w:gridSpan w:val="2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2"/>
          </w:tcPr>
          <w:p>
            <w:pPr>
              <w:spacing w:after="0"/>
              <w:rPr>
                <w:sz w:val="20"/>
                <w:szCs w:val="20"/>
                <w:color w:val="auto"/>
              </w:rPr>
            </w:pPr>
            <w:r>
              <w:rPr>
                <w:rFonts w:ascii="Arial" w:cs="Arial" w:eastAsia="Arial" w:hAnsi="Arial"/>
                <w:sz w:val="22"/>
                <w:szCs w:val="22"/>
                <w:b w:val="1"/>
                <w:bCs w:val="1"/>
                <w:color w:val="0000FF"/>
                <w:w w:val="97"/>
              </w:rPr>
              <w:t>PROPOSAL NO. 1—ELECTION OF DIRECTORS</w:t>
            </w:r>
          </w:p>
        </w:tc>
        <w:tc>
          <w:tcPr>
            <w:tcW w:w="57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Nominees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984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b w:val="1"/>
                <w:bCs w:val="1"/>
                <w:color w:val="0000FF"/>
                <w:w w:val="97"/>
              </w:rPr>
              <w:t>PROPOSAL NO. 2—RATIFICATION OF APPOINTMENT OF INDEPENDENT REGISTERED PUBLIC</w:t>
            </w:r>
          </w:p>
        </w:tc>
        <w:tc>
          <w:tcPr>
            <w:tcW w:w="700" w:type="dxa"/>
            <w:vAlign w:val="bottom"/>
            <w:gridSpan w:val="2"/>
          </w:tcPr>
          <w:p>
            <w:pPr>
              <w:spacing w:after="0"/>
              <w:rPr>
                <w:sz w:val="24"/>
                <w:szCs w:val="24"/>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Borders>
              <w:bottom w:val="single" w:sz="8" w:color="0000FF"/>
            </w:tcBorders>
            <w:gridSpan w:val="12"/>
          </w:tcPr>
          <w:p>
            <w:pPr>
              <w:spacing w:after="0" w:line="209" w:lineRule="exact"/>
              <w:rPr>
                <w:sz w:val="20"/>
                <w:szCs w:val="20"/>
                <w:color w:val="auto"/>
              </w:rPr>
            </w:pPr>
            <w:r>
              <w:rPr>
                <w:rFonts w:ascii="Arial" w:cs="Arial" w:eastAsia="Arial" w:hAnsi="Arial"/>
                <w:sz w:val="22"/>
                <w:szCs w:val="22"/>
                <w:b w:val="1"/>
                <w:bCs w:val="1"/>
                <w:color w:val="0000FF"/>
                <w:w w:val="97"/>
              </w:rPr>
              <w:t>ACCOUNTING FIRM</w:t>
            </w:r>
          </w:p>
        </w:tc>
        <w:tc>
          <w:tcPr>
            <w:tcW w:w="8480" w:type="dxa"/>
            <w:vAlign w:val="bottom"/>
            <w:gridSpan w:val="19"/>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Fees Paid to the Independent Registered Public Accounting Firm</w:t>
            </w:r>
          </w:p>
        </w:tc>
        <w:tc>
          <w:tcPr>
            <w:tcW w:w="5620" w:type="dxa"/>
            <w:vAlign w:val="bottom"/>
            <w:gridSpan w:val="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Auditor Independence</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Audit Committee Policy on Pre-Approval of Audit and Permissible Non-Audit Services of Independent Registered Public Accounting Firm</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Borders>
              <w:top w:val="single" w:sz="8" w:color="0000FF"/>
            </w:tcBorders>
            <w:gridSpan w:val="29"/>
          </w:tcPr>
          <w:p>
            <w:pPr>
              <w:spacing w:after="0"/>
              <w:rPr>
                <w:sz w:val="20"/>
                <w:szCs w:val="20"/>
                <w:color w:val="auto"/>
              </w:rPr>
            </w:pPr>
            <w:r>
              <w:rPr>
                <w:rFonts w:ascii="Arial" w:cs="Arial" w:eastAsia="Arial" w:hAnsi="Arial"/>
                <w:sz w:val="16"/>
                <w:szCs w:val="16"/>
                <w:color w:val="0000FF"/>
              </w:rPr>
              <w:t>Vote Required</w:t>
            </w:r>
          </w:p>
        </w:tc>
        <w:tc>
          <w:tcPr>
            <w:tcW w:w="5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Report of the Audit Committee</w:t>
            </w:r>
          </w:p>
        </w:tc>
        <w:tc>
          <w:tcPr>
            <w:tcW w:w="8100" w:type="dxa"/>
            <w:vAlign w:val="bottom"/>
            <w:gridSpan w:val="17"/>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1"/>
          </w:tcPr>
          <w:p>
            <w:pPr>
              <w:spacing w:after="0"/>
              <w:rPr>
                <w:sz w:val="20"/>
                <w:szCs w:val="20"/>
                <w:color w:val="auto"/>
              </w:rPr>
            </w:pPr>
            <w:r>
              <w:rPr>
                <w:rFonts w:ascii="Arial" w:cs="Arial" w:eastAsia="Arial" w:hAnsi="Arial"/>
                <w:sz w:val="22"/>
                <w:szCs w:val="22"/>
                <w:b w:val="1"/>
                <w:bCs w:val="1"/>
                <w:color w:val="0000FF"/>
              </w:rPr>
              <w:t>PROPOSAL NO. 3—ADVISORY VOTE ON THE COMPENSATION OF OUR NAMED EXECUTIVE</w:t>
            </w: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Borders>
              <w:top w:val="single" w:sz="8" w:color="0000FF"/>
              <w:bottom w:val="single" w:sz="8" w:color="0000FF"/>
            </w:tcBorders>
            <w:gridSpan w:val="3"/>
          </w:tcPr>
          <w:p>
            <w:pPr>
              <w:spacing w:after="0" w:line="209" w:lineRule="exact"/>
              <w:rPr>
                <w:sz w:val="20"/>
                <w:szCs w:val="20"/>
                <w:color w:val="auto"/>
              </w:rPr>
            </w:pPr>
            <w:r>
              <w:rPr>
                <w:rFonts w:ascii="Arial" w:cs="Arial" w:eastAsia="Arial" w:hAnsi="Arial"/>
                <w:sz w:val="22"/>
                <w:szCs w:val="22"/>
                <w:b w:val="1"/>
                <w:bCs w:val="1"/>
                <w:color w:val="0000FF"/>
                <w:w w:val="97"/>
              </w:rPr>
              <w:t>OFFICERS</w:t>
            </w:r>
          </w:p>
        </w:tc>
        <w:tc>
          <w:tcPr>
            <w:tcW w:w="8440" w:type="dxa"/>
            <w:vAlign w:val="bottom"/>
            <w:tcBorders>
              <w:top w:val="single" w:sz="8" w:color="0000FF"/>
            </w:tcBorders>
            <w:gridSpan w:val="25"/>
          </w:tcPr>
          <w:p>
            <w:pPr>
              <w:spacing w:after="0"/>
              <w:rPr>
                <w:sz w:val="20"/>
                <w:szCs w:val="20"/>
                <w:color w:val="auto"/>
              </w:rPr>
            </w:pPr>
          </w:p>
        </w:tc>
        <w:tc>
          <w:tcPr>
            <w:tcW w:w="1000" w:type="dxa"/>
            <w:vAlign w:val="bottom"/>
            <w:gridSpan w:val="3"/>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30"/>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9640" w:type="dxa"/>
            <w:vAlign w:val="bottom"/>
            <w:tcBorders>
              <w:bottom w:val="single" w:sz="8" w:color="0000FF"/>
            </w:tcBorders>
            <w:gridSpan w:val="29"/>
          </w:tcPr>
          <w:p>
            <w:pPr>
              <w:spacing w:after="0"/>
              <w:rPr>
                <w:sz w:val="20"/>
                <w:szCs w:val="20"/>
                <w:color w:val="auto"/>
              </w:rPr>
            </w:pPr>
            <w:r>
              <w:rPr>
                <w:rFonts w:ascii="Arial" w:cs="Arial" w:eastAsia="Arial" w:hAnsi="Arial"/>
                <w:sz w:val="22"/>
                <w:szCs w:val="22"/>
                <w:b w:val="1"/>
                <w:bCs w:val="1"/>
                <w:color w:val="0000FF"/>
                <w:w w:val="97"/>
              </w:rPr>
              <w:t>PROPOSAL NO. 4 - PROPOSAL TO APPROVE AN AMENDMENT AND RESTATEMENT OF OUR</w:t>
            </w:r>
          </w:p>
        </w:tc>
        <w:tc>
          <w:tcPr>
            <w:tcW w:w="900" w:type="dxa"/>
            <w:vAlign w:val="bottom"/>
          </w:tcPr>
          <w:p>
            <w:pPr>
              <w:spacing w:after="0"/>
              <w:rPr>
                <w:sz w:val="24"/>
                <w:szCs w:val="24"/>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40" w:type="dxa"/>
            <w:vAlign w:val="bottom"/>
            <w:gridSpan w:val="30"/>
          </w:tcPr>
          <w:p>
            <w:pPr>
              <w:spacing w:after="0" w:line="209" w:lineRule="exact"/>
              <w:rPr>
                <w:sz w:val="20"/>
                <w:szCs w:val="20"/>
                <w:color w:val="auto"/>
              </w:rPr>
            </w:pPr>
            <w:r>
              <w:rPr>
                <w:rFonts w:ascii="Arial" w:cs="Arial" w:eastAsia="Arial" w:hAnsi="Arial"/>
                <w:sz w:val="22"/>
                <w:szCs w:val="22"/>
                <w:b w:val="1"/>
                <w:bCs w:val="1"/>
                <w:color w:val="0000FF"/>
              </w:rPr>
              <w:t>ARTICLES (JURY TRIAL WAIVER)</w:t>
            </w:r>
          </w:p>
        </w:tc>
        <w:tc>
          <w:tcPr>
            <w:tcW w:w="6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rPr>
              <w:t>Overview and Background</w:t>
            </w:r>
          </w:p>
        </w:tc>
        <w:tc>
          <w:tcPr>
            <w:tcW w:w="1300" w:type="dxa"/>
            <w:vAlign w:val="bottom"/>
            <w:tcBorders>
              <w:top w:val="single" w:sz="8" w:color="0000FF"/>
            </w:tcBorders>
            <w:gridSpan w:val="12"/>
          </w:tcPr>
          <w:p>
            <w:pPr>
              <w:spacing w:after="0"/>
              <w:rPr>
                <w:sz w:val="24"/>
                <w:szCs w:val="24"/>
                <w:color w:val="auto"/>
              </w:rPr>
            </w:pPr>
          </w:p>
        </w:tc>
        <w:tc>
          <w:tcPr>
            <w:tcW w:w="708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Description of Proposed Amendments</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w w:val="99"/>
              </w:rPr>
              <w:t>Text of Proposed New Article</w:t>
            </w:r>
          </w:p>
        </w:tc>
        <w:tc>
          <w:tcPr>
            <w:tcW w:w="640" w:type="dxa"/>
            <w:vAlign w:val="bottom"/>
            <w:tcBorders>
              <w:top w:val="single" w:sz="8" w:color="0000FF"/>
            </w:tcBorders>
            <w:gridSpan w:val="6"/>
          </w:tcPr>
          <w:p>
            <w:pPr>
              <w:spacing w:after="0"/>
              <w:rPr>
                <w:sz w:val="24"/>
                <w:szCs w:val="24"/>
                <w:color w:val="auto"/>
              </w:rPr>
            </w:pPr>
          </w:p>
        </w:tc>
        <w:tc>
          <w:tcPr>
            <w:tcW w:w="7560" w:type="dxa"/>
            <w:vAlign w:val="bottom"/>
            <w:gridSpan w:val="14"/>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EXECUTIVE OFFICERS</w:t>
            </w:r>
          </w:p>
        </w:tc>
        <w:tc>
          <w:tcPr>
            <w:tcW w:w="660" w:type="dxa"/>
            <w:vAlign w:val="bottom"/>
            <w:gridSpan w:val="3"/>
          </w:tcPr>
          <w:p>
            <w:pPr>
              <w:jc w:val="right"/>
              <w:spacing w:after="0"/>
              <w:rPr>
                <w:sz w:val="20"/>
                <w:szCs w:val="20"/>
                <w:color w:val="auto"/>
              </w:rPr>
            </w:pPr>
            <w:r>
              <w:rPr>
                <w:rFonts w:ascii="Arial" w:cs="Arial" w:eastAsia="Arial" w:hAnsi="Arial"/>
                <w:sz w:val="22"/>
                <w:szCs w:val="22"/>
                <w:b w:val="1"/>
                <w:bCs w:val="1"/>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40" w:type="dxa"/>
            <w:vAlign w:val="bottom"/>
            <w:tcBorders>
              <w:bottom w:val="single" w:sz="8" w:color="0000FF"/>
            </w:tcBorders>
            <w:gridSpan w:val="17"/>
          </w:tcPr>
          <w:p>
            <w:pPr>
              <w:spacing w:after="0"/>
              <w:rPr>
                <w:sz w:val="20"/>
                <w:szCs w:val="20"/>
                <w:color w:val="auto"/>
              </w:rPr>
            </w:pPr>
            <w:r>
              <w:rPr>
                <w:rFonts w:ascii="Arial" w:cs="Arial" w:eastAsia="Arial" w:hAnsi="Arial"/>
                <w:sz w:val="22"/>
                <w:szCs w:val="22"/>
                <w:b w:val="1"/>
                <w:bCs w:val="1"/>
                <w:color w:val="0000FF"/>
                <w:w w:val="97"/>
              </w:rPr>
              <w:t>EXECUTIVE COMPENSATION</w:t>
            </w:r>
          </w:p>
        </w:tc>
        <w:tc>
          <w:tcPr>
            <w:tcW w:w="750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Compensation Discussion and Analysis</w:t>
            </w:r>
          </w:p>
        </w:tc>
        <w:tc>
          <w:tcPr>
            <w:tcW w:w="7440" w:type="dxa"/>
            <w:vAlign w:val="bottom"/>
            <w:gridSpan w:val="12"/>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Executive Summary</w:t>
            </w:r>
          </w:p>
        </w:tc>
        <w:tc>
          <w:tcPr>
            <w:tcW w:w="8840" w:type="dxa"/>
            <w:vAlign w:val="bottom"/>
            <w:gridSpan w:val="25"/>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Executive Compensation Philosophy and Objectives</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rPr>
              <w:t>Compensation-Setting Process</w:t>
            </w:r>
          </w:p>
        </w:tc>
        <w:tc>
          <w:tcPr>
            <w:tcW w:w="6540" w:type="dxa"/>
            <w:vAlign w:val="bottom"/>
            <w:gridSpan w:val="7"/>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Compensation Elements</w:t>
            </w:r>
          </w:p>
        </w:tc>
        <w:tc>
          <w:tcPr>
            <w:tcW w:w="8060" w:type="dxa"/>
            <w:vAlign w:val="bottom"/>
            <w:gridSpan w:val="18"/>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Employment Arrangements</w:t>
            </w:r>
          </w:p>
        </w:tc>
        <w:tc>
          <w:tcPr>
            <w:tcW w:w="8320" w:type="dxa"/>
            <w:vAlign w:val="bottom"/>
            <w:gridSpan w:val="21"/>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Post-Employment Compensation</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9"/>
              </w:rPr>
              <w:t>Tax and Accounting Considerations</w:t>
            </w:r>
          </w:p>
        </w:tc>
        <w:tc>
          <w:tcPr>
            <w:tcW w:w="7740" w:type="dxa"/>
            <w:vAlign w:val="bottom"/>
            <w:gridSpan w:val="16"/>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Report of the Compensation Committee</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Compensation Risk Assessment</w:t>
            </w:r>
          </w:p>
        </w:tc>
        <w:tc>
          <w:tcPr>
            <w:tcW w:w="7440" w:type="dxa"/>
            <w:vAlign w:val="bottom"/>
            <w:gridSpan w:val="12"/>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w w:val="99"/>
              </w:rPr>
              <w:t>Summary Compensation Table for Fiscal Year 2025</w:t>
            </w:r>
          </w:p>
        </w:tc>
        <w:tc>
          <w:tcPr>
            <w:tcW w:w="6580" w:type="dxa"/>
            <w:vAlign w:val="bottom"/>
            <w:gridSpan w:val="8"/>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Grants of Plan-Based Awards in 2025</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20" w:type="dxa"/>
            <w:vAlign w:val="bottom"/>
            <w:gridSpan w:val="8"/>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Outstanding Equity Awards at 2025 Year-End</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Co-Founder Grant</w:t>
            </w:r>
          </w:p>
        </w:tc>
        <w:tc>
          <w:tcPr>
            <w:tcW w:w="1920" w:type="dxa"/>
            <w:vAlign w:val="bottom"/>
            <w:tcBorders>
              <w:top w:val="single" w:sz="8" w:color="0000FF"/>
            </w:tcBorders>
            <w:gridSpan w:val="17"/>
          </w:tcPr>
          <w:p>
            <w:pPr>
              <w:spacing w:after="0"/>
              <w:rPr>
                <w:sz w:val="24"/>
                <w:szCs w:val="24"/>
                <w:color w:val="auto"/>
              </w:rPr>
            </w:pPr>
          </w:p>
        </w:tc>
        <w:tc>
          <w:tcPr>
            <w:tcW w:w="7040" w:type="dxa"/>
            <w:vAlign w:val="bottom"/>
            <w:gridSpan w:val="9"/>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Option Exercises and Stock Vested in 2025</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320" w:type="dxa"/>
            <w:vAlign w:val="bottom"/>
            <w:gridSpan w:val="12"/>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rPr>
              <w:t>Potential Payments on Termination or Change in Control</w:t>
            </w:r>
          </w:p>
        </w:tc>
        <w:tc>
          <w:tcPr>
            <w:tcW w:w="6240" w:type="dxa"/>
            <w:vAlign w:val="bottom"/>
            <w:gridSpan w:val="6"/>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CEO Pay Ratio</w:t>
            </w:r>
          </w:p>
        </w:tc>
        <w:tc>
          <w:tcPr>
            <w:tcW w:w="9180" w:type="dxa"/>
            <w:vAlign w:val="bottom"/>
            <w:gridSpan w:val="27"/>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Pay Versus Performance</w:t>
            </w: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32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6"/>
          </w:tcPr>
          <w:p>
            <w:pPr>
              <w:spacing w:after="0"/>
              <w:rPr>
                <w:sz w:val="20"/>
                <w:szCs w:val="20"/>
                <w:color w:val="auto"/>
              </w:rPr>
            </w:pPr>
            <w:r>
              <w:rPr>
                <w:rFonts w:ascii="Arial" w:cs="Arial" w:eastAsia="Arial" w:hAnsi="Arial"/>
                <w:sz w:val="22"/>
                <w:szCs w:val="22"/>
                <w:b w:val="1"/>
                <w:bCs w:val="1"/>
                <w:color w:val="0000FF"/>
                <w:w w:val="97"/>
              </w:rPr>
              <w:t>EQUITY COMPENSATION PLAN INFORMATION</w:t>
            </w:r>
          </w:p>
        </w:tc>
        <w:tc>
          <w:tcPr>
            <w:tcW w:w="570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SECURITY OWNERSHIP OF CERTAIN BENEFICIAL OWNERS AND MANAGEMENT</w:t>
            </w:r>
          </w:p>
        </w:tc>
        <w:tc>
          <w:tcPr>
            <w:tcW w:w="660" w:type="dxa"/>
            <w:vAlign w:val="bottom"/>
            <w:gridSpan w:val="3"/>
          </w:tcPr>
          <w:p>
            <w:pPr>
              <w:jc w:val="right"/>
              <w:spacing w:after="0"/>
              <w:rPr>
                <w:sz w:val="20"/>
                <w:szCs w:val="20"/>
                <w:color w:val="auto"/>
              </w:rPr>
            </w:pPr>
            <w:r>
              <w:rPr>
                <w:rFonts w:ascii="Arial" w:cs="Arial" w:eastAsia="Arial" w:hAnsi="Arial"/>
                <w:sz w:val="22"/>
                <w:szCs w:val="22"/>
                <w:b w:val="1"/>
                <w:bCs w:val="1"/>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00" w:type="dxa"/>
            <w:vAlign w:val="bottom"/>
            <w:tcBorders>
              <w:top w:val="single" w:sz="8" w:color="0000FF"/>
            </w:tcBorders>
            <w:gridSpan w:val="28"/>
          </w:tcPr>
          <w:p>
            <w:pPr>
              <w:spacing w:after="0"/>
              <w:rPr>
                <w:sz w:val="20"/>
                <w:szCs w:val="20"/>
                <w:color w:val="auto"/>
              </w:rPr>
            </w:pPr>
            <w:r>
              <w:rPr>
                <w:rFonts w:ascii="Arial" w:cs="Arial" w:eastAsia="Arial" w:hAnsi="Arial"/>
                <w:sz w:val="22"/>
                <w:szCs w:val="22"/>
                <w:b w:val="1"/>
                <w:bCs w:val="1"/>
                <w:color w:val="0000FF"/>
              </w:rPr>
              <w:t>CERTAIN RELATIONSHIPS, RELATED PARTY AND OTHER TRANSACTIONS</w:t>
            </w:r>
          </w:p>
        </w:tc>
        <w:tc>
          <w:tcPr>
            <w:tcW w:w="21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500" w:type="dxa"/>
            <w:vAlign w:val="bottom"/>
            <w:tcBorders>
              <w:top w:val="single" w:sz="8" w:color="0000FF"/>
            </w:tcBorders>
            <w:gridSpan w:val="26"/>
          </w:tcPr>
          <w:p>
            <w:pPr>
              <w:spacing w:after="0"/>
              <w:rPr>
                <w:sz w:val="20"/>
                <w:szCs w:val="20"/>
                <w:color w:val="auto"/>
              </w:rPr>
            </w:pPr>
            <w:r>
              <w:rPr>
                <w:rFonts w:ascii="Arial" w:cs="Arial" w:eastAsia="Arial" w:hAnsi="Arial"/>
                <w:sz w:val="16"/>
                <w:szCs w:val="16"/>
                <w:color w:val="0000FF"/>
              </w:rPr>
              <w:t>Policies and Procedures for Related Person Transactions</w:t>
            </w:r>
          </w:p>
        </w:tc>
        <w:tc>
          <w:tcPr>
            <w:tcW w:w="278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TABLE OF CONTENTS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Page</w:t>
            </w:r>
          </w:p>
        </w:tc>
      </w:tr>
      <w:tr>
        <w:trPr>
          <w:trHeight w:val="359"/>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22"/>
                <w:szCs w:val="22"/>
                <w:b w:val="1"/>
                <w:bCs w:val="1"/>
                <w:color w:val="0000FF"/>
              </w:rPr>
              <w:t>OTHER MATTERS</w:t>
            </w:r>
          </w:p>
        </w:tc>
        <w:tc>
          <w:tcPr>
            <w:tcW w:w="6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69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Section 16(a) Beneficial Ownership Reporting Compliance</w:t>
            </w:r>
          </w:p>
        </w:tc>
        <w:tc>
          <w:tcPr>
            <w:tcW w:w="610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69</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7"/>
          </w:tcPr>
          <w:p>
            <w:pPr>
              <w:spacing w:after="0"/>
              <w:rPr>
                <w:sz w:val="20"/>
                <w:szCs w:val="20"/>
                <w:color w:val="auto"/>
              </w:rPr>
            </w:pPr>
            <w:r>
              <w:rPr>
                <w:rFonts w:ascii="Arial" w:cs="Arial" w:eastAsia="Arial" w:hAnsi="Arial"/>
                <w:sz w:val="16"/>
                <w:szCs w:val="16"/>
                <w:color w:val="0000FF"/>
              </w:rPr>
              <w:t>Fiscal Year 2025 Annual Report and SEC Filings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69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22"/>
                <w:szCs w:val="22"/>
                <w:b w:val="1"/>
                <w:bCs w:val="1"/>
                <w:color w:val="0000FF"/>
                <w:w w:val="95"/>
              </w:rPr>
              <w:t>APPENDIX A</w:t>
            </w:r>
          </w:p>
        </w:tc>
        <w:tc>
          <w:tcPr>
            <w:tcW w:w="92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2"/>
                <w:szCs w:val="22"/>
                <w:b w:val="1"/>
                <w:bCs w:val="1"/>
                <w:color w:val="0000FF"/>
                <w:w w:val="90"/>
              </w:rPr>
              <w:t>A-1</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6"/>
                <w:szCs w:val="16"/>
                <w:color w:val="0000FF"/>
              </w:rPr>
              <w:t>Reconciliation of GAAP financial measures to non-GAAP financial measures</w:t>
            </w:r>
          </w:p>
        </w:tc>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0000FF"/>
                <w:w w:val="92"/>
              </w:rPr>
              <w:t>A-1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22"/>
                <w:szCs w:val="22"/>
                <w:b w:val="1"/>
                <w:bCs w:val="1"/>
                <w:color w:val="0000FF"/>
              </w:rPr>
              <w:t>APPENDIX B</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B-1</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7"/>
          </w:tcPr>
          <w:p>
            <w:pPr>
              <w:spacing w:after="0"/>
              <w:rPr>
                <w:sz w:val="20"/>
                <w:szCs w:val="20"/>
                <w:color w:val="auto"/>
              </w:rPr>
            </w:pPr>
            <w:r>
              <w:rPr>
                <w:rFonts w:ascii="Arial" w:cs="Arial" w:eastAsia="Arial" w:hAnsi="Arial"/>
                <w:sz w:val="16"/>
                <w:szCs w:val="16"/>
                <w:color w:val="0000FF"/>
              </w:rPr>
              <w:t>Redline of Proposed Amended and Restated Articles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0000FF"/>
                <w:w w:val="92"/>
              </w:rPr>
              <w:t>B-1</w:t>
            </w:r>
          </w:p>
        </w:tc>
      </w:tr>
      <w:tr>
        <w:trPr>
          <w:trHeight w:val="1216"/>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9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DROPBOX, INC.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PROXY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FOR THE 2026 ANNUAL MEETING OF STOCKHOLDERS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to be held at 9:00 am Pacific Time on Thursday,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May 21, 2026</w:t>
      </w:r>
    </w:p>
    <w:p>
      <w:pPr>
        <w:spacing w:after="0" w:line="16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 directors for use at the 2026 annual meeting of stockholders of Dropbox, Inc., a Nevada corporation, and any postponements, adjournments or continuations thereof (the “</w:t>
      </w:r>
      <w:r>
        <w:rPr>
          <w:rFonts w:ascii="Arial" w:cs="Arial" w:eastAsia="Arial" w:hAnsi="Arial"/>
          <w:sz w:val="16"/>
          <w:szCs w:val="16"/>
          <w:b w:val="1"/>
          <w:bCs w:val="1"/>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The Annual Meeting will be held on Thursday, May 21, 2026 at 9:00 am Pacific Time. The Annual Meeting will be conducted virtually via live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audio webcast. You will be able to attend the Annual Meeting virtually by visiting www.virtualshareholdermeeting.com/DBX2026, where you will be able to listen to the meeting live, submit questions and vote online. Our proxy statement and 2025 annual report are first being mailed on or about April 7, 2026 to all stockholders entitled to vote at the Annual Meeting.</w:t>
      </w:r>
    </w:p>
    <w:p>
      <w:pPr>
        <w:spacing w:after="0" w:line="128"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matters am I voting 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vote on:</w:t>
      </w:r>
    </w:p>
    <w:p>
      <w:pPr>
        <w:spacing w:after="0" w:line="16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the election of seven directors to serve until the next annual meeting of stockholders or until their successors are duly elected and qualified;</w:t>
      </w:r>
    </w:p>
    <w:p>
      <w:pPr>
        <w:spacing w:after="0" w:line="167"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2026;</w:t>
      </w:r>
    </w:p>
    <w:p>
      <w:pPr>
        <w:spacing w:after="0" w:line="88" w:lineRule="exact"/>
        <w:rPr>
          <w:rFonts w:ascii="Arial" w:cs="Arial" w:eastAsia="Arial" w:hAnsi="Arial"/>
          <w:sz w:val="16"/>
          <w:szCs w:val="16"/>
          <w:color w:val="0063A6"/>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w:t>
      </w:r>
    </w:p>
    <w:p>
      <w:pPr>
        <w:spacing w:after="0" w:line="167" w:lineRule="exact"/>
        <w:rPr>
          <w:rFonts w:ascii="Arial" w:cs="Arial" w:eastAsia="Arial" w:hAnsi="Arial"/>
          <w:sz w:val="16"/>
          <w:szCs w:val="16"/>
          <w:color w:val="0063A6"/>
        </w:rPr>
      </w:pPr>
    </w:p>
    <w:p>
      <w:pPr>
        <w:ind w:left="340" w:right="740" w:hanging="332"/>
        <w:spacing w:after="0" w:line="286"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proposal to approve an amendment and restatement of our Articles to waive jury trials for internal actions, together with contextual and other ministerial changes; and</w:t>
      </w:r>
    </w:p>
    <w:p>
      <w:pPr>
        <w:spacing w:after="0" w:line="101"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340" w:right="20" w:hanging="332"/>
        <w:spacing w:after="0" w:line="286" w:lineRule="auto"/>
        <w:tabs>
          <w:tab w:leader="none" w:pos="329"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2026;</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 and</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amendment and restatement of our Articles to waive jury trials for internal actions, together with contextual and other ministerial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167" w:lineRule="exact"/>
        <w:rPr>
          <w:sz w:val="20"/>
          <w:szCs w:val="20"/>
          <w:color w:val="auto"/>
        </w:rPr>
      </w:pPr>
    </w:p>
    <w:p>
      <w:pPr>
        <w:ind w:left="340" w:right="100" w:hanging="332"/>
        <w:spacing w:after="0" w:line="252" w:lineRule="auto"/>
        <w:tabs>
          <w:tab w:leader="none" w:pos="329"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 meeting and entitled to</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on the election of directors at the Annual Meeting. Abstentions and broker non-votes will have no effect on the outcome of the vote.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27" w:lineRule="exact"/>
        <w:rPr>
          <w:rFonts w:ascii="Arial" w:cs="Arial" w:eastAsia="Arial" w:hAnsi="Arial"/>
          <w:sz w:val="16"/>
          <w:szCs w:val="16"/>
          <w:color w:val="0063A6"/>
        </w:rPr>
      </w:pPr>
    </w:p>
    <w:p>
      <w:pPr>
        <w:ind w:left="340" w:hanging="332"/>
        <w:spacing w:after="0" w:line="252" w:lineRule="auto"/>
        <w:tabs>
          <w:tab w:leader="none" w:pos="329"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 for our fiscal year ending</w:t>
      </w:r>
      <w:r>
        <w:rPr>
          <w:rFonts w:ascii="Arial" w:cs="Arial" w:eastAsia="Arial" w:hAnsi="Arial"/>
          <w:sz w:val="16"/>
          <w:szCs w:val="16"/>
          <w:b w:val="1"/>
          <w:bCs w:val="1"/>
          <w:color w:val="0063A6"/>
        </w:rPr>
        <w:t xml:space="preserve"> </w:t>
      </w:r>
      <w:r>
        <w:rPr>
          <w:rFonts w:ascii="Arial" w:cs="Arial" w:eastAsia="Arial" w:hAnsi="Arial"/>
          <w:sz w:val="16"/>
          <w:szCs w:val="16"/>
          <w:color w:val="000000"/>
        </w:rPr>
        <w:t>December 31, 2026,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27" w:lineRule="exact"/>
        <w:rPr>
          <w:rFonts w:ascii="Arial" w:cs="Arial" w:eastAsia="Arial" w:hAnsi="Arial"/>
          <w:sz w:val="16"/>
          <w:szCs w:val="16"/>
          <w:color w:val="0063A6"/>
        </w:rPr>
      </w:pPr>
    </w:p>
    <w:p>
      <w:pPr>
        <w:ind w:left="340" w:right="20" w:hanging="332"/>
        <w:spacing w:after="0" w:line="251" w:lineRule="auto"/>
        <w:tabs>
          <w:tab w:leader="none" w:pos="329"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 vote of a majority of</w:t>
      </w:r>
      <w:r>
        <w:rPr>
          <w:rFonts w:ascii="Arial" w:cs="Arial" w:eastAsia="Arial" w:hAnsi="Arial"/>
          <w:sz w:val="16"/>
          <w:szCs w:val="16"/>
          <w:b w:val="1"/>
          <w:bCs w:val="1"/>
          <w:color w:val="0063A6"/>
        </w:rPr>
        <w:t xml:space="preserve"> </w:t>
      </w:r>
      <w:r>
        <w:rPr>
          <w:rFonts w:ascii="Arial" w:cs="Arial" w:eastAsia="Arial" w:hAnsi="Arial"/>
          <w:sz w:val="16"/>
          <w:szCs w:val="16"/>
          <w:color w:val="000000"/>
        </w:rPr>
        <w:t>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27" w:lineRule="exact"/>
        <w:rPr>
          <w:rFonts w:ascii="Arial" w:cs="Arial" w:eastAsia="Arial" w:hAnsi="Arial"/>
          <w:sz w:val="16"/>
          <w:szCs w:val="16"/>
          <w:color w:val="0063A6"/>
        </w:rPr>
      </w:pPr>
    </w:p>
    <w:p>
      <w:pPr>
        <w:ind w:left="340" w:right="80" w:hanging="332"/>
        <w:spacing w:after="0" w:line="253" w:lineRule="auto"/>
        <w:tabs>
          <w:tab w:leader="none" w:pos="32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0063A6"/>
        </w:rPr>
        <w:t xml:space="preserve">Proposal No. 4: </w:t>
      </w:r>
      <w:r>
        <w:rPr>
          <w:rFonts w:ascii="Arial" w:cs="Arial" w:eastAsia="Arial" w:hAnsi="Arial"/>
          <w:sz w:val="16"/>
          <w:szCs w:val="16"/>
          <w:color w:val="000000"/>
        </w:rPr>
        <w:t>The approval of the amendment and restatement of our Articles to waive jury trials for internal actions, together with contextual and</w:t>
      </w:r>
      <w:r>
        <w:rPr>
          <w:rFonts w:ascii="Arial" w:cs="Arial" w:eastAsia="Arial" w:hAnsi="Arial"/>
          <w:sz w:val="16"/>
          <w:szCs w:val="16"/>
          <w:b w:val="1"/>
          <w:bCs w:val="1"/>
          <w:color w:val="0063A6"/>
        </w:rPr>
        <w:t xml:space="preserve"> </w:t>
      </w:r>
      <w:r>
        <w:rPr>
          <w:rFonts w:ascii="Arial" w:cs="Arial" w:eastAsia="Arial" w:hAnsi="Arial"/>
          <w:sz w:val="16"/>
          <w:szCs w:val="16"/>
          <w:color w:val="000000"/>
        </w:rPr>
        <w:t>other ministerial changes,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 You may vote “For,” “Against,” or “Abstain” with respect to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is entitled to vote?</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Holders of our Class A and Class B common stock as of the close of business on March 26, 2026, the record date for the Annual Meeting, may vote at the Annual Meeting. As of the record date, there were 163,263,829 shares of our Class A common stock outstanding and 75,374,718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 Computershare Trust Company, N.A.,</w:t>
      </w:r>
      <w:r>
        <w:rPr>
          <w:rFonts w:ascii="Arial" w:cs="Arial" w:eastAsia="Arial" w:hAnsi="Arial"/>
          <w:sz w:val="16"/>
          <w:szCs w:val="16"/>
          <w:b w:val="1"/>
          <w:bCs w:val="1"/>
          <w:color w:val="0063A6"/>
        </w:rPr>
        <w:t xml:space="preserve"> </w:t>
      </w:r>
      <w:r>
        <w:rPr>
          <w:rFonts w:ascii="Arial" w:cs="Arial" w:eastAsia="Arial" w:hAnsi="Arial"/>
          <w:sz w:val="16"/>
          <w:szCs w:val="16"/>
          <w:color w:val="000000"/>
        </w:rPr>
        <w:t>you are considered the stockholder of record with respect to those shares, and the proxy materials were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8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 nominee, you are</w:t>
      </w:r>
      <w:r>
        <w:rPr>
          <w:rFonts w:ascii="Arial" w:cs="Arial" w:eastAsia="Arial" w:hAnsi="Arial"/>
          <w:sz w:val="16"/>
          <w:szCs w:val="16"/>
          <w:b w:val="1"/>
          <w:bCs w:val="1"/>
          <w:color w:val="0063A6"/>
        </w:rPr>
        <w:t xml:space="preserve"> </w:t>
      </w:r>
      <w:r>
        <w:rPr>
          <w:rFonts w:ascii="Arial" w:cs="Arial" w:eastAsia="Arial" w:hAnsi="Arial"/>
          <w:sz w:val="16"/>
          <w:szCs w:val="16"/>
          <w:color w:val="000000"/>
        </w:rPr>
        <w:t>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Are a certain number of shares required to be present in order to hold the Annual Meeting?</w:t>
      </w:r>
    </w:p>
    <w:p>
      <w:pPr>
        <w:spacing w:after="0" w:line="86"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A quorum is the minimum number of voting power required to be present at the Annual Meeting to properly hold an annual meeting of stockholders and conduct business under our bylaws and Nevada law. The presence, virtually or by proxy (regardless of whether the proxy has authority to vote on any matter),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200" w:lineRule="exact"/>
        <w:rPr>
          <w:sz w:val="20"/>
          <w:szCs w:val="20"/>
          <w:color w:val="auto"/>
        </w:rPr>
      </w:pPr>
    </w:p>
    <w:p>
      <w:pPr>
        <w:spacing w:after="0" w:line="310" w:lineRule="exact"/>
        <w:rPr>
          <w:sz w:val="20"/>
          <w:szCs w:val="20"/>
          <w:color w:val="auto"/>
        </w:rPr>
      </w:pPr>
    </w:p>
    <w:p>
      <w:pPr>
        <w:ind w:left="580" w:hanging="554"/>
        <w:spacing w:after="0"/>
        <w:tabs>
          <w:tab w:leader="none" w:pos="5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 I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340" w:hanging="332"/>
        <w:spacing w:after="0" w:line="257"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20, 2026 for shares held directly and by 11:59 p.m. Eastern Time on May 18, 2026 for shares held in a Dropbox, Inc. employee stock ownership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(have your proxy card in hand when you visit the website);</w:t>
      </w:r>
    </w:p>
    <w:p>
      <w:pPr>
        <w:spacing w:after="0" w:line="124" w:lineRule="exact"/>
        <w:rPr>
          <w:rFonts w:ascii="Arial" w:cs="Arial" w:eastAsia="Arial" w:hAnsi="Arial"/>
          <w:sz w:val="16"/>
          <w:szCs w:val="16"/>
          <w:color w:val="0063A6"/>
        </w:rPr>
      </w:pPr>
    </w:p>
    <w:p>
      <w:pPr>
        <w:ind w:left="340" w:right="360" w:hanging="332"/>
        <w:spacing w:after="0" w:line="286"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20, 2026 for shares held directly and by 11:59 p.m. Eastern Time on May 18, 2026 for shares held in a Plan (have your proxy card in hand when you call);</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completing and mailing your proxy card; or</w:t>
      </w:r>
    </w:p>
    <w:p>
      <w:pPr>
        <w:spacing w:after="0" w:line="153"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www.virtualshareholdermeeting.com/DBX2026, where you may vote and submit questions during the meeting (please have your proxy card in hand when you visit the website).</w:t>
      </w:r>
    </w:p>
    <w:p>
      <w:pPr>
        <w:spacing w:after="0" w:line="10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2026. Your broker will not have discretion to vote on any other proposals, which are “non-routine” matters, absent direction from you (and failure to provide instructions on these matters will result in a “broker non-vote”).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Can I change my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2"/>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2"/>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53" w:lineRule="exact"/>
        <w:rPr>
          <w:rFonts w:ascii="Arial" w:cs="Arial" w:eastAsia="Arial" w:hAnsi="Arial"/>
          <w:sz w:val="16"/>
          <w:szCs w:val="16"/>
          <w:color w:val="0063A6"/>
        </w:rPr>
      </w:pPr>
    </w:p>
    <w:p>
      <w:pPr>
        <w:ind w:left="340" w:right="260" w:hanging="332"/>
        <w:spacing w:after="0" w:line="286" w:lineRule="auto"/>
        <w:tabs>
          <w:tab w:leader="none" w:pos="329" w:val="left"/>
        </w:tabs>
        <w:numPr>
          <w:ilvl w:val="0"/>
          <w:numId w:val="12"/>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8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You will be able to attend and participate in the Annual Meeting virtually, submit your questions during the meeting and vote your shares electronically at the meeting by visiting www.virtualshareholdermeeting.com/DBX2026 and by entering the control number included on your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Proxies are solicited by and on behalf of our board of directors. Andrew W. Houston and Ross Tennenbaum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adjourned, the proxy holders can vote the shares at the postponed or adjourned Annual Meeting as well, unless you have properly revoked your proxy,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Dropbox, Inc.</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Attention: Corporate Secretary</w:t>
      </w:r>
    </w:p>
    <w:p>
      <w:pPr>
        <w:jc w:val="center"/>
        <w:ind w:right="-3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IR@dropbox.com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8, 2026. In addition, stockholder proposals must comply with the requirements of Rule 14a-8 regarding the inclusion of stockholder proposals in company-sponsored proxy materials. Stockholder proposals should be addressed to the Corporate Secretary at the company's headquarters. The current address for our headquarters is: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Dropbox,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IR@dropbox.com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hanging="554"/>
        <w:spacing w:after="0"/>
        <w:tabs>
          <w:tab w:leader="none" w:pos="5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GENERAL INFORMATION (continued)</w:t>
      </w:r>
    </w:p>
    <w:p>
      <w:pPr>
        <w:spacing w:after="0" w:line="200" w:lineRule="exact"/>
        <w:rPr>
          <w:sz w:val="20"/>
          <w:szCs w:val="20"/>
          <w:color w:val="auto"/>
        </w:rPr>
      </w:pPr>
    </w:p>
    <w:p>
      <w:pPr>
        <w:spacing w:after="0" w:line="2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bylaws. To be timely for the 2027 annual meeting of stockholders, our Corporate Secretary must receive the written notice at our principal executive offices:</w:t>
      </w:r>
    </w:p>
    <w:p>
      <w:pPr>
        <w:spacing w:after="0" w:line="12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not earlier than January 22, 2027;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4"/>
        </w:numPr>
        <w:rPr>
          <w:rFonts w:ascii="Arial" w:cs="Arial" w:eastAsia="Arial" w:hAnsi="Arial"/>
          <w:sz w:val="16"/>
          <w:szCs w:val="16"/>
          <w:color w:val="0063A6"/>
        </w:rPr>
      </w:pPr>
      <w:r>
        <w:rPr>
          <w:rFonts w:ascii="Arial" w:cs="Arial" w:eastAsia="Arial" w:hAnsi="Arial"/>
          <w:sz w:val="16"/>
          <w:szCs w:val="16"/>
          <w:color w:val="auto"/>
        </w:rPr>
        <w:t>not later than February 21, 2027.</w:t>
      </w:r>
    </w:p>
    <w:p>
      <w:pPr>
        <w:spacing w:after="0" w:line="154"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In the event that we hold the 2027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before the 2027 annual meeting of stockholders and no later than the close of business on the later of the following two dates:</w:t>
      </w:r>
    </w:p>
    <w:p>
      <w:pPr>
        <w:spacing w:after="0" w:line="4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the 90th day prior to the 2027 annual meeting of stockholders; or</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2027 annual meeting of stockholders is first made.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Nominations to the Board of Directors</w:t>
      </w:r>
      <w:r>
        <w:rPr>
          <w:rFonts w:ascii="Arial" w:cs="Arial" w:eastAsia="Arial" w:hAnsi="Arial"/>
          <w:sz w:val="16"/>
          <w:szCs w:val="16"/>
          <w:color w:val="auto"/>
        </w:rPr>
        <w:t>.”</w:t>
      </w:r>
    </w:p>
    <w:p>
      <w:pPr>
        <w:spacing w:after="0" w:line="1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Information—What is the deadline to propose actions for consideration at next year’s annual meeting of stockholders or to nominate individuals to serve as directors?</w:t>
      </w:r>
      <w:r>
        <w:rPr>
          <w:rFonts w:ascii="Arial" w:cs="Arial" w:eastAsia="Arial" w:hAnsi="Arial"/>
          <w:sz w:val="16"/>
          <w:szCs w:val="16"/>
          <w:color w:val="auto"/>
        </w:rPr>
        <w:t>—</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2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addition, a stockholder who desires to nominate director candidates for election at the 2027 Annual Meeting, which is expected to be held in or about May 2027, must comply with the requirements of the recently enacted Rule 14a-19 by notifying our Corporate Secretary with regard to the intent to solicit proxies in support of director nominees (other than our nominees) as required by Rule 14a-19 no later than March 22, 2027. Please note that the notice requirement under Rule 14a-19 is in addition to the applicable notice requirements under the advance notice provisions of our bylaws as described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Bylaws</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copy of our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BOARD OF DIRECTORS AND CORPORATE GOVERNANCE</w:t>
      </w:r>
    </w:p>
    <w:p>
      <w:pPr>
        <w:spacing w:after="0" w:line="200" w:lineRule="exact"/>
        <w:rPr>
          <w:sz w:val="20"/>
          <w:szCs w:val="20"/>
          <w:color w:val="auto"/>
        </w:rPr>
      </w:pPr>
    </w:p>
    <w:p>
      <w:pPr>
        <w:spacing w:after="0" w:line="2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business affairs are managed under the direction of our board of directors. Our board of directors consists of eight directors, seven of whom qualified as “independent” under the listing rules of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w:t>
      </w:r>
    </w:p>
    <w:p>
      <w:pPr>
        <w:spacing w:after="0" w:line="8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company and our stockholders. In addition, our nominating and corporate governance committee strives to maintain a balance of tenure on our board. Long-serving directors bring valuable experience and institutional knowledge, while newer directors contribute fresh perspectives and viewpoints. The following charts provide summary information about our continuing directors and director nominees with respect to independence and tenure. For additional information regarding our criteria for evaluating director nominees, see the section titled “</w:t>
      </w:r>
      <w:r>
        <w:rPr>
          <w:rFonts w:ascii="Arial" w:cs="Arial" w:eastAsia="Arial" w:hAnsi="Arial"/>
          <w:sz w:val="16"/>
          <w:szCs w:val="16"/>
          <w:i w:val="1"/>
          <w:iCs w:val="1"/>
          <w:color w:val="auto"/>
        </w:rPr>
        <w:t>Board of Directors and Corporate Governance—Considerations in Evaluating Director Nominees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244475</wp:posOffset>
            </wp:positionV>
            <wp:extent cx="6035040" cy="205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140" w:type="dxa"/>
        <w:tblCellMar>
          <w:top w:w="0" w:type="dxa"/>
          <w:left w:w="0" w:type="dxa"/>
          <w:bottom w:w="0" w:type="dxa"/>
          <w:right w:w="0" w:type="dxa"/>
        </w:tblCellMar>
      </w:tblPr>
      <w:tr>
        <w:trPr>
          <w:trHeight w:val="239"/>
        </w:trPr>
        <w:tc>
          <w:tcPr>
            <w:tcW w:w="3540" w:type="dxa"/>
            <w:vAlign w:val="bottom"/>
          </w:tcPr>
          <w:p>
            <w:pPr>
              <w:jc w:val="center"/>
              <w:ind w:right="2102"/>
              <w:spacing w:after="0"/>
              <w:rPr>
                <w:sz w:val="20"/>
                <w:szCs w:val="20"/>
                <w:color w:val="auto"/>
              </w:rPr>
            </w:pPr>
            <w:r>
              <w:rPr>
                <w:rFonts w:ascii="Arial" w:cs="Arial" w:eastAsia="Arial" w:hAnsi="Arial"/>
                <w:sz w:val="18"/>
                <w:szCs w:val="18"/>
                <w:color w:val="0063A6"/>
                <w:w w:val="97"/>
              </w:rPr>
              <w:t>6 of 7</w:t>
            </w:r>
          </w:p>
        </w:tc>
        <w:tc>
          <w:tcPr>
            <w:tcW w:w="3320" w:type="dxa"/>
            <w:vAlign w:val="bottom"/>
          </w:tcPr>
          <w:p>
            <w:pPr>
              <w:jc w:val="center"/>
              <w:ind w:left="2102"/>
              <w:spacing w:after="0"/>
              <w:rPr>
                <w:sz w:val="20"/>
                <w:szCs w:val="20"/>
                <w:color w:val="auto"/>
              </w:rPr>
            </w:pPr>
            <w:r>
              <w:rPr>
                <w:rFonts w:ascii="Arial" w:cs="Arial" w:eastAsia="Arial" w:hAnsi="Arial"/>
                <w:sz w:val="18"/>
                <w:szCs w:val="18"/>
                <w:color w:val="0063A6"/>
                <w:w w:val="95"/>
              </w:rPr>
              <w:t>6.4 Years</w:t>
            </w:r>
          </w:p>
        </w:tc>
      </w:tr>
      <w:tr>
        <w:trPr>
          <w:trHeight w:val="149"/>
        </w:trPr>
        <w:tc>
          <w:tcPr>
            <w:tcW w:w="3540" w:type="dxa"/>
            <w:vAlign w:val="bottom"/>
          </w:tcPr>
          <w:p>
            <w:pPr>
              <w:jc w:val="center"/>
              <w:ind w:right="2102"/>
              <w:spacing w:after="0" w:line="149" w:lineRule="exact"/>
              <w:rPr>
                <w:sz w:val="20"/>
                <w:szCs w:val="20"/>
                <w:color w:val="auto"/>
              </w:rPr>
            </w:pPr>
            <w:r>
              <w:rPr>
                <w:rFonts w:ascii="Arial" w:cs="Arial" w:eastAsia="Arial" w:hAnsi="Arial"/>
                <w:sz w:val="14"/>
                <w:szCs w:val="14"/>
                <w:color w:val="0063A6"/>
              </w:rPr>
              <w:t>Director nominees</w:t>
            </w:r>
          </w:p>
        </w:tc>
        <w:tc>
          <w:tcPr>
            <w:tcW w:w="3320" w:type="dxa"/>
            <w:vAlign w:val="bottom"/>
          </w:tcPr>
          <w:p>
            <w:pPr>
              <w:jc w:val="center"/>
              <w:ind w:left="2102"/>
              <w:spacing w:after="0" w:line="149" w:lineRule="exact"/>
              <w:rPr>
                <w:sz w:val="20"/>
                <w:szCs w:val="20"/>
                <w:color w:val="auto"/>
              </w:rPr>
            </w:pPr>
            <w:r>
              <w:rPr>
                <w:rFonts w:ascii="Arial" w:cs="Arial" w:eastAsia="Arial" w:hAnsi="Arial"/>
                <w:sz w:val="14"/>
                <w:szCs w:val="14"/>
                <w:color w:val="0063A6"/>
              </w:rPr>
              <w:t>Average tenure of</w:t>
            </w:r>
          </w:p>
        </w:tc>
      </w:tr>
      <w:tr>
        <w:trPr>
          <w:trHeight w:val="190"/>
        </w:trPr>
        <w:tc>
          <w:tcPr>
            <w:tcW w:w="3540" w:type="dxa"/>
            <w:vAlign w:val="bottom"/>
          </w:tcPr>
          <w:p>
            <w:pPr>
              <w:jc w:val="center"/>
              <w:ind w:right="2122"/>
              <w:spacing w:after="0"/>
              <w:rPr>
                <w:sz w:val="20"/>
                <w:szCs w:val="20"/>
                <w:color w:val="auto"/>
              </w:rPr>
            </w:pPr>
            <w:r>
              <w:rPr>
                <w:rFonts w:ascii="Arial" w:cs="Arial" w:eastAsia="Arial" w:hAnsi="Arial"/>
                <w:sz w:val="14"/>
                <w:szCs w:val="14"/>
                <w:color w:val="0063A6"/>
              </w:rPr>
              <w:t>who are independent</w:t>
            </w:r>
          </w:p>
        </w:tc>
        <w:tc>
          <w:tcPr>
            <w:tcW w:w="3320" w:type="dxa"/>
            <w:vAlign w:val="bottom"/>
          </w:tcPr>
          <w:p>
            <w:pPr>
              <w:jc w:val="center"/>
              <w:ind w:left="2102"/>
              <w:spacing w:after="0"/>
              <w:rPr>
                <w:sz w:val="20"/>
                <w:szCs w:val="20"/>
                <w:color w:val="auto"/>
              </w:rPr>
            </w:pPr>
            <w:r>
              <w:rPr>
                <w:rFonts w:ascii="Arial" w:cs="Arial" w:eastAsia="Arial" w:hAnsi="Arial"/>
                <w:sz w:val="14"/>
                <w:szCs w:val="14"/>
                <w:color w:val="0063A6"/>
              </w:rPr>
              <w:t>director nominees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hanging="554"/>
        <w:spacing w:after="0"/>
        <w:tabs>
          <w:tab w:leader="none" w:pos="5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Nominees for Director</w:t>
      </w:r>
    </w:p>
    <w:p>
      <w:pPr>
        <w:spacing w:after="0" w:line="21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Our board of directors has nominated seven nominees for election at the Annual Meeting. Dr. Jacobs, whose term will end at the Annual Meeting, will not be standing for reelection. He will continue to serve as a director and as a member of the talent and compensation committee of the board of directors until the expiration of his term. The following provides summary information about each of our director nominees as of March 31, 2026:</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28"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CHAIR OF THE BOARD</w:t>
      </w:r>
    </w:p>
    <w:p>
      <w:pPr>
        <w:spacing w:after="0" w:line="100" w:lineRule="exact"/>
        <w:rPr>
          <w:sz w:val="20"/>
          <w:szCs w:val="20"/>
          <w:color w:val="auto"/>
        </w:rPr>
      </w:pPr>
    </w:p>
    <w:p>
      <w:pPr>
        <w:ind w:left="2960" w:right="140"/>
        <w:spacing w:after="0" w:line="251"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our Chief Executive Officer since June 2007. Mr. Houston also currently serves as a member of the board of directors of Meta Platforms, Inc. (Nasdaq: META).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LISA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57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 Audit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00"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 since August 2019. From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to August 2024, Ms. Campbell served as Chief Marketing Officer and Partner for OneTrust. From August 2017 to July 2021, Ms. Campbell served as Chief Marketing Officer and Executive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currently serves as a member of the board of directors for Dynatrace, Inc. (NYSE: DT), an application performance management software company, Similarweb Ltd. (NYSE: SMWB), a digital data and analytics company, and Quickbase, a Vista Equity company.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WARREN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30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48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310" cy="144843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 Nominating and Corporate Governance</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Jenson has served as a member of our board of directors since January 2025. Mr. Jenson</w:t>
      </w:r>
      <w:r>
        <w:rPr>
          <w:rFonts w:ascii="Arial" w:cs="Arial" w:eastAsia="Arial" w:hAnsi="Arial"/>
          <w:sz w:val="16"/>
          <w:szCs w:val="16"/>
          <w:b w:val="1"/>
          <w:bCs w:val="1"/>
          <w:color w:val="auto"/>
        </w:rPr>
        <w:t xml:space="preserve"> </w:t>
      </w:r>
      <w:r>
        <w:rPr>
          <w:rFonts w:ascii="Arial" w:cs="Arial" w:eastAsia="Arial" w:hAnsi="Arial"/>
          <w:sz w:val="16"/>
          <w:szCs w:val="16"/>
          <w:color w:val="auto"/>
        </w:rPr>
        <w:t>most recently acted as President and Chief Financial Officer of Nielsen Holdings plc, a firm specializing in audience measurement, data, and analytics, where he served from April 2023 to December 2024. From February 2012 to April 2023, Mr. Jenson worked at LiveRamp Holdings, Inc. (formerly known as Acxiom), a software-as-a-service company that provides identity and data connectivity services, where he most recently served as President, Chief Financial Officer and Executive Managing Director of International. Mr. Jenson has also held numerous C-suite positions with Electronic Arts (EA), Amazon.com, Delta Airlines, and NBC. Mr. Jenson currently serves as a member of the board of directors of DigitalOcean Holdings, Inc. (NYSE: DOCN), a cloud service provider, Delivery Hero German SE, a multinational online food ordering and delivery platform, and Ripple Labs, Inc., a provider of cryptocurrency solutions for businesses. Mr. Jenson has a B.S. in Accounting and a Master of Accountancy – Business Taxation from Brigham Young University. Mr. Jenson was selected to serve on our board of directors because of his breadth of experience leading and scaling companies through periods of transition and his track record of operational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MOORE,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20165" cy="1448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165" cy="1448435"/>
                    </a:xfrm>
                    <a:prstGeom prst="rect">
                      <a:avLst/>
                    </a:prstGeom>
                    <a:noFill/>
                  </pic:spPr>
                </pic:pic>
              </a:graphicData>
            </a:graphic>
          </wp:anchor>
        </w:drawing>
      </w:r>
    </w:p>
    <w:p>
      <w:pPr>
        <w:spacing w:after="0" w:line="8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Moore has served as a member of our board of directors since December 2023.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 Prior to joining Google, Dr. Moore was an assistant professor and also professor of Computer Science and Robotics at Carnegie Mellon University from 1993-2006. Dr. Moore holds a Ph.D. in Computer Science and a B.A. in Mathematics and Computer Science from the University of Cambridge. Dr. Moore was selected to serve on our board of directors because of his deep academic experience, product knowledge, and engineering leadership.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hanging="554"/>
        <w:spacing w:after="0"/>
        <w:tabs>
          <w:tab w:leader="none" w:pos="58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39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ABHAY PARASNIS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337310" cy="1457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80"/>
        <w:spacing w:after="0" w:line="245"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Parasnis has served as a member of our board of directors since March 2022.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KAREN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LEAD INDEPENDENT DIRECTOR</w:t>
      </w:r>
    </w:p>
    <w:p>
      <w:pPr>
        <w:spacing w:after="0" w:line="113" w:lineRule="exact"/>
        <w:rPr>
          <w:sz w:val="20"/>
          <w:szCs w:val="20"/>
          <w:color w:val="auto"/>
        </w:rPr>
      </w:pPr>
    </w:p>
    <w:p>
      <w:pPr>
        <w:ind w:left="2960" w:right="2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 August 2019. From July 2020</w:t>
      </w:r>
      <w:r>
        <w:rPr>
          <w:rFonts w:ascii="Arial" w:cs="Arial" w:eastAsia="Arial" w:hAnsi="Arial"/>
          <w:sz w:val="16"/>
          <w:szCs w:val="16"/>
          <w:b w:val="1"/>
          <w:bCs w:val="1"/>
          <w:color w:val="auto"/>
        </w:rPr>
        <w:t xml:space="preserve"> </w:t>
      </w:r>
      <w:r>
        <w:rPr>
          <w:rFonts w:ascii="Arial" w:cs="Arial" w:eastAsia="Arial" w:hAnsi="Arial"/>
          <w:sz w:val="16"/>
          <w:szCs w:val="16"/>
          <w:color w:val="auto"/>
        </w:rPr>
        <w:t>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currently serves on the board of directors of IDEXX Laboratories Inc. (Nasdaq: IDXX), a veterinary diagnostics company, and Monzo Bank, a UK based bank and fintech company.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MICHAEL SEIBEL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Seibel has served as a member of our board of directors since December 2020. Mr. Seibel is</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Emeritus at Y Combinator, an accelerator and investment company for early-stage technology companies, where he previously was a Partner from October 2014 to March 2025, and served as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(NYSE: RDDT), a community and discussion platform. Mr. Seibel holds a B.A. in Political Science from Yale University. Mr. Seibel was selected to serve on our board of directors because of his financial and managerial experience.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hanging="554"/>
        <w:spacing w:after="0"/>
        <w:tabs>
          <w:tab w:leader="none" w:pos="5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Non-Continuing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Dr. Jacobs, whose term will end at the Annual Meeting:</w:t>
      </w:r>
    </w:p>
    <w:p>
      <w:pPr>
        <w:spacing w:after="0" w:line="30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PAUL E. JACOBS,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517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1517015"/>
                    </a:xfrm>
                    <a:prstGeom prst="rect">
                      <a:avLst/>
                    </a:prstGeom>
                    <a:noFill/>
                  </pic:spPr>
                </pic:pic>
              </a:graphicData>
            </a:graphic>
          </wp:anchor>
        </w:drawing>
      </w:r>
    </w:p>
    <w:p>
      <w:pPr>
        <w:spacing w:after="0" w:line="24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&amp; 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8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 April 2016. Since August 2023,</w:t>
      </w:r>
      <w:r>
        <w:rPr>
          <w:rFonts w:ascii="Arial" w:cs="Arial" w:eastAsia="Arial" w:hAnsi="Arial"/>
          <w:sz w:val="16"/>
          <w:szCs w:val="16"/>
          <w:b w:val="1"/>
          <w:bCs w:val="1"/>
          <w:color w:val="auto"/>
        </w:rPr>
        <w:t xml:space="preserve"> </w:t>
      </w:r>
      <w:r>
        <w:rPr>
          <w:rFonts w:ascii="Arial" w:cs="Arial" w:eastAsia="Arial" w:hAnsi="Arial"/>
          <w:sz w:val="16"/>
          <w:szCs w:val="16"/>
          <w:color w:val="auto"/>
        </w:rPr>
        <w:t>Dr. Jacobs has served as Chief Executive Officer of Globalstar, Inc., or Globalstar, a telecom infrastructure provider. From April 2018 to May 2024, Dr. Jacobs served as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(Nasdaq: GSAT), a satellite and terrestrial communication services company, and Arm Holdings plc (Nasdaq: ARM),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56" w:lineRule="exact"/>
        <w:rPr>
          <w:sz w:val="20"/>
          <w:szCs w:val="20"/>
          <w:color w:val="auto"/>
        </w:rPr>
      </w:pPr>
    </w:p>
    <w:p>
      <w:pPr>
        <w:spacing w:after="0"/>
        <w:rPr>
          <w:sz w:val="20"/>
          <w:szCs w:val="20"/>
          <w:color w:val="auto"/>
        </w:rPr>
      </w:pPr>
      <w:r>
        <w:rPr>
          <w:rFonts w:ascii="Arial" w:cs="Arial" w:eastAsia="Arial" w:hAnsi="Arial"/>
          <w:sz w:val="26"/>
          <w:szCs w:val="26"/>
          <w:color w:val="0063A6"/>
        </w:rPr>
        <w:t>Director Independence</w:t>
      </w:r>
    </w:p>
    <w:p>
      <w:pPr>
        <w:spacing w:after="0" w:line="21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Jacobs and Moore, Messrs. Jenson, Parasnis and Seibel, and Mss. Campbell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Related Party and Other Transactions</w:t>
      </w:r>
      <w:r>
        <w:rPr>
          <w:rFonts w:ascii="Arial" w:cs="Arial" w:eastAsia="Arial" w:hAnsi="Arial"/>
          <w:sz w:val="16"/>
          <w:szCs w:val="16"/>
          <w:color w:val="auto"/>
        </w:rPr>
        <w:t>.”</w:t>
      </w: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the company and our stockholders to have a lead independent director to, among other things, preside over meetings of the independent directors and help set the agenda for board meetings. Ms. Peacock has served as lead independent director since May 2025.</w:t>
      </w:r>
    </w:p>
    <w:p>
      <w:pPr>
        <w:spacing w:after="0" w:line="32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lead independent director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The lead independent director’s responsibilities include:</w:t>
      </w:r>
    </w:p>
    <w:p>
      <w:pPr>
        <w:spacing w:after="0" w:line="12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0063A6"/>
        </w:rPr>
      </w:pPr>
      <w:r>
        <w:rPr>
          <w:rFonts w:ascii="Arial" w:cs="Arial" w:eastAsia="Arial" w:hAnsi="Arial"/>
          <w:sz w:val="16"/>
          <w:szCs w:val="16"/>
          <w:color w:val="auto"/>
        </w:rPr>
        <w:t>presiding over all meetings of the board of directors at which the chair is not present;</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9"/>
        </w:numPr>
        <w:rPr>
          <w:rFonts w:ascii="Arial" w:cs="Arial" w:eastAsia="Arial" w:hAnsi="Arial"/>
          <w:sz w:val="16"/>
          <w:szCs w:val="16"/>
          <w:color w:val="0063A6"/>
        </w:rPr>
      </w:pPr>
      <w:r>
        <w:rPr>
          <w:rFonts w:ascii="Arial" w:cs="Arial" w:eastAsia="Arial" w:hAnsi="Arial"/>
          <w:sz w:val="16"/>
          <w:szCs w:val="16"/>
          <w:color w:val="auto"/>
        </w:rPr>
        <w:t>calling separate meetings of the independent directors and determining the agenda and serving as chair of meetings of independent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9"/>
        </w:numPr>
        <w:rPr>
          <w:rFonts w:ascii="Arial" w:cs="Arial" w:eastAsia="Arial" w:hAnsi="Arial"/>
          <w:sz w:val="16"/>
          <w:szCs w:val="16"/>
          <w:color w:val="0063A6"/>
        </w:rPr>
      </w:pPr>
      <w:r>
        <w:rPr>
          <w:rFonts w:ascii="Arial" w:cs="Arial" w:eastAsia="Arial" w:hAnsi="Arial"/>
          <w:sz w:val="16"/>
          <w:szCs w:val="16"/>
          <w:color w:val="auto"/>
        </w:rPr>
        <w:t>reporting to our Chief Executive Officer and chair regarding feedback from executive sessions; and</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19"/>
        </w:numPr>
        <w:rPr>
          <w:rFonts w:ascii="Arial" w:cs="Arial" w:eastAsia="Arial" w:hAnsi="Arial"/>
          <w:sz w:val="16"/>
          <w:szCs w:val="16"/>
          <w:color w:val="0063A6"/>
        </w:rPr>
      </w:pPr>
      <w:r>
        <w:rPr>
          <w:rFonts w:ascii="Arial" w:cs="Arial" w:eastAsia="Arial" w:hAnsi="Arial"/>
          <w:sz w:val="16"/>
          <w:szCs w:val="16"/>
          <w:color w:val="auto"/>
        </w:rPr>
        <w:t>serving as spokesperson for the company if requested.</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1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the role of a strong lead independent director, as well as the robust independent committees of our board of directors is appropriate and enhances our board of directors’ ability to effectively carry out its roles and responsibilities on behalf of the company.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pacing w:after="0" w:line="200" w:lineRule="exact"/>
        <w:rPr>
          <w:sz w:val="20"/>
          <w:szCs w:val="20"/>
          <w:color w:val="auto"/>
        </w:rPr>
      </w:pPr>
    </w:p>
    <w:p>
      <w:pPr>
        <w:spacing w:after="0" w:line="316"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6"/>
          <w:szCs w:val="26"/>
          <w:color w:val="0063A6"/>
        </w:rPr>
        <w:t>Board Committees</w:t>
      </w:r>
    </w:p>
    <w:p>
      <w:pPr>
        <w:spacing w:after="0" w:line="219"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49465" cy="1705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0561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20" w:type="dxa"/>
            <w:vAlign w:val="bottom"/>
            <w:tcBorders>
              <w:bottom w:val="single" w:sz="8" w:color="0063A6"/>
            </w:tcBorders>
            <w:shd w:val="clear" w:color="auto" w:fill="0063A6"/>
          </w:tcPr>
          <w:p>
            <w:pPr>
              <w:ind w:left="1120"/>
              <w:spacing w:after="0"/>
              <w:rPr>
                <w:sz w:val="20"/>
                <w:szCs w:val="20"/>
                <w:color w:val="auto"/>
              </w:rPr>
            </w:pPr>
            <w:r>
              <w:rPr>
                <w:rFonts w:ascii="Arial" w:cs="Arial" w:eastAsia="Arial" w:hAnsi="Arial"/>
                <w:sz w:val="14"/>
                <w:szCs w:val="14"/>
                <w:b w:val="1"/>
                <w:bCs w:val="1"/>
                <w:color w:val="FFFFFF"/>
              </w:rPr>
              <w:t>Director</w:t>
            </w:r>
          </w:p>
        </w:tc>
        <w:tc>
          <w:tcPr>
            <w:tcW w:w="28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Audit</w:t>
            </w:r>
          </w:p>
        </w:tc>
        <w:tc>
          <w:tcPr>
            <w:tcW w:w="2580" w:type="dxa"/>
            <w:vAlign w:val="bottom"/>
            <w:tcBorders>
              <w:bottom w:val="single" w:sz="8" w:color="0063A6"/>
            </w:tcBorders>
            <w:shd w:val="clear" w:color="auto" w:fill="0063A6"/>
          </w:tcPr>
          <w:p>
            <w:pPr>
              <w:jc w:val="center"/>
              <w:ind w:left="162"/>
              <w:spacing w:after="0"/>
              <w:rPr>
                <w:sz w:val="20"/>
                <w:szCs w:val="20"/>
                <w:color w:val="auto"/>
              </w:rPr>
            </w:pPr>
            <w:r>
              <w:rPr>
                <w:rFonts w:ascii="Arial" w:cs="Arial" w:eastAsia="Arial" w:hAnsi="Arial"/>
                <w:sz w:val="14"/>
                <w:szCs w:val="14"/>
                <w:b w:val="1"/>
                <w:bCs w:val="1"/>
                <w:color w:val="FFFFFF"/>
              </w:rPr>
              <w:t>Talent and Compensation</w:t>
            </w:r>
          </w:p>
        </w:tc>
        <w:tc>
          <w:tcPr>
            <w:tcW w:w="3040" w:type="dxa"/>
            <w:vAlign w:val="bottom"/>
            <w:tcBorders>
              <w:bottom w:val="single" w:sz="8" w:color="0063A6"/>
            </w:tcBorders>
            <w:shd w:val="clear" w:color="auto" w:fill="0063A6"/>
          </w:tcPr>
          <w:p>
            <w:pPr>
              <w:jc w:val="center"/>
              <w:ind w:left="164"/>
              <w:spacing w:after="0"/>
              <w:rPr>
                <w:sz w:val="20"/>
                <w:szCs w:val="20"/>
                <w:color w:val="auto"/>
              </w:rPr>
            </w:pPr>
            <w:r>
              <w:rPr>
                <w:rFonts w:ascii="Arial" w:cs="Arial" w:eastAsia="Arial" w:hAnsi="Arial"/>
                <w:sz w:val="14"/>
                <w:szCs w:val="14"/>
                <w:b w:val="1"/>
                <w:bCs w:val="1"/>
                <w:color w:val="FFFFFF"/>
              </w:rPr>
              <w:t>Nominating and Corporate Governance</w:t>
            </w:r>
          </w:p>
        </w:tc>
      </w:tr>
      <w:tr>
        <w:trPr>
          <w:trHeight w:val="250"/>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Andrew W. Houston</w:t>
            </w:r>
          </w:p>
        </w:tc>
        <w:tc>
          <w:tcPr>
            <w:tcW w:w="2800" w:type="dxa"/>
            <w:vAlign w:val="bottom"/>
            <w:tcBorders>
              <w:bottom w:val="single" w:sz="8" w:color="F2F2F2"/>
            </w:tcBorders>
            <w:shd w:val="clear" w:color="auto" w:fill="F2F2F2"/>
          </w:tcPr>
          <w:p>
            <w:pPr>
              <w:spacing w:after="0"/>
              <w:rPr>
                <w:sz w:val="21"/>
                <w:szCs w:val="21"/>
                <w:color w:val="auto"/>
              </w:rPr>
            </w:pPr>
          </w:p>
        </w:tc>
        <w:tc>
          <w:tcPr>
            <w:tcW w:w="2580" w:type="dxa"/>
            <w:vAlign w:val="bottom"/>
            <w:tcBorders>
              <w:bottom w:val="single" w:sz="8" w:color="F2F2F2"/>
            </w:tcBorders>
            <w:shd w:val="clear" w:color="auto" w:fill="F2F2F2"/>
          </w:tcPr>
          <w:p>
            <w:pPr>
              <w:spacing w:after="0"/>
              <w:rPr>
                <w:sz w:val="21"/>
                <w:szCs w:val="21"/>
                <w:color w:val="auto"/>
              </w:rPr>
            </w:pPr>
          </w:p>
        </w:tc>
        <w:tc>
          <w:tcPr>
            <w:tcW w:w="3040" w:type="dxa"/>
            <w:vAlign w:val="bottom"/>
            <w:tcBorders>
              <w:bottom w:val="single" w:sz="8" w:color="F2F2F2"/>
            </w:tcBorders>
            <w:shd w:val="clear" w:color="auto" w:fill="F2F2F2"/>
          </w:tcPr>
          <w:p>
            <w:pPr>
              <w:spacing w:after="0"/>
              <w:rPr>
                <w:sz w:val="21"/>
                <w:szCs w:val="21"/>
                <w:color w:val="auto"/>
              </w:rPr>
            </w:pPr>
          </w:p>
        </w:tc>
      </w:tr>
      <w:tr>
        <w:trPr>
          <w:trHeight w:val="236"/>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Lisa Campbell</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8"/>
        </w:trPr>
        <w:tc>
          <w:tcPr>
            <w:tcW w:w="28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3040" w:type="dxa"/>
            <w:vAlign w:val="bottom"/>
          </w:tcPr>
          <w:p>
            <w:pPr>
              <w:spacing w:after="0"/>
              <w:rPr>
                <w:sz w:val="4"/>
                <w:szCs w:val="4"/>
                <w:color w:val="auto"/>
              </w:rPr>
            </w:pPr>
          </w:p>
        </w:tc>
      </w:tr>
      <w:tr>
        <w:trPr>
          <w:trHeight w:val="277"/>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Paul E. Jacobs, Ph.D</w:t>
            </w:r>
          </w:p>
        </w:tc>
        <w:tc>
          <w:tcPr>
            <w:tcW w:w="2800" w:type="dxa"/>
            <w:vAlign w:val="bottom"/>
            <w:tcBorders>
              <w:bottom w:val="single" w:sz="8" w:color="F2F2F2"/>
            </w:tcBorders>
            <w:shd w:val="clear" w:color="auto" w:fill="F2F2F2"/>
          </w:tcPr>
          <w:p>
            <w:pPr>
              <w:spacing w:after="0"/>
              <w:rPr>
                <w:sz w:val="24"/>
                <w:szCs w:val="24"/>
                <w:color w:val="auto"/>
              </w:rPr>
            </w:pPr>
          </w:p>
        </w:tc>
        <w:tc>
          <w:tcPr>
            <w:tcW w:w="2580" w:type="dxa"/>
            <w:vAlign w:val="bottom"/>
            <w:tcBorders>
              <w:bottom w:val="single" w:sz="8" w:color="F2F2F2"/>
            </w:tcBorders>
            <w:shd w:val="clear" w:color="auto" w:fill="F2F2F2"/>
          </w:tcPr>
          <w:p>
            <w:pPr>
              <w:spacing w:after="0"/>
              <w:rPr>
                <w:sz w:val="24"/>
                <w:szCs w:val="24"/>
                <w:color w:val="auto"/>
              </w:rPr>
            </w:pPr>
          </w:p>
        </w:tc>
        <w:tc>
          <w:tcPr>
            <w:tcW w:w="3040" w:type="dxa"/>
            <w:vAlign w:val="bottom"/>
            <w:tcBorders>
              <w:bottom w:val="single" w:sz="8" w:color="F2F2F2"/>
            </w:tcBorders>
            <w:shd w:val="clear" w:color="auto" w:fill="F2F2F2"/>
          </w:tcPr>
          <w:p>
            <w:pPr>
              <w:spacing w:after="0"/>
              <w:rPr>
                <w:sz w:val="24"/>
                <w:szCs w:val="24"/>
                <w:color w:val="auto"/>
              </w:rPr>
            </w:pPr>
          </w:p>
        </w:tc>
      </w:tr>
      <w:tr>
        <w:trPr>
          <w:trHeight w:val="289"/>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Warren Jenson</w:t>
            </w:r>
          </w:p>
        </w:tc>
        <w:tc>
          <w:tcPr>
            <w:tcW w:w="2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9"/>
        </w:trPr>
        <w:tc>
          <w:tcPr>
            <w:tcW w:w="28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040" w:type="dxa"/>
            <w:vAlign w:val="bottom"/>
          </w:tcPr>
          <w:p>
            <w:pPr>
              <w:spacing w:after="0"/>
              <w:rPr>
                <w:sz w:val="7"/>
                <w:szCs w:val="7"/>
                <w:color w:val="auto"/>
              </w:rPr>
            </w:pPr>
          </w:p>
        </w:tc>
      </w:tr>
      <w:tr>
        <w:trPr>
          <w:trHeight w:val="250"/>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Andrew Moore, Ph.D</w:t>
            </w:r>
          </w:p>
        </w:tc>
        <w:tc>
          <w:tcPr>
            <w:tcW w:w="2800" w:type="dxa"/>
            <w:vAlign w:val="bottom"/>
            <w:tcBorders>
              <w:bottom w:val="single" w:sz="8" w:color="F2F2F2"/>
            </w:tcBorders>
            <w:shd w:val="clear" w:color="auto" w:fill="F2F2F2"/>
          </w:tcPr>
          <w:p>
            <w:pPr>
              <w:spacing w:after="0"/>
              <w:rPr>
                <w:sz w:val="21"/>
                <w:szCs w:val="21"/>
                <w:color w:val="auto"/>
              </w:rPr>
            </w:pPr>
          </w:p>
        </w:tc>
        <w:tc>
          <w:tcPr>
            <w:tcW w:w="2580" w:type="dxa"/>
            <w:vAlign w:val="bottom"/>
            <w:tcBorders>
              <w:bottom w:val="single" w:sz="8" w:color="F2F2F2"/>
            </w:tcBorders>
            <w:shd w:val="clear" w:color="auto" w:fill="F2F2F2"/>
          </w:tcPr>
          <w:p>
            <w:pPr>
              <w:spacing w:after="0"/>
              <w:rPr>
                <w:sz w:val="21"/>
                <w:szCs w:val="21"/>
                <w:color w:val="auto"/>
              </w:rPr>
            </w:pPr>
          </w:p>
        </w:tc>
        <w:tc>
          <w:tcPr>
            <w:tcW w:w="3040" w:type="dxa"/>
            <w:vAlign w:val="bottom"/>
            <w:tcBorders>
              <w:bottom w:val="single" w:sz="8" w:color="F2F2F2"/>
            </w:tcBorders>
            <w:shd w:val="clear" w:color="auto" w:fill="F2F2F2"/>
          </w:tcPr>
          <w:p>
            <w:pPr>
              <w:spacing w:after="0"/>
              <w:rPr>
                <w:sz w:val="21"/>
                <w:szCs w:val="21"/>
                <w:color w:val="auto"/>
              </w:rPr>
            </w:pPr>
          </w:p>
        </w:tc>
      </w:tr>
      <w:tr>
        <w:trPr>
          <w:trHeight w:val="235"/>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Abhay Parasnis</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8"/>
        </w:trPr>
        <w:tc>
          <w:tcPr>
            <w:tcW w:w="28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3040" w:type="dxa"/>
            <w:vAlign w:val="bottom"/>
          </w:tcPr>
          <w:p>
            <w:pPr>
              <w:spacing w:after="0"/>
              <w:rPr>
                <w:sz w:val="4"/>
                <w:szCs w:val="4"/>
                <w:color w:val="auto"/>
              </w:rPr>
            </w:pPr>
          </w:p>
        </w:tc>
      </w:tr>
      <w:tr>
        <w:trPr>
          <w:trHeight w:val="263"/>
        </w:trPr>
        <w:tc>
          <w:tcPr>
            <w:tcW w:w="28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Karen Peacock</w:t>
            </w:r>
          </w:p>
        </w:tc>
        <w:tc>
          <w:tcPr>
            <w:tcW w:w="2800" w:type="dxa"/>
            <w:vAlign w:val="bottom"/>
            <w:tcBorders>
              <w:bottom w:val="single" w:sz="8" w:color="F2F2F2"/>
            </w:tcBorders>
            <w:shd w:val="clear" w:color="auto" w:fill="F2F2F2"/>
          </w:tcPr>
          <w:p>
            <w:pPr>
              <w:spacing w:after="0"/>
              <w:rPr>
                <w:sz w:val="22"/>
                <w:szCs w:val="22"/>
                <w:color w:val="auto"/>
              </w:rPr>
            </w:pPr>
          </w:p>
        </w:tc>
        <w:tc>
          <w:tcPr>
            <w:tcW w:w="2580" w:type="dxa"/>
            <w:vAlign w:val="bottom"/>
            <w:tcBorders>
              <w:bottom w:val="single" w:sz="8" w:color="F2F2F2"/>
            </w:tcBorders>
            <w:shd w:val="clear" w:color="auto" w:fill="F2F2F2"/>
          </w:tcPr>
          <w:p>
            <w:pPr>
              <w:spacing w:after="0"/>
              <w:rPr>
                <w:sz w:val="22"/>
                <w:szCs w:val="22"/>
                <w:color w:val="auto"/>
              </w:rPr>
            </w:pPr>
          </w:p>
        </w:tc>
        <w:tc>
          <w:tcPr>
            <w:tcW w:w="3040" w:type="dxa"/>
            <w:vAlign w:val="bottom"/>
            <w:tcBorders>
              <w:bottom w:val="single" w:sz="8" w:color="F2F2F2"/>
            </w:tcBorders>
            <w:shd w:val="clear" w:color="auto" w:fill="F2F2F2"/>
          </w:tcPr>
          <w:p>
            <w:pPr>
              <w:spacing w:after="0"/>
              <w:rPr>
                <w:sz w:val="22"/>
                <w:szCs w:val="22"/>
                <w:color w:val="auto"/>
              </w:rPr>
            </w:pPr>
          </w:p>
        </w:tc>
      </w:tr>
      <w:tr>
        <w:trPr>
          <w:trHeight w:val="235"/>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Michael Seibel</w:t>
            </w:r>
          </w:p>
        </w:tc>
        <w:tc>
          <w:tcPr>
            <w:tcW w:w="2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84"/>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Number of Meetings</w:t>
            </w:r>
          </w:p>
        </w:tc>
        <w:tc>
          <w:tcPr>
            <w:tcW w:w="2800" w:type="dxa"/>
            <w:vAlign w:val="bottom"/>
          </w:tcPr>
          <w:p>
            <w:pPr>
              <w:jc w:val="right"/>
              <w:ind w:right="1282"/>
              <w:spacing w:after="0"/>
              <w:rPr>
                <w:sz w:val="20"/>
                <w:szCs w:val="20"/>
                <w:color w:val="auto"/>
              </w:rPr>
            </w:pPr>
            <w:r>
              <w:rPr>
                <w:rFonts w:ascii="Arial" w:cs="Arial" w:eastAsia="Arial" w:hAnsi="Arial"/>
                <w:sz w:val="16"/>
                <w:szCs w:val="16"/>
                <w:color w:val="auto"/>
              </w:rPr>
              <w:t>4</w:t>
            </w:r>
          </w:p>
        </w:tc>
        <w:tc>
          <w:tcPr>
            <w:tcW w:w="2580" w:type="dxa"/>
            <w:vAlign w:val="bottom"/>
          </w:tcPr>
          <w:p>
            <w:pPr>
              <w:jc w:val="right"/>
              <w:ind w:right="1042"/>
              <w:spacing w:after="0"/>
              <w:rPr>
                <w:sz w:val="20"/>
                <w:szCs w:val="20"/>
                <w:color w:val="auto"/>
              </w:rPr>
            </w:pPr>
            <w:r>
              <w:rPr>
                <w:rFonts w:ascii="Arial" w:cs="Arial" w:eastAsia="Arial" w:hAnsi="Arial"/>
                <w:sz w:val="16"/>
                <w:szCs w:val="16"/>
                <w:color w:val="auto"/>
              </w:rPr>
              <w:t>4</w:t>
            </w:r>
          </w:p>
        </w:tc>
        <w:tc>
          <w:tcPr>
            <w:tcW w:w="3040" w:type="dxa"/>
            <w:vAlign w:val="bottom"/>
          </w:tcPr>
          <w:p>
            <w:pPr>
              <w:jc w:val="right"/>
              <w:ind w:right="1284"/>
              <w:spacing w:after="0"/>
              <w:rPr>
                <w:sz w:val="20"/>
                <w:szCs w:val="20"/>
                <w:color w:val="auto"/>
              </w:rPr>
            </w:pPr>
            <w:r>
              <w:rPr>
                <w:rFonts w:ascii="Arial" w:cs="Arial" w:eastAsia="Arial" w:hAnsi="Arial"/>
                <w:sz w:val="16"/>
                <w:szCs w:val="16"/>
                <w:color w:val="auto"/>
              </w:rPr>
              <w:t>3</w:t>
            </w:r>
          </w:p>
        </w:tc>
      </w:tr>
      <w:tr>
        <w:trPr>
          <w:trHeight w:val="343"/>
        </w:trPr>
        <w:tc>
          <w:tcPr>
            <w:tcW w:w="2820" w:type="dxa"/>
            <w:vAlign w:val="bottom"/>
          </w:tcPr>
          <w:p>
            <w:pPr>
              <w:ind w:left="880"/>
              <w:spacing w:after="0"/>
              <w:rPr>
                <w:sz w:val="20"/>
                <w:szCs w:val="20"/>
                <w:color w:val="auto"/>
              </w:rPr>
            </w:pPr>
            <w:r>
              <w:rPr>
                <w:rFonts w:ascii="Arial" w:cs="Arial" w:eastAsia="Arial" w:hAnsi="Arial"/>
                <w:sz w:val="16"/>
                <w:szCs w:val="16"/>
                <w:color w:val="auto"/>
              </w:rPr>
              <w:t>Committee member</w:t>
            </w:r>
          </w:p>
        </w:tc>
        <w:tc>
          <w:tcPr>
            <w:tcW w:w="2800" w:type="dxa"/>
            <w:vAlign w:val="bottom"/>
          </w:tcPr>
          <w:p>
            <w:pPr>
              <w:ind w:left="960"/>
              <w:spacing w:after="0"/>
              <w:rPr>
                <w:sz w:val="20"/>
                <w:szCs w:val="20"/>
                <w:color w:val="auto"/>
              </w:rPr>
            </w:pPr>
            <w:r>
              <w:rPr>
                <w:rFonts w:ascii="Arial" w:cs="Arial" w:eastAsia="Arial" w:hAnsi="Arial"/>
                <w:sz w:val="16"/>
                <w:szCs w:val="16"/>
                <w:color w:val="auto"/>
              </w:rPr>
              <w:t>Committee chair</w:t>
            </w:r>
          </w:p>
        </w:tc>
        <w:tc>
          <w:tcPr>
            <w:tcW w:w="2580" w:type="dxa"/>
            <w:vAlign w:val="bottom"/>
          </w:tcPr>
          <w:p>
            <w:pPr>
              <w:ind w:left="1020"/>
              <w:spacing w:after="0"/>
              <w:rPr>
                <w:sz w:val="20"/>
                <w:szCs w:val="20"/>
                <w:color w:val="auto"/>
              </w:rPr>
            </w:pPr>
            <w:r>
              <w:rPr>
                <w:rFonts w:ascii="Arial" w:cs="Arial" w:eastAsia="Arial" w:hAnsi="Arial"/>
                <w:sz w:val="16"/>
                <w:szCs w:val="16"/>
                <w:color w:val="auto"/>
              </w:rPr>
              <w:t>Financial expert</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-169545</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-169545</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-169545</wp:posOffset>
            </wp:positionV>
            <wp:extent cx="13716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0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Audit Committee</w:t>
      </w:r>
    </w:p>
    <w:p>
      <w:pPr>
        <w:spacing w:after="0" w:line="16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Our audit committee consists of Mr. Jenson, Dr. Moore and Ms. Campbell, with Mr. Jenson serving as chair.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Jenson is an audit committee financial expert within the meaning of Item 407(d) of Regulation S-K. Our audit committee is responsible for, among other things:</w:t>
      </w:r>
    </w:p>
    <w:p>
      <w:pPr>
        <w:spacing w:after="0" w:line="12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67" w:lineRule="exact"/>
        <w:rPr>
          <w:rFonts w:ascii="Arial" w:cs="Arial" w:eastAsia="Arial" w:hAnsi="Arial"/>
          <w:sz w:val="16"/>
          <w:szCs w:val="16"/>
          <w:color w:val="0063A6"/>
        </w:rPr>
      </w:pPr>
    </w:p>
    <w:p>
      <w:pPr>
        <w:ind w:left="340" w:right="200" w:hanging="332"/>
        <w:spacing w:after="0" w:line="268" w:lineRule="auto"/>
        <w:tabs>
          <w:tab w:leader="none" w:pos="329"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67" w:lineRule="exact"/>
        <w:rPr>
          <w:rFonts w:ascii="Arial" w:cs="Arial" w:eastAsia="Arial" w:hAnsi="Arial"/>
          <w:sz w:val="16"/>
          <w:szCs w:val="16"/>
          <w:color w:val="0063A6"/>
        </w:rPr>
      </w:pPr>
    </w:p>
    <w:p>
      <w:pPr>
        <w:ind w:left="340" w:right="40" w:hanging="332"/>
        <w:spacing w:after="0" w:line="286" w:lineRule="auto"/>
        <w:tabs>
          <w:tab w:leader="none" w:pos="329"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101" w:lineRule="exact"/>
        <w:rPr>
          <w:rFonts w:ascii="Arial" w:cs="Arial" w:eastAsia="Arial" w:hAnsi="Arial"/>
          <w:sz w:val="16"/>
          <w:szCs w:val="16"/>
          <w:color w:val="0063A6"/>
        </w:rPr>
      </w:pPr>
    </w:p>
    <w:p>
      <w:pPr>
        <w:ind w:left="340" w:right="500" w:hanging="332"/>
        <w:spacing w:after="0" w:line="268" w:lineRule="auto"/>
        <w:tabs>
          <w:tab w:leader="none" w:pos="329"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programs and policies with respect to assessing and managing risks pertaining to our operational infrastructure, particularly reliability, business continuity, cybersecurity, and data privacy;</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and approving any amendments to the internal audit charter;</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67" w:lineRule="exact"/>
        <w:rPr>
          <w:rFonts w:ascii="Arial" w:cs="Arial" w:eastAsia="Arial" w:hAnsi="Arial"/>
          <w:sz w:val="16"/>
          <w:szCs w:val="16"/>
          <w:color w:val="0063A6"/>
        </w:rPr>
      </w:pPr>
    </w:p>
    <w:p>
      <w:pPr>
        <w:ind w:left="340" w:hanging="332"/>
        <w:spacing w:after="0" w:line="268" w:lineRule="auto"/>
        <w:tabs>
          <w:tab w:leader="none" w:pos="329"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establishing and overseeing procedures for employees to submit concerns anonymously about questionable accounting, internal accounting controls, or audit matters;</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1"/>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2025, our audit committee held four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hanging="554"/>
        <w:spacing w:after="0"/>
        <w:tabs>
          <w:tab w:leader="none" w:pos="58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Talent and Compensation Committee</w:t>
      </w:r>
    </w:p>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Our talent and compensation committee consists of Dr. Jacobs, Messrs. Parasnis and Seibel, and Ms. Peacock with Dr. Jacobs serving as chair. Upon the end of Dr. Jacobs’ term at the Annual Meeting, Mr. Seibel will succeed Dr. Jacobs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talent and compensation committee is responsible for, among other things:</w:t>
      </w:r>
    </w:p>
    <w:p>
      <w:pPr>
        <w:spacing w:after="0" w:line="120" w:lineRule="exact"/>
        <w:rPr>
          <w:sz w:val="20"/>
          <w:szCs w:val="20"/>
          <w:color w:val="auto"/>
        </w:rPr>
      </w:pPr>
    </w:p>
    <w:p>
      <w:pPr>
        <w:ind w:left="340" w:right="38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88"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approving, and administering our incentive compensation and equity compensation plans;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 and</w:t>
      </w:r>
    </w:p>
    <w:p>
      <w:pPr>
        <w:spacing w:after="0" w:line="167" w:lineRule="exact"/>
        <w:rPr>
          <w:rFonts w:ascii="Arial" w:cs="Arial" w:eastAsia="Arial" w:hAnsi="Arial"/>
          <w:sz w:val="16"/>
          <w:szCs w:val="16"/>
          <w:color w:val="0063A6"/>
        </w:rPr>
      </w:pPr>
    </w:p>
    <w:p>
      <w:pPr>
        <w:ind w:left="340" w:right="100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our human capital management disclosures and activities, including assisting our board with matters related to talent acquisition, management and development, and employee engagement.</w:t>
      </w:r>
    </w:p>
    <w:p>
      <w:pPr>
        <w:spacing w:after="0" w:line="8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2025, our talent and compensation committee held four meetings.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167"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Our nominating and corporate governance committee consists of Ms. Campbell and Mr. Jenson, with Ms. Campbell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24" w:lineRule="exact"/>
        <w:rPr>
          <w:sz w:val="20"/>
          <w:szCs w:val="20"/>
          <w:color w:val="auto"/>
        </w:rPr>
      </w:pPr>
    </w:p>
    <w:p>
      <w:pPr>
        <w:ind w:left="340" w:right="740" w:hanging="332"/>
        <w:spacing w:after="0" w:line="286" w:lineRule="auto"/>
        <w:tabs>
          <w:tab w:leader="none" w:pos="329"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reviewing succession planning processes for executive officers, including the CEO and assisting the board in the succession planning process;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4"/>
        </w:numPr>
        <w:rPr>
          <w:rFonts w:ascii="Arial" w:cs="Arial" w:eastAsia="Arial" w:hAnsi="Arial"/>
          <w:sz w:val="16"/>
          <w:szCs w:val="16"/>
          <w:color w:val="0063A6"/>
        </w:rPr>
      </w:pPr>
      <w:r>
        <w:rPr>
          <w:rFonts w:ascii="Arial" w:cs="Arial" w:eastAsia="Arial" w:hAnsi="Arial"/>
          <w:sz w:val="16"/>
          <w:szCs w:val="16"/>
          <w:color w:val="auto"/>
        </w:rPr>
        <w:t>overseeing compliance with corporate sustainability reporting requirements and related risks.</w:t>
      </w:r>
    </w:p>
    <w:p>
      <w:pPr>
        <w:spacing w:after="0" w:line="15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2025, our nominating and corporate governance committee held three meetings.</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Attendance at Board and Stockholder Meetings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During our fiscal year ended December 31, 2025, our board of directors held five meetings (including regularly scheduled and special meetings), and each director, with the exception of Ms. Peacock who met with management and directors between meetings,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of our directors who then served on the board attended our 2025 annual meeting of our stockholders.</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219"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63A6"/>
        </w:rPr>
        <w:t>Considerations in Evaluating Director Nominees</w:t>
      </w:r>
    </w:p>
    <w:p>
      <w:pPr>
        <w:spacing w:after="0" w:line="233"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3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We do not maintain a specific policy with regards to board diversity and our board of directors believes that our board should exhibit a wide range of views and perspectives. After completing its review and evaluation of director candidates, including incumbent directors, our nominating and corporate governance committee recommends to our full board of directors the director nominees for selection.</w:t>
      </w:r>
    </w:p>
    <w:p>
      <w:pPr>
        <w:spacing w:after="0" w:line="348" w:lineRule="exact"/>
        <w:rPr>
          <w:sz w:val="20"/>
          <w:szCs w:val="20"/>
          <w:color w:val="auto"/>
        </w:rPr>
      </w:pPr>
    </w:p>
    <w:p>
      <w:pPr>
        <w:spacing w:after="0"/>
        <w:rPr>
          <w:sz w:val="20"/>
          <w:szCs w:val="20"/>
          <w:color w:val="auto"/>
        </w:rPr>
      </w:pPr>
      <w:r>
        <w:rPr>
          <w:rFonts w:ascii="Arial" w:cs="Arial" w:eastAsia="Arial" w:hAnsi="Arial"/>
          <w:sz w:val="26"/>
          <w:szCs w:val="26"/>
          <w:color w:val="0063A6"/>
        </w:rPr>
        <w:t>Board Evaluations</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0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Our board of directors engaged a third-party board governance consultant (the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pacing w:after="0" w:line="12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Our board of directors and its committees implement improvements and take further actions, as appropriate, based on opportunities identified during its evaluation.</w:t>
      </w:r>
    </w:p>
    <w:p>
      <w:pPr>
        <w:spacing w:after="0" w:line="96" w:lineRule="exact"/>
        <w:rPr>
          <w:sz w:val="20"/>
          <w:szCs w:val="20"/>
          <w:color w:val="auto"/>
        </w:rPr>
      </w:pPr>
    </w:p>
    <w:p>
      <w:pPr>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articles of</w:t>
      </w:r>
    </w:p>
    <w:p>
      <w:pPr>
        <w:spacing w:after="0" w:line="200" w:lineRule="exact"/>
        <w:rPr>
          <w:sz w:val="20"/>
          <w:szCs w:val="20"/>
          <w:color w:val="auto"/>
        </w:rPr>
      </w:pPr>
    </w:p>
    <w:p>
      <w:pPr>
        <w:spacing w:after="0" w:line="300"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incorporation, bylaws, and applicable laws, rules and regulations, including those promulgated by the SEC. Our nominating and corporate governance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bylaws. Our nominating and corporate governance committee has discretion to decide which individuals to recommend for nomination as directors.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Under our bylaws, stockholders may also directly nominate persons for our board of directors. Any nomination must comply with the requirements set forth in our bylaws and should be sent in writing to our Corporate Secretary at Dropbox, Inc., 1800 Owens Street San Francisco, California 94158. To be timely for the 2027 annual meeting of stockholders, nominations must be received by our Corporate Secretary observing the same deadlines for stockholder proposals discussed above under “</w:t>
      </w:r>
      <w:r>
        <w:rPr>
          <w:rFonts w:ascii="Arial" w:cs="Arial" w:eastAsia="Arial" w:hAnsi="Arial"/>
          <w:sz w:val="16"/>
          <w:szCs w:val="16"/>
          <w:i w:val="1"/>
          <w:iCs w:val="1"/>
          <w:color w:val="auto"/>
        </w:rPr>
        <w:t>General Information—What is the deadline to propose actions for consideration at next year’s annual meeting of stockholders or to</w:t>
      </w:r>
      <w:r>
        <w:rPr>
          <w:rFonts w:ascii="Arial" w:cs="Arial" w:eastAsia="Arial" w:hAnsi="Arial"/>
          <w:sz w:val="16"/>
          <w:szCs w:val="16"/>
          <w:color w:val="auto"/>
        </w:rPr>
        <w:t xml:space="preserve"> </w:t>
      </w:r>
      <w:r>
        <w:rPr>
          <w:rFonts w:ascii="Arial" w:cs="Arial" w:eastAsia="Arial" w:hAnsi="Arial"/>
          <w:sz w:val="16"/>
          <w:szCs w:val="16"/>
          <w:i w:val="1"/>
          <w:iCs w:val="1"/>
          <w:color w:val="auto"/>
        </w:rPr>
        <w:t>nominate individuals to serve as directors?—Stockholder Proposals.</w:t>
      </w:r>
      <w:r>
        <w:rPr>
          <w:rFonts w:ascii="Arial" w:cs="Arial" w:eastAsia="Arial" w:hAnsi="Arial"/>
          <w:sz w:val="16"/>
          <w:szCs w:val="16"/>
          <w:color w:val="auto"/>
        </w:rPr>
        <w:t>”</w:t>
      </w:r>
    </w:p>
    <w:p>
      <w:pPr>
        <w:spacing w:after="0" w:line="350" w:lineRule="exact"/>
        <w:rPr>
          <w:sz w:val="20"/>
          <w:szCs w:val="20"/>
          <w:color w:val="auto"/>
        </w:rPr>
      </w:pPr>
    </w:p>
    <w:p>
      <w:pPr>
        <w:spacing w:after="0"/>
        <w:rPr>
          <w:sz w:val="20"/>
          <w:szCs w:val="20"/>
          <w:color w:val="auto"/>
        </w:rPr>
      </w:pPr>
      <w:r>
        <w:rPr>
          <w:rFonts w:ascii="Arial" w:cs="Arial" w:eastAsia="Arial" w:hAnsi="Arial"/>
          <w:sz w:val="26"/>
          <w:szCs w:val="26"/>
          <w:color w:val="0063A6"/>
        </w:rPr>
        <w:t>Communications with the Board of Directors</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2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w:t>
      </w:r>
      <w:r>
        <w:rPr>
          <w:rFonts w:ascii="Arial" w:cs="Arial" w:eastAsia="Arial" w:hAnsi="Arial"/>
          <w:sz w:val="16"/>
          <w:szCs w:val="16"/>
          <w:color w:val="auto"/>
        </w:rPr>
        <w:t xml:space="preserve"> </w:t>
      </w:r>
      <w:r>
        <w:rPr>
          <w:rFonts w:ascii="Arial" w:cs="Arial" w:eastAsia="Arial" w:hAnsi="Arial"/>
          <w:sz w:val="16"/>
          <w:szCs w:val="16"/>
          <w:i w:val="1"/>
          <w:iCs w:val="1"/>
          <w:color w:val="auto"/>
        </w:rPr>
        <w:t>actions for consideration at next year’s annual meeting of stockholders or to nominate individuals to serve as directors?—Stockholder Proposals</w:t>
      </w:r>
      <w:r>
        <w:rPr>
          <w:rFonts w:ascii="Arial" w:cs="Arial" w:eastAsia="Arial" w:hAnsi="Arial"/>
          <w:sz w:val="16"/>
          <w:szCs w:val="16"/>
          <w:color w:val="auto"/>
        </w:rPr>
        <w:t>”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in this proxy statement.</w:t>
      </w:r>
    </w:p>
    <w:p>
      <w:pPr>
        <w:spacing w:after="0" w:line="348" w:lineRule="exact"/>
        <w:rPr>
          <w:sz w:val="20"/>
          <w:szCs w:val="20"/>
          <w:color w:val="auto"/>
        </w:rPr>
      </w:pPr>
    </w:p>
    <w:p>
      <w:pPr>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21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color w:val="0063A6"/>
        </w:rPr>
        <w:t>Stock Ownership Guidelines</w:t>
      </w:r>
    </w:p>
    <w:p>
      <w:pPr>
        <w:spacing w:after="0" w:line="21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talent and compensation committee of our board of directors has adopted stock ownership guidelines for our independent directors and executive officers. Under these guidelines, all independent directors are required to acquire and 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1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the section titled "</w:t>
      </w:r>
      <w:r>
        <w:rPr>
          <w:rFonts w:ascii="Arial" w:cs="Arial" w:eastAsia="Arial" w:hAnsi="Arial"/>
          <w:sz w:val="16"/>
          <w:szCs w:val="16"/>
          <w:i w:val="1"/>
          <w:iCs w:val="1"/>
          <w:color w:val="auto"/>
        </w:rPr>
        <w:t>Executive Compensation—Compensation Discussion and Analysis—Stock Ownership Guidelines".</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Role of Board in Risk Oversight Process</w:t>
      </w:r>
    </w:p>
    <w:p>
      <w:pPr>
        <w:spacing w:after="0" w:line="21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81"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0063A6"/>
        </w:rPr>
        <w:t>Audit</w:t>
      </w:r>
    </w:p>
    <w:p>
      <w:pPr>
        <w:spacing w:after="0" w:line="1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063A6"/>
        </w:rPr>
        <w:t>Committee</w:t>
      </w:r>
    </w:p>
    <w:p>
      <w:pPr>
        <w:spacing w:after="0" w:line="198" w:lineRule="exact"/>
        <w:rPr>
          <w:sz w:val="20"/>
          <w:szCs w:val="20"/>
          <w:color w:val="auto"/>
        </w:rPr>
      </w:pPr>
    </w:p>
    <w:p>
      <w:pPr>
        <w:ind w:left="20" w:right="80"/>
        <w:spacing w:after="0" w:line="253" w:lineRule="auto"/>
        <w:rPr>
          <w:sz w:val="20"/>
          <w:szCs w:val="20"/>
          <w:color w:val="auto"/>
        </w:rPr>
      </w:pPr>
      <w:r>
        <w:rPr>
          <w:rFonts w:ascii="Arial" w:cs="Arial" w:eastAsia="Arial" w:hAnsi="Arial"/>
          <w:sz w:val="16"/>
          <w:szCs w:val="16"/>
          <w:color w:val="auto"/>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184785</wp:posOffset>
            </wp:positionV>
            <wp:extent cx="17145" cy="351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35115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80" w:type="dxa"/>
            <w:vAlign w:val="bottom"/>
            <w:shd w:val="clear" w:color="auto" w:fill="E5EFFD"/>
          </w:tcPr>
          <w:p>
            <w:pPr>
              <w:jc w:val="center"/>
              <w:ind w:left="72"/>
              <w:spacing w:after="0"/>
              <w:rPr>
                <w:sz w:val="20"/>
                <w:szCs w:val="20"/>
                <w:color w:val="auto"/>
              </w:rPr>
            </w:pPr>
            <w:r>
              <w:rPr>
                <w:rFonts w:ascii="Arial" w:cs="Arial" w:eastAsia="Arial" w:hAnsi="Arial"/>
                <w:sz w:val="22"/>
                <w:szCs w:val="22"/>
                <w:b w:val="1"/>
                <w:bCs w:val="1"/>
                <w:color w:val="0063A6"/>
                <w:w w:val="98"/>
              </w:rPr>
              <w:t>Talent and Compensation</w:t>
            </w:r>
          </w:p>
        </w:tc>
        <w:tc>
          <w:tcPr>
            <w:tcW w:w="5860" w:type="dxa"/>
            <w:vAlign w:val="bottom"/>
            <w:shd w:val="clear" w:color="auto" w:fill="E5EFFD"/>
          </w:tcPr>
          <w:p>
            <w:pPr>
              <w:jc w:val="center"/>
              <w:ind w:left="92"/>
              <w:spacing w:after="0"/>
              <w:rPr>
                <w:sz w:val="20"/>
                <w:szCs w:val="20"/>
                <w:color w:val="auto"/>
              </w:rPr>
            </w:pPr>
            <w:r>
              <w:rPr>
                <w:rFonts w:ascii="Arial" w:cs="Arial" w:eastAsia="Arial" w:hAnsi="Arial"/>
                <w:sz w:val="22"/>
                <w:szCs w:val="22"/>
                <w:b w:val="1"/>
                <w:bCs w:val="1"/>
                <w:color w:val="0063A6"/>
                <w:w w:val="97"/>
              </w:rPr>
              <w:t>Nominating and</w:t>
            </w:r>
          </w:p>
        </w:tc>
      </w:tr>
      <w:tr>
        <w:trPr>
          <w:trHeight w:val="312"/>
        </w:trPr>
        <w:tc>
          <w:tcPr>
            <w:tcW w:w="5380" w:type="dxa"/>
            <w:vAlign w:val="bottom"/>
            <w:shd w:val="clear" w:color="auto" w:fill="E5EFFD"/>
          </w:tcPr>
          <w:p>
            <w:pPr>
              <w:jc w:val="center"/>
              <w:ind w:left="132"/>
              <w:spacing w:after="0"/>
              <w:rPr>
                <w:sz w:val="20"/>
                <w:szCs w:val="20"/>
                <w:color w:val="auto"/>
              </w:rPr>
            </w:pPr>
            <w:r>
              <w:rPr>
                <w:rFonts w:ascii="Arial" w:cs="Arial" w:eastAsia="Arial" w:hAnsi="Arial"/>
                <w:sz w:val="22"/>
                <w:szCs w:val="22"/>
                <w:b w:val="1"/>
                <w:bCs w:val="1"/>
                <w:color w:val="0063A6"/>
                <w:w w:val="96"/>
              </w:rPr>
              <w:t>Committee</w:t>
            </w:r>
          </w:p>
        </w:tc>
        <w:tc>
          <w:tcPr>
            <w:tcW w:w="5860" w:type="dxa"/>
            <w:vAlign w:val="bottom"/>
            <w:shd w:val="clear" w:color="auto" w:fill="E5EFFD"/>
          </w:tcPr>
          <w:p>
            <w:pPr>
              <w:jc w:val="center"/>
              <w:ind w:left="152"/>
              <w:spacing w:after="0"/>
              <w:rPr>
                <w:sz w:val="20"/>
                <w:szCs w:val="20"/>
                <w:color w:val="auto"/>
              </w:rPr>
            </w:pPr>
            <w:r>
              <w:rPr>
                <w:rFonts w:ascii="Arial" w:cs="Arial" w:eastAsia="Arial" w:hAnsi="Arial"/>
                <w:sz w:val="22"/>
                <w:szCs w:val="22"/>
                <w:b w:val="1"/>
                <w:bCs w:val="1"/>
                <w:color w:val="0063A6"/>
                <w:w w:val="98"/>
              </w:rPr>
              <w:t>Corporate Governance Committee</w:t>
            </w:r>
          </w:p>
        </w:tc>
      </w:tr>
    </w:tbl>
    <w:p>
      <w:pPr>
        <w:spacing w:after="0" w:line="107" w:lineRule="exact"/>
        <w:rPr>
          <w:sz w:val="20"/>
          <w:szCs w:val="20"/>
          <w:color w:val="auto"/>
        </w:rPr>
      </w:pPr>
    </w:p>
    <w:p>
      <w:pPr>
        <w:sectPr>
          <w:pgSz w:w="11900" w:h="16838" w:orient="portrait"/>
          <w:cols w:equalWidth="0" w:num="1">
            <w:col w:w="11240"/>
          </w:cols>
          <w:pgMar w:left="320" w:top="114" w:right="339" w:bottom="1440" w:gutter="0" w:footer="0" w:header="0"/>
        </w:sectPr>
      </w:pPr>
    </w:p>
    <w:p>
      <w:pPr>
        <w:ind w:left="20"/>
        <w:spacing w:after="0" w:line="247" w:lineRule="auto"/>
        <w:rPr>
          <w:sz w:val="20"/>
          <w:szCs w:val="20"/>
          <w:color w:val="auto"/>
        </w:rPr>
      </w:pPr>
      <w:r>
        <w:rPr>
          <w:rFonts w:ascii="Arial" w:cs="Arial" w:eastAsia="Arial" w:hAnsi="Arial"/>
          <w:sz w:val="16"/>
          <w:szCs w:val="16"/>
          <w:color w:val="auto"/>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Our nominating and corporate governance committee assesses risks relating to our corporate governance practices and the independence of the board. Our nominating and corporate governance committee also generally oversees our compliance with corporate sustainability reporting and related risks.</w:t>
      </w:r>
    </w:p>
    <w:p>
      <w:pPr>
        <w:spacing w:after="0" w:line="386" w:lineRule="exact"/>
        <w:rPr>
          <w:sz w:val="20"/>
          <w:szCs w:val="20"/>
          <w:color w:val="auto"/>
        </w:rPr>
      </w:pPr>
    </w:p>
    <w:p>
      <w:pPr>
        <w:sectPr>
          <w:pgSz w:w="11900" w:h="16838" w:orient="portrait"/>
          <w:cols w:equalWidth="0" w:num="2">
            <w:col w:w="5520" w:space="120"/>
            <w:col w:w="5600"/>
          </w:cols>
          <w:pgMar w:left="320" w:top="114"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6"/>
          <w:szCs w:val="26"/>
          <w:color w:val="0063A6"/>
        </w:rPr>
        <w:t>Cybersecurity and Data Privacy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Our Guiding Value</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Board and Management Oversight</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who also serves as our Chief Privacy Officer, our Chief Technology Officer and our Head of Security.</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Members of senior leadership are informed about and monitor the prevention, mitigation, detection, and remediation of cybersecurity incidents through their management of, and participation in, our cybersecurity risk management and strategy processes,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spacing w:after="0" w:line="11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also have a Data Protection Officer who provides independent oversight of our privacy program and guidance on privacy issues. Our Data Protection Officer acts as the single point of contact for privacy-related requests for users subject to the General Data Protection Regulation, as well as for regulatory authorities. Our Data Protection Officer reports periodically to executive management, the board of directors, and the audit committee on privacy risks to provide an independent assessment of our privacy program.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External Auditing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Several of our security and privacy management systems are independently examined and/or certified according to internationally recognized standards:</w:t>
      </w:r>
    </w:p>
    <w:p>
      <w:pPr>
        <w:spacing w:after="0" w:line="16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Our primary information security management system is independently examined on an annual basis and is ISO 27001 certified.</w:t>
      </w:r>
    </w:p>
    <w:p>
      <w:pPr>
        <w:spacing w:after="0" w:line="167" w:lineRule="exact"/>
        <w:rPr>
          <w:rFonts w:ascii="Arial" w:cs="Arial" w:eastAsia="Arial" w:hAnsi="Arial"/>
          <w:sz w:val="16"/>
          <w:szCs w:val="16"/>
          <w:color w:val="0063A6"/>
        </w:rPr>
      </w:pPr>
    </w:p>
    <w:p>
      <w:pPr>
        <w:ind w:left="640" w:hanging="308"/>
        <w:spacing w:after="0"/>
        <w:tabs>
          <w:tab w:leader="none" w:pos="64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Our primary privacy information management system is independently examined on an annual basis and is ISO 27701 certified.</w:t>
      </w:r>
    </w:p>
    <w:p>
      <w:pPr>
        <w:spacing w:after="0" w:line="167" w:lineRule="exact"/>
        <w:rPr>
          <w:rFonts w:ascii="Arial" w:cs="Arial" w:eastAsia="Arial" w:hAnsi="Arial"/>
          <w:sz w:val="16"/>
          <w:szCs w:val="16"/>
          <w:color w:val="0063A6"/>
        </w:rPr>
      </w:pPr>
    </w:p>
    <w:p>
      <w:pPr>
        <w:ind w:left="640" w:hanging="308"/>
        <w:spacing w:after="0"/>
        <w:tabs>
          <w:tab w:leader="none" w:pos="64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Our primary incident-response policies and procedures are examined as part of SOC 2, ISO 27001, and other security assessments.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Employee Training</w:t>
      </w:r>
    </w:p>
    <w:p>
      <w:pPr>
        <w:spacing w:after="0" w:line="15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All employees are required to complete annual information security and privacy training. They also receive ongoing security awareness education via informational emails, talks and presentations, and resources available on our intranet.</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Corporate Responsibility</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Dropbox, our mission is to create a more enlightened way of working. We believe Dropbox’s long-term success will be strengthened by helping to create a better world for our stakeholders.</w:t>
      </w:r>
    </w:p>
    <w:p>
      <w:pPr>
        <w:spacing w:after="0" w:line="10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Wellness and Development</w:t>
      </w:r>
    </w:p>
    <w:p>
      <w:pPr>
        <w:spacing w:after="0" w:line="152" w:lineRule="exact"/>
        <w:rPr>
          <w:sz w:val="20"/>
          <w:szCs w:val="20"/>
          <w:color w:val="auto"/>
        </w:rPr>
      </w:pPr>
    </w:p>
    <w:p>
      <w:pPr>
        <w:ind w:left="340" w:right="100" w:hanging="332"/>
        <w:spacing w:after="0" w:line="286" w:lineRule="auto"/>
        <w:tabs>
          <w:tab w:leader="none" w:pos="329"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We operate under a Virtual First work model where remote work is the primary experience for all of our employees; as part of our Virtual First workforce strategy, we strive to support our employees by:</w:t>
      </w:r>
    </w:p>
    <w:p>
      <w:pPr>
        <w:spacing w:after="0" w:line="101" w:lineRule="exact"/>
        <w:rPr>
          <w:rFonts w:ascii="Arial" w:cs="Arial" w:eastAsia="Arial" w:hAnsi="Arial"/>
          <w:sz w:val="16"/>
          <w:szCs w:val="16"/>
          <w:color w:val="0063A6"/>
        </w:rPr>
      </w:pPr>
    </w:p>
    <w:p>
      <w:pPr>
        <w:ind w:left="740" w:right="480" w:hanging="327"/>
        <w:spacing w:after="0" w:line="286" w:lineRule="auto"/>
        <w:tabs>
          <w:tab w:leader="none" w:pos="729"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01" w:lineRule="exact"/>
        <w:rPr>
          <w:rFonts w:ascii="Arial" w:cs="Arial" w:eastAsia="Arial" w:hAnsi="Arial"/>
          <w:sz w:val="16"/>
          <w:szCs w:val="16"/>
          <w:color w:val="0063A6"/>
        </w:rPr>
      </w:pPr>
    </w:p>
    <w:p>
      <w:pPr>
        <w:ind w:left="720" w:hanging="307"/>
        <w:spacing w:after="0"/>
        <w:tabs>
          <w:tab w:leader="none" w:pos="720"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Empowering our employees to adopt flexible working arrangements and providing tools for efficient remote collaboration.</w:t>
      </w:r>
    </w:p>
    <w:p>
      <w:pPr>
        <w:spacing w:after="0" w:line="153" w:lineRule="exact"/>
        <w:rPr>
          <w:rFonts w:ascii="Arial" w:cs="Arial" w:eastAsia="Arial" w:hAnsi="Arial"/>
          <w:sz w:val="16"/>
          <w:szCs w:val="16"/>
          <w:color w:val="0063A6"/>
        </w:rPr>
      </w:pPr>
    </w:p>
    <w:p>
      <w:pPr>
        <w:ind w:left="740" w:right="340" w:hanging="327"/>
        <w:spacing w:after="0" w:line="286" w:lineRule="auto"/>
        <w:tabs>
          <w:tab w:leader="none" w:pos="729" w:val="left"/>
        </w:tabs>
        <w:numPr>
          <w:ilvl w:val="1"/>
          <w:numId w:val="28"/>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at our “Dropbox Studios” locations and “On-Demand Spaces” and through team offsites and events.</w:t>
      </w:r>
    </w:p>
    <w:p>
      <w:pPr>
        <w:spacing w:after="0" w:line="101" w:lineRule="exact"/>
        <w:rPr>
          <w:rFonts w:ascii="Arial" w:cs="Arial" w:eastAsia="Arial" w:hAnsi="Arial"/>
          <w:sz w:val="16"/>
          <w:szCs w:val="16"/>
          <w:color w:val="0063A6"/>
        </w:rPr>
      </w:pPr>
    </w:p>
    <w:p>
      <w:pPr>
        <w:ind w:left="340" w:right="500" w:hanging="332"/>
        <w:spacing w:after="0" w:line="286" w:lineRule="auto"/>
        <w:tabs>
          <w:tab w:leader="none" w:pos="329" w:val="left"/>
        </w:tabs>
        <w:numPr>
          <w:ilvl w:val="0"/>
          <w:numId w:val="28"/>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paid parental leave for all eligible employees, as well as mental and physical wellness benefits.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2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left="340" w:right="40" w:hanging="332"/>
        <w:spacing w:after="0" w:line="253" w:lineRule="auto"/>
        <w:tabs>
          <w:tab w:leader="none" w:pos="329"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 w:cs="Arial" w:eastAsia="Arial" w:hAnsi="Arial"/>
          <w:sz w:val="16"/>
          <w:szCs w:val="16"/>
          <w:b w:val="1"/>
          <w:bCs w:val="1"/>
          <w:i w:val="1"/>
          <w:iCs w:val="1"/>
          <w:color w:val="auto"/>
        </w:rPr>
        <w:t>GSOC</w:t>
      </w:r>
      <w:r>
        <w:rPr>
          <w:rFonts w:ascii="Arial" w:cs="Arial" w:eastAsia="Arial" w:hAnsi="Arial"/>
          <w:sz w:val="16"/>
          <w:szCs w:val="16"/>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28" w:lineRule="exact"/>
        <w:rPr>
          <w:rFonts w:ascii="Arial" w:cs="Arial" w:eastAsia="Arial" w:hAnsi="Arial"/>
          <w:sz w:val="16"/>
          <w:szCs w:val="16"/>
          <w:color w:val="0063A6"/>
        </w:rPr>
      </w:pPr>
    </w:p>
    <w:p>
      <w:pPr>
        <w:ind w:left="320" w:hanging="312"/>
        <w:spacing w:after="0"/>
        <w:tabs>
          <w:tab w:leader="none" w:pos="320"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Under our Virtual First work model, we remain committed to supporting employee wellness and development:</w:t>
      </w:r>
    </w:p>
    <w:p>
      <w:pPr>
        <w:spacing w:after="0" w:line="167" w:lineRule="exact"/>
        <w:rPr>
          <w:rFonts w:ascii="Arial" w:cs="Arial" w:eastAsia="Arial" w:hAnsi="Arial"/>
          <w:sz w:val="16"/>
          <w:szCs w:val="16"/>
          <w:color w:val="0063A6"/>
        </w:rPr>
      </w:pPr>
    </w:p>
    <w:p>
      <w:pPr>
        <w:ind w:left="740" w:right="400" w:hanging="327"/>
        <w:spacing w:after="0" w:line="286" w:lineRule="auto"/>
        <w:tabs>
          <w:tab w:leader="none" w:pos="729"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provide subsidized dependent care and access to dependent care resources, as well as supporting flexible working arrangements for our employees with caregiving obligations.</w:t>
      </w:r>
    </w:p>
    <w:p>
      <w:pPr>
        <w:spacing w:after="0" w:line="101" w:lineRule="exact"/>
        <w:rPr>
          <w:rFonts w:ascii="Arial" w:cs="Arial" w:eastAsia="Arial" w:hAnsi="Arial"/>
          <w:sz w:val="16"/>
          <w:szCs w:val="16"/>
          <w:color w:val="0063A6"/>
        </w:rPr>
      </w:pPr>
    </w:p>
    <w:p>
      <w:pPr>
        <w:ind w:left="740" w:hanging="327"/>
        <w:spacing w:after="0"/>
        <w:tabs>
          <w:tab w:leader="none" w:pos="740" w:val="left"/>
        </w:tabs>
        <w:numPr>
          <w:ilvl w:val="1"/>
          <w:numId w:val="29"/>
        </w:numPr>
        <w:rPr>
          <w:rFonts w:ascii="Arial" w:cs="Arial" w:eastAsia="Arial" w:hAnsi="Arial"/>
          <w:sz w:val="14"/>
          <w:szCs w:val="14"/>
          <w:color w:val="0063A6"/>
        </w:rPr>
      </w:pPr>
      <w:r>
        <w:rPr>
          <w:rFonts w:ascii="Arial" w:cs="Arial" w:eastAsia="Arial" w:hAnsi="Arial"/>
          <w:sz w:val="16"/>
          <w:szCs w:val="16"/>
          <w:color w:val="auto"/>
        </w:rPr>
        <w:t>We offer a program to help employees and their dependents manage their mental health through coaching, therapy, and on-demand resources.</w:t>
      </w:r>
    </w:p>
    <w:p>
      <w:pPr>
        <w:spacing w:after="0" w:line="153" w:lineRule="exact"/>
        <w:rPr>
          <w:rFonts w:ascii="Arial" w:cs="Arial" w:eastAsia="Arial" w:hAnsi="Arial"/>
          <w:sz w:val="14"/>
          <w:szCs w:val="14"/>
          <w:color w:val="0063A6"/>
        </w:rPr>
      </w:pPr>
    </w:p>
    <w:p>
      <w:pPr>
        <w:ind w:left="740" w:right="240" w:hanging="327"/>
        <w:spacing w:after="0" w:line="286" w:lineRule="auto"/>
        <w:tabs>
          <w:tab w:leader="none" w:pos="729" w:val="left"/>
        </w:tabs>
        <w:numPr>
          <w:ilvl w:val="1"/>
          <w:numId w:val="29"/>
        </w:numPr>
        <w:rPr>
          <w:rFonts w:ascii="Arial" w:cs="Arial" w:eastAsia="Arial" w:hAnsi="Arial"/>
          <w:sz w:val="16"/>
          <w:szCs w:val="16"/>
          <w:color w:val="0063A6"/>
        </w:rPr>
      </w:pPr>
      <w:r>
        <w:rPr>
          <w:rFonts w:ascii="Arial" w:cs="Arial" w:eastAsia="Arial" w:hAnsi="Arial"/>
          <w:sz w:val="16"/>
          <w:szCs w:val="16"/>
          <w:color w:val="auto"/>
        </w:rPr>
        <w:t>We continue to offer a variety of learning and development opportunities for our employees and managers, which include digital learnings, skill-building workshops as well as coaching pods to support connection and peer learning in a remote context.</w:t>
      </w:r>
    </w:p>
    <w:p>
      <w:pPr>
        <w:spacing w:after="0" w:line="101" w:lineRule="exact"/>
        <w:rPr>
          <w:rFonts w:ascii="Arial" w:cs="Arial" w:eastAsia="Arial" w:hAnsi="Arial"/>
          <w:sz w:val="16"/>
          <w:szCs w:val="16"/>
          <w:color w:val="0063A6"/>
        </w:rPr>
      </w:pPr>
    </w:p>
    <w:p>
      <w:pPr>
        <w:ind w:left="340" w:hanging="332"/>
        <w:spacing w:after="0" w:line="286" w:lineRule="auto"/>
        <w:tabs>
          <w:tab w:leader="none" w:pos="329" w:val="left"/>
        </w:tabs>
        <w:numPr>
          <w:ilvl w:val="0"/>
          <w:numId w:val="29"/>
        </w:numPr>
        <w:rPr>
          <w:rFonts w:ascii="Arial" w:cs="Arial" w:eastAsia="Arial" w:hAnsi="Arial"/>
          <w:sz w:val="16"/>
          <w:szCs w:val="16"/>
          <w:color w:val="0063A6"/>
        </w:rPr>
      </w:pPr>
      <w:r>
        <w:rPr>
          <w:rFonts w:ascii="Arial" w:cs="Arial" w:eastAsia="Arial" w:hAnsi="Arial"/>
          <w:sz w:val="16"/>
          <w:szCs w:val="16"/>
          <w:color w:val="auto"/>
        </w:rPr>
        <w:t>We conduct a bi-annual employee engagement survey, the results of which are used by management to refine our employee wellness and development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Community Engagement</w:t>
      </w:r>
    </w:p>
    <w:p>
      <w:pPr>
        <w:spacing w:after="0" w:line="152" w:lineRule="exact"/>
        <w:rPr>
          <w:sz w:val="20"/>
          <w:szCs w:val="20"/>
          <w:color w:val="auto"/>
        </w:rPr>
      </w:pPr>
    </w:p>
    <w:p>
      <w:pPr>
        <w:ind w:left="34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At Dropbox, we’re committed to leveraging our people, products, and resources for good, which we believe positively contributes to our work culture and helps us recruit and retain talented employees.</w:t>
      </w:r>
    </w:p>
    <w:p>
      <w:pPr>
        <w:spacing w:after="0" w:line="101"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Dropbox product donations to nonprofit organizations that are nominated by our employees.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Conduct and Ethics; Human and Labor Rights</w:t>
      </w:r>
    </w:p>
    <w:p>
      <w:pPr>
        <w:spacing w:after="0" w:line="152" w:lineRule="exact"/>
        <w:rPr>
          <w:sz w:val="20"/>
          <w:szCs w:val="20"/>
          <w:color w:val="auto"/>
        </w:rPr>
      </w:pPr>
    </w:p>
    <w:p>
      <w:pPr>
        <w:ind w:left="340" w:right="320" w:hanging="332"/>
        <w:spacing w:after="0" w:line="286" w:lineRule="auto"/>
        <w:tabs>
          <w:tab w:leader="none" w:pos="329"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We have a Worldwide Code of Business Conduct and Ethics (the “</w:t>
      </w:r>
      <w:r>
        <w:rPr>
          <w:rFonts w:ascii="Arial" w:cs="Arial" w:eastAsia="Arial" w:hAnsi="Arial"/>
          <w:sz w:val="16"/>
          <w:szCs w:val="16"/>
          <w:b w:val="1"/>
          <w:bCs w:val="1"/>
          <w:i w:val="1"/>
          <w:iCs w:val="1"/>
          <w:color w:val="auto"/>
        </w:rPr>
        <w:t>Code of Conduct</w:t>
      </w:r>
      <w:r>
        <w:rPr>
          <w:rFonts w:ascii="Arial" w:cs="Arial" w:eastAsia="Arial" w:hAnsi="Arial"/>
          <w:sz w:val="16"/>
          <w:szCs w:val="16"/>
          <w:color w:val="auto"/>
        </w:rPr>
        <w:t>”) that is applicable to all our employees, officers, directors and independent contractors, as well as written policies addressing insider trading, anti-corruption, financial controls and maintaining confidentiality.</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The Code of Conduct and our internal policies are reviewed on an annual basis and updated as necessary.</w:t>
      </w:r>
    </w:p>
    <w:p>
      <w:pPr>
        <w:spacing w:after="0" w:line="167"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of Conduct and related policies on an annual basis; additional trainings on select topics are provided to certain employees based on their roles.</w:t>
      </w:r>
    </w:p>
    <w:p>
      <w:pPr>
        <w:spacing w:after="0" w:line="169" w:lineRule="exact"/>
        <w:rPr>
          <w:rFonts w:ascii="Arial" w:cs="Arial" w:eastAsia="Arial" w:hAnsi="Arial"/>
          <w:sz w:val="16"/>
          <w:szCs w:val="16"/>
          <w:color w:val="0063A6"/>
        </w:rPr>
      </w:pPr>
    </w:p>
    <w:p>
      <w:pPr>
        <w:ind w:left="340" w:right="100" w:hanging="332"/>
        <w:spacing w:after="0" w:line="266" w:lineRule="auto"/>
        <w:tabs>
          <w:tab w:leader="none" w:pos="329"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17" w:lineRule="exact"/>
        <w:rPr>
          <w:rFonts w:ascii="Arial" w:cs="Arial" w:eastAsia="Arial" w:hAnsi="Arial"/>
          <w:sz w:val="16"/>
          <w:szCs w:val="16"/>
          <w:color w:val="0063A6"/>
        </w:rPr>
      </w:pPr>
    </w:p>
    <w:p>
      <w:pPr>
        <w:ind w:left="340" w:right="320" w:hanging="332"/>
        <w:spacing w:after="0" w:line="286" w:lineRule="auto"/>
        <w:tabs>
          <w:tab w:leader="none" w:pos="329"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We prohibit all forms of slavery, human trafficking, and discrimination in our operations, and we strive to ensure that our policies and procedures are reflective of our commitment to human and labor rights.</w:t>
      </w:r>
    </w:p>
    <w:p>
      <w:pPr>
        <w:spacing w:after="0" w:line="88" w:lineRule="exact"/>
        <w:rPr>
          <w:rFonts w:ascii="Arial" w:cs="Arial" w:eastAsia="Arial" w:hAnsi="Arial"/>
          <w:sz w:val="16"/>
          <w:szCs w:val="16"/>
          <w:color w:val="0063A6"/>
        </w:rPr>
      </w:pPr>
    </w:p>
    <w:p>
      <w:pPr>
        <w:ind w:left="340" w:right="780" w:hanging="332"/>
        <w:spacing w:after="0" w:line="457" w:lineRule="auto"/>
        <w:tabs>
          <w:tab w:leader="none" w:pos="336" w:val="left"/>
        </w:tabs>
        <w:numPr>
          <w:ilvl w:val="0"/>
          <w:numId w:val="31"/>
        </w:numPr>
        <w:rPr>
          <w:rFonts w:ascii="Arial" w:cs="Arial" w:eastAsia="Arial" w:hAnsi="Arial"/>
          <w:sz w:val="14"/>
          <w:szCs w:val="14"/>
          <w:color w:val="0063A6"/>
        </w:rPr>
      </w:pPr>
      <w:r>
        <w:rPr>
          <w:rFonts w:ascii="Arial" w:cs="Arial" w:eastAsia="Arial" w:hAnsi="Arial"/>
          <w:sz w:val="16"/>
          <w:szCs w:val="16"/>
          <w:color w:val="auto"/>
        </w:rPr>
        <w:t xml:space="preserve">Our Supplier Code of Conduct establishes our expectations of a supplier’s commitment to safeguarding human rights in their own operations. </w:t>
      </w:r>
      <w:r>
        <w:rPr>
          <w:rFonts w:ascii="Arial" w:cs="Arial" w:eastAsia="Arial" w:hAnsi="Arial"/>
          <w:sz w:val="16"/>
          <w:szCs w:val="16"/>
          <w:i w:val="1"/>
          <w:iCs w:val="1"/>
          <w:color w:val="auto"/>
        </w:rPr>
        <w:t>AI Principles</w:t>
      </w:r>
    </w:p>
    <w:p>
      <w:pPr>
        <w:spacing w:after="0" w:line="1" w:lineRule="exact"/>
        <w:rPr>
          <w:rFonts w:ascii="Arial" w:cs="Arial" w:eastAsia="Arial" w:hAnsi="Arial"/>
          <w:sz w:val="14"/>
          <w:szCs w:val="14"/>
          <w:color w:val="0063A6"/>
        </w:rPr>
      </w:pPr>
    </w:p>
    <w:p>
      <w:pPr>
        <w:ind w:left="340" w:right="260" w:hanging="332"/>
        <w:spacing w:after="0" w:line="286" w:lineRule="auto"/>
        <w:tabs>
          <w:tab w:leader="none" w:pos="329" w:val="left"/>
        </w:tabs>
        <w:numPr>
          <w:ilvl w:val="0"/>
          <w:numId w:val="31"/>
        </w:numPr>
        <w:rPr>
          <w:rFonts w:ascii="Arial" w:cs="Arial" w:eastAsia="Arial" w:hAnsi="Arial"/>
          <w:sz w:val="16"/>
          <w:szCs w:val="16"/>
          <w:i w:val="1"/>
          <w:iCs w:val="1"/>
          <w:color w:val="0063A6"/>
        </w:rPr>
      </w:pPr>
      <w:r>
        <w:rPr>
          <w:rFonts w:ascii="Arial" w:cs="Arial" w:eastAsia="Arial" w:hAnsi="Arial"/>
          <w:sz w:val="16"/>
          <w:szCs w:val="16"/>
          <w:color w:val="auto"/>
        </w:rPr>
        <w:t>We have a dedicated website disclosing AI principles that will continue to guide our teams as we develop AI products and features responsibly in the years to come.</w:t>
      </w:r>
    </w:p>
    <w:p>
      <w:pPr>
        <w:spacing w:after="0" w:line="103" w:lineRule="exact"/>
        <w:rPr>
          <w:rFonts w:ascii="Arial" w:cs="Arial" w:eastAsia="Arial" w:hAnsi="Arial"/>
          <w:sz w:val="16"/>
          <w:szCs w:val="16"/>
          <w:i w:val="1"/>
          <w:iCs w:val="1"/>
          <w:color w:val="0063A6"/>
        </w:rPr>
      </w:pPr>
    </w:p>
    <w:p>
      <w:pPr>
        <w:ind w:left="340"/>
        <w:spacing w:after="0"/>
        <w:rPr>
          <w:rFonts w:ascii="Arial" w:cs="Arial" w:eastAsia="Arial" w:hAnsi="Arial"/>
          <w:sz w:val="16"/>
          <w:szCs w:val="16"/>
          <w:i w:val="1"/>
          <w:iCs w:val="1"/>
          <w:color w:val="0063A6"/>
        </w:rPr>
      </w:pPr>
      <w:r>
        <w:rPr>
          <w:rFonts w:ascii="Arial" w:cs="Arial" w:eastAsia="Arial" w:hAnsi="Arial"/>
          <w:sz w:val="16"/>
          <w:szCs w:val="16"/>
          <w:i w:val="1"/>
          <w:iCs w:val="1"/>
          <w:color w:val="auto"/>
        </w:rPr>
        <w:t>Insider Trading Policy</w:t>
      </w:r>
    </w:p>
    <w:p>
      <w:pPr>
        <w:spacing w:after="0" w:line="151" w:lineRule="exact"/>
        <w:rPr>
          <w:rFonts w:ascii="Arial" w:cs="Arial" w:eastAsia="Arial" w:hAnsi="Arial"/>
          <w:sz w:val="16"/>
          <w:szCs w:val="16"/>
          <w:i w:val="1"/>
          <w:iCs w:val="1"/>
          <w:color w:val="0063A6"/>
        </w:rPr>
      </w:pPr>
    </w:p>
    <w:p>
      <w:pPr>
        <w:ind w:left="340" w:right="60" w:hanging="332"/>
        <w:spacing w:after="0" w:line="259" w:lineRule="auto"/>
        <w:tabs>
          <w:tab w:leader="none" w:pos="336" w:val="left"/>
        </w:tabs>
        <w:numPr>
          <w:ilvl w:val="0"/>
          <w:numId w:val="31"/>
        </w:numPr>
        <w:rPr>
          <w:rFonts w:ascii="Arial" w:cs="Arial" w:eastAsia="Arial" w:hAnsi="Arial"/>
          <w:sz w:val="14"/>
          <w:szCs w:val="14"/>
          <w:i w:val="1"/>
          <w:iCs w:val="1"/>
          <w:color w:val="0063A6"/>
        </w:rPr>
      </w:pPr>
      <w:r>
        <w:rPr>
          <w:rFonts w:ascii="Arial" w:cs="Arial" w:eastAsia="Arial" w:hAnsi="Arial"/>
          <w:sz w:val="16"/>
          <w:szCs w:val="16"/>
          <w:color w:val="auto"/>
        </w:rPr>
        <w:t>We have adopted an insider trading policy governing the purchase, sale and other dispositions of our securities that applies to all personnel of Dropbox and our subsidiaries, including directors, officers, and employees, and to certain other covered persons. We believe that our insider trading policy is reasonably designed to promote compliance with insider trading laws, rules, and regulations, as well as applicable listing standards. A copy of our insider trading policy is filed as Exhibit 19.1 to our Annual Report on Form 10-K filed on February 20, 2026.</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jc w:val="both"/>
        <w:ind w:left="340" w:right="280" w:hanging="332"/>
        <w:spacing w:after="0" w:line="286" w:lineRule="auto"/>
        <w:tabs>
          <w:tab w:leader="none" w:pos="336" w:val="left"/>
        </w:tabs>
        <w:numPr>
          <w:ilvl w:val="0"/>
          <w:numId w:val="33"/>
        </w:numPr>
        <w:rPr>
          <w:rFonts w:ascii="Arial" w:cs="Arial" w:eastAsia="Arial" w:hAnsi="Arial"/>
          <w:sz w:val="14"/>
          <w:szCs w:val="14"/>
          <w:i w:val="1"/>
          <w:iCs w:val="1"/>
          <w:color w:val="0063A6"/>
        </w:rPr>
      </w:pPr>
      <w:r>
        <w:rPr>
          <w:rFonts w:ascii="Arial" w:cs="Arial" w:eastAsia="Arial" w:hAnsi="Arial"/>
          <w:sz w:val="16"/>
          <w:szCs w:val="16"/>
          <w:color w:val="auto"/>
        </w:rPr>
        <w:t>From time to time, we engage in transactions in our own securities, including purchases and sales. We comply with all applicable securities and state laws (including appropriate approvals by our board of directors or appropriate committee, if required) when engaging in transactions in our securities.</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Director Compensation</w:t>
      </w:r>
    </w:p>
    <w:p>
      <w:pPr>
        <w:spacing w:after="0" w:line="21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We have adopted a compensation policy for our non-employee directors. Under the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w:t>
      </w:r>
      <w:r>
        <w:rPr>
          <w:rFonts w:ascii="Arial" w:cs="Arial" w:eastAsia="Arial" w:hAnsi="Arial"/>
          <w:sz w:val="16"/>
          <w:szCs w:val="16"/>
          <w:b w:val="1"/>
          <w:bCs w:val="1"/>
          <w:i w:val="1"/>
          <w:iCs w:val="1"/>
          <w:color w:val="auto"/>
        </w:rPr>
        <w:t>Compensia</w:t>
      </w:r>
      <w:r>
        <w:rPr>
          <w:rFonts w:ascii="Arial" w:cs="Arial" w:eastAsia="Arial" w:hAnsi="Arial"/>
          <w:sz w:val="16"/>
          <w:szCs w:val="16"/>
          <w:color w:val="auto"/>
        </w:rPr>
        <w:t>") an independent national compensation consulting firm. In developing this policy, Compensia provided recommendations and competitive non-employee director compensation data and analyses. We considered and discussed these recommendations and data and considered the specific duties and committee responsibilities of particular directors. We believe the director compensation policy provides our non-employee directors with reasonable and appropriate compensation that is commensurate with the services they provide and competitive with compensation paid by the companies in our compensation peer group (as described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below) to their non-employee directors. Compensia has also advised on subsequent amendments to the director compensation policy. Our director compensation policy follows the principles listed below.</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84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Principle</w:t>
            </w:r>
          </w:p>
        </w:tc>
        <w:tc>
          <w:tcPr>
            <w:tcW w:w="8200" w:type="dxa"/>
            <w:vAlign w:val="bottom"/>
            <w:tcBorders>
              <w:bottom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Description</w:t>
            </w:r>
          </w:p>
        </w:tc>
        <w:tc>
          <w:tcPr>
            <w:tcW w:w="220" w:type="dxa"/>
            <w:vAlign w:val="bottom"/>
            <w:tcBorders>
              <w:bottom w:val="single" w:sz="8" w:color="0063A6"/>
              <w:right w:val="single" w:sz="8" w:color="0063A6"/>
            </w:tcBorders>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Pay Mix</w:t>
            </w:r>
          </w:p>
        </w:tc>
        <w:tc>
          <w:tcPr>
            <w:tcW w:w="8420" w:type="dxa"/>
            <w:vAlign w:val="bottom"/>
            <w:tcBorders>
              <w:right w:val="single" w:sz="8" w:color="0063A6"/>
            </w:tcBorders>
            <w:gridSpan w:val="2"/>
          </w:tcPr>
          <w:p>
            <w:pPr>
              <w:ind w:left="40"/>
              <w:spacing w:after="0"/>
              <w:rPr>
                <w:sz w:val="20"/>
                <w:szCs w:val="20"/>
                <w:color w:val="auto"/>
              </w:rPr>
            </w:pPr>
            <w:r>
              <w:rPr>
                <w:rFonts w:ascii="Arial" w:cs="Arial" w:eastAsia="Arial" w:hAnsi="Arial"/>
                <w:sz w:val="16"/>
                <w:szCs w:val="16"/>
                <w:color w:val="auto"/>
              </w:rPr>
              <w:t>Our director compensation policy consists of a balance of cash and equity, with an emphasis on equity over cash, in</w:t>
            </w:r>
          </w:p>
        </w:tc>
        <w:tc>
          <w:tcPr>
            <w:tcW w:w="0" w:type="dxa"/>
            <w:vAlign w:val="bottom"/>
          </w:tcPr>
          <w:p>
            <w:pPr>
              <w:spacing w:after="0"/>
              <w:rPr>
                <w:sz w:val="1"/>
                <w:szCs w:val="1"/>
                <w:color w:val="auto"/>
              </w:rPr>
            </w:pP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order to better align the interests of our non-employee directors with those of our stockholders.</w:t>
            </w:r>
          </w:p>
        </w:tc>
        <w:tc>
          <w:tcPr>
            <w:tcW w:w="220" w:type="dxa"/>
            <w:vAlign w:val="bottom"/>
            <w:tcBorders>
              <w:right w:val="single" w:sz="8" w:color="0063A6"/>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840" w:type="dxa"/>
            <w:vAlign w:val="bottom"/>
            <w:tcBorders>
              <w:left w:val="single" w:sz="8" w:color="0063A6"/>
              <w:bottom w:val="single" w:sz="8" w:color="0063A6"/>
              <w:right w:val="single" w:sz="8" w:color="0063A6"/>
            </w:tcBorders>
          </w:tcPr>
          <w:p>
            <w:pPr>
              <w:spacing w:after="0"/>
              <w:rPr>
                <w:sz w:val="6"/>
                <w:szCs w:val="6"/>
                <w:color w:val="auto"/>
              </w:rPr>
            </w:pPr>
          </w:p>
        </w:tc>
        <w:tc>
          <w:tcPr>
            <w:tcW w:w="8200" w:type="dxa"/>
            <w:vAlign w:val="bottom"/>
            <w:tcBorders>
              <w:bottom w:val="single" w:sz="8" w:color="0063A6"/>
            </w:tcBorders>
          </w:tcPr>
          <w:p>
            <w:pPr>
              <w:spacing w:after="0"/>
              <w:rPr>
                <w:sz w:val="6"/>
                <w:szCs w:val="6"/>
                <w:color w:val="auto"/>
              </w:rPr>
            </w:pPr>
          </w:p>
        </w:tc>
        <w:tc>
          <w:tcPr>
            <w:tcW w:w="22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Total Compensation Limit</w:t>
            </w:r>
          </w:p>
        </w:tc>
        <w:tc>
          <w:tcPr>
            <w:tcW w:w="8420" w:type="dxa"/>
            <w:vAlign w:val="bottom"/>
            <w:tcBorders>
              <w:right w:val="single" w:sz="8" w:color="0063A6"/>
            </w:tcBorders>
            <w:gridSpan w:val="2"/>
            <w:vMerge w:val="restart"/>
          </w:tcPr>
          <w:p>
            <w:pPr>
              <w:ind w:left="40"/>
              <w:spacing w:after="0"/>
              <w:rPr>
                <w:sz w:val="20"/>
                <w:szCs w:val="20"/>
                <w:color w:val="auto"/>
              </w:rPr>
            </w:pPr>
            <w:r>
              <w:rPr>
                <w:rFonts w:ascii="Arial" w:cs="Arial" w:eastAsia="Arial" w:hAnsi="Arial"/>
                <w:sz w:val="16"/>
                <w:szCs w:val="16"/>
                <w:color w:val="auto"/>
              </w:rPr>
              <w:t>Our director compensation policy includes a maximum annual limit of $1,200,000 of cash compensation and equity</w:t>
            </w:r>
          </w:p>
        </w:tc>
        <w:tc>
          <w:tcPr>
            <w:tcW w:w="0" w:type="dxa"/>
            <w:vAlign w:val="bottom"/>
          </w:tcPr>
          <w:p>
            <w:pPr>
              <w:spacing w:after="0"/>
              <w:rPr>
                <w:sz w:val="1"/>
                <w:szCs w:val="1"/>
                <w:color w:val="auto"/>
              </w:rPr>
            </w:pPr>
          </w:p>
        </w:tc>
      </w:tr>
      <w:tr>
        <w:trPr>
          <w:trHeight w:val="47"/>
        </w:trPr>
        <w:tc>
          <w:tcPr>
            <w:tcW w:w="2840" w:type="dxa"/>
            <w:vAlign w:val="bottom"/>
            <w:tcBorders>
              <w:left w:val="single" w:sz="8" w:color="0063A6"/>
              <w:right w:val="single" w:sz="8" w:color="0063A6"/>
            </w:tcBorders>
          </w:tcPr>
          <w:p>
            <w:pPr>
              <w:spacing w:after="0"/>
              <w:rPr>
                <w:sz w:val="4"/>
                <w:szCs w:val="4"/>
                <w:color w:val="auto"/>
              </w:rPr>
            </w:pPr>
          </w:p>
        </w:tc>
        <w:tc>
          <w:tcPr>
            <w:tcW w:w="8420" w:type="dxa"/>
            <w:vAlign w:val="bottom"/>
            <w:tcBorders>
              <w:right w:val="single" w:sz="8" w:color="0063A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40" w:type="dxa"/>
            <w:vAlign w:val="bottom"/>
            <w:tcBorders>
              <w:left w:val="single" w:sz="8" w:color="0063A6"/>
              <w:right w:val="single" w:sz="8" w:color="0063A6"/>
            </w:tcBorders>
          </w:tcPr>
          <w:p>
            <w:pPr>
              <w:spacing w:after="0"/>
              <w:rPr>
                <w:sz w:val="15"/>
                <w:szCs w:val="15"/>
                <w:color w:val="auto"/>
              </w:rPr>
            </w:pPr>
          </w:p>
        </w:tc>
        <w:tc>
          <w:tcPr>
            <w:tcW w:w="8420" w:type="dxa"/>
            <w:vAlign w:val="bottom"/>
            <w:tcBorders>
              <w:right w:val="single" w:sz="8" w:color="0063A6"/>
            </w:tcBorders>
            <w:gridSpan w:val="2"/>
          </w:tcPr>
          <w:p>
            <w:pPr>
              <w:ind w:left="40"/>
              <w:spacing w:after="0" w:line="175" w:lineRule="exact"/>
              <w:rPr>
                <w:sz w:val="20"/>
                <w:szCs w:val="20"/>
                <w:color w:val="auto"/>
              </w:rPr>
            </w:pPr>
            <w:r>
              <w:rPr>
                <w:rFonts w:ascii="Arial" w:cs="Arial" w:eastAsia="Arial" w:hAnsi="Arial"/>
                <w:sz w:val="16"/>
                <w:szCs w:val="16"/>
                <w:color w:val="auto"/>
              </w:rPr>
              <w:t>awards that may be paid, issued, or granted to a non-employee director in any fiscal year. The maximum limit does</w:t>
            </w: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not reflect the intended size of any potential compensation or equity awards to our non-employee directors. Any</w:t>
            </w:r>
          </w:p>
        </w:tc>
        <w:tc>
          <w:tcPr>
            <w:tcW w:w="220" w:type="dxa"/>
            <w:vAlign w:val="bottom"/>
            <w:tcBorders>
              <w:right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cash compensation paid or equity awards granted to a person for his or her services as an employee, or for his or</w:t>
            </w:r>
          </w:p>
        </w:tc>
        <w:tc>
          <w:tcPr>
            <w:tcW w:w="220" w:type="dxa"/>
            <w:vAlign w:val="bottom"/>
            <w:tcBorders>
              <w:right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her services as a consultant (other than as a non-employee director), will not count for purposes of the limitation.</w:t>
            </w:r>
          </w:p>
        </w:tc>
        <w:tc>
          <w:tcPr>
            <w:tcW w:w="220" w:type="dxa"/>
            <w:vAlign w:val="bottom"/>
            <w:tcBorders>
              <w:right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For purposes of this limitation, the value of equity awards is based on the grant date fair value (determined in</w:t>
            </w:r>
          </w:p>
        </w:tc>
        <w:tc>
          <w:tcPr>
            <w:tcW w:w="220" w:type="dxa"/>
            <w:vAlign w:val="bottom"/>
            <w:tcBorders>
              <w:right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0063A6"/>
              <w:right w:val="single" w:sz="8" w:color="0063A6"/>
            </w:tcBorders>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accordance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c>
          <w:tcPr>
            <w:tcW w:w="220" w:type="dxa"/>
            <w:vAlign w:val="bottom"/>
            <w:tcBorders>
              <w:right w:val="single" w:sz="8" w:color="0063A6"/>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840" w:type="dxa"/>
            <w:vAlign w:val="bottom"/>
            <w:tcBorders>
              <w:left w:val="single" w:sz="8" w:color="0063A6"/>
              <w:bottom w:val="single" w:sz="8" w:color="0063A6"/>
              <w:right w:val="single" w:sz="8" w:color="0063A6"/>
            </w:tcBorders>
          </w:tcPr>
          <w:p>
            <w:pPr>
              <w:spacing w:after="0"/>
              <w:rPr>
                <w:sz w:val="11"/>
                <w:szCs w:val="11"/>
                <w:color w:val="auto"/>
              </w:rPr>
            </w:pPr>
          </w:p>
        </w:tc>
        <w:tc>
          <w:tcPr>
            <w:tcW w:w="8200" w:type="dxa"/>
            <w:vAlign w:val="bottom"/>
            <w:tcBorders>
              <w:bottom w:val="single" w:sz="8" w:color="0063A6"/>
            </w:tcBorders>
          </w:tcPr>
          <w:p>
            <w:pPr>
              <w:spacing w:after="0"/>
              <w:rPr>
                <w:sz w:val="11"/>
                <w:szCs w:val="11"/>
                <w:color w:val="auto"/>
              </w:rPr>
            </w:pPr>
          </w:p>
        </w:tc>
        <w:tc>
          <w:tcPr>
            <w:tcW w:w="220" w:type="dxa"/>
            <w:vAlign w:val="bottom"/>
            <w:tcBorders>
              <w:bottom w:val="single" w:sz="8" w:color="0063A6"/>
              <w:right w:val="single" w:sz="8" w:color="0063A6"/>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Regular Review</w:t>
            </w:r>
          </w:p>
        </w:tc>
        <w:tc>
          <w:tcPr>
            <w:tcW w:w="8200" w:type="dxa"/>
            <w:vAlign w:val="bottom"/>
          </w:tcPr>
          <w:p>
            <w:pPr>
              <w:ind w:left="40"/>
              <w:spacing w:after="0"/>
              <w:rPr>
                <w:sz w:val="20"/>
                <w:szCs w:val="20"/>
                <w:color w:val="auto"/>
              </w:rPr>
            </w:pPr>
            <w:r>
              <w:rPr>
                <w:rFonts w:ascii="Arial" w:cs="Arial" w:eastAsia="Arial" w:hAnsi="Arial"/>
                <w:sz w:val="16"/>
                <w:szCs w:val="16"/>
                <w:color w:val="auto"/>
              </w:rPr>
              <w:t>With advice from Compensia, our talent and compensation committee regularly reviews a competitive market</w:t>
            </w:r>
          </w:p>
        </w:tc>
        <w:tc>
          <w:tcPr>
            <w:tcW w:w="220" w:type="dxa"/>
            <w:vAlign w:val="bottom"/>
            <w:tcBorders>
              <w:right w:val="single" w:sz="8" w:color="0063A6"/>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gridSpan w:val="2"/>
          </w:tcPr>
          <w:p>
            <w:pPr>
              <w:ind w:left="40"/>
              <w:spacing w:after="0"/>
              <w:rPr>
                <w:sz w:val="20"/>
                <w:szCs w:val="20"/>
                <w:color w:val="auto"/>
              </w:rPr>
            </w:pPr>
            <w:r>
              <w:rPr>
                <w:rFonts w:ascii="Arial" w:cs="Arial" w:eastAsia="Arial" w:hAnsi="Arial"/>
                <w:sz w:val="16"/>
                <w:szCs w:val="16"/>
                <w:color w:val="auto"/>
              </w:rPr>
              <w:t>analysis of the amount and form of director compensation to ensure consistency with prudent governance practices</w:t>
            </w:r>
          </w:p>
        </w:tc>
        <w:tc>
          <w:tcPr>
            <w:tcW w:w="0" w:type="dxa"/>
            <w:vAlign w:val="bottom"/>
          </w:tcPr>
          <w:p>
            <w:pPr>
              <w:spacing w:after="0"/>
              <w:rPr>
                <w:sz w:val="1"/>
                <w:szCs w:val="1"/>
                <w:color w:val="auto"/>
              </w:rPr>
            </w:pP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and comparability with our compensation peer group.</w:t>
            </w:r>
          </w:p>
        </w:tc>
        <w:tc>
          <w:tcPr>
            <w:tcW w:w="220" w:type="dxa"/>
            <w:vAlign w:val="bottom"/>
            <w:tcBorders>
              <w:right w:val="single" w:sz="8" w:color="0063A6"/>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840" w:type="dxa"/>
            <w:vAlign w:val="bottom"/>
            <w:tcBorders>
              <w:left w:val="single" w:sz="8" w:color="0063A6"/>
              <w:bottom w:val="single" w:sz="8" w:color="0063A6"/>
              <w:right w:val="single" w:sz="8" w:color="0063A6"/>
            </w:tcBorders>
          </w:tcPr>
          <w:p>
            <w:pPr>
              <w:spacing w:after="0"/>
              <w:rPr>
                <w:sz w:val="6"/>
                <w:szCs w:val="6"/>
                <w:color w:val="auto"/>
              </w:rPr>
            </w:pPr>
          </w:p>
        </w:tc>
        <w:tc>
          <w:tcPr>
            <w:tcW w:w="8200" w:type="dxa"/>
            <w:vAlign w:val="bottom"/>
            <w:tcBorders>
              <w:bottom w:val="single" w:sz="8" w:color="0063A6"/>
            </w:tcBorders>
          </w:tcPr>
          <w:p>
            <w:pPr>
              <w:spacing w:after="0"/>
              <w:rPr>
                <w:sz w:val="6"/>
                <w:szCs w:val="6"/>
                <w:color w:val="auto"/>
              </w:rPr>
            </w:pPr>
          </w:p>
        </w:tc>
        <w:tc>
          <w:tcPr>
            <w:tcW w:w="22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Board Leadership Compensation</w:t>
            </w:r>
          </w:p>
        </w:tc>
        <w:tc>
          <w:tcPr>
            <w:tcW w:w="8200" w:type="dxa"/>
            <w:vAlign w:val="bottom"/>
          </w:tcPr>
          <w:p>
            <w:pPr>
              <w:ind w:left="4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 board of</w:t>
            </w:r>
          </w:p>
        </w:tc>
        <w:tc>
          <w:tcPr>
            <w:tcW w:w="220" w:type="dxa"/>
            <w:vAlign w:val="bottom"/>
            <w:tcBorders>
              <w:right w:val="single" w:sz="8" w:color="0063A6"/>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directors, including lead independent director and committee chair roles, to account for the added time and effort</w:t>
            </w:r>
          </w:p>
        </w:tc>
        <w:tc>
          <w:tcPr>
            <w:tcW w:w="220" w:type="dxa"/>
            <w:vAlign w:val="bottom"/>
            <w:tcBorders>
              <w:right w:val="single" w:sz="8" w:color="0063A6"/>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6"/>
                <w:szCs w:val="16"/>
                <w:color w:val="auto"/>
              </w:rPr>
              <w:t>associated with these positions.</w:t>
            </w:r>
          </w:p>
        </w:tc>
        <w:tc>
          <w:tcPr>
            <w:tcW w:w="220" w:type="dxa"/>
            <w:vAlign w:val="bottom"/>
            <w:tcBorders>
              <w:right w:val="single" w:sz="8" w:color="0063A6"/>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840" w:type="dxa"/>
            <w:vAlign w:val="bottom"/>
            <w:tcBorders>
              <w:left w:val="single" w:sz="8" w:color="0063A6"/>
              <w:bottom w:val="single" w:sz="8" w:color="0063A6"/>
              <w:right w:val="single" w:sz="8" w:color="0063A6"/>
            </w:tcBorders>
          </w:tcPr>
          <w:p>
            <w:pPr>
              <w:spacing w:after="0"/>
              <w:rPr>
                <w:sz w:val="6"/>
                <w:szCs w:val="6"/>
                <w:color w:val="auto"/>
              </w:rPr>
            </w:pPr>
          </w:p>
        </w:tc>
        <w:tc>
          <w:tcPr>
            <w:tcW w:w="8200" w:type="dxa"/>
            <w:vAlign w:val="bottom"/>
            <w:tcBorders>
              <w:bottom w:val="single" w:sz="8" w:color="0063A6"/>
            </w:tcBorders>
          </w:tcPr>
          <w:p>
            <w:pPr>
              <w:spacing w:after="0"/>
              <w:rPr>
                <w:sz w:val="6"/>
                <w:szCs w:val="6"/>
                <w:color w:val="auto"/>
              </w:rPr>
            </w:pPr>
          </w:p>
        </w:tc>
        <w:tc>
          <w:tcPr>
            <w:tcW w:w="22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802"/>
        </w:trPr>
        <w:tc>
          <w:tcPr>
            <w:tcW w:w="28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11"/>
        </w:trPr>
        <w:tc>
          <w:tcPr>
            <w:tcW w:w="2840" w:type="dxa"/>
            <w:vAlign w:val="bottom"/>
            <w:tcBorders>
              <w:bottom w:val="single" w:sz="8" w:color="9A9A9A"/>
            </w:tcBorders>
          </w:tcPr>
          <w:p>
            <w:pPr>
              <w:spacing w:after="0"/>
              <w:rPr>
                <w:sz w:val="18"/>
                <w:szCs w:val="18"/>
                <w:color w:val="auto"/>
              </w:rPr>
            </w:pPr>
          </w:p>
        </w:tc>
        <w:tc>
          <w:tcPr>
            <w:tcW w:w="82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Components of Compensation</w:t>
      </w:r>
    </w:p>
    <w:p>
      <w:pPr>
        <w:spacing w:after="0" w:line="167"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0575" cy="5006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500634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08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81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shd w:val="clear" w:color="auto" w:fill="0063A6"/>
          </w:tcPr>
          <w:p>
            <w:pPr>
              <w:spacing w:after="0"/>
              <w:rPr>
                <w:sz w:val="24"/>
                <w:szCs w:val="24"/>
                <w:color w:val="auto"/>
              </w:rPr>
            </w:pPr>
          </w:p>
        </w:tc>
      </w:tr>
      <w:tr>
        <w:trPr>
          <w:trHeight w:val="276"/>
        </w:trPr>
        <w:tc>
          <w:tcPr>
            <w:tcW w:w="3080" w:type="dxa"/>
            <w:vAlign w:val="bottom"/>
            <w:shd w:val="clear" w:color="auto" w:fill="E5EFFD"/>
          </w:tcPr>
          <w:p>
            <w:pPr>
              <w:ind w:left="80"/>
              <w:spacing w:after="0"/>
              <w:rPr>
                <w:sz w:val="20"/>
                <w:szCs w:val="20"/>
                <w:color w:val="auto"/>
              </w:rPr>
            </w:pPr>
            <w:r>
              <w:rPr>
                <w:rFonts w:ascii="Arial" w:cs="Arial" w:eastAsia="Arial" w:hAnsi="Arial"/>
                <w:sz w:val="16"/>
                <w:szCs w:val="16"/>
                <w:b w:val="1"/>
                <w:bCs w:val="1"/>
                <w:color w:val="0063A6"/>
              </w:rPr>
              <w:t>Cash Compensation</w:t>
            </w:r>
          </w:p>
        </w:tc>
        <w:tc>
          <w:tcPr>
            <w:tcW w:w="816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3080" w:type="dxa"/>
            <w:vAlign w:val="bottom"/>
            <w:tcBorders>
              <w:bottom w:val="single" w:sz="8" w:color="0063A6"/>
            </w:tcBorders>
            <w:shd w:val="clear" w:color="auto" w:fill="E5EFFD"/>
          </w:tcPr>
          <w:p>
            <w:pPr>
              <w:spacing w:after="0"/>
              <w:rPr>
                <w:sz w:val="6"/>
                <w:szCs w:val="6"/>
                <w:color w:val="auto"/>
              </w:rPr>
            </w:pPr>
          </w:p>
        </w:tc>
        <w:tc>
          <w:tcPr>
            <w:tcW w:w="816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r>
      <w:tr>
        <w:trPr>
          <w:trHeight w:val="256"/>
        </w:trPr>
        <w:tc>
          <w:tcPr>
            <w:tcW w:w="3080" w:type="dxa"/>
            <w:vAlign w:val="bottom"/>
          </w:tcPr>
          <w:p>
            <w:pPr>
              <w:ind w:left="80"/>
              <w:spacing w:after="0"/>
              <w:rPr>
                <w:sz w:val="20"/>
                <w:szCs w:val="20"/>
                <w:color w:val="auto"/>
              </w:rPr>
            </w:pPr>
            <w:r>
              <w:rPr>
                <w:rFonts w:ascii="Arial" w:cs="Arial" w:eastAsia="Arial" w:hAnsi="Arial"/>
                <w:sz w:val="16"/>
                <w:szCs w:val="16"/>
                <w:b w:val="1"/>
                <w:bCs w:val="1"/>
                <w:color w:val="auto"/>
              </w:rPr>
              <w:t>Annual Cash Retainer</w:t>
            </w:r>
          </w:p>
        </w:tc>
        <w:tc>
          <w:tcPr>
            <w:tcW w:w="8160" w:type="dxa"/>
            <w:vAlign w:val="bottom"/>
          </w:tcPr>
          <w:p>
            <w:pPr>
              <w:ind w:left="60"/>
              <w:spacing w:after="0"/>
              <w:rPr>
                <w:sz w:val="20"/>
                <w:szCs w:val="20"/>
                <w:color w:val="auto"/>
              </w:rPr>
            </w:pPr>
            <w:r>
              <w:rPr>
                <w:rFonts w:ascii="Arial" w:cs="Arial" w:eastAsia="Arial" w:hAnsi="Arial"/>
                <w:sz w:val="16"/>
                <w:szCs w:val="16"/>
                <w:color w:val="auto"/>
              </w:rPr>
              <w:t>$50,000, paid quarterly in arrears on a prorated basis.</w:t>
            </w:r>
          </w:p>
        </w:tc>
        <w:tc>
          <w:tcPr>
            <w:tcW w:w="20" w:type="dxa"/>
            <w:vAlign w:val="bottom"/>
          </w:tcPr>
          <w:p>
            <w:pPr>
              <w:spacing w:after="0"/>
              <w:rPr>
                <w:sz w:val="22"/>
                <w:szCs w:val="22"/>
                <w:color w:val="auto"/>
              </w:rPr>
            </w:pPr>
          </w:p>
        </w:tc>
      </w:tr>
    </w:tbl>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 and Board Leadership</w:t>
      </w:r>
    </w:p>
    <w:p>
      <w:pPr>
        <w:ind w:left="3140" w:right="300" w:hanging="3059"/>
        <w:spacing w:after="0" w:line="183" w:lineRule="auto"/>
        <w:tabs>
          <w:tab w:leader="none" w:pos="3120" w:val="left"/>
        </w:tabs>
        <w:rPr>
          <w:sz w:val="20"/>
          <w:szCs w:val="20"/>
          <w:color w:val="auto"/>
        </w:rPr>
      </w:pPr>
      <w:r>
        <w:rPr>
          <w:rFonts w:ascii="Arial" w:cs="Arial" w:eastAsia="Arial" w:hAnsi="Arial"/>
          <w:sz w:val="29"/>
          <w:szCs w:val="29"/>
          <w:b w:val="1"/>
          <w:bCs w:val="1"/>
          <w:color w:val="auto"/>
          <w:vertAlign w:val="subscript"/>
        </w:rPr>
        <w:t>Compensation</w:t>
      </w:r>
      <w:r>
        <w:rPr>
          <w:sz w:val="20"/>
          <w:szCs w:val="20"/>
          <w:color w:val="auto"/>
        </w:rPr>
        <w:tab/>
      </w:r>
      <w:r>
        <w:rPr>
          <w:rFonts w:ascii="Arial" w:cs="Arial" w:eastAsia="Arial" w:hAnsi="Arial"/>
          <w:sz w:val="15"/>
          <w:szCs w:val="15"/>
          <w:color w:val="auto"/>
        </w:rPr>
        <w:t>Under the director compensation policy in fiscal 2025, each non-employee director was entitled to receive the following cash compensation for their additional services:</w:t>
      </w:r>
    </w:p>
    <w:p>
      <w:pPr>
        <w:spacing w:after="0" w:line="71" w:lineRule="exact"/>
        <w:rPr>
          <w:sz w:val="20"/>
          <w:szCs w:val="20"/>
          <w:color w:val="auto"/>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$35,000 per year for service as a lead independent director;</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$30,000 per year for service as chair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$12,500 per year for service as a member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$20,000 per year for service as chair of the talent and compensation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$10,000 per year for service as a member of the talent and compensation committee;</w:t>
      </w:r>
    </w:p>
    <w:p>
      <w:pPr>
        <w:spacing w:after="0" w:line="99"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$15,000 per year for service as chair of the nominating and corporate governance committee; and</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$5,000 per year for service as a member of the nominating and corporate governance committee.</w:t>
      </w:r>
    </w:p>
    <w:p>
      <w:pPr>
        <w:spacing w:after="0" w:line="113" w:lineRule="exact"/>
        <w:rPr>
          <w:sz w:val="20"/>
          <w:szCs w:val="20"/>
          <w:color w:val="auto"/>
        </w:rPr>
      </w:pPr>
    </w:p>
    <w:p>
      <w:pPr>
        <w:ind w:left="3140" w:right="320"/>
        <w:spacing w:after="0" w:line="286" w:lineRule="auto"/>
        <w:rPr>
          <w:sz w:val="20"/>
          <w:szCs w:val="20"/>
          <w:color w:val="auto"/>
        </w:rPr>
      </w:pPr>
      <w:r>
        <w:rPr>
          <w:rFonts w:ascii="Arial" w:cs="Arial" w:eastAsia="Arial" w:hAnsi="Arial"/>
          <w:sz w:val="16"/>
          <w:szCs w:val="16"/>
          <w:color w:val="auto"/>
        </w:rPr>
        <w:t>Directors who serve as the chair of a committee will receive only the annual fee as the chair of the committee and not any additional fees for serving as a member of that committee.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00" w:type="dxa"/>
            <w:vAlign w:val="bottom"/>
            <w:tcBorders>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Equity Compensation</w:t>
            </w:r>
          </w:p>
        </w:tc>
        <w:tc>
          <w:tcPr>
            <w:tcW w:w="40" w:type="dxa"/>
            <w:vAlign w:val="bottom"/>
            <w:shd w:val="clear" w:color="auto" w:fill="E5EFFD"/>
          </w:tcPr>
          <w:p>
            <w:pPr>
              <w:spacing w:after="0"/>
              <w:rPr>
                <w:sz w:val="24"/>
                <w:szCs w:val="24"/>
                <w:color w:val="auto"/>
              </w:rPr>
            </w:pPr>
          </w:p>
        </w:tc>
        <w:tc>
          <w:tcPr>
            <w:tcW w:w="1220" w:type="dxa"/>
            <w:vAlign w:val="bottom"/>
            <w:shd w:val="clear" w:color="auto" w:fill="E5EFFD"/>
          </w:tcPr>
          <w:p>
            <w:pPr>
              <w:spacing w:after="0"/>
              <w:rPr>
                <w:sz w:val="24"/>
                <w:szCs w:val="24"/>
                <w:color w:val="auto"/>
              </w:rPr>
            </w:pPr>
          </w:p>
        </w:tc>
        <w:tc>
          <w:tcPr>
            <w:tcW w:w="100" w:type="dxa"/>
            <w:vAlign w:val="bottom"/>
            <w:shd w:val="clear" w:color="auto" w:fill="E5EFFD"/>
          </w:tcPr>
          <w:p>
            <w:pPr>
              <w:spacing w:after="0"/>
              <w:rPr>
                <w:sz w:val="24"/>
                <w:szCs w:val="24"/>
                <w:color w:val="auto"/>
              </w:rPr>
            </w:pPr>
          </w:p>
        </w:tc>
        <w:tc>
          <w:tcPr>
            <w:tcW w:w="678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100" w:type="dxa"/>
            <w:vAlign w:val="bottom"/>
            <w:tcBorders>
              <w:bottom w:val="single" w:sz="8" w:color="0063A6"/>
              <w:right w:val="single" w:sz="8" w:color="E5EFFD"/>
            </w:tcBorders>
            <w:shd w:val="clear" w:color="auto" w:fill="E5EFFD"/>
          </w:tcPr>
          <w:p>
            <w:pPr>
              <w:spacing w:after="0"/>
              <w:rPr>
                <w:sz w:val="6"/>
                <w:szCs w:val="6"/>
                <w:color w:val="auto"/>
              </w:rPr>
            </w:pPr>
          </w:p>
        </w:tc>
        <w:tc>
          <w:tcPr>
            <w:tcW w:w="40" w:type="dxa"/>
            <w:vAlign w:val="bottom"/>
            <w:tcBorders>
              <w:bottom w:val="single" w:sz="8" w:color="0063A6"/>
            </w:tcBorders>
            <w:shd w:val="clear" w:color="auto" w:fill="E5EFFD"/>
          </w:tcPr>
          <w:p>
            <w:pPr>
              <w:spacing w:after="0"/>
              <w:rPr>
                <w:sz w:val="6"/>
                <w:szCs w:val="6"/>
                <w:color w:val="auto"/>
              </w:rPr>
            </w:pPr>
          </w:p>
        </w:tc>
        <w:tc>
          <w:tcPr>
            <w:tcW w:w="1220" w:type="dxa"/>
            <w:vAlign w:val="bottom"/>
            <w:tcBorders>
              <w:bottom w:val="single" w:sz="8" w:color="0063A6"/>
            </w:tcBorders>
            <w:shd w:val="clear" w:color="auto" w:fill="E5EFFD"/>
          </w:tcPr>
          <w:p>
            <w:pPr>
              <w:spacing w:after="0"/>
              <w:rPr>
                <w:sz w:val="6"/>
                <w:szCs w:val="6"/>
                <w:color w:val="auto"/>
              </w:rPr>
            </w:pPr>
          </w:p>
        </w:tc>
        <w:tc>
          <w:tcPr>
            <w:tcW w:w="100" w:type="dxa"/>
            <w:vAlign w:val="bottom"/>
            <w:tcBorders>
              <w:bottom w:val="single" w:sz="8" w:color="0063A6"/>
            </w:tcBorders>
            <w:shd w:val="clear" w:color="auto" w:fill="E5EFFD"/>
          </w:tcPr>
          <w:p>
            <w:pPr>
              <w:spacing w:after="0"/>
              <w:rPr>
                <w:sz w:val="6"/>
                <w:szCs w:val="6"/>
                <w:color w:val="auto"/>
              </w:rPr>
            </w:pPr>
          </w:p>
        </w:tc>
        <w:tc>
          <w:tcPr>
            <w:tcW w:w="678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100" w:type="dxa"/>
            <w:vAlign w:val="bottom"/>
            <w:tcBorders>
              <w:right w:val="single" w:sz="8" w:color="0063A6"/>
            </w:tcBorders>
          </w:tcPr>
          <w:p>
            <w:pPr>
              <w:ind w:left="80"/>
              <w:spacing w:after="0"/>
              <w:rPr>
                <w:sz w:val="20"/>
                <w:szCs w:val="20"/>
                <w:color w:val="auto"/>
              </w:rPr>
            </w:pPr>
            <w:r>
              <w:rPr>
                <w:rFonts w:ascii="Arial" w:cs="Arial" w:eastAsia="Arial" w:hAnsi="Arial"/>
                <w:sz w:val="16"/>
                <w:szCs w:val="16"/>
                <w:b w:val="1"/>
                <w:bCs w:val="1"/>
                <w:color w:val="auto"/>
              </w:rPr>
              <w:t>Initial Award</w:t>
            </w:r>
          </w:p>
        </w:tc>
        <w:tc>
          <w:tcPr>
            <w:tcW w:w="40" w:type="dxa"/>
            <w:vAlign w:val="bottom"/>
          </w:tcPr>
          <w:p>
            <w:pPr>
              <w:spacing w:after="0"/>
              <w:rPr>
                <w:sz w:val="22"/>
                <w:szCs w:val="22"/>
                <w:color w:val="auto"/>
              </w:rPr>
            </w:pPr>
          </w:p>
        </w:tc>
        <w:tc>
          <w:tcPr>
            <w:tcW w:w="8100" w:type="dxa"/>
            <w:vAlign w:val="bottom"/>
            <w:gridSpan w:val="3"/>
            <w:vMerge w:val="restart"/>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on or after the date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3100" w:type="dxa"/>
            <w:vAlign w:val="bottom"/>
            <w:tcBorders>
              <w:right w:val="single" w:sz="8" w:color="0063A6"/>
            </w:tcBorders>
          </w:tcPr>
          <w:p>
            <w:pPr>
              <w:spacing w:after="0"/>
              <w:rPr>
                <w:sz w:val="6"/>
                <w:szCs w:val="6"/>
                <w:color w:val="auto"/>
              </w:rPr>
            </w:pPr>
          </w:p>
        </w:tc>
        <w:tc>
          <w:tcPr>
            <w:tcW w:w="40" w:type="dxa"/>
            <w:vAlign w:val="bottom"/>
          </w:tcPr>
          <w:p>
            <w:pPr>
              <w:spacing w:after="0"/>
              <w:rPr>
                <w:sz w:val="6"/>
                <w:szCs w:val="6"/>
                <w:color w:val="auto"/>
              </w:rPr>
            </w:pPr>
          </w:p>
        </w:tc>
        <w:tc>
          <w:tcPr>
            <w:tcW w:w="81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10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8100" w:type="dxa"/>
            <w:vAlign w:val="bottom"/>
            <w:gridSpan w:val="3"/>
          </w:tcPr>
          <w:p>
            <w:pPr>
              <w:spacing w:after="0" w:line="175" w:lineRule="exact"/>
              <w:rPr>
                <w:sz w:val="20"/>
                <w:szCs w:val="20"/>
                <w:color w:val="auto"/>
              </w:rPr>
            </w:pPr>
            <w:r>
              <w:rPr>
                <w:rFonts w:ascii="Arial" w:cs="Arial" w:eastAsia="Arial" w:hAnsi="Arial"/>
                <w:sz w:val="16"/>
                <w:szCs w:val="16"/>
                <w:color w:val="auto"/>
              </w:rPr>
              <w:t>on which the person first becomes a non-employee director, an initial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An employee director who becomes a non-employee director due to termination of employment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will not be entitled to an Initial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100" w:type="dxa"/>
            <w:vAlign w:val="bottom"/>
            <w:tcBorders>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00" w:type="dxa"/>
            <w:vAlign w:val="bottom"/>
            <w:tcBorders>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8100" w:type="dxa"/>
            <w:vAlign w:val="bottom"/>
            <w:gridSpan w:val="3"/>
          </w:tcPr>
          <w:p>
            <w:pPr>
              <w:spacing w:after="0" w:line="175" w:lineRule="exact"/>
              <w:rPr>
                <w:sz w:val="20"/>
                <w:szCs w:val="20"/>
                <w:color w:val="auto"/>
              </w:rPr>
            </w:pPr>
            <w:r>
              <w:rPr>
                <w:rFonts w:ascii="Arial" w:cs="Arial" w:eastAsia="Arial" w:hAnsi="Arial"/>
                <w:sz w:val="16"/>
                <w:szCs w:val="16"/>
                <w:color w:val="auto"/>
              </w:rPr>
              <w:t>(determined in accordance with GAAP) equal to $250,000 multiplied by the fraction obtained by dividing (a)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number of full months during the period beginning on the date the person first becomes a non-employee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and ending on the one-year anniversary of the date of the then-most recent annual meeting of the company’s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stockholders, or the Initial Award Vesting Period by (b) 12, rounded to the nearest whole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100" w:type="dxa"/>
            <w:vAlign w:val="bottom"/>
            <w:tcBorders>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 before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annual meeting of our stockholders that follows the grant date of the Initial Award, subject to the non-employee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director continuing to provide services to us through the applicable vesting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100" w:type="dxa"/>
            <w:vAlign w:val="bottom"/>
            <w:tcBorders>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780" w:type="dxa"/>
            <w:vAlign w:val="bottom"/>
            <w:tcBorders>
              <w:bottom w:val="single" w:sz="8" w:color="0063A6"/>
            </w:tcBorders>
          </w:tcPr>
          <w:p>
            <w:pPr>
              <w:spacing w:after="0"/>
              <w:rPr>
                <w:sz w:val="7"/>
                <w:szCs w:val="7"/>
                <w:color w:val="auto"/>
              </w:rPr>
            </w:pPr>
          </w:p>
        </w:tc>
        <w:tc>
          <w:tcPr>
            <w:tcW w:w="20" w:type="dxa"/>
            <w:vAlign w:val="bottom"/>
            <w:tcBorders>
              <w:bottom w:val="single" w:sz="8" w:color="0063A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 w:hanging="554"/>
        <w:spacing w:after="0"/>
        <w:tabs>
          <w:tab w:leader="none" w:pos="5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10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40" w:type="dxa"/>
            <w:vAlign w:val="bottom"/>
            <w:tcBorders>
              <w:bottom w:val="single" w:sz="8" w:color="0063A6"/>
            </w:tcBorders>
            <w:shd w:val="clear" w:color="auto" w:fill="0063A6"/>
          </w:tcPr>
          <w:p>
            <w:pPr>
              <w:spacing w:after="0"/>
              <w:rPr>
                <w:sz w:val="24"/>
                <w:szCs w:val="24"/>
                <w:color w:val="auto"/>
              </w:rPr>
            </w:pPr>
          </w:p>
        </w:tc>
        <w:tc>
          <w:tcPr>
            <w:tcW w:w="8120" w:type="dxa"/>
            <w:vAlign w:val="bottom"/>
            <w:tcBorders>
              <w:bottom w:val="single" w:sz="8" w:color="0063A6"/>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276"/>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40" w:type="dxa"/>
            <w:vAlign w:val="bottom"/>
          </w:tcPr>
          <w:p>
            <w:pPr>
              <w:spacing w:after="0"/>
              <w:rPr>
                <w:sz w:val="24"/>
                <w:szCs w:val="24"/>
                <w:color w:val="auto"/>
              </w:rPr>
            </w:pPr>
          </w:p>
        </w:tc>
        <w:tc>
          <w:tcPr>
            <w:tcW w:w="8120" w:type="dxa"/>
            <w:vAlign w:val="bottom"/>
            <w:tcBorders>
              <w:right w:val="single" w:sz="8" w:color="0063A6"/>
            </w:tcBorders>
            <w:gridSpan w:val="3"/>
            <w:vMerge w:val="restart"/>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 stockholders</w:t>
            </w:r>
          </w:p>
        </w:tc>
        <w:tc>
          <w:tcPr>
            <w:tcW w:w="0" w:type="dxa"/>
            <w:vAlign w:val="bottom"/>
          </w:tcPr>
          <w:p>
            <w:pPr>
              <w:spacing w:after="0"/>
              <w:rPr>
                <w:sz w:val="1"/>
                <w:szCs w:val="1"/>
                <w:color w:val="auto"/>
              </w:rPr>
            </w:pPr>
          </w:p>
        </w:tc>
      </w:tr>
      <w:tr>
        <w:trPr>
          <w:trHeight w:val="74"/>
        </w:trPr>
        <w:tc>
          <w:tcPr>
            <w:tcW w:w="3100" w:type="dxa"/>
            <w:vAlign w:val="bottom"/>
            <w:tcBorders>
              <w:left w:val="single" w:sz="8" w:color="0063A6"/>
              <w:right w:val="single" w:sz="8" w:color="0063A6"/>
            </w:tcBorders>
          </w:tcPr>
          <w:p>
            <w:pPr>
              <w:spacing w:after="0"/>
              <w:rPr>
                <w:sz w:val="6"/>
                <w:szCs w:val="6"/>
                <w:color w:val="auto"/>
              </w:rPr>
            </w:pPr>
          </w:p>
        </w:tc>
        <w:tc>
          <w:tcPr>
            <w:tcW w:w="40" w:type="dxa"/>
            <w:vAlign w:val="bottom"/>
          </w:tcPr>
          <w:p>
            <w:pPr>
              <w:spacing w:after="0"/>
              <w:rPr>
                <w:sz w:val="6"/>
                <w:szCs w:val="6"/>
                <w:color w:val="auto"/>
              </w:rPr>
            </w:pPr>
          </w:p>
        </w:tc>
        <w:tc>
          <w:tcPr>
            <w:tcW w:w="8120" w:type="dxa"/>
            <w:vAlign w:val="bottom"/>
            <w:tcBorders>
              <w:right w:val="single" w:sz="8" w:color="0063A6"/>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following the effective date of the director compensation policy, an annual award of RSUs, each of which we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refer to as an Annual Award.</w:t>
            </w:r>
          </w:p>
        </w:tc>
        <w:tc>
          <w:tcPr>
            <w:tcW w:w="0" w:type="dxa"/>
            <w:vAlign w:val="bottom"/>
          </w:tcPr>
          <w:p>
            <w:pPr>
              <w:spacing w:after="0"/>
              <w:rPr>
                <w:sz w:val="1"/>
                <w:szCs w:val="1"/>
                <w:color w:val="auto"/>
              </w:rPr>
            </w:pPr>
          </w:p>
        </w:tc>
      </w:tr>
      <w:tr>
        <w:trPr>
          <w:trHeight w:val="258"/>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0" w:type="dxa"/>
            <w:vAlign w:val="bottom"/>
            <w:tcBorders>
              <w:right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 fair value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(determined in accordance with GAAP) of $250,000, rounded to the nearest whole share.</w:t>
            </w:r>
          </w:p>
        </w:tc>
        <w:tc>
          <w:tcPr>
            <w:tcW w:w="0" w:type="dxa"/>
            <w:vAlign w:val="bottom"/>
          </w:tcPr>
          <w:p>
            <w:pPr>
              <w:spacing w:after="0"/>
              <w:rPr>
                <w:sz w:val="1"/>
                <w:szCs w:val="1"/>
                <w:color w:val="auto"/>
              </w:rPr>
            </w:pPr>
          </w:p>
        </w:tc>
      </w:tr>
      <w:tr>
        <w:trPr>
          <w:trHeight w:val="259"/>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900" w:type="dxa"/>
            <w:vAlign w:val="bottom"/>
            <w:tcBorders>
              <w:right w:val="single" w:sz="8" w:color="0063A6"/>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 if earlier, the</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day before our annual meeting of stockholders that follows the grant date of the Annual Award, subject to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non-employee director continuing to provide services to us through the applicable vesting date.</w:t>
            </w:r>
          </w:p>
        </w:tc>
        <w:tc>
          <w:tcPr>
            <w:tcW w:w="0" w:type="dxa"/>
            <w:vAlign w:val="bottom"/>
          </w:tcPr>
          <w:p>
            <w:pPr>
              <w:spacing w:after="0"/>
              <w:rPr>
                <w:sz w:val="1"/>
                <w:szCs w:val="1"/>
                <w:color w:val="auto"/>
              </w:rPr>
            </w:pPr>
          </w:p>
        </w:tc>
      </w:tr>
      <w:tr>
        <w:trPr>
          <w:trHeight w:val="70"/>
        </w:trPr>
        <w:tc>
          <w:tcPr>
            <w:tcW w:w="3100" w:type="dxa"/>
            <w:vAlign w:val="bottom"/>
            <w:tcBorders>
              <w:left w:val="single" w:sz="8" w:color="0063A6"/>
              <w:bottom w:val="single" w:sz="8" w:color="0063A6"/>
              <w:right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1220" w:type="dxa"/>
            <w:vAlign w:val="bottom"/>
            <w:tcBorders>
              <w:bottom w:val="single" w:sz="8" w:color="0063A6"/>
            </w:tcBorders>
          </w:tcPr>
          <w:p>
            <w:pPr>
              <w:spacing w:after="0"/>
              <w:rPr>
                <w:sz w:val="6"/>
                <w:szCs w:val="6"/>
                <w:color w:val="auto"/>
              </w:rPr>
            </w:pPr>
          </w:p>
        </w:tc>
        <w:tc>
          <w:tcPr>
            <w:tcW w:w="100" w:type="dxa"/>
            <w:vAlign w:val="bottom"/>
            <w:tcBorders>
              <w:bottom w:val="single" w:sz="8" w:color="0063A6"/>
            </w:tcBorders>
          </w:tcPr>
          <w:p>
            <w:pPr>
              <w:spacing w:after="0"/>
              <w:rPr>
                <w:sz w:val="6"/>
                <w:szCs w:val="6"/>
                <w:color w:val="auto"/>
              </w:rPr>
            </w:pPr>
          </w:p>
        </w:tc>
        <w:tc>
          <w:tcPr>
            <w:tcW w:w="680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 or Annual</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Award that would otherwise be delivered to such non-employee director on or following the date such award</w:t>
            </w:r>
          </w:p>
        </w:tc>
        <w:tc>
          <w:tcPr>
            <w:tcW w:w="0" w:type="dxa"/>
            <w:vAlign w:val="bottom"/>
          </w:tcPr>
          <w:p>
            <w:pPr>
              <w:spacing w:after="0"/>
              <w:rPr>
                <w:sz w:val="1"/>
                <w:szCs w:val="1"/>
                <w:color w:val="auto"/>
              </w:rPr>
            </w:pPr>
          </w:p>
        </w:tc>
      </w:tr>
      <w:tr>
        <w:trPr>
          <w:trHeight w:val="176"/>
        </w:trPr>
        <w:tc>
          <w:tcPr>
            <w:tcW w:w="3100" w:type="dxa"/>
            <w:vAlign w:val="bottom"/>
            <w:tcBorders>
              <w:left w:val="single" w:sz="8" w:color="0063A6"/>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8120" w:type="dxa"/>
            <w:vAlign w:val="bottom"/>
            <w:tcBorders>
              <w:right w:val="single" w:sz="8" w:color="0063A6"/>
            </w:tcBorders>
            <w:gridSpan w:val="3"/>
          </w:tcPr>
          <w:p>
            <w:pPr>
              <w:spacing w:after="0" w:line="175" w:lineRule="exact"/>
              <w:rPr>
                <w:sz w:val="20"/>
                <w:szCs w:val="20"/>
                <w:color w:val="auto"/>
              </w:rPr>
            </w:pPr>
            <w:r>
              <w:rPr>
                <w:rFonts w:ascii="Arial" w:cs="Arial" w:eastAsia="Arial" w:hAnsi="Arial"/>
                <w:sz w:val="16"/>
                <w:szCs w:val="16"/>
                <w:color w:val="auto"/>
              </w:rPr>
              <w:t>vests pursuant to the terms of a deferral election such non-employee director makes in accordance with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director compensation policy.</w:t>
            </w:r>
          </w:p>
        </w:tc>
        <w:tc>
          <w:tcPr>
            <w:tcW w:w="0" w:type="dxa"/>
            <w:vAlign w:val="bottom"/>
          </w:tcPr>
          <w:p>
            <w:pPr>
              <w:spacing w:after="0"/>
              <w:rPr>
                <w:sz w:val="1"/>
                <w:szCs w:val="1"/>
                <w:color w:val="auto"/>
              </w:rPr>
            </w:pPr>
          </w:p>
        </w:tc>
      </w:tr>
      <w:tr>
        <w:trPr>
          <w:trHeight w:val="83"/>
        </w:trPr>
        <w:tc>
          <w:tcPr>
            <w:tcW w:w="3100" w:type="dxa"/>
            <w:vAlign w:val="bottom"/>
            <w:tcBorders>
              <w:left w:val="single" w:sz="8" w:color="0063A6"/>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800" w:type="dxa"/>
            <w:vAlign w:val="bottom"/>
            <w:tcBorders>
              <w:bottom w:val="single" w:sz="8" w:color="0063A6"/>
              <w:right w:val="single" w:sz="8" w:color="0063A6"/>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non-employee director</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will fully vest in his or her outstanding company equity awards, including any Initial Award or Annual Award,</w:t>
            </w:r>
          </w:p>
        </w:tc>
        <w:tc>
          <w:tcPr>
            <w:tcW w:w="0" w:type="dxa"/>
            <w:vAlign w:val="bottom"/>
          </w:tcPr>
          <w:p>
            <w:pPr>
              <w:spacing w:after="0"/>
              <w:rPr>
                <w:sz w:val="1"/>
                <w:szCs w:val="1"/>
                <w:color w:val="auto"/>
              </w:rPr>
            </w:pPr>
          </w:p>
        </w:tc>
      </w:tr>
      <w:tr>
        <w:trPr>
          <w:trHeight w:val="224"/>
        </w:trPr>
        <w:tc>
          <w:tcPr>
            <w:tcW w:w="3100" w:type="dxa"/>
            <w:vAlign w:val="bottom"/>
            <w:tcBorders>
              <w:left w:val="single" w:sz="8" w:color="0063A6"/>
              <w:bottom w:val="single" w:sz="8" w:color="0063A6"/>
              <w:right w:val="single" w:sz="8" w:color="0063A6"/>
            </w:tcBorders>
          </w:tcPr>
          <w:p>
            <w:pPr>
              <w:spacing w:after="0"/>
              <w:rPr>
                <w:sz w:val="19"/>
                <w:szCs w:val="19"/>
                <w:color w:val="auto"/>
              </w:rPr>
            </w:pPr>
          </w:p>
        </w:tc>
        <w:tc>
          <w:tcPr>
            <w:tcW w:w="40" w:type="dxa"/>
            <w:vAlign w:val="bottom"/>
            <w:tcBorders>
              <w:bottom w:val="single" w:sz="8" w:color="0063A6"/>
            </w:tcBorders>
          </w:tcPr>
          <w:p>
            <w:pPr>
              <w:spacing w:after="0"/>
              <w:rPr>
                <w:sz w:val="19"/>
                <w:szCs w:val="19"/>
                <w:color w:val="auto"/>
              </w:rPr>
            </w:pPr>
          </w:p>
        </w:tc>
        <w:tc>
          <w:tcPr>
            <w:tcW w:w="8120" w:type="dxa"/>
            <w:vAlign w:val="bottom"/>
            <w:tcBorders>
              <w:bottom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provided that the non-employee director continues to be a non-employee director through such date.</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2025 Director Compensation</w:t>
      </w:r>
    </w:p>
    <w:p>
      <w:pPr>
        <w:spacing w:after="0" w:line="16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following table provides information regarding compensation of our non-employee directors for their service as directors, for the fiscal year ended December 31, 2025. Directors who are also our employees receive no additional compensation for their service as directors. During 2025, Mr. Houston was an employee and executive officer of the company and, therefore, did not receive compensation as a director. See the section titled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for additional information regarding Mr. Houston’s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56515</wp:posOffset>
            </wp:positionV>
            <wp:extent cx="17145" cy="643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56515</wp:posOffset>
            </wp:positionV>
            <wp:extent cx="17145"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56515</wp:posOffset>
            </wp:positionV>
            <wp:extent cx="1714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56515</wp:posOffset>
            </wp:positionV>
            <wp:extent cx="17145" cy="643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643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3740" w:type="dxa"/>
            <w:vAlign w:val="bottom"/>
            <w:shd w:val="clear" w:color="auto" w:fill="0063A6"/>
          </w:tcPr>
          <w:p>
            <w:pPr>
              <w:spacing w:after="0"/>
              <w:rPr>
                <w:sz w:val="4"/>
                <w:szCs w:val="4"/>
                <w:color w:val="auto"/>
              </w:rPr>
            </w:pPr>
          </w:p>
        </w:tc>
        <w:tc>
          <w:tcPr>
            <w:tcW w:w="17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Fees Paid</w:t>
            </w:r>
          </w:p>
        </w:tc>
        <w:tc>
          <w:tcPr>
            <w:tcW w:w="20" w:type="dxa"/>
            <w:vAlign w:val="bottom"/>
          </w:tcPr>
          <w:p>
            <w:pPr>
              <w:spacing w:after="0"/>
              <w:rPr>
                <w:sz w:val="4"/>
                <w:szCs w:val="4"/>
                <w:color w:val="auto"/>
              </w:rPr>
            </w:pPr>
          </w:p>
        </w:tc>
        <w:tc>
          <w:tcPr>
            <w:tcW w:w="1900" w:type="dxa"/>
            <w:vAlign w:val="bottom"/>
            <w:shd w:val="clear" w:color="auto" w:fill="0063A6"/>
          </w:tcPr>
          <w:p>
            <w:pPr>
              <w:spacing w:after="0"/>
              <w:rPr>
                <w:sz w:val="4"/>
                <w:szCs w:val="4"/>
                <w:color w:val="auto"/>
              </w:rPr>
            </w:pPr>
          </w:p>
        </w:tc>
        <w:tc>
          <w:tcPr>
            <w:tcW w:w="2180" w:type="dxa"/>
            <w:vAlign w:val="bottom"/>
            <w:shd w:val="clear" w:color="auto" w:fill="0063A6"/>
          </w:tcPr>
          <w:p>
            <w:pPr>
              <w:spacing w:after="0"/>
              <w:rPr>
                <w:sz w:val="4"/>
                <w:szCs w:val="4"/>
                <w:color w:val="auto"/>
              </w:rPr>
            </w:pPr>
          </w:p>
        </w:tc>
        <w:tc>
          <w:tcPr>
            <w:tcW w:w="1620" w:type="dxa"/>
            <w:vAlign w:val="bottom"/>
            <w:shd w:val="clear" w:color="auto" w:fill="0063A6"/>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0063A6"/>
          </w:tcPr>
          <w:p>
            <w:pPr>
              <w:spacing w:after="0"/>
              <w:rPr>
                <w:sz w:val="16"/>
                <w:szCs w:val="16"/>
                <w:color w:val="auto"/>
              </w:rPr>
            </w:pPr>
          </w:p>
        </w:tc>
        <w:tc>
          <w:tcPr>
            <w:tcW w:w="1780" w:type="dxa"/>
            <w:vAlign w:val="bottom"/>
            <w:vMerge w:val="continue"/>
            <w:shd w:val="clear" w:color="auto" w:fill="0063A6"/>
          </w:tcPr>
          <w:p>
            <w:pPr>
              <w:spacing w:after="0"/>
              <w:rPr>
                <w:sz w:val="16"/>
                <w:szCs w:val="16"/>
                <w:color w:val="auto"/>
              </w:rPr>
            </w:pPr>
          </w:p>
        </w:tc>
        <w:tc>
          <w:tcPr>
            <w:tcW w:w="20" w:type="dxa"/>
            <w:vAlign w:val="bottom"/>
            <w:shd w:val="clear" w:color="auto" w:fill="0063A6"/>
          </w:tcPr>
          <w:p>
            <w:pPr>
              <w:spacing w:after="0"/>
              <w:rPr>
                <w:sz w:val="16"/>
                <w:szCs w:val="16"/>
                <w:color w:val="auto"/>
              </w:rPr>
            </w:pPr>
          </w:p>
        </w:tc>
        <w:tc>
          <w:tcPr>
            <w:tcW w:w="1900" w:type="dxa"/>
            <w:vAlign w:val="bottom"/>
            <w:shd w:val="clear" w:color="auto" w:fill="0063A6"/>
          </w:tcPr>
          <w:p>
            <w:pPr>
              <w:spacing w:after="0"/>
              <w:rPr>
                <w:sz w:val="16"/>
                <w:szCs w:val="16"/>
                <w:color w:val="auto"/>
              </w:rPr>
            </w:pPr>
          </w:p>
        </w:tc>
        <w:tc>
          <w:tcPr>
            <w:tcW w:w="2180" w:type="dxa"/>
            <w:vAlign w:val="bottom"/>
            <w:shd w:val="clear" w:color="auto" w:fill="0063A6"/>
          </w:tcPr>
          <w:p>
            <w:pPr>
              <w:spacing w:after="0"/>
              <w:rPr>
                <w:sz w:val="16"/>
                <w:szCs w:val="16"/>
                <w:color w:val="auto"/>
              </w:rPr>
            </w:pPr>
          </w:p>
        </w:tc>
        <w:tc>
          <w:tcPr>
            <w:tcW w:w="162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0063A6"/>
          </w:tcPr>
          <w:p>
            <w:pPr>
              <w:spacing w:after="0"/>
              <w:rPr>
                <w:sz w:val="14"/>
                <w:szCs w:val="14"/>
                <w:color w:val="auto"/>
              </w:rPr>
            </w:pPr>
          </w:p>
        </w:tc>
        <w:tc>
          <w:tcPr>
            <w:tcW w:w="1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9"/>
              </w:rPr>
              <w:t>or</w:t>
            </w:r>
          </w:p>
        </w:tc>
        <w:tc>
          <w:tcPr>
            <w:tcW w:w="20" w:type="dxa"/>
            <w:vAlign w:val="bottom"/>
            <w:shd w:val="clear" w:color="auto" w:fill="0063A6"/>
          </w:tcPr>
          <w:p>
            <w:pPr>
              <w:spacing w:after="0"/>
              <w:rPr>
                <w:sz w:val="14"/>
                <w:szCs w:val="14"/>
                <w:color w:val="auto"/>
              </w:rPr>
            </w:pPr>
          </w:p>
        </w:tc>
        <w:tc>
          <w:tcPr>
            <w:tcW w:w="1900" w:type="dxa"/>
            <w:vAlign w:val="bottom"/>
            <w:vMerge w:val="restart"/>
            <w:shd w:val="clear" w:color="auto" w:fill="0063A6"/>
          </w:tcPr>
          <w:p>
            <w:pPr>
              <w:jc w:val="center"/>
              <w:ind w:right="64"/>
              <w:spacing w:after="0"/>
              <w:rPr>
                <w:sz w:val="20"/>
                <w:szCs w:val="20"/>
                <w:color w:val="auto"/>
              </w:rPr>
            </w:pPr>
            <w:r>
              <w:rPr>
                <w:rFonts w:ascii="Arial" w:cs="Arial" w:eastAsia="Arial" w:hAnsi="Arial"/>
                <w:sz w:val="14"/>
                <w:szCs w:val="14"/>
                <w:b w:val="1"/>
                <w:bCs w:val="1"/>
                <w:color w:val="FFFFFF"/>
              </w:rPr>
              <w:t>Stock</w:t>
            </w:r>
          </w:p>
        </w:tc>
        <w:tc>
          <w:tcPr>
            <w:tcW w:w="218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6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0063A6"/>
          </w:tcPr>
          <w:p>
            <w:pPr>
              <w:spacing w:after="0"/>
              <w:rPr>
                <w:sz w:val="13"/>
                <w:szCs w:val="13"/>
                <w:color w:val="auto"/>
              </w:rPr>
            </w:pPr>
          </w:p>
        </w:tc>
        <w:tc>
          <w:tcPr>
            <w:tcW w:w="178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Earned in</w:t>
            </w:r>
          </w:p>
        </w:tc>
        <w:tc>
          <w:tcPr>
            <w:tcW w:w="20" w:type="dxa"/>
            <w:vAlign w:val="bottom"/>
            <w:shd w:val="clear" w:color="auto" w:fill="0063A6"/>
          </w:tcPr>
          <w:p>
            <w:pPr>
              <w:spacing w:after="0"/>
              <w:rPr>
                <w:sz w:val="13"/>
                <w:szCs w:val="13"/>
                <w:color w:val="auto"/>
              </w:rPr>
            </w:pPr>
          </w:p>
        </w:tc>
        <w:tc>
          <w:tcPr>
            <w:tcW w:w="1900" w:type="dxa"/>
            <w:vAlign w:val="bottom"/>
            <w:vMerge w:val="continue"/>
            <w:shd w:val="clear" w:color="auto" w:fill="0063A6"/>
          </w:tcPr>
          <w:p>
            <w:pPr>
              <w:spacing w:after="0"/>
              <w:rPr>
                <w:sz w:val="13"/>
                <w:szCs w:val="13"/>
                <w:color w:val="auto"/>
              </w:rPr>
            </w:pPr>
          </w:p>
        </w:tc>
        <w:tc>
          <w:tcPr>
            <w:tcW w:w="2180" w:type="dxa"/>
            <w:vAlign w:val="bottom"/>
            <w:vMerge w:val="continue"/>
            <w:shd w:val="clear" w:color="auto" w:fill="0063A6"/>
          </w:tcPr>
          <w:p>
            <w:pPr>
              <w:spacing w:after="0"/>
              <w:rPr>
                <w:sz w:val="13"/>
                <w:szCs w:val="13"/>
                <w:color w:val="auto"/>
              </w:rPr>
            </w:pPr>
          </w:p>
        </w:tc>
        <w:tc>
          <w:tcPr>
            <w:tcW w:w="162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w:t>
            </w:r>
          </w:p>
        </w:tc>
        <w:tc>
          <w:tcPr>
            <w:tcW w:w="20" w:type="dxa"/>
            <w:vAlign w:val="bottom"/>
            <w:shd w:val="clear" w:color="auto" w:fill="0063A6"/>
          </w:tcPr>
          <w:p>
            <w:pPr>
              <w:spacing w:after="0"/>
              <w:rPr>
                <w:sz w:val="17"/>
                <w:szCs w:val="17"/>
                <w:color w:val="auto"/>
              </w:rPr>
            </w:pPr>
          </w:p>
        </w:tc>
        <w:tc>
          <w:tcPr>
            <w:tcW w:w="1900" w:type="dxa"/>
            <w:vAlign w:val="bottom"/>
            <w:shd w:val="clear" w:color="auto" w:fill="0063A6"/>
          </w:tcPr>
          <w:p>
            <w:pPr>
              <w:jc w:val="center"/>
              <w:ind w:right="64"/>
              <w:spacing w:after="0" w:line="201" w:lineRule="exact"/>
              <w:rPr>
                <w:sz w:val="20"/>
                <w:szCs w:val="20"/>
                <w:color w:val="auto"/>
              </w:rPr>
            </w:pPr>
            <w:r>
              <w:rPr>
                <w:rFonts w:ascii="Arial" w:cs="Arial" w:eastAsia="Arial" w:hAnsi="Arial"/>
                <w:sz w:val="14"/>
                <w:szCs w:val="14"/>
                <w:b w:val="1"/>
                <w:bCs w:val="1"/>
                <w:color w:val="FFFFFF"/>
                <w:w w:val="95"/>
              </w:rPr>
              <w:t>Awards ($)</w:t>
            </w:r>
            <w:r>
              <w:rPr>
                <w:rFonts w:ascii="Arial" w:cs="Arial" w:eastAsia="Arial" w:hAnsi="Arial"/>
                <w:sz w:val="18"/>
                <w:szCs w:val="18"/>
                <w:b w:val="1"/>
                <w:bCs w:val="1"/>
                <w:color w:val="FFFFFF"/>
                <w:w w:val="95"/>
                <w:vertAlign w:val="superscript"/>
              </w:rPr>
              <w:t>(1)(2)</w:t>
            </w:r>
          </w:p>
        </w:tc>
        <w:tc>
          <w:tcPr>
            <w:tcW w:w="2180" w:type="dxa"/>
            <w:vAlign w:val="bottom"/>
            <w:shd w:val="clear" w:color="auto" w:fill="0063A6"/>
          </w:tcPr>
          <w:p>
            <w:pPr>
              <w:jc w:val="center"/>
              <w:ind w:left="1"/>
              <w:spacing w:after="0"/>
              <w:rPr>
                <w:sz w:val="20"/>
                <w:szCs w:val="20"/>
                <w:color w:val="auto"/>
              </w:rPr>
            </w:pPr>
            <w:r>
              <w:rPr>
                <w:rFonts w:ascii="Arial" w:cs="Arial" w:eastAsia="Arial" w:hAnsi="Arial"/>
                <w:sz w:val="14"/>
                <w:szCs w:val="14"/>
                <w:b w:val="1"/>
                <w:bCs w:val="1"/>
                <w:color w:val="FFFFFF"/>
              </w:rPr>
              <w:t>Compensation ($)</w:t>
            </w:r>
          </w:p>
        </w:tc>
        <w:tc>
          <w:tcPr>
            <w:tcW w:w="162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Lisa Campbell</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84,391</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334,388</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Paul E. Jacobs</w:t>
            </w:r>
          </w:p>
        </w:tc>
        <w:tc>
          <w:tcPr>
            <w:tcW w:w="1780" w:type="dxa"/>
            <w:vAlign w:val="bottom"/>
          </w:tcPr>
          <w:p>
            <w:pPr>
              <w:jc w:val="center"/>
              <w:spacing w:after="0"/>
              <w:rPr>
                <w:sz w:val="20"/>
                <w:szCs w:val="20"/>
                <w:color w:val="auto"/>
              </w:rPr>
            </w:pPr>
            <w:r>
              <w:rPr>
                <w:rFonts w:ascii="Arial" w:cs="Arial" w:eastAsia="Arial" w:hAnsi="Arial"/>
                <w:sz w:val="16"/>
                <w:szCs w:val="16"/>
                <w:color w:val="auto"/>
              </w:rPr>
              <w:t>70,649</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320,646</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Moore</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62,500</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312,497</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Abhay Parasnis</w:t>
            </w:r>
          </w:p>
        </w:tc>
        <w:tc>
          <w:tcPr>
            <w:tcW w:w="1780" w:type="dxa"/>
            <w:vAlign w:val="bottom"/>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309,997</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Karen Peacock</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73,301</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323,298</w:t>
            </w:r>
          </w:p>
        </w:tc>
        <w:tc>
          <w:tcPr>
            <w:tcW w:w="0" w:type="dxa"/>
            <w:vAlign w:val="bottom"/>
          </w:tcPr>
          <w:p>
            <w:pPr>
              <w:spacing w:after="0"/>
              <w:rPr>
                <w:sz w:val="1"/>
                <w:szCs w:val="1"/>
                <w:color w:val="auto"/>
              </w:rPr>
            </w:pPr>
          </w:p>
        </w:tc>
      </w:tr>
      <w:tr>
        <w:trPr>
          <w:trHeight w:val="215"/>
        </w:trPr>
        <w:tc>
          <w:tcPr>
            <w:tcW w:w="3740" w:type="dxa"/>
            <w:vAlign w:val="bottom"/>
          </w:tcPr>
          <w:p>
            <w:pPr>
              <w:ind w:left="60"/>
              <w:spacing w:after="0"/>
              <w:rPr>
                <w:sz w:val="20"/>
                <w:szCs w:val="20"/>
                <w:color w:val="auto"/>
              </w:rPr>
            </w:pPr>
            <w:r>
              <w:rPr>
                <w:rFonts w:ascii="Arial" w:cs="Arial" w:eastAsia="Arial" w:hAnsi="Arial"/>
                <w:sz w:val="16"/>
                <w:szCs w:val="16"/>
                <w:color w:val="auto"/>
              </w:rPr>
              <w:t>Michael Seibel</w:t>
            </w:r>
          </w:p>
        </w:tc>
        <w:tc>
          <w:tcPr>
            <w:tcW w:w="1780" w:type="dxa"/>
            <w:vAlign w:val="bottom"/>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gridSpan w:val="2"/>
          </w:tcPr>
          <w:p>
            <w:pPr>
              <w:jc w:val="center"/>
              <w:ind w:right="44"/>
              <w:spacing w:after="0"/>
              <w:rPr>
                <w:sz w:val="20"/>
                <w:szCs w:val="20"/>
                <w:color w:val="auto"/>
              </w:rPr>
            </w:pPr>
            <w:r>
              <w:rPr>
                <w:rFonts w:ascii="Arial" w:cs="Arial" w:eastAsia="Arial" w:hAnsi="Arial"/>
                <w:sz w:val="16"/>
                <w:szCs w:val="16"/>
                <w:color w:val="auto"/>
              </w:rPr>
              <w:t>249,997</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309,997</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Warren Jenson</w:t>
            </w:r>
          </w:p>
        </w:tc>
        <w:tc>
          <w:tcPr>
            <w:tcW w:w="1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52,967</w:t>
            </w:r>
          </w:p>
        </w:tc>
        <w:tc>
          <w:tcPr>
            <w:tcW w:w="1920" w:type="dxa"/>
            <w:vAlign w:val="bottom"/>
            <w:tcBorders>
              <w:bottom w:val="single" w:sz="8" w:color="F2F2F2"/>
            </w:tcBorders>
            <w:gridSpan w:val="2"/>
            <w:shd w:val="clear" w:color="auto" w:fill="F2F2F2"/>
          </w:tcPr>
          <w:p>
            <w:pPr>
              <w:jc w:val="center"/>
              <w:ind w:right="44"/>
              <w:spacing w:after="0"/>
              <w:rPr>
                <w:sz w:val="20"/>
                <w:szCs w:val="20"/>
                <w:color w:val="auto"/>
              </w:rPr>
            </w:pPr>
            <w:r>
              <w:rPr>
                <w:rFonts w:ascii="Arial" w:cs="Arial" w:eastAsia="Arial" w:hAnsi="Arial"/>
                <w:sz w:val="16"/>
                <w:szCs w:val="16"/>
                <w:color w:val="auto"/>
              </w:rPr>
              <w:t>333,318</w:t>
            </w:r>
          </w:p>
        </w:tc>
        <w:tc>
          <w:tcPr>
            <w:tcW w:w="2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386,285</w:t>
            </w:r>
          </w:p>
        </w:tc>
        <w:tc>
          <w:tcPr>
            <w:tcW w:w="0" w:type="dxa"/>
            <w:vAlign w:val="bottom"/>
          </w:tcPr>
          <w:p>
            <w:pPr>
              <w:spacing w:after="0"/>
              <w:rPr>
                <w:sz w:val="1"/>
                <w:szCs w:val="1"/>
                <w:color w:val="auto"/>
              </w:rPr>
            </w:pPr>
          </w:p>
        </w:tc>
      </w:tr>
      <w:tr>
        <w:trPr>
          <w:trHeight w:val="243"/>
        </w:trPr>
        <w:tc>
          <w:tcPr>
            <w:tcW w:w="3740" w:type="dxa"/>
            <w:vAlign w:val="bottom"/>
          </w:tcPr>
          <w:p>
            <w:pPr>
              <w:ind w:left="60"/>
              <w:spacing w:after="0"/>
              <w:rPr>
                <w:sz w:val="20"/>
                <w:szCs w:val="20"/>
                <w:color w:val="auto"/>
              </w:rPr>
            </w:pPr>
            <w:r>
              <w:rPr>
                <w:rFonts w:ascii="Arial" w:cs="Arial" w:eastAsia="Arial" w:hAnsi="Arial"/>
                <w:sz w:val="16"/>
                <w:szCs w:val="16"/>
                <w:color w:val="auto"/>
              </w:rPr>
              <w:t>Donald W. Blair</w:t>
            </w:r>
            <w:r>
              <w:rPr>
                <w:rFonts w:ascii="Arial" w:cs="Arial" w:eastAsia="Arial" w:hAnsi="Arial"/>
                <w:sz w:val="21"/>
                <w:szCs w:val="21"/>
                <w:color w:val="auto"/>
                <w:vertAlign w:val="superscript"/>
              </w:rPr>
              <w:t>(3)</w:t>
            </w:r>
          </w:p>
        </w:tc>
        <w:tc>
          <w:tcPr>
            <w:tcW w:w="1780" w:type="dxa"/>
            <w:vAlign w:val="bottom"/>
          </w:tcPr>
          <w:p>
            <w:pPr>
              <w:jc w:val="center"/>
              <w:spacing w:after="0"/>
              <w:rPr>
                <w:sz w:val="20"/>
                <w:szCs w:val="20"/>
                <w:color w:val="auto"/>
              </w:rPr>
            </w:pPr>
            <w:r>
              <w:rPr>
                <w:rFonts w:ascii="Arial" w:cs="Arial" w:eastAsia="Arial" w:hAnsi="Arial"/>
                <w:sz w:val="16"/>
                <w:szCs w:val="16"/>
                <w:color w:val="auto"/>
              </w:rPr>
              <w:t>80,814</w:t>
            </w:r>
          </w:p>
        </w:tc>
        <w:tc>
          <w:tcPr>
            <w:tcW w:w="20" w:type="dxa"/>
            <w:vAlign w:val="bottom"/>
          </w:tcPr>
          <w:p>
            <w:pPr>
              <w:spacing w:after="0"/>
              <w:rPr>
                <w:sz w:val="21"/>
                <w:szCs w:val="21"/>
                <w:color w:val="auto"/>
              </w:rPr>
            </w:pPr>
          </w:p>
        </w:tc>
        <w:tc>
          <w:tcPr>
            <w:tcW w:w="1900" w:type="dxa"/>
            <w:vAlign w:val="bottom"/>
          </w:tcPr>
          <w:p>
            <w:pPr>
              <w:jc w:val="center"/>
              <w:ind w:right="64"/>
              <w:spacing w:after="0"/>
              <w:rPr>
                <w:sz w:val="20"/>
                <w:szCs w:val="20"/>
                <w:color w:val="auto"/>
              </w:rPr>
            </w:pPr>
            <w:r>
              <w:rPr>
                <w:rFonts w:ascii="Arial" w:cs="Arial" w:eastAsia="Arial" w:hAnsi="Arial"/>
                <w:sz w:val="16"/>
                <w:szCs w:val="16"/>
                <w:color w:val="auto"/>
                <w:w w:val="99"/>
              </w:rPr>
              <w:t>—</w:t>
            </w:r>
          </w:p>
        </w:tc>
        <w:tc>
          <w:tcPr>
            <w:tcW w:w="2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jc w:val="center"/>
              <w:ind w:right="80"/>
              <w:spacing w:after="0"/>
              <w:rPr>
                <w:sz w:val="20"/>
                <w:szCs w:val="20"/>
                <w:color w:val="auto"/>
              </w:rPr>
            </w:pPr>
            <w:r>
              <w:rPr>
                <w:rFonts w:ascii="Arial" w:cs="Arial" w:eastAsia="Arial" w:hAnsi="Arial"/>
                <w:sz w:val="16"/>
                <w:szCs w:val="16"/>
                <w:color w:val="auto"/>
              </w:rPr>
              <w:t>80,814</w:t>
            </w:r>
          </w:p>
        </w:tc>
        <w:tc>
          <w:tcPr>
            <w:tcW w:w="0" w:type="dxa"/>
            <w:vAlign w:val="bottom"/>
          </w:tcPr>
          <w:p>
            <w:pPr>
              <w:spacing w:after="0"/>
              <w:rPr>
                <w:sz w:val="1"/>
                <w:szCs w:val="1"/>
                <w:color w:val="auto"/>
              </w:rPr>
            </w:pPr>
          </w:p>
        </w:tc>
      </w:tr>
      <w:tr>
        <w:trPr>
          <w:trHeight w:val="243"/>
        </w:trPr>
        <w:tc>
          <w:tcPr>
            <w:tcW w:w="3740" w:type="dxa"/>
            <w:vAlign w:val="bottom"/>
            <w:shd w:val="clear" w:color="auto" w:fill="F2F2F2"/>
          </w:tcPr>
          <w:p>
            <w:pPr>
              <w:ind w:left="60"/>
              <w:spacing w:after="0"/>
              <w:rPr>
                <w:sz w:val="20"/>
                <w:szCs w:val="20"/>
                <w:color w:val="auto"/>
              </w:rPr>
            </w:pPr>
            <w:r>
              <w:rPr>
                <w:rFonts w:ascii="Arial" w:cs="Arial" w:eastAsia="Arial" w:hAnsi="Arial"/>
                <w:sz w:val="16"/>
                <w:szCs w:val="16"/>
                <w:color w:val="auto"/>
              </w:rPr>
              <w:t>Sara Mathew</w:t>
            </w:r>
            <w:r>
              <w:rPr>
                <w:rFonts w:ascii="Arial" w:cs="Arial" w:eastAsia="Arial" w:hAnsi="Arial"/>
                <w:sz w:val="21"/>
                <w:szCs w:val="21"/>
                <w:color w:val="auto"/>
                <w:vertAlign w:val="superscript"/>
              </w:rPr>
              <w:t>(3)</w:t>
            </w:r>
          </w:p>
        </w:tc>
        <w:tc>
          <w:tcPr>
            <w:tcW w:w="17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61,759</w:t>
            </w:r>
          </w:p>
        </w:tc>
        <w:tc>
          <w:tcPr>
            <w:tcW w:w="20" w:type="dxa"/>
            <w:vAlign w:val="bottom"/>
            <w:shd w:val="clear" w:color="auto" w:fill="F2F2F2"/>
          </w:tcPr>
          <w:p>
            <w:pPr>
              <w:spacing w:after="0"/>
              <w:rPr>
                <w:sz w:val="21"/>
                <w:szCs w:val="21"/>
                <w:color w:val="auto"/>
              </w:rPr>
            </w:pPr>
          </w:p>
        </w:tc>
        <w:tc>
          <w:tcPr>
            <w:tcW w:w="1900" w:type="dxa"/>
            <w:vAlign w:val="bottom"/>
            <w:shd w:val="clear" w:color="auto" w:fill="F2F2F2"/>
          </w:tcPr>
          <w:p>
            <w:pPr>
              <w:jc w:val="center"/>
              <w:ind w:right="64"/>
              <w:spacing w:after="0"/>
              <w:rPr>
                <w:sz w:val="20"/>
                <w:szCs w:val="20"/>
                <w:color w:val="auto"/>
              </w:rPr>
            </w:pPr>
            <w:r>
              <w:rPr>
                <w:rFonts w:ascii="Arial" w:cs="Arial" w:eastAsia="Arial" w:hAnsi="Arial"/>
                <w:sz w:val="16"/>
                <w:szCs w:val="16"/>
                <w:color w:val="auto"/>
                <w:w w:val="99"/>
              </w:rPr>
              <w:t>—</w:t>
            </w:r>
          </w:p>
        </w:tc>
        <w:tc>
          <w:tcPr>
            <w:tcW w:w="21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shd w:val="clear" w:color="auto" w:fill="F2F2F2"/>
          </w:tcPr>
          <w:p>
            <w:pPr>
              <w:jc w:val="center"/>
              <w:ind w:right="80"/>
              <w:spacing w:after="0"/>
              <w:rPr>
                <w:sz w:val="20"/>
                <w:szCs w:val="20"/>
                <w:color w:val="auto"/>
              </w:rPr>
            </w:pPr>
            <w:r>
              <w:rPr>
                <w:rFonts w:ascii="Arial" w:cs="Arial" w:eastAsia="Arial" w:hAnsi="Arial"/>
                <w:sz w:val="16"/>
                <w:szCs w:val="16"/>
                <w:color w:val="auto"/>
              </w:rPr>
              <w:t>61,759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-153670</wp:posOffset>
            </wp:positionV>
            <wp:extent cx="1714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-153670</wp:posOffset>
            </wp:positionV>
            <wp:extent cx="1714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-153670</wp:posOffset>
            </wp:positionV>
            <wp:extent cx="1714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-153670</wp:posOffset>
            </wp:positionV>
            <wp:extent cx="1714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-153670</wp:posOffset>
            </wp:positionV>
            <wp:extent cx="1714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1714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-462280</wp:posOffset>
            </wp:positionV>
            <wp:extent cx="1714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-770890</wp:posOffset>
            </wp:positionV>
            <wp:extent cx="1714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-770890</wp:posOffset>
            </wp:positionV>
            <wp:extent cx="1714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-770890</wp:posOffset>
            </wp:positionV>
            <wp:extent cx="1714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-1079500</wp:posOffset>
            </wp:positionV>
            <wp:extent cx="1714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1714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-1079500</wp:posOffset>
            </wp:positionV>
            <wp:extent cx="1714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jc w:val="both"/>
        <w:ind w:left="340" w:right="140" w:hanging="332"/>
        <w:spacing w:after="0" w:line="251" w:lineRule="auto"/>
        <w:tabs>
          <w:tab w:leader="none" w:pos="333" w:val="left"/>
        </w:tabs>
        <w:numPr>
          <w:ilvl w:val="0"/>
          <w:numId w:val="36"/>
        </w:numPr>
        <w:rPr>
          <w:rFonts w:ascii="Arial" w:cs="Arial" w:eastAsia="Arial" w:hAnsi="Arial"/>
          <w:sz w:val="9"/>
          <w:szCs w:val="9"/>
          <w:color w:val="auto"/>
        </w:rPr>
      </w:pPr>
      <w:r>
        <w:rPr>
          <w:rFonts w:ascii="Arial" w:cs="Arial" w:eastAsia="Arial" w:hAnsi="Arial"/>
          <w:sz w:val="14"/>
          <w:szCs w:val="14"/>
          <w:color w:val="auto"/>
        </w:rPr>
        <w:t>Amounts shown do not reflect compensation actually received by each non-employee director, and there can be no assurance that these amounts will ever be realized by the non-employee directors. Instead, the amount shown is the grant date fair value of the RSU awards granted in fiscal 2025 computed in accordance with ASC Topic 718</w:t>
      </w:r>
    </w:p>
    <w:p>
      <w:pPr>
        <w:spacing w:after="0" w:line="1" w:lineRule="exact"/>
        <w:rPr>
          <w:rFonts w:ascii="Arial" w:cs="Arial" w:eastAsia="Arial" w:hAnsi="Arial"/>
          <w:sz w:val="9"/>
          <w:szCs w:val="9"/>
          <w:color w:val="auto"/>
        </w:rPr>
      </w:pPr>
    </w:p>
    <w:p>
      <w:pPr>
        <w:ind w:left="340" w:right="60"/>
        <w:spacing w:after="0" w:line="249" w:lineRule="auto"/>
        <w:rPr>
          <w:rFonts w:ascii="Arial" w:cs="Arial" w:eastAsia="Arial" w:hAnsi="Arial"/>
          <w:sz w:val="9"/>
          <w:szCs w:val="9"/>
          <w:color w:val="auto"/>
        </w:rPr>
      </w:pPr>
      <w:r>
        <w:rPr>
          <w:rFonts w:ascii="Arial" w:cs="Arial" w:eastAsia="Arial" w:hAnsi="Arial"/>
          <w:sz w:val="14"/>
          <w:szCs w:val="14"/>
          <w:color w:val="auto"/>
        </w:rPr>
        <w:t>—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was $29.61 per share, which represents the closing price for a share of our Class A common stock as reported by Nasdaq on May 14, 2025.</w:t>
      </w:r>
    </w:p>
    <w:p>
      <w:pPr>
        <w:spacing w:after="0" w:line="160" w:lineRule="exact"/>
        <w:rPr>
          <w:rFonts w:ascii="Arial" w:cs="Arial" w:eastAsia="Arial" w:hAnsi="Arial"/>
          <w:sz w:val="9"/>
          <w:szCs w:val="9"/>
          <w:color w:val="auto"/>
        </w:rPr>
      </w:pPr>
    </w:p>
    <w:p>
      <w:pPr>
        <w:ind w:left="340" w:right="420" w:hanging="332"/>
        <w:spacing w:after="0" w:line="248" w:lineRule="auto"/>
        <w:tabs>
          <w:tab w:leader="none" w:pos="333" w:val="left"/>
        </w:tabs>
        <w:numPr>
          <w:ilvl w:val="0"/>
          <w:numId w:val="36"/>
        </w:numPr>
        <w:rPr>
          <w:rFonts w:ascii="Arial" w:cs="Arial" w:eastAsia="Arial" w:hAnsi="Arial"/>
          <w:sz w:val="9"/>
          <w:szCs w:val="9"/>
          <w:color w:val="auto"/>
        </w:rPr>
      </w:pPr>
      <w:r>
        <w:rPr>
          <w:rFonts w:ascii="Arial" w:cs="Arial" w:eastAsia="Arial" w:hAnsi="Arial"/>
          <w:sz w:val="14"/>
          <w:szCs w:val="14"/>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4"/>
          <w:szCs w:val="14"/>
          <w:i w:val="1"/>
          <w:iCs w:val="1"/>
          <w:color w:val="auto"/>
        </w:rPr>
        <w:t>Board of Directors and Corporate Governance</w:t>
      </w:r>
      <w:r>
        <w:rPr>
          <w:rFonts w:ascii="Arial" w:cs="Arial" w:eastAsia="Arial" w:hAnsi="Arial"/>
          <w:sz w:val="16"/>
          <w:szCs w:val="16"/>
          <w:i w:val="1"/>
          <w:iCs w:val="1"/>
          <w:color w:val="auto"/>
        </w:rPr>
        <w:t>—</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spacing w:after="0" w:line="1" w:lineRule="exact"/>
        <w:rPr>
          <w:rFonts w:ascii="Arial" w:cs="Arial" w:eastAsia="Arial" w:hAnsi="Arial"/>
          <w:sz w:val="9"/>
          <w:szCs w:val="9"/>
          <w:color w:val="auto"/>
        </w:rPr>
      </w:pPr>
    </w:p>
    <w:p>
      <w:pPr>
        <w:ind w:left="340" w:right="320" w:hanging="332"/>
        <w:spacing w:after="0" w:line="218" w:lineRule="auto"/>
        <w:tabs>
          <w:tab w:leader="none" w:pos="33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Mr. Blair and Ms. Mathew did not stand for reelection at the 2025 Annual Meeting and therefore only received compensation for the first quarter of the fiscal year ended December 31, 2025.</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611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60" w:type="dxa"/>
            <w:vAlign w:val="bottom"/>
            <w:shd w:val="clear" w:color="auto" w:fill="0063A6"/>
          </w:tcPr>
          <w:p>
            <w:pPr>
              <w:spacing w:after="0"/>
              <w:rPr>
                <w:sz w:val="21"/>
                <w:szCs w:val="21"/>
                <w:color w:val="auto"/>
              </w:rPr>
            </w:pPr>
          </w:p>
        </w:tc>
        <w:tc>
          <w:tcPr>
            <w:tcW w:w="2520" w:type="dxa"/>
            <w:vAlign w:val="bottom"/>
            <w:vMerge w:val="restart"/>
            <w:shd w:val="clear" w:color="auto" w:fill="0063A6"/>
          </w:tcPr>
          <w:p>
            <w:pPr>
              <w:ind w:left="1020"/>
              <w:spacing w:after="0"/>
              <w:rPr>
                <w:sz w:val="20"/>
                <w:szCs w:val="20"/>
                <w:color w:val="auto"/>
              </w:rPr>
            </w:pPr>
            <w:r>
              <w:rPr>
                <w:rFonts w:ascii="Arial" w:cs="Arial" w:eastAsia="Arial" w:hAnsi="Arial"/>
                <w:sz w:val="14"/>
                <w:szCs w:val="14"/>
                <w:b w:val="1"/>
                <w:bCs w:val="1"/>
                <w:color w:val="FFFFFF"/>
              </w:rPr>
              <w:t>Date of</w:t>
            </w:r>
          </w:p>
        </w:tc>
        <w:tc>
          <w:tcPr>
            <w:tcW w:w="2360" w:type="dxa"/>
            <w:vAlign w:val="bottom"/>
            <w:shd w:val="clear" w:color="auto" w:fill="0063A6"/>
          </w:tcPr>
          <w:p>
            <w:pPr>
              <w:jc w:val="center"/>
              <w:ind w:left="41"/>
              <w:spacing w:after="0"/>
              <w:rPr>
                <w:sz w:val="20"/>
                <w:szCs w:val="20"/>
                <w:color w:val="auto"/>
              </w:rPr>
            </w:pPr>
            <w:r>
              <w:rPr>
                <w:rFonts w:ascii="Arial" w:cs="Arial" w:eastAsia="Arial" w:hAnsi="Arial"/>
                <w:sz w:val="14"/>
                <w:szCs w:val="14"/>
                <w:b w:val="1"/>
                <w:bCs w:val="1"/>
                <w:color w:val="FFFFFF"/>
              </w:rPr>
              <w:t>Number of Shares</w:t>
            </w:r>
          </w:p>
        </w:tc>
        <w:tc>
          <w:tcPr>
            <w:tcW w:w="5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860" w:type="dxa"/>
            <w:vAlign w:val="bottom"/>
            <w:shd w:val="clear" w:color="auto" w:fill="0063A6"/>
          </w:tcPr>
          <w:p>
            <w:pPr>
              <w:spacing w:after="0"/>
              <w:rPr>
                <w:sz w:val="13"/>
                <w:szCs w:val="13"/>
                <w:color w:val="auto"/>
              </w:rPr>
            </w:pPr>
          </w:p>
        </w:tc>
        <w:tc>
          <w:tcPr>
            <w:tcW w:w="2520" w:type="dxa"/>
            <w:vAlign w:val="bottom"/>
            <w:vMerge w:val="continue"/>
            <w:shd w:val="clear" w:color="auto" w:fill="0063A6"/>
          </w:tcPr>
          <w:p>
            <w:pPr>
              <w:spacing w:after="0"/>
              <w:rPr>
                <w:sz w:val="13"/>
                <w:szCs w:val="13"/>
                <w:color w:val="auto"/>
              </w:rPr>
            </w:pPr>
          </w:p>
        </w:tc>
        <w:tc>
          <w:tcPr>
            <w:tcW w:w="2360" w:type="dxa"/>
            <w:vAlign w:val="bottom"/>
            <w:shd w:val="clear" w:color="auto" w:fill="0063A6"/>
          </w:tcPr>
          <w:p>
            <w:pPr>
              <w:jc w:val="center"/>
              <w:ind w:left="41"/>
              <w:spacing w:after="0" w:line="159" w:lineRule="exact"/>
              <w:rPr>
                <w:sz w:val="20"/>
                <w:szCs w:val="20"/>
                <w:color w:val="auto"/>
              </w:rPr>
            </w:pPr>
            <w:r>
              <w:rPr>
                <w:rFonts w:ascii="Arial" w:cs="Arial" w:eastAsia="Arial" w:hAnsi="Arial"/>
                <w:sz w:val="14"/>
                <w:szCs w:val="14"/>
                <w:b w:val="1"/>
                <w:bCs w:val="1"/>
                <w:color w:val="FFFFFF"/>
              </w:rPr>
              <w:t>Underlying</w:t>
            </w:r>
          </w:p>
        </w:tc>
        <w:tc>
          <w:tcPr>
            <w:tcW w:w="50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86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2520" w:type="dxa"/>
            <w:vAlign w:val="bottom"/>
            <w:tcBorders>
              <w:bottom w:val="single" w:sz="8" w:color="0063A6"/>
            </w:tcBorders>
            <w:shd w:val="clear" w:color="auto" w:fill="0063A6"/>
          </w:tcPr>
          <w:p>
            <w:pPr>
              <w:ind w:left="1020"/>
              <w:spacing w:after="0" w:line="201" w:lineRule="exact"/>
              <w:rPr>
                <w:sz w:val="20"/>
                <w:szCs w:val="20"/>
                <w:color w:val="auto"/>
              </w:rPr>
            </w:pPr>
            <w:r>
              <w:rPr>
                <w:rFonts w:ascii="Arial" w:cs="Arial" w:eastAsia="Arial" w:hAnsi="Arial"/>
                <w:sz w:val="14"/>
                <w:szCs w:val="14"/>
                <w:b w:val="1"/>
                <w:bCs w:val="1"/>
                <w:color w:val="FFFFFF"/>
              </w:rPr>
              <w:t>Grant</w:t>
            </w:r>
            <w:r>
              <w:rPr>
                <w:rFonts w:ascii="Arial" w:cs="Arial" w:eastAsia="Arial" w:hAnsi="Arial"/>
                <w:sz w:val="18"/>
                <w:szCs w:val="18"/>
                <w:b w:val="1"/>
                <w:bCs w:val="1"/>
                <w:color w:val="FFFFFF"/>
                <w:vertAlign w:val="superscript"/>
              </w:rPr>
              <w:t>(1)</w:t>
            </w:r>
          </w:p>
        </w:tc>
        <w:tc>
          <w:tcPr>
            <w:tcW w:w="2360" w:type="dxa"/>
            <w:vAlign w:val="bottom"/>
            <w:tcBorders>
              <w:bottom w:val="single" w:sz="8" w:color="0063A6"/>
            </w:tcBorders>
            <w:shd w:val="clear" w:color="auto" w:fill="0063A6"/>
          </w:tcPr>
          <w:p>
            <w:pPr>
              <w:jc w:val="center"/>
              <w:ind w:left="81"/>
              <w:spacing w:after="0"/>
              <w:rPr>
                <w:sz w:val="20"/>
                <w:szCs w:val="20"/>
                <w:color w:val="auto"/>
              </w:rPr>
            </w:pPr>
            <w:r>
              <w:rPr>
                <w:rFonts w:ascii="Arial" w:cs="Arial" w:eastAsia="Arial" w:hAnsi="Arial"/>
                <w:sz w:val="14"/>
                <w:szCs w:val="14"/>
                <w:b w:val="1"/>
                <w:bCs w:val="1"/>
                <w:color w:val="FFFFFF"/>
              </w:rPr>
              <w:t>Unvested Stock Awards (#)</w:t>
            </w:r>
          </w:p>
        </w:tc>
        <w:tc>
          <w:tcPr>
            <w:tcW w:w="500" w:type="dxa"/>
            <w:vAlign w:val="bottom"/>
            <w:tcBorders>
              <w:bottom w:val="single" w:sz="8" w:color="0063A6"/>
            </w:tcBorders>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Lisa Campbell</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Paul E. Jacobs</w:t>
            </w:r>
          </w:p>
        </w:tc>
        <w:tc>
          <w:tcPr>
            <w:tcW w:w="2520" w:type="dxa"/>
            <w:vAlign w:val="bottom"/>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2520" w:type="dxa"/>
            <w:vAlign w:val="bottom"/>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Karen Peacock</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Michael Seibel</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vMerge w:val="restart"/>
          </w:tcPr>
          <w:p>
            <w:pPr>
              <w:jc w:val="center"/>
              <w:ind w:left="81"/>
              <w:spacing w:after="0"/>
              <w:rPr>
                <w:sz w:val="20"/>
                <w:szCs w:val="20"/>
                <w:color w:val="auto"/>
              </w:rPr>
            </w:pPr>
            <w:r>
              <w:rPr>
                <w:rFonts w:ascii="Arial" w:cs="Arial" w:eastAsia="Arial" w:hAnsi="Arial"/>
                <w:sz w:val="16"/>
                <w:szCs w:val="16"/>
                <w:color w:val="auto"/>
                <w:w w:val="98"/>
              </w:rPr>
              <w:t>33,487</w:t>
            </w:r>
          </w:p>
        </w:tc>
        <w:tc>
          <w:tcPr>
            <w:tcW w:w="500" w:type="dxa"/>
            <w:vAlign w:val="bottom"/>
          </w:tcPr>
          <w:p>
            <w:pPr>
              <w:jc w:val="right"/>
              <w:ind w:right="1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5"/>
        </w:trPr>
        <w:tc>
          <w:tcPr>
            <w:tcW w:w="586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58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Warren Jenson</w:t>
            </w:r>
          </w:p>
        </w:tc>
        <w:tc>
          <w:tcPr>
            <w:tcW w:w="2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5/15/2025</w:t>
            </w:r>
          </w:p>
        </w:tc>
        <w:tc>
          <w:tcPr>
            <w:tcW w:w="2360" w:type="dxa"/>
            <w:vAlign w:val="bottom"/>
            <w:tcBorders>
              <w:bottom w:val="single" w:sz="8" w:color="F2F2F2"/>
            </w:tcBorders>
            <w:shd w:val="clear" w:color="auto" w:fill="F2F2F2"/>
          </w:tcPr>
          <w:p>
            <w:pPr>
              <w:jc w:val="center"/>
              <w:ind w:left="81"/>
              <w:spacing w:after="0"/>
              <w:rPr>
                <w:sz w:val="20"/>
                <w:szCs w:val="20"/>
                <w:color w:val="auto"/>
              </w:rPr>
            </w:pPr>
            <w:r>
              <w:rPr>
                <w:rFonts w:ascii="Arial" w:cs="Arial" w:eastAsia="Arial" w:hAnsi="Arial"/>
                <w:sz w:val="16"/>
                <w:szCs w:val="16"/>
                <w:color w:val="auto"/>
                <w:w w:val="99"/>
              </w:rPr>
              <w:t>8,443</w:t>
            </w:r>
          </w:p>
        </w:tc>
        <w:tc>
          <w:tcPr>
            <w:tcW w:w="50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Donald W. Blair</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360" w:type="dxa"/>
            <w:vAlign w:val="bottom"/>
            <w:vMerge w:val="restart"/>
          </w:tcPr>
          <w:p>
            <w:pPr>
              <w:jc w:val="center"/>
              <w:ind w:left="81"/>
              <w:spacing w:after="0"/>
              <w:rPr>
                <w:sz w:val="20"/>
                <w:szCs w:val="20"/>
                <w:color w:val="auto"/>
              </w:rPr>
            </w:pPr>
            <w:r>
              <w:rPr>
                <w:rFonts w:ascii="Arial" w:cs="Arial" w:eastAsia="Arial" w:hAnsi="Arial"/>
                <w:sz w:val="16"/>
                <w:szCs w:val="16"/>
                <w:color w:val="auto"/>
                <w:w w:val="99"/>
              </w:rPr>
              <w:t>—</w:t>
            </w:r>
          </w:p>
        </w:tc>
        <w:tc>
          <w:tcPr>
            <w:tcW w:w="500" w:type="dxa"/>
            <w:vAlign w:val="bottom"/>
          </w:tcPr>
          <w:p>
            <w:pPr>
              <w:jc w:val="right"/>
              <w:ind w:right="1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5"/>
        </w:trPr>
        <w:tc>
          <w:tcPr>
            <w:tcW w:w="586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23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Sara Mathew</w:t>
            </w:r>
          </w:p>
        </w:tc>
        <w:tc>
          <w:tcPr>
            <w:tcW w:w="25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60" w:type="dxa"/>
            <w:vAlign w:val="bottom"/>
            <w:vMerge w:val="restart"/>
            <w:shd w:val="clear" w:color="auto" w:fill="F2F2F2"/>
          </w:tcPr>
          <w:p>
            <w:pPr>
              <w:jc w:val="center"/>
              <w:ind w:left="81"/>
              <w:spacing w:after="0"/>
              <w:rPr>
                <w:sz w:val="20"/>
                <w:szCs w:val="20"/>
                <w:color w:val="auto"/>
              </w:rPr>
            </w:pPr>
            <w:r>
              <w:rPr>
                <w:rFonts w:ascii="Arial" w:cs="Arial" w:eastAsia="Arial" w:hAnsi="Arial"/>
                <w:sz w:val="16"/>
                <w:szCs w:val="16"/>
                <w:color w:val="auto"/>
                <w:w w:val="99"/>
              </w:rPr>
              <w:t>—</w:t>
            </w:r>
          </w:p>
        </w:tc>
        <w:tc>
          <w:tcPr>
            <w:tcW w:w="500" w:type="dxa"/>
            <w:vAlign w:val="bottom"/>
            <w:shd w:val="clear" w:color="auto" w:fill="F2F2F2"/>
          </w:tcPr>
          <w:p>
            <w:pPr>
              <w:jc w:val="right"/>
              <w:ind w:right="1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5"/>
        </w:trPr>
        <w:tc>
          <w:tcPr>
            <w:tcW w:w="5860" w:type="dxa"/>
            <w:vAlign w:val="bottom"/>
            <w:vMerge w:val="continue"/>
            <w:shd w:val="clear" w:color="auto" w:fill="F2F2F2"/>
          </w:tcPr>
          <w:p>
            <w:pPr>
              <w:spacing w:after="0"/>
              <w:rPr>
                <w:sz w:val="6"/>
                <w:szCs w:val="6"/>
                <w:color w:val="auto"/>
              </w:rPr>
            </w:pPr>
          </w:p>
        </w:tc>
        <w:tc>
          <w:tcPr>
            <w:tcW w:w="2520" w:type="dxa"/>
            <w:vAlign w:val="bottom"/>
            <w:vMerge w:val="continue"/>
            <w:shd w:val="clear" w:color="auto" w:fill="F2F2F2"/>
          </w:tcPr>
          <w:p>
            <w:pPr>
              <w:spacing w:after="0"/>
              <w:rPr>
                <w:sz w:val="6"/>
                <w:szCs w:val="6"/>
                <w:color w:val="auto"/>
              </w:rPr>
            </w:pPr>
          </w:p>
        </w:tc>
        <w:tc>
          <w:tcPr>
            <w:tcW w:w="2360" w:type="dxa"/>
            <w:vAlign w:val="bottom"/>
            <w:vMerge w:val="continue"/>
            <w:shd w:val="clear" w:color="auto" w:fill="F2F2F2"/>
          </w:tcPr>
          <w:p>
            <w:pPr>
              <w:spacing w:after="0"/>
              <w:rPr>
                <w:sz w:val="6"/>
                <w:szCs w:val="6"/>
                <w:color w:val="auto"/>
              </w:rPr>
            </w:pPr>
          </w:p>
        </w:tc>
        <w:tc>
          <w:tcPr>
            <w:tcW w:w="50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5860" w:type="dxa"/>
            <w:vAlign w:val="bottom"/>
            <w:shd w:val="clear" w:color="auto" w:fill="F2F2F2"/>
          </w:tcPr>
          <w:p>
            <w:pPr>
              <w:spacing w:after="0"/>
              <w:rPr>
                <w:sz w:val="2"/>
                <w:szCs w:val="2"/>
                <w:color w:val="auto"/>
              </w:rPr>
            </w:pPr>
          </w:p>
        </w:tc>
        <w:tc>
          <w:tcPr>
            <w:tcW w:w="2520" w:type="dxa"/>
            <w:vAlign w:val="bottom"/>
            <w:shd w:val="clear" w:color="auto" w:fill="F2F2F2"/>
          </w:tcPr>
          <w:p>
            <w:pPr>
              <w:spacing w:after="0"/>
              <w:rPr>
                <w:sz w:val="2"/>
                <w:szCs w:val="2"/>
                <w:color w:val="auto"/>
              </w:rPr>
            </w:pPr>
          </w:p>
        </w:tc>
        <w:tc>
          <w:tcPr>
            <w:tcW w:w="2360" w:type="dxa"/>
            <w:vAlign w:val="bottom"/>
            <w:shd w:val="clear" w:color="auto" w:fill="F2F2F2"/>
          </w:tcPr>
          <w:p>
            <w:pPr>
              <w:spacing w:after="0"/>
              <w:rPr>
                <w:sz w:val="2"/>
                <w:szCs w:val="2"/>
                <w:color w:val="auto"/>
              </w:rPr>
            </w:pPr>
          </w:p>
        </w:tc>
        <w:tc>
          <w:tcPr>
            <w:tcW w:w="5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-153670</wp:posOffset>
            </wp:positionV>
            <wp:extent cx="1714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1714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-153670</wp:posOffset>
            </wp:positionV>
            <wp:extent cx="1714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ind w:left="340" w:right="400" w:hanging="332"/>
        <w:spacing w:after="0" w:line="258" w:lineRule="auto"/>
        <w:tabs>
          <w:tab w:leader="none" w:pos="333" w:val="left"/>
        </w:tabs>
        <w:numPr>
          <w:ilvl w:val="0"/>
          <w:numId w:val="37"/>
        </w:numPr>
        <w:rPr>
          <w:rFonts w:ascii="Arial" w:cs="Arial" w:eastAsia="Arial" w:hAnsi="Arial"/>
          <w:sz w:val="9"/>
          <w:szCs w:val="9"/>
          <w:color w:val="auto"/>
        </w:rPr>
      </w:pPr>
      <w:r>
        <w:rPr>
          <w:rFonts w:ascii="Arial" w:cs="Arial" w:eastAsia="Arial" w:hAnsi="Arial"/>
          <w:sz w:val="14"/>
          <w:szCs w:val="14"/>
          <w:color w:val="auto"/>
        </w:rPr>
        <w:t>100% of the shares of our Class A common stock underlying the RSUs vest on May 15, 2026 or the day before the next annual meeting of our stockholders, if earlier, subject to the director’s continued service with us. See the section titled “</w:t>
      </w:r>
      <w:r>
        <w:rPr>
          <w:rFonts w:ascii="Arial" w:cs="Arial" w:eastAsia="Arial" w:hAnsi="Arial"/>
          <w:sz w:val="14"/>
          <w:szCs w:val="14"/>
          <w:i w:val="1"/>
          <w:iCs w:val="1"/>
          <w:color w:val="auto"/>
        </w:rPr>
        <w:t>Board of Directors and Corporate Governance</w:t>
      </w:r>
      <w:r>
        <w:rPr>
          <w:rFonts w:ascii="Arial" w:cs="Arial" w:eastAsia="Arial" w:hAnsi="Arial"/>
          <w:sz w:val="16"/>
          <w:szCs w:val="16"/>
          <w:i w:val="1"/>
          <w:iCs w:val="1"/>
          <w:color w:val="auto"/>
        </w:rPr>
        <w:t>—</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ind w:left="340" w:right="100" w:hanging="332"/>
        <w:spacing w:after="0" w:line="218" w:lineRule="auto"/>
        <w:tabs>
          <w:tab w:leader="none" w:pos="33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Includes 4,632 vested RSUs granted on December 11, 2020, 9,335 vested RSUs granted on May 20, 2021, and 11,077 vested RSUs granted on May 18, 2023 that were deferred at time of grant. These vested RSUs will be settled upon the earlier of (a) immediately prior to a Change in Control or (b) within 60 days of Mr. Seibel’s separation from the board or death.</w:t>
      </w:r>
    </w:p>
    <w:p>
      <w:pPr>
        <w:spacing w:after="0" w:line="1" w:lineRule="exact"/>
        <w:rPr>
          <w:rFonts w:ascii="Arial" w:cs="Arial" w:eastAsia="Arial" w:hAnsi="Arial"/>
          <w:sz w:val="19"/>
          <w:szCs w:val="19"/>
          <w:color w:val="auto"/>
          <w:vertAlign w:val="superscript"/>
        </w:rPr>
      </w:pPr>
    </w:p>
    <w:p>
      <w:pPr>
        <w:ind w:left="340" w:right="340" w:hanging="332"/>
        <w:spacing w:after="0" w:line="213" w:lineRule="auto"/>
        <w:tabs>
          <w:tab w:leader="none" w:pos="33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Mr. Blair and Ms. Mathew did not stand for reelection at the 2025 Annual Meeting, are no longer board members, and did not hold any outstanding equity awards as of December 31, 2025.</w:t>
      </w:r>
    </w:p>
    <w:p>
      <w:pPr>
        <w:spacing w:after="0" w:line="200" w:lineRule="exact"/>
        <w:rPr>
          <w:sz w:val="20"/>
          <w:szCs w:val="20"/>
          <w:color w:val="auto"/>
        </w:rPr>
      </w:pPr>
    </w:p>
    <w:p>
      <w:pPr>
        <w:spacing w:after="0" w:line="313" w:lineRule="exact"/>
        <w:rPr>
          <w:sz w:val="20"/>
          <w:szCs w:val="20"/>
          <w:color w:val="auto"/>
        </w:rPr>
      </w:pPr>
    </w:p>
    <w:p>
      <w:pPr>
        <w:ind w:left="580" w:hanging="554"/>
        <w:spacing w:after="0"/>
        <w:tabs>
          <w:tab w:leader="none" w:pos="5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PROPOSAL NO. 1—ELECTION OF DIRECTORS</w:t>
      </w:r>
    </w:p>
    <w:p>
      <w:pPr>
        <w:spacing w:after="0" w:line="200" w:lineRule="exact"/>
        <w:rPr>
          <w:sz w:val="20"/>
          <w:szCs w:val="20"/>
          <w:color w:val="auto"/>
        </w:rPr>
      </w:pPr>
    </w:p>
    <w:p>
      <w:pPr>
        <w:spacing w:after="0" w:line="27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board of directors consists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noted above, Paul E. Jacobs is not standing for reelection at the annual meeting and therefore, following the meeting, the number of authorized directors will be decreased to seven. The board of directors is grateful for Dr. Jacobs' service.</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Nominees</w:t>
      </w:r>
    </w:p>
    <w:p>
      <w:pPr>
        <w:spacing w:after="0" w:line="23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Lisa Campbell, Warren Jenson, Andrew Moore, Abhay Parasnis, Karen Peacock and Michael Seibel as nominees for election as directors at the Annual Meeting. Each of the nominees is an incumbent director. If elected, each of the nominees will serve as directors until the 2027 annual meeting of stockholders and until their successors are duly elected and qualified.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xml:space="preserve"> .” We expect that each of Dr. Moore, Messrs. Houston, Jenson, Parasnis and Seibel,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 Moore, Messrs. Houston, Jenson, Parasnis and Seibel, and Mss. Campbell and Peacock. If you are a street name stockholder and you do not give voting instructions to your broker or nominee, your broker will leave your shares unvoted on this matter.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seven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ind w:right="680"/>
        <w:spacing w:after="0"/>
        <w:rPr>
          <w:sz w:val="20"/>
          <w:szCs w:val="20"/>
          <w:color w:val="auto"/>
        </w:rPr>
      </w:pPr>
      <w:r>
        <w:rPr>
          <w:rFonts w:ascii="Arial" w:cs="Arial" w:eastAsia="Arial" w:hAnsi="Arial"/>
          <w:sz w:val="31"/>
          <w:szCs w:val="31"/>
          <w:color w:val="0063A6"/>
        </w:rPr>
        <w:t>PROPOSAL NO. 2—RATIFICATION OF APPOINTMENT OF INDEPENDENT REGISTERED PUBLIC ACCOUNTING FIRM</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2026. Ernst &amp; Young LLP has served as our independent registered public accounting firm since 2013.</w:t>
      </w:r>
    </w:p>
    <w:p>
      <w:pPr>
        <w:spacing w:after="0" w:line="11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2026.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21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39370</wp:posOffset>
            </wp:positionV>
            <wp:extent cx="17145" cy="977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97726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39370</wp:posOffset>
            </wp:positionV>
            <wp:extent cx="17145" cy="977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97726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520" w:type="dxa"/>
            <w:vAlign w:val="bottom"/>
            <w:tcBorders>
              <w:bottom w:val="single" w:sz="8" w:color="0063A6"/>
            </w:tcBorders>
            <w:shd w:val="clear" w:color="auto" w:fill="0063A6"/>
          </w:tcPr>
          <w:p>
            <w:pPr>
              <w:spacing w:after="0"/>
              <w:rPr>
                <w:sz w:val="24"/>
                <w:szCs w:val="24"/>
                <w:color w:val="auto"/>
              </w:rPr>
            </w:pP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701"/>
              <w:spacing w:after="0"/>
              <w:rPr>
                <w:sz w:val="20"/>
                <w:szCs w:val="20"/>
                <w:color w:val="auto"/>
              </w:rPr>
            </w:pPr>
            <w:r>
              <w:rPr>
                <w:rFonts w:ascii="Arial" w:cs="Arial" w:eastAsia="Arial" w:hAnsi="Arial"/>
                <w:sz w:val="14"/>
                <w:szCs w:val="14"/>
                <w:b w:val="1"/>
                <w:bCs w:val="1"/>
                <w:color w:val="FFFFFF"/>
              </w:rPr>
              <w:t>2025</w:t>
            </w: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681"/>
              <w:spacing w:after="0"/>
              <w:rPr>
                <w:sz w:val="20"/>
                <w:szCs w:val="20"/>
                <w:color w:val="auto"/>
              </w:rPr>
            </w:pPr>
            <w:r>
              <w:rPr>
                <w:rFonts w:ascii="Arial" w:cs="Arial" w:eastAsia="Arial" w:hAnsi="Arial"/>
                <w:sz w:val="14"/>
                <w:szCs w:val="14"/>
                <w:b w:val="1"/>
                <w:bCs w:val="1"/>
                <w:color w:val="FFFFFF"/>
              </w:rPr>
              <w:t>2024</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3,843,000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4,780,000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1,318,000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1,744,000</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49,000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239,000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7,000</w:t>
            </w:r>
          </w:p>
        </w:tc>
      </w:tr>
      <w:tr>
        <w:trPr>
          <w:trHeight w:val="22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Total Fees</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5,217,000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6,770,000</w:t>
            </w:r>
          </w:p>
        </w:tc>
      </w:tr>
      <w:tr>
        <w:trPr>
          <w:trHeight w:val="20"/>
        </w:trPr>
        <w:tc>
          <w:tcPr>
            <w:tcW w:w="75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-770890</wp:posOffset>
            </wp:positionV>
            <wp:extent cx="17145" cy="771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771525"/>
                    </a:xfrm>
                    <a:prstGeom prst="rect">
                      <a:avLst/>
                    </a:prstGeom>
                    <a:noFill/>
                  </pic:spPr>
                </pic:pic>
              </a:graphicData>
            </a:graphic>
          </wp:anchor>
        </w:drawing>
      </w:r>
    </w:p>
    <w:p>
      <w:pPr>
        <w:spacing w:after="0" w:line="65" w:lineRule="exact"/>
        <w:rPr>
          <w:sz w:val="20"/>
          <w:szCs w:val="20"/>
          <w:color w:val="auto"/>
        </w:rPr>
      </w:pPr>
    </w:p>
    <w:p>
      <w:pPr>
        <w:ind w:left="340" w:right="220" w:hanging="332"/>
        <w:spacing w:after="0" w:line="222"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jc w:val="both"/>
        <w:ind w:left="340" w:right="300" w:hanging="332"/>
        <w:spacing w:after="0" w:line="221"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“Audit Fees”. This includes fees for professional services with respect to the Statement on Standards for Attestation Engagements (SSAE) No. 18 and other service organization control related examinations, certifications, and assessments.</w:t>
      </w:r>
    </w:p>
    <w:p>
      <w:pPr>
        <w:spacing w:after="0" w:line="1" w:lineRule="exact"/>
        <w:rPr>
          <w:rFonts w:ascii="Arial" w:cs="Arial" w:eastAsia="Arial" w:hAnsi="Arial"/>
          <w:sz w:val="19"/>
          <w:szCs w:val="19"/>
          <w:color w:val="auto"/>
          <w:vertAlign w:val="superscript"/>
        </w:rPr>
      </w:pPr>
    </w:p>
    <w:p>
      <w:pPr>
        <w:ind w:left="320" w:hanging="312"/>
        <w:spacing w:after="0" w:line="192" w:lineRule="auto"/>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ind w:left="340" w:right="60" w:hanging="332"/>
        <w:spacing w:after="0" w:line="264" w:lineRule="auto"/>
        <w:tabs>
          <w:tab w:leader="none" w:pos="333" w:val="left"/>
        </w:tabs>
        <w:numPr>
          <w:ilvl w:val="0"/>
          <w:numId w:val="39"/>
        </w:numPr>
        <w:rPr>
          <w:rFonts w:ascii="Arial" w:cs="Arial" w:eastAsia="Arial" w:hAnsi="Arial"/>
          <w:sz w:val="9"/>
          <w:szCs w:val="9"/>
          <w:color w:val="auto"/>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80" w:hanging="554"/>
        <w:spacing w:after="0"/>
        <w:tabs>
          <w:tab w:leader="none" w:pos="5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63A6"/>
        </w:rPr>
        <w:t>(continued)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6"/>
          <w:szCs w:val="26"/>
          <w:color w:val="0063A6"/>
        </w:rPr>
        <w:t>Auditor Independence</w:t>
      </w:r>
    </w:p>
    <w:p>
      <w:pPr>
        <w:spacing w:after="0" w:line="21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our fiscal year ended December 31, 2025, there were no other professional services provided by Ernst &amp; Young LLP, other than those listed above, that would have required our audit committee to consider their compatibility with maintaining the independence of Ernst &amp; Young LLP.</w:t>
      </w:r>
    </w:p>
    <w:p>
      <w:pPr>
        <w:spacing w:after="0" w:line="326" w:lineRule="exact"/>
        <w:rPr>
          <w:sz w:val="20"/>
          <w:szCs w:val="20"/>
          <w:color w:val="auto"/>
        </w:rPr>
      </w:pPr>
    </w:p>
    <w:p>
      <w:pPr>
        <w:ind w:right="1100"/>
        <w:spacing w:after="0" w:line="276"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1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2024 and 2025 were pre-approved by our audit committee.</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2026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47"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31"/>
          <w:szCs w:val="31"/>
          <w:color w:val="0063A6"/>
        </w:rPr>
        <w:t>REPORT OF THE AUDIT COMMITTEE</w:t>
      </w:r>
    </w:p>
    <w:p>
      <w:pPr>
        <w:spacing w:after="0" w:line="200" w:lineRule="exact"/>
        <w:rPr>
          <w:sz w:val="20"/>
          <w:szCs w:val="20"/>
          <w:color w:val="auto"/>
        </w:rPr>
      </w:pPr>
    </w:p>
    <w:p>
      <w:pPr>
        <w:spacing w:after="0" w:line="2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20" w:lineRule="exact"/>
        <w:rPr>
          <w:sz w:val="20"/>
          <w:szCs w:val="20"/>
          <w:color w:val="auto"/>
        </w:rPr>
      </w:pPr>
    </w:p>
    <w:p>
      <w:pPr>
        <w:ind w:left="720" w:hanging="307"/>
        <w:spacing w:after="0"/>
        <w:tabs>
          <w:tab w:leader="none" w:pos="72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740" w:right="220" w:hanging="327"/>
        <w:spacing w:after="0" w:line="296" w:lineRule="auto"/>
        <w:tabs>
          <w:tab w:leader="none" w:pos="729"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 the SEC; and</w:t>
      </w:r>
    </w:p>
    <w:p>
      <w:pPr>
        <w:spacing w:after="0" w:line="86" w:lineRule="exact"/>
        <w:rPr>
          <w:rFonts w:ascii="Arial" w:cs="Arial" w:eastAsia="Arial" w:hAnsi="Arial"/>
          <w:sz w:val="16"/>
          <w:szCs w:val="16"/>
          <w:color w:val="0063A6"/>
        </w:rPr>
      </w:pPr>
    </w:p>
    <w:p>
      <w:pPr>
        <w:ind w:left="740" w:right="200" w:hanging="327"/>
        <w:spacing w:after="0" w:line="286" w:lineRule="auto"/>
        <w:tabs>
          <w:tab w:leader="none" w:pos="729"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2025 for filing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Warren Jenson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Lisa Campbell</w:t>
      </w:r>
    </w:p>
    <w:p>
      <w:pPr>
        <w:spacing w:after="0"/>
        <w:rPr>
          <w:sz w:val="20"/>
          <w:szCs w:val="20"/>
          <w:color w:val="auto"/>
        </w:rPr>
      </w:pPr>
      <w:r>
        <w:rPr>
          <w:rFonts w:ascii="Arial" w:cs="Arial" w:eastAsia="Arial" w:hAnsi="Arial"/>
          <w:sz w:val="16"/>
          <w:szCs w:val="16"/>
          <w:b w:val="1"/>
          <w:bCs w:val="1"/>
          <w:color w:val="auto"/>
        </w:rPr>
        <w:t>Andrew Moore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under the Exchange Act, except to the extent that we specifically incorporate this information by reference, and will not otherwise be deemed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“soliciting material” or “filed” under either the Securities Act or the Exchange Act.</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ind w:right="800"/>
        <w:spacing w:after="0" w:line="268" w:lineRule="auto"/>
        <w:rPr>
          <w:sz w:val="20"/>
          <w:szCs w:val="20"/>
          <w:color w:val="auto"/>
        </w:rPr>
      </w:pPr>
      <w:r>
        <w:rPr>
          <w:rFonts w:ascii="Arial" w:cs="Arial" w:eastAsia="Arial" w:hAnsi="Arial"/>
          <w:sz w:val="31"/>
          <w:szCs w:val="31"/>
          <w:color w:val="0063A6"/>
        </w:rPr>
        <w:t>PROPOSAL NO. 3—ADVISORY VOTE ON THE COMPENSATION OF OUR NAMED EXECUTIVE OFFICERS</w:t>
      </w:r>
    </w:p>
    <w:p>
      <w:pPr>
        <w:spacing w:after="0" w:line="64"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In accordance with Section 14A of the Exchange Act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33" w:lineRule="exact"/>
        <w:rPr>
          <w:sz w:val="20"/>
          <w:szCs w:val="20"/>
          <w:color w:val="auto"/>
        </w:rPr>
      </w:pPr>
    </w:p>
    <w:p>
      <w:pPr>
        <w:ind w:right="500"/>
        <w:spacing w:after="0" w:line="256"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Discussion and Analysis— Executive Compensation Philosophy and Objectives</w:t>
      </w:r>
      <w:r>
        <w:rPr>
          <w:rFonts w:ascii="Arial" w:cs="Arial" w:eastAsia="Arial" w:hAnsi="Arial"/>
          <w:sz w:val="16"/>
          <w:szCs w:val="16"/>
          <w:color w:val="auto"/>
        </w:rPr>
        <w:t>,” demonstrates that our</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04"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117"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354"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7" w:lineRule="exact"/>
        <w:rPr>
          <w:sz w:val="20"/>
          <w:szCs w:val="20"/>
          <w:color w:val="auto"/>
        </w:rPr>
      </w:pPr>
    </w:p>
    <w:p>
      <w:pPr>
        <w:ind w:right="1220"/>
        <w:spacing w:after="0" w:line="268" w:lineRule="auto"/>
        <w:rPr>
          <w:sz w:val="20"/>
          <w:szCs w:val="20"/>
          <w:color w:val="auto"/>
        </w:rPr>
      </w:pPr>
      <w:r>
        <w:rPr>
          <w:rFonts w:ascii="Arial" w:cs="Arial" w:eastAsia="Arial" w:hAnsi="Arial"/>
          <w:sz w:val="31"/>
          <w:szCs w:val="31"/>
          <w:color w:val="0063A6"/>
        </w:rPr>
        <w:t>PROPOSAL NO. 4—PROPOSAL TO APPROVE AN AMENDMENT AND RESTATEMENT OF OUR ARTICLES (JURY TRIAL WAIVER)</w:t>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color w:val="0063A6"/>
        </w:rPr>
        <w:t>Overview and Background</w:t>
      </w:r>
    </w:p>
    <w:p>
      <w:pPr>
        <w:spacing w:after="0" w:line="23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March 2025, we reincorporated to Nevada from Delaware and the company is now incorporated under the laws of the State of Nevada, and governed by Chapters 78 and 92A of the Nevada Revised Statutes (“</w:t>
      </w:r>
      <w:r>
        <w:rPr>
          <w:rFonts w:ascii="Arial" w:cs="Arial" w:eastAsia="Arial" w:hAnsi="Arial"/>
          <w:sz w:val="16"/>
          <w:szCs w:val="16"/>
          <w:b w:val="1"/>
          <w:bCs w:val="1"/>
          <w:i w:val="1"/>
          <w:iCs w:val="1"/>
          <w:color w:val="auto"/>
        </w:rPr>
        <w:t>NRS</w:t>
      </w:r>
      <w:r>
        <w:rPr>
          <w:rFonts w:ascii="Arial" w:cs="Arial" w:eastAsia="Arial" w:hAnsi="Arial"/>
          <w:sz w:val="16"/>
          <w:szCs w:val="16"/>
          <w:color w:val="auto"/>
        </w:rPr>
        <w:t>”).</w:t>
      </w:r>
    </w:p>
    <w:p>
      <w:pPr>
        <w:spacing w:after="0" w:line="8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As described below, in May 2025, the Nevada Legislature enacted Assembly Bill No. 239 (“</w:t>
      </w:r>
      <w:r>
        <w:rPr>
          <w:rFonts w:ascii="Arial" w:cs="Arial" w:eastAsia="Arial" w:hAnsi="Arial"/>
          <w:sz w:val="16"/>
          <w:szCs w:val="16"/>
          <w:b w:val="1"/>
          <w:bCs w:val="1"/>
          <w:i w:val="1"/>
          <w:iCs w:val="1"/>
          <w:color w:val="auto"/>
        </w:rPr>
        <w:t>AB 239</w:t>
      </w:r>
      <w:r>
        <w:rPr>
          <w:rFonts w:ascii="Arial" w:cs="Arial" w:eastAsia="Arial" w:hAnsi="Arial"/>
          <w:sz w:val="16"/>
          <w:szCs w:val="16"/>
          <w:color w:val="auto"/>
        </w:rPr>
        <w:t>”) which permits a Nevada corporation to include a provision in its articles of incorporation specifying that certain “internal actions” filed in Nevada state court must be tried by the presiding judge as the trier of fact. In consultation with counsel, our board of directors has evaluated this and certain other changes to our Articles and has approved, and recommended that our stockholders approve, the amendment and restatement of our Articles to include a limited jury trial waiver and make certain contextual and other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ministerial amendments</w:t>
      </w:r>
      <w:r>
        <w:rPr>
          <w:rFonts w:ascii="Arial" w:cs="Arial" w:eastAsia="Arial" w:hAnsi="Arial"/>
          <w:sz w:val="21"/>
          <w:szCs w:val="21"/>
          <w:color w:val="auto"/>
        </w:rPr>
        <w:t>.</w:t>
      </w:r>
    </w:p>
    <w:p>
      <w:pPr>
        <w:spacing w:after="0" w:line="367" w:lineRule="exact"/>
        <w:rPr>
          <w:sz w:val="20"/>
          <w:szCs w:val="20"/>
          <w:color w:val="auto"/>
        </w:rPr>
      </w:pPr>
    </w:p>
    <w:p>
      <w:pPr>
        <w:spacing w:after="0"/>
        <w:rPr>
          <w:sz w:val="20"/>
          <w:szCs w:val="20"/>
          <w:color w:val="auto"/>
        </w:rPr>
      </w:pPr>
      <w:r>
        <w:rPr>
          <w:rFonts w:ascii="Arial" w:cs="Arial" w:eastAsia="Arial" w:hAnsi="Arial"/>
          <w:sz w:val="26"/>
          <w:szCs w:val="26"/>
          <w:color w:val="0063A6"/>
        </w:rPr>
        <w:t>Description of Proposed Amendments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Limited Jury Trial Waiver</w:t>
      </w:r>
    </w:p>
    <w:p>
      <w:pPr>
        <w:spacing w:after="0" w:line="15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AB 239 amended NRS 78.046 to permit a Nevada corporation to include a provision in its articles of incorporation specifying that, to the extent not inconsistent with U.S. federal law, all or certain “internal actions” (as defined in NRS 78.046) filed in Nevada state court must be tried before the presiding judge as the trier of fact, rather than before a jury. Under NRS 78.046, “internal actions” include any action, suit or proceeding:</w:t>
      </w:r>
    </w:p>
    <w:p>
      <w:pPr>
        <w:spacing w:after="0" w:line="13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16"/>
          <w:szCs w:val="16"/>
          <w:color w:val="auto"/>
        </w:rPr>
        <w:t>Brought in the name or right of the corporation;</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6"/>
          <w:szCs w:val="16"/>
          <w:color w:val="auto"/>
        </w:rPr>
        <w:t>For or based upon any breach of fiduciary duty owed by any director, officer or controlling stockholder; or</w:t>
      </w:r>
    </w:p>
    <w:p>
      <w:pPr>
        <w:spacing w:after="0" w:line="176" w:lineRule="exact"/>
        <w:rPr>
          <w:rFonts w:ascii="Times New Roman" w:cs="Times New Roman" w:eastAsia="Times New Roman" w:hAnsi="Times New Roman"/>
          <w:sz w:val="22"/>
          <w:szCs w:val="22"/>
          <w:color w:val="auto"/>
        </w:rPr>
      </w:pPr>
    </w:p>
    <w:p>
      <w:pPr>
        <w:jc w:val="both"/>
        <w:ind w:left="660" w:right="180" w:hanging="328"/>
        <w:spacing w:after="0" w:line="197" w:lineRule="auto"/>
        <w:tabs>
          <w:tab w:leader="none" w:pos="655"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6"/>
          <w:szCs w:val="16"/>
          <w:color w:val="auto"/>
        </w:rPr>
        <w:t>Arising pursuant to, or to interpret, apply, enforce or determine the validity of, any provision of NRS Title 7 (which includes Nevada’s corporation statutes), the articles of incorporation, the bylaws or any agreement entered into pursuant to NRS 78.365 to which the corporation is a party or a stated beneficiary thereof.</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limited jury trial waiver must appear in the corporation’s articles of incorporation, which requires both board and stockholder approval.</w:t>
      </w:r>
    </w:p>
    <w:p>
      <w:pPr>
        <w:spacing w:after="0" w:line="15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board of directors believes that a limited jury trial waiver in our articles of incorporation would enhance the predictability and efficiency of resolving disputes relating to “internal actions” (as described above). A limited jury trial waiver for internal actions, such as fiduciary duty claims or derivative suits, could help these matters resolve more quickly and with greater consistency, potentially reducing litigation uncertainty, legal costs, and the potential for unpredictable outcomes that could negatively affect our operations or stockholder value. Including a limited jury trial waiver in the proposed amendments to our Articles also aligns our framework more closely with how we previously operated under Delaware law, where internal actions would have been tried before a judge in the Delaware Chancery Court, rather than before a jury.</w:t>
      </w:r>
    </w:p>
    <w:p>
      <w:pPr>
        <w:spacing w:after="0" w:line="12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light of this update in Nevada law, our board is proposing to amend and restate our Articles to include the limited jury trial waiver, as permitted by NRS 78.046.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Other Changes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consideration of our proposal to amend and restate our Articles with respect to the limited jury trial waiver, the company considered additional textual and immaterial matters that require update in our Articles, and the company has included certain contextual and other ministerial revisions in the proposed amendments, including new defined terms and drafting refinements. If approved, the amendments to our Articles contemplated by this Proposal No. 4 would be filed with the Nevada Secretary of State in an amendment and restatement of our Articles.</w:t>
      </w:r>
    </w:p>
    <w:p>
      <w:pPr>
        <w:spacing w:after="0" w:line="12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Taking into account the benefits our board of directors believes would accrue to the company and its stockholders with a limited jury trial waiver, along with incorporating certain textual and immaterial revisions, our board of directors has unanimously determined that it is advisable and in the best interests of the company and our stockholders to approve these amendments to our Articles and has approved and adopted the proposed amendment and restatement of our Articles, subject to approval by our stockholders.</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7" w:lineRule="exact"/>
        <w:rPr>
          <w:sz w:val="20"/>
          <w:szCs w:val="20"/>
          <w:color w:val="auto"/>
        </w:rPr>
      </w:pPr>
    </w:p>
    <w:p>
      <w:pPr>
        <w:jc w:val="both"/>
        <w:ind w:right="1220"/>
        <w:spacing w:after="0" w:line="285" w:lineRule="auto"/>
        <w:rPr>
          <w:sz w:val="20"/>
          <w:szCs w:val="20"/>
          <w:color w:val="auto"/>
        </w:rPr>
      </w:pPr>
      <w:r>
        <w:rPr>
          <w:rFonts w:ascii="Arial" w:cs="Arial" w:eastAsia="Arial" w:hAnsi="Arial"/>
          <w:sz w:val="30"/>
          <w:szCs w:val="30"/>
          <w:color w:val="0063A6"/>
        </w:rPr>
        <w:t>PROPOSAL NO. 4—PROPOSAL TO APPROVE AN AMENDMENT AND RESTATEMENT OF OUR ARTICLES (JURY TRIAL WAIVER) (continued)</w:t>
      </w:r>
    </w:p>
    <w:p>
      <w:pPr>
        <w:spacing w:after="0" w:line="35" w:lineRule="exact"/>
        <w:rPr>
          <w:sz w:val="20"/>
          <w:szCs w:val="20"/>
          <w:color w:val="auto"/>
        </w:rPr>
      </w:pPr>
    </w:p>
    <w:p>
      <w:pPr>
        <w:spacing w:after="0"/>
        <w:rPr>
          <w:sz w:val="20"/>
          <w:szCs w:val="20"/>
          <w:color w:val="auto"/>
        </w:rPr>
      </w:pPr>
      <w:r>
        <w:rPr>
          <w:rFonts w:ascii="Arial" w:cs="Arial" w:eastAsia="Arial" w:hAnsi="Arial"/>
          <w:sz w:val="26"/>
          <w:szCs w:val="26"/>
          <w:color w:val="0063A6"/>
        </w:rPr>
        <w:t>Text of Proposed New Article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LIMITED WAIVER OF JURY TRIAL</w:t>
      </w:r>
    </w:p>
    <w:p>
      <w:pPr>
        <w:spacing w:after="0" w:line="20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w:t>
      </w:r>
    </w:p>
    <w:p>
      <w:pPr>
        <w:spacing w:after="0" w:line="16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A copy of the proposed amended and restated Articles showing the proposed revisions, with deleted text shown in strikethrough and added text shown as underlined in blue, is included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 All stockholders are encouraged to read the proposed amended and restated Articles in its entirety for a more complete description of its terms.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ask our stockholders to vote on the following resolution:</w:t>
      </w:r>
    </w:p>
    <w:p>
      <w:pPr>
        <w:spacing w:after="0" w:line="167"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 xml:space="preserve">"RESOLVED, that the company’s stockholders approve the company’s proposed amendment and restatement of our Articles with respect to the limited jury trial waiver and related contextual and other ministerial amendments,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219" w:lineRule="exact"/>
        <w:rPr>
          <w:sz w:val="20"/>
          <w:szCs w:val="20"/>
          <w:color w:val="auto"/>
        </w:rPr>
      </w:pPr>
    </w:p>
    <w:p>
      <w:pPr>
        <w:jc w:val="both"/>
        <w:ind w:right="160"/>
        <w:spacing w:after="0" w:line="257" w:lineRule="auto"/>
        <w:rPr>
          <w:sz w:val="20"/>
          <w:szCs w:val="20"/>
          <w:color w:val="auto"/>
        </w:rPr>
      </w:pPr>
      <w:r>
        <w:rPr>
          <w:rFonts w:ascii="Arial" w:cs="Arial" w:eastAsia="Arial" w:hAnsi="Arial"/>
          <w:sz w:val="16"/>
          <w:szCs w:val="16"/>
          <w:color w:val="auto"/>
        </w:rPr>
        <w:t>The approval of the amendment and restatement of our Articles to include the limited jury trial waiver (and other contextual and other ministerial revisions) requires the affirmative vote of the holders of at least two-thirds of the voting power of the outstanding shares of our common stock entitled to vote thereon, voting together as a single class. As a result, abstentions and broker non-votes will have the same effect as a vote “against” this proposal.</w:t>
      </w:r>
    </w:p>
    <w:p>
      <w:pPr>
        <w:spacing w:after="0" w:line="354"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b w:val="1"/>
          <w:bCs w:val="1"/>
          <w:color w:val="0063A6"/>
        </w:rPr>
        <w:t>THE BOARD OF DIRECTORS UNANIMOUSLY RECOMMENDS A VOTE “FOR” THE PROPOSED AMENDED AND RESTATED ARTICLES WITH RESPECT TO THE LIMITED JURY TRIAL WAIVER AND RELATED CONTEXTUAL AND OTHER MINISTERIAL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OFFICERS</w:t>
      </w:r>
    </w:p>
    <w:p>
      <w:pPr>
        <w:spacing w:after="0" w:line="200" w:lineRule="exact"/>
        <w:rPr>
          <w:sz w:val="20"/>
          <w:szCs w:val="20"/>
          <w:color w:val="auto"/>
        </w:rPr>
      </w:pP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identifies certain information about our current executive officers as of April 6, 2026.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659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shd w:val="clear" w:color="auto" w:fill="0063A6"/>
          </w:tcPr>
          <w:p>
            <w:pPr>
              <w:ind w:left="60"/>
              <w:spacing w:after="0"/>
              <w:rPr>
                <w:sz w:val="20"/>
                <w:szCs w:val="20"/>
                <w:color w:val="auto"/>
              </w:rPr>
            </w:pPr>
            <w:r>
              <w:rPr>
                <w:rFonts w:ascii="Arial" w:cs="Arial" w:eastAsia="Arial" w:hAnsi="Arial"/>
                <w:sz w:val="14"/>
                <w:szCs w:val="14"/>
                <w:color w:val="FFFFFF"/>
              </w:rPr>
              <w:t>Name</w:t>
            </w: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color w:val="FFFFFF"/>
              </w:rPr>
              <w:t>Age</w:t>
            </w:r>
          </w:p>
        </w:tc>
        <w:tc>
          <w:tcPr>
            <w:tcW w:w="5980" w:type="dxa"/>
            <w:vAlign w:val="bottom"/>
            <w:shd w:val="clear" w:color="auto" w:fill="0063A6"/>
          </w:tcPr>
          <w:p>
            <w:pPr>
              <w:ind w:left="80"/>
              <w:spacing w:after="0"/>
              <w:rPr>
                <w:sz w:val="20"/>
                <w:szCs w:val="20"/>
                <w:color w:val="auto"/>
              </w:rPr>
            </w:pPr>
            <w:r>
              <w:rPr>
                <w:rFonts w:ascii="Arial" w:cs="Arial" w:eastAsia="Arial" w:hAnsi="Arial"/>
                <w:sz w:val="14"/>
                <w:szCs w:val="14"/>
                <w:color w:val="FFFFFF"/>
              </w:rPr>
              <w:t>Position</w:t>
            </w:r>
          </w:p>
        </w:tc>
      </w:tr>
      <w:tr>
        <w:trPr>
          <w:trHeight w:val="62"/>
        </w:trPr>
        <w:tc>
          <w:tcPr>
            <w:tcW w:w="3560" w:type="dxa"/>
            <w:vAlign w:val="bottom"/>
            <w:shd w:val="clear" w:color="auto" w:fill="0063A6"/>
          </w:tcPr>
          <w:p>
            <w:pPr>
              <w:spacing w:after="0"/>
              <w:rPr>
                <w:sz w:val="5"/>
                <w:szCs w:val="5"/>
                <w:color w:val="auto"/>
              </w:rPr>
            </w:pPr>
          </w:p>
        </w:tc>
        <w:tc>
          <w:tcPr>
            <w:tcW w:w="1700" w:type="dxa"/>
            <w:vAlign w:val="bottom"/>
            <w:shd w:val="clear" w:color="auto" w:fill="0063A6"/>
          </w:tcPr>
          <w:p>
            <w:pPr>
              <w:spacing w:after="0"/>
              <w:rPr>
                <w:sz w:val="5"/>
                <w:szCs w:val="5"/>
                <w:color w:val="auto"/>
              </w:rPr>
            </w:pPr>
          </w:p>
        </w:tc>
        <w:tc>
          <w:tcPr>
            <w:tcW w:w="5980" w:type="dxa"/>
            <w:vAlign w:val="bottom"/>
            <w:shd w:val="clear" w:color="auto" w:fill="0063A6"/>
          </w:tcPr>
          <w:p>
            <w:pPr>
              <w:spacing w:after="0"/>
              <w:rPr>
                <w:sz w:val="5"/>
                <w:szCs w:val="5"/>
                <w:color w:val="auto"/>
              </w:rPr>
            </w:pPr>
          </w:p>
        </w:tc>
      </w:tr>
      <w:tr>
        <w:trPr>
          <w:trHeight w:val="223"/>
        </w:trPr>
        <w:tc>
          <w:tcPr>
            <w:tcW w:w="3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Andrew W. Houston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43</w:t>
            </w:r>
          </w:p>
        </w:tc>
        <w:tc>
          <w:tcPr>
            <w:tcW w:w="59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Chief Executive Officer, Co-Founder, and Chair</w:t>
            </w:r>
          </w:p>
        </w:tc>
      </w:tr>
      <w:tr>
        <w:trPr>
          <w:trHeight w:val="222"/>
        </w:trPr>
        <w:tc>
          <w:tcPr>
            <w:tcW w:w="3560" w:type="dxa"/>
            <w:vAlign w:val="bottom"/>
          </w:tcPr>
          <w:p>
            <w:pPr>
              <w:ind w:left="60"/>
              <w:spacing w:after="0"/>
              <w:rPr>
                <w:sz w:val="20"/>
                <w:szCs w:val="20"/>
                <w:color w:val="auto"/>
              </w:rPr>
            </w:pPr>
            <w:r>
              <w:rPr>
                <w:rFonts w:ascii="Arial" w:cs="Arial" w:eastAsia="Arial" w:hAnsi="Arial"/>
                <w:sz w:val="14"/>
                <w:szCs w:val="14"/>
                <w:color w:val="auto"/>
              </w:rPr>
              <w:t>Ross Tennenbaum</w:t>
            </w:r>
          </w:p>
        </w:tc>
        <w:tc>
          <w:tcPr>
            <w:tcW w:w="1700" w:type="dxa"/>
            <w:vAlign w:val="bottom"/>
          </w:tcPr>
          <w:p>
            <w:pPr>
              <w:jc w:val="center"/>
              <w:spacing w:after="0"/>
              <w:rPr>
                <w:sz w:val="20"/>
                <w:szCs w:val="20"/>
                <w:color w:val="auto"/>
              </w:rPr>
            </w:pPr>
            <w:r>
              <w:rPr>
                <w:rFonts w:ascii="Arial" w:cs="Arial" w:eastAsia="Arial" w:hAnsi="Arial"/>
                <w:sz w:val="14"/>
                <w:szCs w:val="14"/>
                <w:color w:val="auto"/>
              </w:rPr>
              <w:t>47</w:t>
            </w:r>
          </w:p>
        </w:tc>
        <w:tc>
          <w:tcPr>
            <w:tcW w:w="5980" w:type="dxa"/>
            <w:vAlign w:val="bottom"/>
          </w:tcPr>
          <w:p>
            <w:pPr>
              <w:ind w:left="80"/>
              <w:spacing w:after="0"/>
              <w:rPr>
                <w:sz w:val="20"/>
                <w:szCs w:val="20"/>
                <w:color w:val="auto"/>
              </w:rPr>
            </w:pPr>
            <w:r>
              <w:rPr>
                <w:rFonts w:ascii="Arial" w:cs="Arial" w:eastAsia="Arial" w:hAnsi="Arial"/>
                <w:sz w:val="14"/>
                <w:szCs w:val="14"/>
                <w:color w:val="auto"/>
              </w:rPr>
              <w:t>Chief Financial Officer</w:t>
            </w:r>
          </w:p>
        </w:tc>
      </w:tr>
      <w:tr>
        <w:trPr>
          <w:trHeight w:val="22"/>
        </w:trPr>
        <w:tc>
          <w:tcPr>
            <w:tcW w:w="3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29"/>
        </w:trPr>
        <w:tc>
          <w:tcPr>
            <w:tcW w:w="3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William Yoon</w:t>
            </w:r>
          </w:p>
        </w:tc>
        <w:tc>
          <w:tcPr>
            <w:tcW w:w="1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47</w:t>
            </w:r>
          </w:p>
        </w:tc>
        <w:tc>
          <w:tcPr>
            <w:tcW w:w="5980" w:type="dxa"/>
            <w:vAlign w:val="bottom"/>
            <w:shd w:val="clear" w:color="auto" w:fill="F2F2F2"/>
          </w:tcPr>
          <w:p>
            <w:pPr>
              <w:ind w:left="80"/>
              <w:spacing w:after="0"/>
              <w:rPr>
                <w:sz w:val="20"/>
                <w:szCs w:val="20"/>
                <w:color w:val="auto"/>
              </w:rPr>
            </w:pPr>
            <w:r>
              <w:rPr>
                <w:rFonts w:ascii="Arial" w:cs="Arial" w:eastAsia="Arial" w:hAnsi="Arial"/>
                <w:sz w:val="14"/>
                <w:szCs w:val="14"/>
                <w:color w:val="auto"/>
              </w:rPr>
              <w:t>Chief Legal Officer</w:t>
            </w:r>
          </w:p>
        </w:tc>
      </w:tr>
      <w:tr>
        <w:trPr>
          <w:trHeight w:val="212"/>
        </w:trPr>
        <w:tc>
          <w:tcPr>
            <w:tcW w:w="3560" w:type="dxa"/>
            <w:vAlign w:val="bottom"/>
          </w:tcPr>
          <w:p>
            <w:pPr>
              <w:ind w:left="60"/>
              <w:spacing w:after="0"/>
              <w:rPr>
                <w:sz w:val="20"/>
                <w:szCs w:val="20"/>
                <w:color w:val="auto"/>
              </w:rPr>
            </w:pPr>
            <w:r>
              <w:rPr>
                <w:rFonts w:ascii="Arial" w:cs="Arial" w:eastAsia="Arial" w:hAnsi="Arial"/>
                <w:sz w:val="14"/>
                <w:szCs w:val="14"/>
                <w:color w:val="auto"/>
              </w:rPr>
              <w:t>Ali Dasdan</w:t>
            </w:r>
          </w:p>
        </w:tc>
        <w:tc>
          <w:tcPr>
            <w:tcW w:w="1700" w:type="dxa"/>
            <w:vAlign w:val="bottom"/>
          </w:tcPr>
          <w:p>
            <w:pPr>
              <w:jc w:val="center"/>
              <w:spacing w:after="0"/>
              <w:rPr>
                <w:sz w:val="20"/>
                <w:szCs w:val="20"/>
                <w:color w:val="auto"/>
              </w:rPr>
            </w:pPr>
            <w:r>
              <w:rPr>
                <w:rFonts w:ascii="Arial" w:cs="Arial" w:eastAsia="Arial" w:hAnsi="Arial"/>
                <w:sz w:val="14"/>
                <w:szCs w:val="14"/>
                <w:color w:val="auto"/>
              </w:rPr>
              <w:t>56</w:t>
            </w:r>
          </w:p>
        </w:tc>
        <w:tc>
          <w:tcPr>
            <w:tcW w:w="5980" w:type="dxa"/>
            <w:vAlign w:val="bottom"/>
          </w:tcPr>
          <w:p>
            <w:pPr>
              <w:ind w:left="60"/>
              <w:spacing w:after="0"/>
              <w:rPr>
                <w:sz w:val="20"/>
                <w:szCs w:val="20"/>
                <w:color w:val="auto"/>
              </w:rPr>
            </w:pPr>
            <w:r>
              <w:rPr>
                <w:rFonts w:ascii="Arial" w:cs="Arial" w:eastAsia="Arial" w:hAnsi="Arial"/>
                <w:sz w:val="14"/>
                <w:szCs w:val="14"/>
                <w:color w:val="auto"/>
              </w:rPr>
              <w:t>Chief Technology Officer</w:t>
            </w:r>
          </w:p>
        </w:tc>
      </w:tr>
      <w:tr>
        <w:trPr>
          <w:trHeight w:val="220"/>
        </w:trPr>
        <w:tc>
          <w:tcPr>
            <w:tcW w:w="3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Ashraf Alkarmi</w:t>
            </w:r>
          </w:p>
        </w:tc>
        <w:tc>
          <w:tcPr>
            <w:tcW w:w="17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47</w:t>
            </w:r>
          </w:p>
        </w:tc>
        <w:tc>
          <w:tcPr>
            <w:tcW w:w="5980" w:type="dxa"/>
            <w:vAlign w:val="bottom"/>
            <w:shd w:val="clear" w:color="auto" w:fill="F2F2F2"/>
          </w:tcPr>
          <w:p>
            <w:pPr>
              <w:ind w:left="60"/>
              <w:spacing w:after="0"/>
              <w:rPr>
                <w:sz w:val="20"/>
                <w:szCs w:val="20"/>
                <w:color w:val="auto"/>
              </w:rPr>
            </w:pPr>
            <w:r>
              <w:rPr>
                <w:rFonts w:ascii="Arial" w:cs="Arial" w:eastAsia="Arial" w:hAnsi="Arial"/>
                <w:sz w:val="14"/>
                <w:szCs w:val="14"/>
                <w:color w:val="auto"/>
              </w:rPr>
              <w:t>General Manager and Senior Vice President, Core Products</w:t>
            </w:r>
          </w:p>
        </w:tc>
      </w:tr>
      <w:tr>
        <w:trPr>
          <w:trHeight w:val="208"/>
        </w:trPr>
        <w:tc>
          <w:tcPr>
            <w:tcW w:w="3560" w:type="dxa"/>
            <w:vAlign w:val="bottom"/>
          </w:tcPr>
          <w:p>
            <w:pPr>
              <w:ind w:left="60"/>
              <w:spacing w:after="0"/>
              <w:rPr>
                <w:sz w:val="20"/>
                <w:szCs w:val="20"/>
                <w:color w:val="auto"/>
              </w:rPr>
            </w:pPr>
            <w:r>
              <w:rPr>
                <w:rFonts w:ascii="Arial" w:cs="Arial" w:eastAsia="Arial" w:hAnsi="Arial"/>
                <w:sz w:val="14"/>
                <w:szCs w:val="14"/>
                <w:color w:val="auto"/>
              </w:rPr>
              <w:t>Eric Webster</w:t>
            </w:r>
          </w:p>
        </w:tc>
        <w:tc>
          <w:tcPr>
            <w:tcW w:w="1700" w:type="dxa"/>
            <w:vAlign w:val="bottom"/>
          </w:tcPr>
          <w:p>
            <w:pPr>
              <w:jc w:val="center"/>
              <w:spacing w:after="0"/>
              <w:rPr>
                <w:sz w:val="20"/>
                <w:szCs w:val="20"/>
                <w:color w:val="auto"/>
              </w:rPr>
            </w:pPr>
            <w:r>
              <w:rPr>
                <w:rFonts w:ascii="Arial" w:cs="Arial" w:eastAsia="Arial" w:hAnsi="Arial"/>
                <w:sz w:val="14"/>
                <w:szCs w:val="14"/>
                <w:color w:val="auto"/>
              </w:rPr>
              <w:t>48</w:t>
            </w:r>
          </w:p>
        </w:tc>
        <w:tc>
          <w:tcPr>
            <w:tcW w:w="598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Officer Biographies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Mr. Houston's biography, see the section titled “</w:t>
      </w:r>
      <w:r>
        <w:rPr>
          <w:rFonts w:ascii="Arial" w:cs="Arial" w:eastAsia="Arial" w:hAnsi="Arial"/>
          <w:sz w:val="16"/>
          <w:szCs w:val="16"/>
          <w:i w:val="1"/>
          <w:iCs w:val="1"/>
          <w:color w:val="auto"/>
        </w:rPr>
        <w:t>Board of Directors and Corporate Governance—Nominees for Director</w:t>
      </w:r>
      <w:r>
        <w:rPr>
          <w:rFonts w:ascii="Arial" w:cs="Arial" w:eastAsia="Arial" w:hAnsi="Arial"/>
          <w:sz w:val="16"/>
          <w:szCs w:val="16"/>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0063A6"/>
        </w:rPr>
        <w:t>Ross Tennenbaum</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Ross Tennenbaum has served as Dropbox's Chief Financial Officer since December 2025. Prior to joining Dropbox, Mr. Tennenbaum</w:t>
      </w:r>
      <w:r>
        <w:rPr>
          <w:rFonts w:ascii="Arial" w:cs="Arial" w:eastAsia="Arial" w:hAnsi="Arial"/>
          <w:sz w:val="16"/>
          <w:szCs w:val="16"/>
          <w:b w:val="1"/>
          <w:bCs w:val="1"/>
          <w:color w:val="0063A6"/>
        </w:rPr>
        <w:t xml:space="preserve"> </w:t>
      </w:r>
      <w:r>
        <w:rPr>
          <w:rFonts w:ascii="Arial" w:cs="Arial" w:eastAsia="Arial" w:hAnsi="Arial"/>
          <w:sz w:val="16"/>
          <w:szCs w:val="16"/>
          <w:color w:val="000000"/>
        </w:rPr>
        <w:t>served in several leadership roles at Avalara, an agentic tax and compliance company, where he served as President from April 2024 to December 2025, as Chief Financial Officer from April 2020 to April 2024, and as Executive Vice President, Strategic Initiatives group from March 2019 to April 2024. He previously served as Vice President and later Managing Director, Software Investment Banking at Goldman Sachs from 2014 to 2019. Prior to Goldman Sachs, Mr. Tennenbaum served as Associate and later Vice President, Software Investment Banking at Credit Suisse from 2009 to 2014. Mr. Tennenbaum holds a B.S. in Finance and Economics from the University of Florida and an M.B.A. in Finance and Venture Capital from The Wharton School of the University of Pennsylvania.</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0063A6"/>
        </w:rPr>
        <w:t>William Yoon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William Yoon has served as Dropbox's Chief Legal Officer since March 2025. Previously, he served as Dropbox's Vice President, Product</w:t>
      </w:r>
      <w:r>
        <w:rPr>
          <w:rFonts w:ascii="Arial" w:cs="Arial" w:eastAsia="Arial" w:hAnsi="Arial"/>
          <w:sz w:val="16"/>
          <w:szCs w:val="16"/>
          <w:b w:val="1"/>
          <w:bCs w:val="1"/>
          <w:color w:val="0063A6"/>
        </w:rPr>
        <w:t xml:space="preserve"> </w:t>
      </w:r>
      <w:r>
        <w:rPr>
          <w:rFonts w:ascii="Arial" w:cs="Arial" w:eastAsia="Arial" w:hAnsi="Arial"/>
          <w:sz w:val="16"/>
          <w:szCs w:val="16"/>
          <w:color w:val="000000"/>
        </w:rPr>
        <w:t>Counseling &amp; Privacy from September 2021 to March 2025 and as Dropbox's Chief Privacy Officer since 2020. He first joined Dropbox in 2013, when he established the company’s product counseling team, and has since taken on increasing responsibilities, most recently overseeing product counseling, privacy, commercial, litigation, and regulatory. In addition to Dropbox, Mr. Yoon has held leadership roles in product counseling and privacy functions at Facebook and Google. Prior to joining Google, Mr. Yoon practiced law at Foley &amp; Lardner LLP from 2006 to 2010. Mr. Yoon holds a Juris Doctor from Northwestern University Pritzker School of Law and a Bachelor of Arts in Government - Latin American Studies from Cornell University.</w:t>
      </w:r>
    </w:p>
    <w:p>
      <w:pPr>
        <w:spacing w:after="0" w:line="12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b w:val="1"/>
          <w:bCs w:val="1"/>
          <w:color w:val="0063A6"/>
        </w:rPr>
        <w:t>Ali Dasdan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Ali Dasdan has served as Dropbox's Chief Technology Officer since March 2025. Prior to joining Dropbox, he served as the Executive Vice</w:t>
      </w:r>
      <w:r>
        <w:rPr>
          <w:rFonts w:ascii="Arial" w:cs="Arial" w:eastAsia="Arial" w:hAnsi="Arial"/>
          <w:sz w:val="16"/>
          <w:szCs w:val="16"/>
          <w:b w:val="1"/>
          <w:bCs w:val="1"/>
          <w:color w:val="0063A6"/>
        </w:rPr>
        <w:t xml:space="preserve"> </w:t>
      </w:r>
      <w:r>
        <w:rPr>
          <w:rFonts w:ascii="Arial" w:cs="Arial" w:eastAsia="Arial" w:hAnsi="Arial"/>
          <w:sz w:val="16"/>
          <w:szCs w:val="16"/>
          <w:color w:val="000000"/>
        </w:rPr>
        <w:t>President and Chief Technology Officer at Zoominfo Technologies, Inc., a comprehensive sales and marketing intelligence software-as-a-service platform, from January 2023 to March 2025. From April 2019 to January 2023, Mr. Dasdan worked at Atlassian Corporation Plc, or Atlassian, an enterprise software company, where he served as Head of Engineering for Confluence Cloud and, later, Head of Engineering for Work Management for All. Prior to joining Atlassian, Mr. Dasdan was Head of Engineering and Product at Poynt LLC, a platform for next generation payments, from 2018 to 2019 and he was Head of Engineering, Data and Marketing Automation at Tesco PLC, or Tesco, a multinational grocery and general merchandise retailer, from 2016 to 2018. Prior to his role at Tesco, Mr. Dasdan held various engineering and product management leadership roles at other technology companies, including Turn Inc., eBay Inc., Yahoo! Inc., and Synopsys, Inc. Mr. Dasdan holds a PhD in Computer Science from the University of Illinois at Urbana-Champaign, USA, an MSc in Computer Engineering from Bilkent University, Türkiye and a BSc in Computer Engineering from Bogazici University, Türkiye.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0063A6"/>
        </w:rPr>
        <w:t>Ashraf Alkarmi</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Ashraf Alkarmi has served as Dropbox's General Manager and Senior Vice President, Core Products since November 2024. Previously, he</w:t>
      </w:r>
      <w:r>
        <w:rPr>
          <w:rFonts w:ascii="Arial" w:cs="Arial" w:eastAsia="Arial" w:hAnsi="Arial"/>
          <w:sz w:val="16"/>
          <w:szCs w:val="16"/>
          <w:b w:val="1"/>
          <w:bCs w:val="1"/>
          <w:color w:val="0063A6"/>
        </w:rPr>
        <w:t xml:space="preserve"> </w:t>
      </w:r>
      <w:r>
        <w:rPr>
          <w:rFonts w:ascii="Arial" w:cs="Arial" w:eastAsia="Arial" w:hAnsi="Arial"/>
          <w:sz w:val="16"/>
          <w:szCs w:val="16"/>
          <w:color w:val="000000"/>
        </w:rPr>
        <w:t>served as Chief Product Officer at Vimeo, Inc. from July 2022 to September 2024. He also served as Director, General Manager, Freevee at Amazon.com, Inc., or Amazon, from May 2018 to June 2022, Founder and CEO of PresAsk from January 2013 to July 2021, Head of Product at Meta Platforms, Inc. from January 2017 to May 2018, and as Head of Product at Amazon from June 2013 to January 2017. Mr. Alkarmi has also served in various senior positions at Brightcove, Inc., Nokia Corporation and Motorola Solutions, Inc. Mr. Alkarmi received his Bachelor of Science in Electrical Engineering from University of Jordan in 2002, his Master of Science in Electrical Engineering from Southern Illinois University, Carbondale in 2004, and his Master of Arts in Management and Operations from Harvard University in 2009.</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0063A6"/>
        </w:rPr>
        <w:t>Eric Webster</w:t>
      </w:r>
      <w:r>
        <w:rPr>
          <w:rFonts w:ascii="Arial" w:cs="Arial" w:eastAsia="Arial" w:hAnsi="Arial"/>
          <w:sz w:val="16"/>
          <w:szCs w:val="16"/>
          <w:color w:val="000000"/>
        </w:rPr>
        <w:t>. Eric Webster has served as Dropbox's Chief Business Officer since December 2025. Prior to joining Dropbox, he served as Operating</w:t>
      </w:r>
      <w:r>
        <w:rPr>
          <w:rFonts w:ascii="Arial" w:cs="Arial" w:eastAsia="Arial" w:hAnsi="Arial"/>
          <w:sz w:val="16"/>
          <w:szCs w:val="16"/>
          <w:b w:val="1"/>
          <w:bCs w:val="1"/>
          <w:color w:val="0063A6"/>
        </w:rPr>
        <w:t xml:space="preserve"> </w:t>
      </w:r>
      <w:r>
        <w:rPr>
          <w:rFonts w:ascii="Arial" w:cs="Arial" w:eastAsia="Arial" w:hAnsi="Arial"/>
          <w:sz w:val="16"/>
          <w:szCs w:val="16"/>
          <w:color w:val="000000"/>
        </w:rPr>
        <w:t>Partner, GTM at Silversmith Capital Partners from April 2025 to December 2025. He previously served as Senior Vice President of Sales at Salesforce from June 2019 to March 2025. Prior to Salesforce, Mr. Webster served as Chief Revenue Officer at Mighty AI (acquired by UBER) from 2015 to 2019. He also served as a Mentor with Techstars from 2020 to 2023. Mr. Webster holds a B.S. in Management from Northeastern University.</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Discussion and Analysis</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2025.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2025, and discusses the key factors that our talent and compensation committee considered in determining their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89535</wp:posOffset>
            </wp:positionV>
            <wp:extent cx="17145"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43180"/>
                    </a:xfrm>
                    <a:prstGeom prst="rect">
                      <a:avLst/>
                    </a:prstGeom>
                    <a:noFill/>
                  </pic:spPr>
                </pic:pic>
              </a:graphicData>
            </a:graphic>
          </wp:anchor>
        </w:drawing>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74"/>
        </w:trPr>
        <w:tc>
          <w:tcPr>
            <w:tcW w:w="3240" w:type="dxa"/>
            <w:vAlign w:val="bottom"/>
            <w:tcBorders>
              <w:top w:val="single" w:sz="8" w:color="0063A6"/>
              <w:left w:val="single" w:sz="8" w:color="F2F2F2"/>
              <w:right w:val="single" w:sz="8" w:color="0063A6"/>
            </w:tcBorders>
            <w:shd w:val="clear" w:color="auto" w:fill="F2F2F2"/>
          </w:tcPr>
          <w:p>
            <w:pPr>
              <w:spacing w:after="0"/>
              <w:rPr>
                <w:sz w:val="6"/>
                <w:szCs w:val="6"/>
                <w:color w:val="auto"/>
              </w:rPr>
            </w:pPr>
          </w:p>
        </w:tc>
        <w:tc>
          <w:tcPr>
            <w:tcW w:w="8020" w:type="dxa"/>
            <w:vAlign w:val="bottom"/>
            <w:tcBorders>
              <w:top w:val="single" w:sz="8" w:color="0063A6"/>
              <w:right w:val="single" w:sz="8" w:color="F2F2F2"/>
            </w:tcBorders>
            <w:shd w:val="clear" w:color="auto" w:fill="F2F2F2"/>
          </w:tcPr>
          <w:p>
            <w:pPr>
              <w:spacing w:after="0"/>
              <w:rPr>
                <w:sz w:val="6"/>
                <w:szCs w:val="6"/>
                <w:color w:val="auto"/>
              </w:rPr>
            </w:pPr>
          </w:p>
        </w:tc>
      </w:tr>
      <w:tr>
        <w:trPr>
          <w:trHeight w:val="262"/>
        </w:trPr>
        <w:tc>
          <w:tcPr>
            <w:tcW w:w="3240" w:type="dxa"/>
            <w:vAlign w:val="bottom"/>
            <w:tcBorders>
              <w:left w:val="single" w:sz="8" w:color="F2F2F2"/>
              <w:bottom w:val="single" w:sz="8" w:color="F2F2F2"/>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8020" w:type="dxa"/>
            <w:vAlign w:val="bottom"/>
            <w:tcBorders>
              <w:bottom w:val="single" w:sz="8" w:color="F2F2F2"/>
              <w:right w:val="single" w:sz="8" w:color="F2F2F2"/>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Title</w:t>
            </w:r>
          </w:p>
        </w:tc>
      </w:tr>
      <w:tr>
        <w:trPr>
          <w:trHeight w:val="223"/>
        </w:trPr>
        <w:tc>
          <w:tcPr>
            <w:tcW w:w="3240" w:type="dxa"/>
            <w:vAlign w:val="bottom"/>
            <w:tcBorders>
              <w:top w:val="single" w:sz="8" w:color="0063A6"/>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Andrew W. Houston</w:t>
            </w:r>
          </w:p>
        </w:tc>
        <w:tc>
          <w:tcPr>
            <w:tcW w:w="8020" w:type="dxa"/>
            <w:vAlign w:val="bottom"/>
            <w:tcBorders>
              <w:top w:val="single" w:sz="8" w:color="0063A6"/>
              <w:right w:val="single" w:sz="8" w:color="F2F2F2"/>
            </w:tcBorders>
          </w:tcPr>
          <w:p>
            <w:pPr>
              <w:ind w:left="60"/>
              <w:spacing w:after="0"/>
              <w:rPr>
                <w:sz w:val="20"/>
                <w:szCs w:val="20"/>
                <w:color w:val="auto"/>
              </w:rPr>
            </w:pPr>
            <w:r>
              <w:rPr>
                <w:rFonts w:ascii="Arial" w:cs="Arial" w:eastAsia="Arial" w:hAnsi="Arial"/>
                <w:sz w:val="16"/>
                <w:szCs w:val="16"/>
                <w:color w:val="auto"/>
              </w:rPr>
              <w:t>Chief Executive Officer</w:t>
            </w:r>
          </w:p>
        </w:tc>
      </w:tr>
      <w:tr>
        <w:trPr>
          <w:trHeight w:val="20"/>
        </w:trPr>
        <w:tc>
          <w:tcPr>
            <w:tcW w:w="3240" w:type="dxa"/>
            <w:vAlign w:val="bottom"/>
            <w:tcBorders>
              <w:left w:val="single" w:sz="8" w:color="F2F2F2"/>
              <w:right w:val="single" w:sz="8" w:color="F2F2F2"/>
            </w:tcBorders>
          </w:tcPr>
          <w:p>
            <w:pPr>
              <w:spacing w:after="0" w:line="20" w:lineRule="exact"/>
              <w:rPr>
                <w:sz w:val="1"/>
                <w:szCs w:val="1"/>
                <w:color w:val="auto"/>
              </w:rPr>
            </w:pPr>
          </w:p>
        </w:tc>
        <w:tc>
          <w:tcPr>
            <w:tcW w:w="8020" w:type="dxa"/>
            <w:vAlign w:val="bottom"/>
            <w:tcBorders>
              <w:right w:val="single" w:sz="8" w:color="F2F2F2"/>
            </w:tcBorders>
          </w:tcPr>
          <w:p>
            <w:pPr>
              <w:spacing w:after="0" w:line="20" w:lineRule="exact"/>
              <w:rPr>
                <w:sz w:val="1"/>
                <w:szCs w:val="1"/>
                <w:color w:val="auto"/>
              </w:rPr>
            </w:pPr>
          </w:p>
        </w:tc>
      </w:tr>
      <w:tr>
        <w:trPr>
          <w:trHeight w:val="270"/>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Ross Tennenbaum</w:t>
            </w:r>
            <w:r>
              <w:rPr>
                <w:rFonts w:ascii="Arial" w:cs="Arial" w:eastAsia="Arial" w:hAnsi="Arial"/>
                <w:sz w:val="21"/>
                <w:szCs w:val="21"/>
                <w:b w:val="1"/>
                <w:bCs w:val="1"/>
                <w:color w:val="auto"/>
                <w:vertAlign w:val="superscript"/>
              </w:rPr>
              <w:t>(1)</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Chief Financial Officer</w:t>
            </w:r>
          </w:p>
        </w:tc>
      </w:tr>
      <w:tr>
        <w:trPr>
          <w:trHeight w:val="243"/>
        </w:trPr>
        <w:tc>
          <w:tcPr>
            <w:tcW w:w="3240" w:type="dxa"/>
            <w:vAlign w:val="bottom"/>
            <w:tcBorders>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Timothy Regan</w:t>
            </w:r>
            <w:r>
              <w:rPr>
                <w:rFonts w:ascii="Arial" w:cs="Arial" w:eastAsia="Arial" w:hAnsi="Arial"/>
                <w:sz w:val="21"/>
                <w:szCs w:val="21"/>
                <w:b w:val="1"/>
                <w:bCs w:val="1"/>
                <w:color w:val="auto"/>
                <w:vertAlign w:val="superscript"/>
              </w:rPr>
              <w:t>(2)</w:t>
            </w:r>
          </w:p>
        </w:tc>
        <w:tc>
          <w:tcPr>
            <w:tcW w:w="8020" w:type="dxa"/>
            <w:vAlign w:val="bottom"/>
            <w:tcBorders>
              <w:right w:val="single" w:sz="8" w:color="F2F2F2"/>
            </w:tcBorders>
          </w:tcPr>
          <w:p>
            <w:pPr>
              <w:ind w:left="60"/>
              <w:spacing w:after="0"/>
              <w:rPr>
                <w:sz w:val="20"/>
                <w:szCs w:val="20"/>
                <w:color w:val="auto"/>
              </w:rPr>
            </w:pPr>
            <w:r>
              <w:rPr>
                <w:rFonts w:ascii="Arial" w:cs="Arial" w:eastAsia="Arial" w:hAnsi="Arial"/>
                <w:sz w:val="16"/>
                <w:szCs w:val="16"/>
                <w:color w:val="auto"/>
              </w:rPr>
              <w:t>Former Chief Financial Officer</w:t>
            </w:r>
          </w:p>
        </w:tc>
      </w:tr>
      <w:tr>
        <w:trPr>
          <w:trHeight w:val="270"/>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William Yoon</w:t>
            </w:r>
            <w:r>
              <w:rPr>
                <w:rFonts w:ascii="Arial" w:cs="Arial" w:eastAsia="Arial" w:hAnsi="Arial"/>
                <w:sz w:val="21"/>
                <w:szCs w:val="21"/>
                <w:b w:val="1"/>
                <w:bCs w:val="1"/>
                <w:color w:val="auto"/>
                <w:vertAlign w:val="superscript"/>
              </w:rPr>
              <w:t>(3)</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Chief Legal Officer</w:t>
            </w:r>
          </w:p>
        </w:tc>
      </w:tr>
      <w:tr>
        <w:trPr>
          <w:trHeight w:val="243"/>
        </w:trPr>
        <w:tc>
          <w:tcPr>
            <w:tcW w:w="3240" w:type="dxa"/>
            <w:vAlign w:val="bottom"/>
            <w:tcBorders>
              <w:left w:val="single" w:sz="8" w:color="F2F2F2"/>
              <w:right w:val="single" w:sz="8" w:color="F2F2F2"/>
            </w:tcBorders>
          </w:tcPr>
          <w:p>
            <w:pPr>
              <w:ind w:left="80"/>
              <w:spacing w:after="0"/>
              <w:rPr>
                <w:sz w:val="20"/>
                <w:szCs w:val="20"/>
                <w:color w:val="auto"/>
              </w:rPr>
            </w:pPr>
            <w:r>
              <w:rPr>
                <w:rFonts w:ascii="Arial" w:cs="Arial" w:eastAsia="Arial" w:hAnsi="Arial"/>
                <w:sz w:val="16"/>
                <w:szCs w:val="16"/>
                <w:b w:val="1"/>
                <w:bCs w:val="1"/>
                <w:color w:val="auto"/>
              </w:rPr>
              <w:t>Ali Dasdan</w:t>
            </w:r>
            <w:r>
              <w:rPr>
                <w:rFonts w:ascii="Arial" w:cs="Arial" w:eastAsia="Arial" w:hAnsi="Arial"/>
                <w:sz w:val="21"/>
                <w:szCs w:val="21"/>
                <w:b w:val="1"/>
                <w:bCs w:val="1"/>
                <w:color w:val="auto"/>
                <w:vertAlign w:val="superscript"/>
              </w:rPr>
              <w:t>(4)</w:t>
            </w:r>
          </w:p>
        </w:tc>
        <w:tc>
          <w:tcPr>
            <w:tcW w:w="8020" w:type="dxa"/>
            <w:vAlign w:val="bottom"/>
            <w:tcBorders>
              <w:right w:val="single" w:sz="8" w:color="F2F2F2"/>
            </w:tcBorders>
          </w:tcPr>
          <w:p>
            <w:pPr>
              <w:ind w:left="60"/>
              <w:spacing w:after="0"/>
              <w:rPr>
                <w:sz w:val="20"/>
                <w:szCs w:val="20"/>
                <w:color w:val="auto"/>
              </w:rPr>
            </w:pPr>
            <w:r>
              <w:rPr>
                <w:rFonts w:ascii="Arial" w:cs="Arial" w:eastAsia="Arial" w:hAnsi="Arial"/>
                <w:sz w:val="16"/>
                <w:szCs w:val="16"/>
                <w:color w:val="auto"/>
              </w:rPr>
              <w:t>Chief Technology Officer</w:t>
            </w:r>
          </w:p>
        </w:tc>
      </w:tr>
      <w:tr>
        <w:trPr>
          <w:trHeight w:val="235"/>
        </w:trPr>
        <w:tc>
          <w:tcPr>
            <w:tcW w:w="3240" w:type="dxa"/>
            <w:vAlign w:val="bottom"/>
            <w:tcBorders>
              <w:left w:val="single" w:sz="8" w:color="F2F2F2"/>
              <w:right w:val="single" w:sz="8" w:color="F2F2F2"/>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Ashraf Alkarmi</w:t>
            </w:r>
          </w:p>
        </w:tc>
        <w:tc>
          <w:tcPr>
            <w:tcW w:w="802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General Manager and Senior Vice President, Core Products</w:t>
            </w:r>
          </w:p>
        </w:tc>
      </w:tr>
      <w:tr>
        <w:trPr>
          <w:trHeight w:val="35"/>
        </w:trPr>
        <w:tc>
          <w:tcPr>
            <w:tcW w:w="3240" w:type="dxa"/>
            <w:vAlign w:val="bottom"/>
            <w:tcBorders>
              <w:left w:val="single" w:sz="8" w:color="F2F2F2"/>
              <w:right w:val="single" w:sz="8" w:color="F2F2F2"/>
            </w:tcBorders>
            <w:shd w:val="clear" w:color="auto" w:fill="F2F2F2"/>
          </w:tcPr>
          <w:p>
            <w:pPr>
              <w:spacing w:after="0"/>
              <w:rPr>
                <w:sz w:val="3"/>
                <w:szCs w:val="3"/>
                <w:color w:val="auto"/>
              </w:rPr>
            </w:pPr>
          </w:p>
        </w:tc>
        <w:tc>
          <w:tcPr>
            <w:tcW w:w="8020" w:type="dxa"/>
            <w:vAlign w:val="bottom"/>
            <w:tcBorders>
              <w:right w:val="single" w:sz="8" w:color="F2F2F2"/>
            </w:tcBorders>
            <w:shd w:val="clear" w:color="auto" w:fill="F2F2F2"/>
          </w:tcPr>
          <w:p>
            <w:pPr>
              <w:spacing w:after="0"/>
              <w:rPr>
                <w:sz w:val="3"/>
                <w:szCs w:val="3"/>
                <w:color w:val="auto"/>
              </w:rPr>
            </w:pPr>
          </w:p>
        </w:tc>
      </w:tr>
    </w:tbl>
    <w:p>
      <w:pPr>
        <w:spacing w:after="0" w:line="3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Tennenbaum has served as our Chief Financial Officer since December 2025.</w:t>
      </w:r>
    </w:p>
    <w:p>
      <w:pPr>
        <w:ind w:left="320" w:hanging="312"/>
        <w:spacing w:after="0" w:line="192"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Regan resigned as our Chief Financial Officer, effective December 16, 2025.</w:t>
      </w:r>
    </w:p>
    <w:p>
      <w:pPr>
        <w:ind w:left="320" w:hanging="312"/>
        <w:spacing w:after="0"/>
        <w:tabs>
          <w:tab w:leader="none" w:pos="320" w:val="left"/>
        </w:tabs>
        <w:numPr>
          <w:ilvl w:val="0"/>
          <w:numId w:val="46"/>
        </w:numPr>
        <w:rPr>
          <w:rFonts w:ascii="Arial" w:cs="Arial" w:eastAsia="Arial" w:hAnsi="Arial"/>
          <w:sz w:val="9"/>
          <w:szCs w:val="9"/>
          <w:color w:val="auto"/>
        </w:rPr>
      </w:pPr>
      <w:r>
        <w:rPr>
          <w:rFonts w:ascii="Arial" w:cs="Arial" w:eastAsia="Arial" w:hAnsi="Arial"/>
          <w:sz w:val="14"/>
          <w:szCs w:val="14"/>
          <w:color w:val="auto"/>
        </w:rPr>
        <w:t>Mr. Yoon has served as our Chief Legal Officer since March 2025.</w:t>
      </w:r>
    </w:p>
    <w:p>
      <w:pPr>
        <w:spacing w:after="0" w:line="15" w:lineRule="exact"/>
        <w:rPr>
          <w:rFonts w:ascii="Arial" w:cs="Arial" w:eastAsia="Arial" w:hAnsi="Arial"/>
          <w:sz w:val="9"/>
          <w:szCs w:val="9"/>
          <w:color w:val="auto"/>
        </w:rPr>
      </w:pPr>
    </w:p>
    <w:p>
      <w:pPr>
        <w:ind w:left="320" w:hanging="312"/>
        <w:spacing w:after="0" w:line="207"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Mr. Dasdan has served as our Chief Technology Officer since March 2025.</w:t>
      </w: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Certain Fiscal 2025 Leadership Changes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As previously disclosed, certain leadership changes occurred in fiscal year 2025. We remain focused on ensuring our executive leadership team has the depth of experience necessary to advance our strategic priorities, including scaling Dropbox Dash and strengthening our core file storage and sync experience.</w:t>
      </w:r>
    </w:p>
    <w:p>
      <w:pPr>
        <w:spacing w:after="0" w:line="31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December 2025, Mr. Regan, former Chief Financial Officer of Dropbox, notified the company of his decision to resign to pursue the next chapter of his career after more than five years as Chief Financial Officer and nine years with the company. As a result, the board of directors appointed Mr. Tennenbaum as the company's Chief Financial Officer in December 2025.</w:t>
      </w:r>
    </w:p>
    <w:p>
      <w:pPr>
        <w:spacing w:after="0" w:line="111"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In addition, in March 2025, Mr. Yoon was appointed as Chief Legal Officer to replace our prior Chief Legal Officer upon his resignation. Mr. Yoon previously served as our Vice President, Product Counseling &amp; Privacy and has over a decade of experience with Dropbox.</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also appointed Mr. Dasdan as the company's Chief Technology Officer in March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Messrs. Tennenbaum, Yoon, and Dasdan can be found in their biographies set forth above.</w:t>
      </w:r>
    </w:p>
    <w:p>
      <w:pPr>
        <w:spacing w:after="0" w:line="391" w:lineRule="exact"/>
        <w:rPr>
          <w:sz w:val="20"/>
          <w:szCs w:val="20"/>
          <w:color w:val="auto"/>
        </w:rPr>
      </w:pPr>
    </w:p>
    <w:p>
      <w:pPr>
        <w:spacing w:after="0"/>
        <w:rPr>
          <w:sz w:val="20"/>
          <w:szCs w:val="20"/>
          <w:color w:val="auto"/>
        </w:rPr>
      </w:pPr>
      <w:r>
        <w:rPr>
          <w:rFonts w:ascii="Arial" w:cs="Arial" w:eastAsia="Arial" w:hAnsi="Arial"/>
          <w:sz w:val="26"/>
          <w:szCs w:val="26"/>
          <w:color w:val="0063A6"/>
        </w:rPr>
        <w:t>Executive Summary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We 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Dropbox is the one place to keep life organized and keep work moving.</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2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market opportunity grew as we’ve expanded from keeping files in sync to keeping teams in sync. Today, we are focused on reimagining the way work gets done by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ectPr>
          <w:pgSz w:w="11900" w:h="16838" w:orient="portrait"/>
          <w:cols w:equalWidth="0" w:num="1">
            <w:col w:w="11260"/>
          </w:cols>
          <w:pgMar w:left="320" w:top="114" w:right="3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320"/>
        <w:spacing w:after="0"/>
        <w:tabs>
          <w:tab w:leader="none" w:pos="110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solving these universal problems, we've become invaluable to our users. The popularity of our platform allows us to scale efficiently. We’ve built a thriving global business with 18.08 million paying users as of December 31,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2025 Business Results and Business Strategy</w:t>
      </w:r>
    </w:p>
    <w:p>
      <w:pPr>
        <w:spacing w:after="0" w:line="116" w:lineRule="exact"/>
        <w:rPr>
          <w:sz w:val="20"/>
          <w:szCs w:val="20"/>
          <w:color w:val="auto"/>
        </w:rPr>
      </w:pPr>
    </w:p>
    <w:p>
      <w:pPr>
        <w:ind w:left="1640"/>
        <w:spacing w:after="0"/>
        <w:tabs>
          <w:tab w:leader="none" w:pos="7340" w:val="left"/>
        </w:tabs>
        <w:rPr>
          <w:sz w:val="20"/>
          <w:szCs w:val="20"/>
          <w:color w:val="auto"/>
        </w:rPr>
      </w:pPr>
      <w:r>
        <w:rPr>
          <w:rFonts w:ascii="Arial" w:cs="Arial" w:eastAsia="Arial" w:hAnsi="Arial"/>
          <w:sz w:val="25"/>
          <w:szCs w:val="25"/>
          <w:b w:val="1"/>
          <w:bCs w:val="1"/>
          <w:u w:val="single" w:color="auto"/>
          <w:color w:val="auto"/>
        </w:rPr>
        <w:t>Business Results</w:t>
      </w:r>
      <w:r>
        <w:rPr>
          <w:sz w:val="20"/>
          <w:szCs w:val="20"/>
          <w:color w:val="auto"/>
        </w:rPr>
        <w:tab/>
      </w:r>
      <w:r>
        <w:rPr>
          <w:rFonts w:ascii="Arial" w:cs="Arial" w:eastAsia="Arial" w:hAnsi="Arial"/>
          <w:sz w:val="25"/>
          <w:szCs w:val="25"/>
          <w:b w:val="1"/>
          <w:bCs w:val="1"/>
          <w:u w:val="single" w:color="auto"/>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0575" cy="4354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435483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Revenue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Paying</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Users (M)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left="840"/>
        <w:spacing w:after="0" w:line="261" w:lineRule="auto"/>
        <w:rPr>
          <w:sz w:val="20"/>
          <w:szCs w:val="20"/>
          <w:color w:val="auto"/>
        </w:rPr>
      </w:pPr>
      <w:r>
        <w:rPr>
          <w:rFonts w:ascii="Arial" w:cs="Arial" w:eastAsia="Arial" w:hAnsi="Arial"/>
          <w:sz w:val="16"/>
          <w:szCs w:val="16"/>
          <w:b w:val="1"/>
          <w:bCs w:val="1"/>
          <w:color w:val="auto"/>
        </w:rPr>
        <w:t>Average Revenue per Paying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Non-GAAP</w:t>
      </w:r>
    </w:p>
    <w:p>
      <w:pPr>
        <w:ind w:left="900"/>
        <w:spacing w:after="0"/>
        <w:rPr>
          <w:sz w:val="20"/>
          <w:szCs w:val="20"/>
          <w:color w:val="auto"/>
        </w:rPr>
      </w:pPr>
      <w:r>
        <w:rPr>
          <w:rFonts w:ascii="Arial" w:cs="Arial" w:eastAsia="Arial" w:hAnsi="Arial"/>
          <w:sz w:val="16"/>
          <w:szCs w:val="16"/>
          <w:b w:val="1"/>
          <w:bCs w:val="1"/>
          <w:color w:val="auto"/>
        </w:rPr>
        <w:t>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Free Cash</w:t>
      </w:r>
    </w:p>
    <w:p>
      <w:pPr>
        <w:jc w:val="right"/>
        <w:spacing w:after="0"/>
        <w:rPr>
          <w:sz w:val="20"/>
          <w:szCs w:val="20"/>
          <w:color w:val="auto"/>
        </w:rPr>
      </w:pPr>
      <w:r>
        <w:rPr>
          <w:rFonts w:ascii="Arial" w:cs="Arial" w:eastAsia="Arial" w:hAnsi="Arial"/>
          <w:sz w:val="16"/>
          <w:szCs w:val="16"/>
          <w:b w:val="1"/>
          <w:bCs w:val="1"/>
          <w:color w:val="auto"/>
        </w:rPr>
        <w:t>Flow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$2,548.2</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18.22</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$140.23</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36.4%</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$871.6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4"/>
        </w:trPr>
        <w:tc>
          <w:tcPr>
            <w:tcW w:w="1360" w:type="dxa"/>
            <w:vAlign w:val="bottom"/>
            <w:tcBorders>
              <w:top w:val="single" w:sz="8" w:color="F9F9F7"/>
            </w:tcBorders>
            <w:shd w:val="clear" w:color="auto" w:fill="0063A6"/>
          </w:tcPr>
          <w:p>
            <w:pPr>
              <w:jc w:val="center"/>
              <w:spacing w:after="0"/>
              <w:rPr>
                <w:sz w:val="20"/>
                <w:szCs w:val="20"/>
                <w:color w:val="auto"/>
              </w:rPr>
            </w:pPr>
            <w:r>
              <w:rPr>
                <w:rFonts w:ascii="Arial" w:cs="Arial" w:eastAsia="Arial" w:hAnsi="Arial"/>
                <w:sz w:val="16"/>
                <w:szCs w:val="16"/>
                <w:b w:val="1"/>
                <w:bCs w:val="1"/>
                <w:color w:val="FFFFFF"/>
              </w:rPr>
              <w:t>$2,521.0</w:t>
            </w:r>
          </w:p>
        </w:tc>
        <w:tc>
          <w:tcPr>
            <w:tcW w:w="360" w:type="dxa"/>
            <w:vAlign w:val="bottom"/>
            <w:tcBorders>
              <w:top w:val="single" w:sz="8" w:color="F9F9F7"/>
            </w:tcBorders>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0063A6"/>
              </w:rPr>
              <w:t>•</w:t>
            </w:r>
          </w:p>
        </w:tc>
        <w:tc>
          <w:tcPr>
            <w:tcW w:w="5220" w:type="dxa"/>
            <w:vAlign w:val="bottom"/>
          </w:tcPr>
          <w:p>
            <w:pPr>
              <w:ind w:left="40"/>
              <w:spacing w:after="0"/>
              <w:rPr>
                <w:sz w:val="20"/>
                <w:szCs w:val="20"/>
                <w:color w:val="auto"/>
              </w:rPr>
            </w:pPr>
            <w:r>
              <w:rPr>
                <w:rFonts w:ascii="Arial" w:cs="Arial" w:eastAsia="Arial" w:hAnsi="Arial"/>
                <w:sz w:val="16"/>
                <w:szCs w:val="16"/>
                <w:color w:val="auto"/>
              </w:rPr>
              <w:t>From our founding, we’ve focused on simplifying the lives of our users.</w:t>
            </w:r>
          </w:p>
        </w:tc>
        <w:tc>
          <w:tcPr>
            <w:tcW w:w="0" w:type="dxa"/>
            <w:vAlign w:val="bottom"/>
          </w:tcPr>
          <w:p>
            <w:pPr>
              <w:spacing w:after="0"/>
              <w:rPr>
                <w:sz w:val="1"/>
                <w:szCs w:val="1"/>
                <w:color w:val="auto"/>
              </w:rPr>
            </w:pPr>
          </w:p>
        </w:tc>
      </w:tr>
      <w:tr>
        <w:trPr>
          <w:trHeight w:val="68"/>
        </w:trPr>
        <w:tc>
          <w:tcPr>
            <w:tcW w:w="1360" w:type="dxa"/>
            <w:vAlign w:val="bottom"/>
            <w:shd w:val="clear" w:color="auto" w:fill="0063A6"/>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20" w:type="dxa"/>
            <w:vAlign w:val="bottom"/>
            <w:vMerge w:val="restart"/>
          </w:tcPr>
          <w:p>
            <w:pPr>
              <w:ind w:left="60"/>
              <w:spacing w:after="0"/>
              <w:rPr>
                <w:sz w:val="20"/>
                <w:szCs w:val="20"/>
                <w:color w:val="auto"/>
              </w:rPr>
            </w:pPr>
            <w:r>
              <w:rPr>
                <w:rFonts w:ascii="Arial" w:cs="Arial" w:eastAsia="Arial" w:hAnsi="Arial"/>
                <w:sz w:val="16"/>
                <w:szCs w:val="16"/>
                <w:color w:val="auto"/>
              </w:rPr>
              <w:t>In a world where business software can be frustrating to use,</w:t>
            </w:r>
          </w:p>
        </w:tc>
        <w:tc>
          <w:tcPr>
            <w:tcW w:w="0" w:type="dxa"/>
            <w:vAlign w:val="bottom"/>
          </w:tcPr>
          <w:p>
            <w:pPr>
              <w:spacing w:after="0"/>
              <w:rPr>
                <w:sz w:val="1"/>
                <w:szCs w:val="1"/>
                <w:color w:val="auto"/>
              </w:rPr>
            </w:pPr>
          </w:p>
        </w:tc>
      </w:tr>
      <w:tr>
        <w:trPr>
          <w:trHeight w:val="121"/>
        </w:trPr>
        <w:tc>
          <w:tcPr>
            <w:tcW w:w="1360" w:type="dxa"/>
            <w:vAlign w:val="bottom"/>
            <w:shd w:val="clear" w:color="auto" w:fill="F9F9F7"/>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challenging to integrate, and expensive to sell, we take a different</w:t>
            </w:r>
          </w:p>
        </w:tc>
        <w:tc>
          <w:tcPr>
            <w:tcW w:w="0" w:type="dxa"/>
            <w:vAlign w:val="bottom"/>
          </w:tcPr>
          <w:p>
            <w:pPr>
              <w:spacing w:after="0"/>
              <w:rPr>
                <w:sz w:val="1"/>
                <w:szCs w:val="1"/>
                <w:color w:val="auto"/>
              </w:rPr>
            </w:pPr>
          </w:p>
        </w:tc>
      </w:tr>
      <w:tr>
        <w:trPr>
          <w:trHeight w:val="215"/>
        </w:trPr>
        <w:tc>
          <w:tcPr>
            <w:tcW w:w="1360" w:type="dxa"/>
            <w:vAlign w:val="bottom"/>
            <w:shd w:val="clear" w:color="auto" w:fill="F9F9F7"/>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approach.</w:t>
            </w:r>
          </w:p>
        </w:tc>
        <w:tc>
          <w:tcPr>
            <w:tcW w:w="0" w:type="dxa"/>
            <w:vAlign w:val="bottom"/>
          </w:tcPr>
          <w:p>
            <w:pPr>
              <w:spacing w:after="0"/>
              <w:rPr>
                <w:sz w:val="1"/>
                <w:szCs w:val="1"/>
                <w:color w:val="auto"/>
              </w:rPr>
            </w:pPr>
          </w:p>
        </w:tc>
      </w:tr>
      <w:tr>
        <w:trPr>
          <w:trHeight w:val="150"/>
        </w:trPr>
        <w:tc>
          <w:tcPr>
            <w:tcW w:w="1360" w:type="dxa"/>
            <w:vAlign w:val="bottom"/>
            <w:shd w:val="clear" w:color="auto" w:fill="F9F9F7"/>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While traditional tools developed in the desktop age have struggled to</w:t>
            </w: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w w:val="99"/>
              </w:rPr>
              <w:t>18.08</w:t>
            </w:r>
          </w:p>
        </w:tc>
        <w:tc>
          <w:tcPr>
            <w:tcW w:w="3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60" w:type="dxa"/>
            <w:vAlign w:val="bottom"/>
            <w:vMerge w:val="continue"/>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keep up with evolving user demands, Dropbox was designed for the</w:t>
            </w:r>
          </w:p>
        </w:tc>
        <w:tc>
          <w:tcPr>
            <w:tcW w:w="0" w:type="dxa"/>
            <w:vAlign w:val="bottom"/>
          </w:tcPr>
          <w:p>
            <w:pPr>
              <w:spacing w:after="0"/>
              <w:rPr>
                <w:sz w:val="1"/>
                <w:szCs w:val="1"/>
                <w:color w:val="auto"/>
              </w:rPr>
            </w:pPr>
          </w:p>
        </w:tc>
      </w:tr>
      <w:tr>
        <w:trPr>
          <w:trHeight w:val="176"/>
        </w:trPr>
        <w:tc>
          <w:tcPr>
            <w:tcW w:w="1360" w:type="dxa"/>
            <w:vAlign w:val="bottom"/>
            <w:shd w:val="clear" w:color="auto" w:fill="0063A6"/>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20" w:type="dxa"/>
            <w:vAlign w:val="bottom"/>
          </w:tcPr>
          <w:p>
            <w:pPr>
              <w:ind w:left="60"/>
              <w:spacing w:after="0" w:line="176" w:lineRule="exact"/>
              <w:rPr>
                <w:sz w:val="20"/>
                <w:szCs w:val="20"/>
                <w:color w:val="auto"/>
              </w:rPr>
            </w:pPr>
            <w:r>
              <w:rPr>
                <w:rFonts w:ascii="Arial" w:cs="Arial" w:eastAsia="Arial" w:hAnsi="Arial"/>
                <w:sz w:val="16"/>
                <w:szCs w:val="16"/>
                <w:color w:val="auto"/>
              </w:rPr>
              <w:t>cloud era. We build simple, beautiful products that bring joy to our users</w:t>
            </w:r>
          </w:p>
        </w:tc>
        <w:tc>
          <w:tcPr>
            <w:tcW w:w="0" w:type="dxa"/>
            <w:vAlign w:val="bottom"/>
          </w:tcPr>
          <w:p>
            <w:pPr>
              <w:spacing w:after="0"/>
              <w:rPr>
                <w:sz w:val="1"/>
                <w:szCs w:val="1"/>
                <w:color w:val="auto"/>
              </w:rPr>
            </w:pPr>
          </w:p>
        </w:tc>
      </w:tr>
      <w:tr>
        <w:trPr>
          <w:trHeight w:val="227"/>
        </w:trPr>
        <w:tc>
          <w:tcPr>
            <w:tcW w:w="1360" w:type="dxa"/>
            <w:vAlign w:val="bottom"/>
            <w:vMerge w:val="restart"/>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and make it easier for them to do their best work.</w:t>
            </w:r>
          </w:p>
        </w:tc>
        <w:tc>
          <w:tcPr>
            <w:tcW w:w="0" w:type="dxa"/>
            <w:vAlign w:val="bottom"/>
          </w:tcPr>
          <w:p>
            <w:pPr>
              <w:spacing w:after="0"/>
              <w:rPr>
                <w:sz w:val="1"/>
                <w:szCs w:val="1"/>
                <w:color w:val="auto"/>
              </w:rPr>
            </w:pPr>
          </w:p>
        </w:tc>
      </w:tr>
      <w:tr>
        <w:trPr>
          <w:trHeight w:val="129"/>
        </w:trPr>
        <w:tc>
          <w:tcPr>
            <w:tcW w:w="1360" w:type="dxa"/>
            <w:vAlign w:val="bottom"/>
            <w:vMerge w:val="continue"/>
            <w:shd w:val="clear" w:color="auto" w:fill="F9F9F7"/>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F9F9F7"/>
          </w:tcPr>
          <w:p>
            <w:pPr>
              <w:spacing w:after="0"/>
              <w:rPr>
                <w:sz w:val="14"/>
                <w:szCs w:val="14"/>
                <w:color w:val="auto"/>
              </w:rPr>
            </w:pPr>
          </w:p>
        </w:tc>
        <w:tc>
          <w:tcPr>
            <w:tcW w:w="360" w:type="dxa"/>
            <w:vAlign w:val="bottom"/>
            <w:vMerge w:val="restart"/>
          </w:tcPr>
          <w:p>
            <w:pPr>
              <w:spacing w:after="0"/>
              <w:rPr>
                <w:sz w:val="14"/>
                <w:szCs w:val="14"/>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Every year, millions of users sign up for Dropbox. Bottom-up adoption</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rPr>
              <w:t>$138.91</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within organizations has been critical to our strategy and success as</w:t>
            </w:r>
          </w:p>
        </w:tc>
        <w:tc>
          <w:tcPr>
            <w:tcW w:w="0" w:type="dxa"/>
            <w:vAlign w:val="bottom"/>
          </w:tcPr>
          <w:p>
            <w:pPr>
              <w:spacing w:after="0"/>
              <w:rPr>
                <w:sz w:val="1"/>
                <w:szCs w:val="1"/>
                <w:color w:val="auto"/>
              </w:rPr>
            </w:pPr>
          </w:p>
        </w:tc>
      </w:tr>
      <w:tr>
        <w:trPr>
          <w:trHeight w:val="189"/>
        </w:trPr>
        <w:tc>
          <w:tcPr>
            <w:tcW w:w="1360" w:type="dxa"/>
            <w:vAlign w:val="bottom"/>
            <w:vMerge w:val="continue"/>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users increasingly choose their own tools at work. We generate over</w:t>
            </w:r>
          </w:p>
        </w:tc>
        <w:tc>
          <w:tcPr>
            <w:tcW w:w="0" w:type="dxa"/>
            <w:vAlign w:val="bottom"/>
          </w:tcPr>
          <w:p>
            <w:pPr>
              <w:spacing w:after="0"/>
              <w:rPr>
                <w:sz w:val="1"/>
                <w:szCs w:val="1"/>
                <w:color w:val="auto"/>
              </w:rPr>
            </w:pPr>
          </w:p>
        </w:tc>
      </w:tr>
      <w:tr>
        <w:trPr>
          <w:trHeight w:val="190"/>
        </w:trPr>
        <w:tc>
          <w:tcPr>
            <w:tcW w:w="1360" w:type="dxa"/>
            <w:vAlign w:val="bottom"/>
            <w:shd w:val="clear" w:color="auto" w:fill="0063A6"/>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90% of our revenue from self-serve channels—users who purchase a</w:t>
            </w: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F9F9F7"/>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subscription through our app or website.</w:t>
            </w:r>
          </w:p>
        </w:tc>
        <w:tc>
          <w:tcPr>
            <w:tcW w:w="0" w:type="dxa"/>
            <w:vAlign w:val="bottom"/>
          </w:tcPr>
          <w:p>
            <w:pPr>
              <w:spacing w:after="0"/>
              <w:rPr>
                <w:sz w:val="1"/>
                <w:szCs w:val="1"/>
                <w:color w:val="auto"/>
              </w:rPr>
            </w:pPr>
          </w:p>
        </w:tc>
      </w:tr>
      <w:tr>
        <w:trPr>
          <w:trHeight w:val="142"/>
        </w:trPr>
        <w:tc>
          <w:tcPr>
            <w:tcW w:w="1360" w:type="dxa"/>
            <w:vAlign w:val="bottom"/>
            <w:vMerge w:val="continue"/>
            <w:shd w:val="clear" w:color="auto" w:fill="F9F9F7"/>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F9F9F7"/>
          </w:tcPr>
          <w:p>
            <w:pPr>
              <w:spacing w:after="0"/>
              <w:rPr>
                <w:sz w:val="14"/>
                <w:szCs w:val="14"/>
                <w:color w:val="auto"/>
              </w:rPr>
            </w:pPr>
          </w:p>
        </w:tc>
        <w:tc>
          <w:tcPr>
            <w:tcW w:w="360" w:type="dxa"/>
            <w:vAlign w:val="bottom"/>
            <w:vMerge w:val="restart"/>
          </w:tcPr>
          <w:p>
            <w:pPr>
              <w:spacing w:after="0"/>
              <w:rPr>
                <w:sz w:val="14"/>
                <w:szCs w:val="14"/>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63A6"/>
              </w:rPr>
              <w:t>•</w:t>
            </w:r>
          </w:p>
        </w:tc>
        <w:tc>
          <w:tcPr>
            <w:tcW w:w="5220" w:type="dxa"/>
            <w:vAlign w:val="bottom"/>
            <w:vMerge w:val="restart"/>
          </w:tcPr>
          <w:p>
            <w:pPr>
              <w:ind w:left="40"/>
              <w:spacing w:after="0"/>
              <w:rPr>
                <w:sz w:val="20"/>
                <w:szCs w:val="20"/>
                <w:color w:val="auto"/>
              </w:rPr>
            </w:pPr>
            <w:r>
              <w:rPr>
                <w:rFonts w:ascii="Arial" w:cs="Arial" w:eastAsia="Arial" w:hAnsi="Arial"/>
                <w:sz w:val="16"/>
                <w:szCs w:val="16"/>
                <w:color w:val="auto"/>
              </w:rPr>
              <w:t>Dropbox allows individuals, teams, and organizations to collaborate</w:t>
            </w:r>
          </w:p>
        </w:tc>
        <w:tc>
          <w:tcPr>
            <w:tcW w:w="0" w:type="dxa"/>
            <w:vAlign w:val="bottom"/>
          </w:tcPr>
          <w:p>
            <w:pPr>
              <w:spacing w:after="0"/>
              <w:rPr>
                <w:sz w:val="1"/>
                <w:szCs w:val="1"/>
                <w:color w:val="auto"/>
              </w:rPr>
            </w:pPr>
          </w:p>
        </w:tc>
      </w:tr>
      <w:tr>
        <w:trPr>
          <w:trHeight w:val="67"/>
        </w:trPr>
        <w:tc>
          <w:tcPr>
            <w:tcW w:w="1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5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40.6%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20" w:type="dxa"/>
            <w:vAlign w:val="bottom"/>
          </w:tcPr>
          <w:p>
            <w:pPr>
              <w:ind w:left="60"/>
              <w:spacing w:after="0" w:line="175" w:lineRule="exact"/>
              <w:rPr>
                <w:sz w:val="20"/>
                <w:szCs w:val="20"/>
                <w:color w:val="auto"/>
              </w:rPr>
            </w:pPr>
            <w:r>
              <w:rPr>
                <w:rFonts w:ascii="Arial" w:cs="Arial" w:eastAsia="Arial" w:hAnsi="Arial"/>
                <w:sz w:val="16"/>
                <w:szCs w:val="16"/>
                <w:color w:val="auto"/>
              </w:rPr>
              <w:t>more effectively and focus on the work that matters. Anyone can sign up</w:t>
            </w:r>
          </w:p>
        </w:tc>
        <w:tc>
          <w:tcPr>
            <w:tcW w:w="0" w:type="dxa"/>
            <w:vAlign w:val="bottom"/>
          </w:tcPr>
          <w:p>
            <w:pPr>
              <w:spacing w:after="0"/>
              <w:rPr>
                <w:sz w:val="1"/>
                <w:szCs w:val="1"/>
                <w:color w:val="auto"/>
              </w:rPr>
            </w:pPr>
          </w:p>
        </w:tc>
      </w:tr>
      <w:tr>
        <w:trPr>
          <w:trHeight w:val="205"/>
        </w:trPr>
        <w:tc>
          <w:tcPr>
            <w:tcW w:w="1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20" w:type="dxa"/>
            <w:vAlign w:val="bottom"/>
          </w:tcPr>
          <w:p>
            <w:pPr>
              <w:ind w:left="60"/>
              <w:spacing w:after="0"/>
              <w:rPr>
                <w:sz w:val="20"/>
                <w:szCs w:val="20"/>
                <w:color w:val="auto"/>
              </w:rPr>
            </w:pPr>
            <w:r>
              <w:rPr>
                <w:rFonts w:ascii="Arial" w:cs="Arial" w:eastAsia="Arial" w:hAnsi="Arial"/>
                <w:sz w:val="16"/>
                <w:szCs w:val="16"/>
                <w:color w:val="auto"/>
              </w:rPr>
              <w:t>for free through our website or app, and upgrade to a paid subscription</w:t>
            </w:r>
          </w:p>
        </w:tc>
        <w:tc>
          <w:tcPr>
            <w:tcW w:w="0" w:type="dxa"/>
            <w:vAlign w:val="bottom"/>
          </w:tcPr>
          <w:p>
            <w:pPr>
              <w:spacing w:after="0"/>
              <w:rPr>
                <w:sz w:val="1"/>
                <w:szCs w:val="1"/>
                <w:color w:val="auto"/>
              </w:rPr>
            </w:pPr>
          </w:p>
        </w:tc>
      </w:tr>
    </w:tbl>
    <w:p>
      <w:pPr>
        <w:ind w:left="2060"/>
        <w:spacing w:after="0"/>
        <w:rPr>
          <w:sz w:val="20"/>
          <w:szCs w:val="20"/>
          <w:color w:val="auto"/>
        </w:rPr>
      </w:pPr>
      <w:r>
        <w:rPr>
          <w:rFonts w:ascii="Arial" w:cs="Arial" w:eastAsia="Arial" w:hAnsi="Arial"/>
          <w:sz w:val="16"/>
          <w:szCs w:val="16"/>
          <w:color w:val="auto"/>
        </w:rPr>
        <w:t>plan for premium features.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2025</w:t>
      </w: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930.8</w:t>
      </w:r>
    </w:p>
    <w:p>
      <w:pPr>
        <w:spacing w:after="0" w:line="563" w:lineRule="exact"/>
        <w:rPr>
          <w:sz w:val="20"/>
          <w:szCs w:val="20"/>
          <w:color w:val="auto"/>
        </w:rPr>
      </w:pPr>
    </w:p>
    <w:p>
      <w:pPr>
        <w:sectPr>
          <w:pgSz w:w="11900" w:h="16838" w:orient="portrait"/>
          <w:cols w:equalWidth="0" w:num="3">
            <w:col w:w="2240" w:space="500"/>
            <w:col w:w="620" w:space="620"/>
            <w:col w:w="7220"/>
          </w:cols>
          <w:pgMar w:left="320" w:top="114" w:right="379" w:bottom="1440" w:gutter="0" w:footer="0" w:header="0"/>
          <w:type w:val="continuous"/>
        </w:sectPr>
      </w:pPr>
    </w:p>
    <w:p>
      <w:pPr>
        <w:ind w:left="2900"/>
        <w:spacing w:after="0"/>
        <w:tabs>
          <w:tab w:leader="none" w:pos="4480" w:val="left"/>
        </w:tabs>
        <w:rPr>
          <w:sz w:val="20"/>
          <w:szCs w:val="20"/>
          <w:color w:val="auto"/>
        </w:rPr>
      </w:pPr>
      <w:r>
        <w:rPr>
          <w:rFonts w:ascii="Arial" w:cs="Arial" w:eastAsia="Arial" w:hAnsi="Arial"/>
          <w:sz w:val="14"/>
          <w:szCs w:val="14"/>
          <w:color w:val="auto"/>
        </w:rPr>
        <w:t>2024</w:t>
      </w:r>
      <w:r>
        <w:rPr>
          <w:sz w:val="20"/>
          <w:szCs w:val="20"/>
          <w:color w:val="auto"/>
        </w:rPr>
        <w:tab/>
      </w:r>
      <w:r>
        <w:rPr>
          <w:rFonts w:ascii="Arial" w:cs="Arial" w:eastAsia="Arial" w:hAnsi="Arial"/>
          <w:sz w:val="14"/>
          <w:szCs w:val="14"/>
          <w:color w:val="auto"/>
        </w:rPr>
        <w:t>2025</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 reconciliation of GAAP to non-GAAP results is provided in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hanging="554"/>
        <w:spacing w:after="0"/>
        <w:tabs>
          <w:tab w:leader="none" w:pos="5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key executive compensation program and related policies and practices:</w:t>
      </w:r>
    </w:p>
    <w:p>
      <w:pPr>
        <w:spacing w:after="0" w:line="182" w:lineRule="exact"/>
        <w:rPr>
          <w:sz w:val="20"/>
          <w:szCs w:val="20"/>
          <w:color w:val="auto"/>
        </w:rPr>
      </w:pPr>
    </w:p>
    <w:p>
      <w:pPr>
        <w:ind w:left="2080"/>
        <w:spacing w:after="0"/>
        <w:tabs>
          <w:tab w:leader="none" w:pos="7400" w:val="left"/>
        </w:tabs>
        <w:rPr>
          <w:sz w:val="20"/>
          <w:szCs w:val="20"/>
          <w:color w:val="auto"/>
        </w:rPr>
      </w:pPr>
      <w:r>
        <w:rPr>
          <w:rFonts w:ascii="Arial" w:cs="Arial" w:eastAsia="Arial" w:hAnsi="Arial"/>
          <w:sz w:val="25"/>
          <w:szCs w:val="25"/>
          <w:b w:val="1"/>
          <w:bCs w:val="1"/>
          <w:color w:val="auto"/>
        </w:rPr>
        <w:t>What we do</w:t>
      </w:r>
      <w:r>
        <w:rPr>
          <w:sz w:val="20"/>
          <w:szCs w:val="20"/>
          <w:color w:val="auto"/>
        </w:rPr>
        <w:tab/>
      </w:r>
      <w:r>
        <w:rPr>
          <w:rFonts w:ascii="Arial" w:cs="Arial" w:eastAsia="Arial" w:hAnsi="Arial"/>
          <w:sz w:val="25"/>
          <w:szCs w:val="2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4886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80" w:right="100" w:hanging="322"/>
        <w:spacing w:after="0" w:line="253"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Maintain an Independent Talent and Compensation Committee. </w:t>
      </w:r>
      <w:r>
        <w:rPr>
          <w:rFonts w:ascii="Arial" w:cs="Arial" w:eastAsia="Arial" w:hAnsi="Arial"/>
          <w:sz w:val="16"/>
          <w:szCs w:val="16"/>
          <w:color w:val="auto"/>
        </w:rPr>
        <w:t>The talent and compensation committee consists solely of independent directors who establish our executive compensation policies and practices.</w:t>
      </w:r>
    </w:p>
    <w:p>
      <w:pPr>
        <w:spacing w:after="0" w:line="115" w:lineRule="exact"/>
        <w:rPr>
          <w:rFonts w:ascii="MS PGothic" w:cs="MS PGothic" w:eastAsia="MS PGothic" w:hAnsi="MS PGothic"/>
          <w:sz w:val="16"/>
          <w:szCs w:val="16"/>
          <w:color w:val="auto"/>
        </w:rPr>
      </w:pPr>
    </w:p>
    <w:p>
      <w:pPr>
        <w:ind w:left="38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Retain an Independent Compensation Advisor. </w:t>
      </w:r>
      <w:r>
        <w:rPr>
          <w:rFonts w:ascii="Arial" w:cs="Arial" w:eastAsia="Arial" w:hAnsi="Arial"/>
          <w:sz w:val="16"/>
          <w:szCs w:val="16"/>
          <w:color w:val="auto"/>
        </w:rPr>
        <w:t>The talent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has engaged its own compensation consultant to provide information, analysis, and other advice on executive compensation independent of management. This consultant performed no other consulting or other services for us in 2025.</w:t>
      </w:r>
    </w:p>
    <w:p>
      <w:pPr>
        <w:spacing w:after="0" w:line="100" w:lineRule="exact"/>
        <w:rPr>
          <w:rFonts w:ascii="MS PGothic" w:cs="MS PGothic" w:eastAsia="MS PGothic" w:hAnsi="MS PGothic"/>
          <w:sz w:val="16"/>
          <w:szCs w:val="16"/>
          <w:color w:val="auto"/>
        </w:rPr>
      </w:pPr>
    </w:p>
    <w:p>
      <w:pPr>
        <w:jc w:val="both"/>
        <w:ind w:left="380" w:right="280" w:hanging="322"/>
        <w:spacing w:after="0" w:line="266"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We maintain robust stock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for our Chief Executive Officer, our executive officers, and the independent members of our board of directors.</w:t>
      </w:r>
    </w:p>
    <w:p>
      <w:pPr>
        <w:spacing w:after="0" w:line="90" w:lineRule="exact"/>
        <w:rPr>
          <w:rFonts w:ascii="MS PGothic" w:cs="MS PGothic" w:eastAsia="MS PGothic" w:hAnsi="MS PGothic"/>
          <w:sz w:val="16"/>
          <w:szCs w:val="16"/>
          <w:color w:val="auto"/>
        </w:rPr>
      </w:pPr>
    </w:p>
    <w:p>
      <w:pPr>
        <w:ind w:left="380" w:right="280" w:hanging="322"/>
        <w:spacing w:after="0" w:line="286" w:lineRule="auto"/>
        <w:tabs>
          <w:tab w:leader="none" w:pos="380" w:val="left"/>
        </w:tabs>
        <w:numPr>
          <w:ilvl w:val="0"/>
          <w:numId w:val="48"/>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Compensation Clawback Policy. </w:t>
      </w:r>
      <w:r>
        <w:rPr>
          <w:rFonts w:ascii="Arial" w:cs="Arial" w:eastAsia="Arial" w:hAnsi="Arial"/>
          <w:sz w:val="16"/>
          <w:szCs w:val="16"/>
          <w:color w:val="auto"/>
        </w:rPr>
        <w:t>We maintain a Nasdaq-compliant</w:t>
      </w:r>
      <w:r>
        <w:rPr>
          <w:rFonts w:ascii="Arial" w:cs="Arial" w:eastAsia="Arial" w:hAnsi="Arial"/>
          <w:sz w:val="16"/>
          <w:szCs w:val="16"/>
          <w:b w:val="1"/>
          <w:bCs w:val="1"/>
          <w:color w:val="auto"/>
        </w:rPr>
        <w:t xml:space="preserve"> </w:t>
      </w:r>
      <w:r>
        <w:rPr>
          <w:rFonts w:ascii="Arial" w:cs="Arial" w:eastAsia="Arial" w:hAnsi="Arial"/>
          <w:sz w:val="16"/>
          <w:szCs w:val="16"/>
          <w:color w:val="auto"/>
        </w:rPr>
        <w:t>clawback policy covering both cash and equity compensation.</w:t>
      </w:r>
    </w:p>
    <w:p>
      <w:pPr>
        <w:spacing w:after="0" w:line="88" w:lineRule="exact"/>
        <w:rPr>
          <w:rFonts w:ascii="MS PGothic" w:cs="MS PGothic" w:eastAsia="MS PGothic" w:hAnsi="MS PGothic"/>
          <w:sz w:val="16"/>
          <w:szCs w:val="16"/>
          <w:color w:val="auto"/>
          <w:highlight w:val="black"/>
        </w:rPr>
      </w:pPr>
    </w:p>
    <w:p>
      <w:pPr>
        <w:ind w:left="380" w:right="22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Executive Compensation Review. </w:t>
      </w:r>
      <w:r>
        <w:rPr>
          <w:rFonts w:ascii="Arial" w:cs="Arial" w:eastAsia="Arial" w:hAnsi="Arial"/>
          <w:sz w:val="16"/>
          <w:szCs w:val="16"/>
          <w:color w:val="auto"/>
        </w:rPr>
        <w:t>The talent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conducts an annual review of our compensation strategy and a review of our compensation-related risk profile to ensure that our compensation programs do not encourage excessive or inappropriate risk-taking.</w:t>
      </w:r>
    </w:p>
    <w:p>
      <w:pPr>
        <w:spacing w:after="0" w:line="100" w:lineRule="exact"/>
        <w:rPr>
          <w:rFonts w:ascii="MS PGothic" w:cs="MS PGothic" w:eastAsia="MS PGothic" w:hAnsi="MS PGothic"/>
          <w:sz w:val="16"/>
          <w:szCs w:val="16"/>
          <w:color w:val="auto"/>
        </w:rPr>
      </w:pPr>
    </w:p>
    <w:p>
      <w:pPr>
        <w:ind w:left="380" w:right="220" w:hanging="322"/>
        <w:spacing w:after="0" w:line="252"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Compensation At-Risk. </w:t>
      </w:r>
      <w:r>
        <w:rPr>
          <w:rFonts w:ascii="Arial" w:cs="Arial" w:eastAsia="Arial" w:hAnsi="Arial"/>
          <w:sz w:val="16"/>
          <w:szCs w:val="16"/>
          <w:color w:val="auto"/>
        </w:rPr>
        <w:t>Our executive compensation program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so that a significant portion of our executive officers' compensation is “at-risk” based on corporate performance, as well as equity-based, to align the interests of our executive officers and stockholders.</w:t>
      </w:r>
    </w:p>
    <w:p>
      <w:pPr>
        <w:spacing w:after="0" w:line="114" w:lineRule="exact"/>
        <w:rPr>
          <w:rFonts w:ascii="MS PGothic" w:cs="MS PGothic" w:eastAsia="MS PGothic" w:hAnsi="MS PGothic"/>
          <w:sz w:val="16"/>
          <w:szCs w:val="16"/>
          <w:color w:val="auto"/>
        </w:rPr>
      </w:pPr>
    </w:p>
    <w:p>
      <w:pPr>
        <w:ind w:left="380" w:right="20" w:hanging="322"/>
        <w:spacing w:after="0" w:line="250"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Use a Pay-for-Performance Philosophy. </w:t>
      </w:r>
      <w:r>
        <w:rPr>
          <w:rFonts w:ascii="Arial" w:cs="Arial" w:eastAsia="Arial" w:hAnsi="Arial"/>
          <w:sz w:val="16"/>
          <w:szCs w:val="16"/>
          <w:color w:val="auto"/>
        </w:rPr>
        <w:t>The majority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compensation is directly linked to corporate performance; we also structure their annual target total direct compensation opportunities with a significant long-term equity component, thereby making a substantial portion of each executive officer’s annual target total direct compensation dependent upon our stock price and/or total stockholder return.</w:t>
      </w:r>
    </w:p>
    <w:p>
      <w:pPr>
        <w:spacing w:after="0" w:line="102" w:lineRule="exact"/>
        <w:rPr>
          <w:rFonts w:ascii="MS PGothic" w:cs="MS PGothic" w:eastAsia="MS PGothic" w:hAnsi="MS PGothic"/>
          <w:sz w:val="16"/>
          <w:szCs w:val="16"/>
          <w:color w:val="auto"/>
        </w:rPr>
      </w:pPr>
    </w:p>
    <w:p>
      <w:pPr>
        <w:ind w:left="380" w:right="160" w:hanging="322"/>
        <w:spacing w:after="0" w:line="266" w:lineRule="auto"/>
        <w:tabs>
          <w:tab w:leader="none" w:pos="380" w:val="left"/>
        </w:tabs>
        <w:numPr>
          <w:ilvl w:val="0"/>
          <w:numId w:val="4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Succession Planning. </w:t>
      </w:r>
      <w:r>
        <w:rPr>
          <w:rFonts w:ascii="Arial" w:cs="Arial" w:eastAsia="Arial" w:hAnsi="Arial"/>
          <w:sz w:val="16"/>
          <w:szCs w:val="16"/>
          <w:color w:val="auto"/>
        </w:rPr>
        <w:t>We review the risks associated with our key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325" w:right="180" w:hanging="325"/>
        <w:spacing w:after="0" w:line="28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Guaranteed Bonuses. </w:t>
      </w:r>
      <w:r>
        <w:rPr>
          <w:rFonts w:ascii="Arial" w:cs="Arial" w:eastAsia="Arial" w:hAnsi="Arial"/>
          <w:sz w:val="16"/>
          <w:szCs w:val="16"/>
          <w:color w:val="auto"/>
        </w:rPr>
        <w:t>We do not provide guaranteed bonuses to</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 officers.</w:t>
      </w:r>
    </w:p>
    <w:p>
      <w:pPr>
        <w:spacing w:after="0" w:line="74" w:lineRule="exact"/>
        <w:rPr>
          <w:rFonts w:ascii="MS PGothic" w:cs="MS PGothic" w:eastAsia="MS PGothic" w:hAnsi="MS PGothic"/>
          <w:sz w:val="16"/>
          <w:szCs w:val="16"/>
          <w:color w:val="auto"/>
        </w:rPr>
      </w:pPr>
    </w:p>
    <w:p>
      <w:pPr>
        <w:ind w:left="325" w:right="420" w:hanging="325"/>
        <w:spacing w:after="0" w:line="253"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Executive Retirement Plans. </w:t>
      </w:r>
      <w:r>
        <w:rPr>
          <w:rFonts w:ascii="Arial" w:cs="Arial" w:eastAsia="Arial" w:hAnsi="Arial"/>
          <w:sz w:val="16"/>
          <w:szCs w:val="16"/>
          <w:color w:val="auto"/>
        </w:rPr>
        <w:t>We do not offer defined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plans or any non-qualified deferred compensation plans or arrangements to our executive officers, other than the plans and arrangements that are available to all employees.</w:t>
      </w:r>
    </w:p>
    <w:p>
      <w:pPr>
        <w:spacing w:after="0" w:line="115" w:lineRule="exact"/>
        <w:rPr>
          <w:rFonts w:ascii="MS PGothic" w:cs="MS PGothic" w:eastAsia="MS PGothic" w:hAnsi="MS PGothic"/>
          <w:sz w:val="16"/>
          <w:szCs w:val="16"/>
          <w:color w:val="auto"/>
        </w:rPr>
      </w:pPr>
    </w:p>
    <w:p>
      <w:pPr>
        <w:ind w:left="325" w:right="300" w:hanging="325"/>
        <w:spacing w:after="0" w:line="26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prohibit our employees (including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and the non-employee members of our board of directors from hedging or pledging our securities.</w:t>
      </w:r>
    </w:p>
    <w:p>
      <w:pPr>
        <w:spacing w:after="0" w:line="90" w:lineRule="exact"/>
        <w:rPr>
          <w:rFonts w:ascii="MS PGothic" w:cs="MS PGothic" w:eastAsia="MS PGothic" w:hAnsi="MS PGothic"/>
          <w:sz w:val="16"/>
          <w:szCs w:val="16"/>
          <w:color w:val="auto"/>
        </w:rPr>
      </w:pPr>
    </w:p>
    <w:p>
      <w:pPr>
        <w:ind w:left="325" w:right="160" w:hanging="325"/>
        <w:spacing w:after="0" w:line="266"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Tax Payments on Perquisites. </w:t>
      </w:r>
      <w:r>
        <w:rPr>
          <w:rFonts w:ascii="Arial" w:cs="Arial" w:eastAsia="Arial" w:hAnsi="Arial"/>
          <w:sz w:val="16"/>
          <w:szCs w:val="16"/>
          <w:color w:val="auto"/>
        </w:rPr>
        <w:t>We do not provide any tax</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payments (including “gross-ups”) on any perquisites or other personal benefits.</w:t>
      </w:r>
    </w:p>
    <w:p>
      <w:pPr>
        <w:spacing w:after="0" w:line="90" w:lineRule="exact"/>
        <w:rPr>
          <w:rFonts w:ascii="MS PGothic" w:cs="MS PGothic" w:eastAsia="MS PGothic" w:hAnsi="MS PGothic"/>
          <w:sz w:val="16"/>
          <w:szCs w:val="16"/>
          <w:color w:val="auto"/>
        </w:rPr>
      </w:pPr>
    </w:p>
    <w:p>
      <w:pPr>
        <w:ind w:left="325" w:right="460" w:hanging="325"/>
        <w:spacing w:after="0" w:line="253"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Excise Tax Payments on Future Post-Employment Compensation Arrangements. </w:t>
      </w:r>
      <w:r>
        <w:rPr>
          <w:rFonts w:ascii="Arial" w:cs="Arial" w:eastAsia="Arial" w:hAnsi="Arial"/>
          <w:sz w:val="16"/>
          <w:szCs w:val="16"/>
          <w:color w:val="auto"/>
        </w:rPr>
        <w:t>We do not provide any excise tax</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payments (including “gross-ups”) on payments or benefits contingent upon a change in control of the company.</w:t>
      </w:r>
    </w:p>
    <w:p>
      <w:pPr>
        <w:spacing w:after="0" w:line="115" w:lineRule="exact"/>
        <w:rPr>
          <w:rFonts w:ascii="MS PGothic" w:cs="MS PGothic" w:eastAsia="MS PGothic" w:hAnsi="MS PGothic"/>
          <w:sz w:val="16"/>
          <w:szCs w:val="16"/>
          <w:color w:val="auto"/>
        </w:rPr>
      </w:pPr>
    </w:p>
    <w:p>
      <w:pPr>
        <w:ind w:left="325" w:right="340" w:hanging="325"/>
        <w:spacing w:after="0" w:line="252" w:lineRule="auto"/>
        <w:tabs>
          <w:tab w:leader="none" w:pos="352" w:val="left"/>
        </w:tabs>
        <w:numPr>
          <w:ilvl w:val="0"/>
          <w:numId w:val="49"/>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Special Welfare or Health Benefits. </w:t>
      </w:r>
      <w:r>
        <w:rPr>
          <w:rFonts w:ascii="Arial" w:cs="Arial" w:eastAsia="Arial" w:hAnsi="Arial"/>
          <w:sz w:val="16"/>
          <w:szCs w:val="16"/>
          <w:color w:val="auto"/>
        </w:rPr>
        <w:t>We do not provide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with any welfare or health benefit programs, other than participation in our broad-based employee programs. All highly compensated employees are eligible for special long-term disability insurance.</w:t>
      </w:r>
    </w:p>
    <w:p>
      <w:pPr>
        <w:spacing w:after="0" w:line="2923" w:lineRule="exact"/>
        <w:rPr>
          <w:sz w:val="20"/>
          <w:szCs w:val="20"/>
          <w:color w:val="auto"/>
        </w:rPr>
      </w:pPr>
    </w:p>
    <w:p>
      <w:pPr>
        <w:sectPr>
          <w:pgSz w:w="11900" w:h="16838" w:orient="portrait"/>
          <w:cols w:equalWidth="0" w:num="2">
            <w:col w:w="5560" w:space="155"/>
            <w:col w:w="5525"/>
          </w:cols>
          <w:pgMar w:left="320" w:top="114"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Executive Compensation Philosophy and Objectives</w:t>
      </w:r>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02" w:lineRule="exact"/>
        <w:rPr>
          <w:sz w:val="20"/>
          <w:szCs w:val="20"/>
          <w:color w:val="auto"/>
        </w:rPr>
      </w:pPr>
    </w:p>
    <w:p>
      <w:pPr>
        <w:ind w:left="340" w:right="30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88"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01"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50"/>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their long-term equity incentive compensation opportunities to long-term stockholder value creation and their cash incentives to our annual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Pay-for-Performance</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emphasize variable compensation that appropriately rewards our executive officers through two separate compensation elements:</w:t>
      </w:r>
    </w:p>
    <w:p>
      <w:pPr>
        <w:spacing w:after="0" w:line="154" w:lineRule="exact"/>
        <w:rPr>
          <w:sz w:val="20"/>
          <w:szCs w:val="20"/>
          <w:color w:val="auto"/>
        </w:rPr>
      </w:pPr>
    </w:p>
    <w:p>
      <w:pPr>
        <w:ind w:left="340" w:right="420" w:hanging="332"/>
        <w:spacing w:after="0" w:line="286" w:lineRule="auto"/>
        <w:tabs>
          <w:tab w:leader="none" w:pos="329" w:val="left"/>
        </w:tabs>
        <w:numPr>
          <w:ilvl w:val="0"/>
          <w:numId w:val="51"/>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and/or strategic results that meet or exceed the objectives set forth in our annual operating plan.</w:t>
      </w:r>
    </w:p>
    <w:p>
      <w:pPr>
        <w:spacing w:after="0" w:line="101" w:lineRule="exact"/>
        <w:rPr>
          <w:rFonts w:ascii="Arial" w:cs="Arial" w:eastAsia="Arial" w:hAnsi="Arial"/>
          <w:sz w:val="16"/>
          <w:szCs w:val="16"/>
          <w:color w:val="0063A6"/>
        </w:rPr>
      </w:pPr>
    </w:p>
    <w:p>
      <w:pPr>
        <w:ind w:left="340" w:right="440" w:hanging="332"/>
        <w:spacing w:after="0" w:line="266" w:lineRule="auto"/>
        <w:tabs>
          <w:tab w:leader="none" w:pos="329" w:val="left"/>
        </w:tabs>
        <w:numPr>
          <w:ilvl w:val="0"/>
          <w:numId w:val="51"/>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annual target total direct compensation opportunities, the value of which depends entirely on the value of our common stock, incentivize our executive officers to build sustainable long-term value for the benefit of our stockholders.</w:t>
      </w:r>
    </w:p>
    <w:p>
      <w:pPr>
        <w:spacing w:after="0" w:line="10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opportunities being contingent (rather than fixed) in nature, with the amounts ultimately payable subject to variability above or below target levels commensurate with our actual performance.</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Compensation-Setting Process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Talent and Compensation Committee and the Stock Committee</w:t>
      </w:r>
    </w:p>
    <w:p>
      <w:pPr>
        <w:spacing w:after="0" w:line="15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talent and compensation committee makes all final decisions regarding the compensation of our Chief Executive Officer and our other executive officers.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2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hanging="554"/>
        <w:spacing w:after="0"/>
        <w:tabs>
          <w:tab w:leader="none" w:pos="5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Compensation Consultant</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talent and compensation committee engages an external compensation consultant to assist the committee in discharging its responsibilities by providing information, analysis, and other guidance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w:t>
      </w:r>
    </w:p>
    <w:p>
      <w:pPr>
        <w:spacing w:after="0" w:line="11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For 2025, the talent and compensation committee retained Compensia to serve as its compensation consultant to advise on executive and director compensation matters, including competitive market pay practices for our executive officers, and data selection of the compensation peer group used for purposes of Compensia's competitive market and other analyses.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2025, Compensia attended talent and compensation committee meetings and provided the following services:</w:t>
      </w:r>
    </w:p>
    <w:p>
      <w:pPr>
        <w:spacing w:after="0" w:line="16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Consulted with the talent and compensation committee chair and other members between talent and compensation committee meetings;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identification and updating of our compensation peer group;</w:t>
      </w:r>
    </w:p>
    <w:p>
      <w:pPr>
        <w:spacing w:after="0" w:line="167" w:lineRule="exact"/>
        <w:rPr>
          <w:rFonts w:ascii="Arial" w:cs="Arial" w:eastAsia="Arial" w:hAnsi="Arial"/>
          <w:sz w:val="16"/>
          <w:szCs w:val="16"/>
          <w:color w:val="0063A6"/>
        </w:rPr>
      </w:pPr>
    </w:p>
    <w:p>
      <w:pPr>
        <w:ind w:left="340" w:right="240" w:hanging="332"/>
        <w:spacing w:after="0" w:line="266"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Provided a competitive market analysis based on data drawn from the compensation peer group for our executive officer positions, including new hire compensation, and evaluated how the compensation of our executive officers compared both to our performance and to how the companies in our compensation peer group compensate their executives in comparable positions;</w:t>
      </w:r>
    </w:p>
    <w:p>
      <w:pPr>
        <w:spacing w:after="0" w:line="117" w:lineRule="exact"/>
        <w:rPr>
          <w:rFonts w:ascii="Arial" w:cs="Arial" w:eastAsia="Arial" w:hAnsi="Arial"/>
          <w:sz w:val="16"/>
          <w:szCs w:val="16"/>
          <w:color w:val="0063A6"/>
        </w:rPr>
      </w:pPr>
    </w:p>
    <w:p>
      <w:pPr>
        <w:ind w:left="340" w:right="340" w:hanging="332"/>
        <w:spacing w:after="0" w:line="257"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Provided a competitive market analysis based on data drawn from the compensation peer group for non-employee directors, and evaluated how the compensation of our non-employee directors compared to how the companies in our compensation peer group compensate their non-employee directors;</w:t>
      </w:r>
    </w:p>
    <w:p>
      <w:pPr>
        <w:spacing w:after="0" w:line="124" w:lineRule="exact"/>
        <w:rPr>
          <w:rFonts w:ascii="Arial" w:cs="Arial" w:eastAsia="Arial" w:hAnsi="Arial"/>
          <w:sz w:val="16"/>
          <w:szCs w:val="16"/>
          <w:color w:val="0063A6"/>
        </w:rPr>
      </w:pPr>
    </w:p>
    <w:p>
      <w:pPr>
        <w:ind w:left="340" w:right="700" w:hanging="332"/>
        <w:spacing w:after="0" w:line="286"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cash bonus opportunities, and long-term equity incentive compensation opportunities of our executive officers;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“burn rate” and “overhang” analysis;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and analysis of short-term and long-term incentive compensation program designs;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Conducted a review and analysis of the competitive market with respect to the compensation arrangements for the Chief Financial Officer position;</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provided updates on corporate governance and regulatory issues and developments;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340" w:right="160" w:hanging="332"/>
        <w:spacing w:after="0" w:line="268" w:lineRule="auto"/>
        <w:tabs>
          <w:tab w:leader="none" w:pos="329"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53"/>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Compensia did not provide any services to us other than the consulting services to the talent and compensation committee. The talent and compensation committee regularly reviews the objectivity and independence of the advice provided by its compensation consultant on executive and director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Management</w:t>
      </w:r>
    </w:p>
    <w:p>
      <w:pPr>
        <w:spacing w:after="0" w:line="167"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10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Our Chief Executive Officer also attends meetings of our board of directors and the talent and compensation committee at which executive compensation matters are discussed, except with respect to discussions involving his own compensation. Decisions with respect to our Chief Executive Officer’s compensation are made solely by our talent and compensation committee, which is comprised entirely of independent members of our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Competitive Positioning</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2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companies in the compensation peer group for 2025 were approved in August 2024 on the basis of their similarity to us, as determined using the following criteria, each as of July 2024:</w:t>
      </w:r>
    </w:p>
    <w:p>
      <w:pPr>
        <w:spacing w:after="0" w:line="102" w:lineRule="exact"/>
        <w:rPr>
          <w:sz w:val="20"/>
          <w:szCs w:val="20"/>
          <w:color w:val="auto"/>
        </w:rPr>
      </w:pPr>
    </w:p>
    <w:p>
      <w:pPr>
        <w:ind w:left="340" w:right="10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approximately 0.4x to approximately 2.5x our last four fiscal quarter revenue of approximately $2.5 billion (approximately $1.0 billion to $6.3</w:t>
      </w:r>
      <w:r>
        <w:rPr>
          <w:rFonts w:ascii="Arial" w:cs="Arial" w:eastAsia="Arial" w:hAnsi="Arial"/>
          <w:sz w:val="16"/>
          <w:szCs w:val="16"/>
          <w:b w:val="1"/>
          <w:bCs w:val="1"/>
          <w:color w:val="auto"/>
        </w:rPr>
        <w:t xml:space="preserve"> </w:t>
      </w:r>
      <w:r>
        <w:rPr>
          <w:rFonts w:ascii="Arial" w:cs="Arial" w:eastAsia="Arial" w:hAnsi="Arial"/>
          <w:sz w:val="16"/>
          <w:szCs w:val="16"/>
          <w:color w:val="auto"/>
        </w:rPr>
        <w:t>billion);</w:t>
      </w:r>
    </w:p>
    <w:p>
      <w:pPr>
        <w:spacing w:after="0" w:line="88" w:lineRule="exact"/>
        <w:rPr>
          <w:rFonts w:ascii="Arial" w:cs="Arial" w:eastAsia="Arial" w:hAnsi="Arial"/>
          <w:sz w:val="16"/>
          <w:szCs w:val="16"/>
          <w:color w:val="0063A6"/>
        </w:rPr>
      </w:pPr>
    </w:p>
    <w:p>
      <w:pPr>
        <w:ind w:left="340" w:right="18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market capitalization </w:t>
      </w:r>
      <w:r>
        <w:rPr>
          <w:rFonts w:ascii="Arial" w:cs="Arial" w:eastAsia="Arial" w:hAnsi="Arial"/>
          <w:sz w:val="16"/>
          <w:szCs w:val="16"/>
          <w:color w:val="auto"/>
        </w:rPr>
        <w:t>– approximately 0.2x to approximately 5.0x our market capitalization of approximately $7.5 billion (approximately $1.5 billion to</w:t>
      </w:r>
      <w:r>
        <w:rPr>
          <w:rFonts w:ascii="Arial" w:cs="Arial" w:eastAsia="Arial" w:hAnsi="Arial"/>
          <w:sz w:val="16"/>
          <w:szCs w:val="16"/>
          <w:b w:val="1"/>
          <w:bCs w:val="1"/>
          <w:color w:val="auto"/>
        </w:rPr>
        <w:t xml:space="preserve"> </w:t>
      </w:r>
      <w:r>
        <w:rPr>
          <w:rFonts w:ascii="Arial" w:cs="Arial" w:eastAsia="Arial" w:hAnsi="Arial"/>
          <w:sz w:val="16"/>
          <w:szCs w:val="16"/>
          <w:color w:val="auto"/>
        </w:rPr>
        <w:t>$37.5 billion);</w:t>
      </w:r>
    </w:p>
    <w:p>
      <w:pPr>
        <w:spacing w:after="0" w:line="101" w:lineRule="exact"/>
        <w:rPr>
          <w:rFonts w:ascii="Arial" w:cs="Arial" w:eastAsia="Arial" w:hAnsi="Arial"/>
          <w:sz w:val="16"/>
          <w:szCs w:val="16"/>
          <w:color w:val="0063A6"/>
        </w:rPr>
      </w:pPr>
    </w:p>
    <w:p>
      <w:pPr>
        <w:ind w:left="340" w:right="360" w:hanging="332"/>
        <w:spacing w:after="0" w:line="286" w:lineRule="auto"/>
        <w:tabs>
          <w:tab w:leader="none" w:pos="329"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industry sector </w:t>
      </w:r>
      <w:r>
        <w:rPr>
          <w:rFonts w:ascii="Arial" w:cs="Arial" w:eastAsia="Arial" w:hAnsi="Arial"/>
          <w:sz w:val="16"/>
          <w:szCs w:val="16"/>
          <w:color w:val="auto"/>
        </w:rPr>
        <w:t>– software and SaaS, internet services and infrastructure, interactive media services, software, technology hardware and storage,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and payment processing services, and certain SaaS companies not classified as such; and</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4"/>
        </w:numPr>
        <w:rPr>
          <w:rFonts w:ascii="Arial" w:cs="Arial" w:eastAsia="Arial" w:hAnsi="Arial"/>
          <w:sz w:val="16"/>
          <w:szCs w:val="16"/>
          <w:color w:val="0063A6"/>
        </w:rPr>
      </w:pPr>
      <w:r>
        <w:rPr>
          <w:rFonts w:ascii="Arial" w:cs="Arial" w:eastAsia="Arial" w:hAnsi="Arial"/>
          <w:sz w:val="16"/>
          <w:szCs w:val="16"/>
          <w:b w:val="1"/>
          <w:bCs w:val="1"/>
          <w:color w:val="auto"/>
        </w:rPr>
        <w:t xml:space="preserve">relevance </w:t>
      </w:r>
      <w:r>
        <w:rPr>
          <w:rFonts w:ascii="Arial" w:cs="Arial" w:eastAsia="Arial" w:hAnsi="Arial"/>
          <w:sz w:val="16"/>
          <w:szCs w:val="16"/>
          <w:color w:val="auto"/>
        </w:rPr>
        <w:t>– software-as-a-service model or product similarity.</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selecting the 2025 compensation peer group, the talent and compensation committee chose companies that resulted in us being near the median of the group as of July 2024,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99060</wp:posOffset>
            </wp:positionV>
            <wp:extent cx="2391410"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91410" cy="368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2391410" cy="368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91410" cy="36830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2024 Compensation Peer Group</w:t>
            </w:r>
          </w:p>
        </w:tc>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Changes to Peer Group</w:t>
            </w:r>
          </w:p>
        </w:tc>
        <w:tc>
          <w:tcPr>
            <w:tcW w:w="3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2025 Compensation Peer Group</w:t>
            </w:r>
          </w:p>
        </w:tc>
      </w:tr>
      <w:tr>
        <w:trPr>
          <w:trHeight w:val="237"/>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Affirm Holdings</w:t>
            </w:r>
          </w:p>
        </w:tc>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Removed</w:t>
            </w:r>
            <w:r>
              <w:rPr>
                <w:rFonts w:ascii="Arial" w:cs="Arial" w:eastAsia="Arial" w:hAnsi="Arial"/>
                <w:sz w:val="16"/>
                <w:szCs w:val="16"/>
                <w:color w:val="auto"/>
              </w:rPr>
              <w:t>:</w:t>
            </w: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Affirm Holdings</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rPr>
              <w:t>AppLovin</w:t>
            </w:r>
          </w:p>
        </w:tc>
        <w:tc>
          <w:tcPr>
            <w:tcW w:w="3740" w:type="dxa"/>
            <w:vAlign w:val="bottom"/>
          </w:tcPr>
          <w:p>
            <w:pPr>
              <w:jc w:val="center"/>
              <w:spacing w:after="0"/>
              <w:rPr>
                <w:sz w:val="20"/>
                <w:szCs w:val="20"/>
                <w:color w:val="auto"/>
              </w:rPr>
            </w:pPr>
            <w:r>
              <w:rPr>
                <w:rFonts w:ascii="Arial" w:cs="Arial" w:eastAsia="Arial" w:hAnsi="Arial"/>
                <w:sz w:val="16"/>
                <w:szCs w:val="16"/>
                <w:color w:val="auto"/>
              </w:rPr>
              <w:t>Splunk (acquired)</w:t>
            </w: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AppLovin</w:t>
            </w:r>
          </w:p>
        </w:tc>
      </w:tr>
      <w:tr>
        <w:trPr>
          <w:trHeight w:val="231"/>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Box</w:t>
            </w:r>
          </w:p>
        </w:tc>
        <w:tc>
          <w:tcPr>
            <w:tcW w:w="3740" w:type="dxa"/>
            <w:vAlign w:val="bottom"/>
            <w:tcBorders>
              <w:bottom w:val="single" w:sz="8" w:color="F2F2F2"/>
            </w:tcBorders>
            <w:shd w:val="clear" w:color="auto" w:fill="F2F2F2"/>
          </w:tcPr>
          <w:p>
            <w:pPr>
              <w:spacing w:after="0"/>
              <w:rPr>
                <w:sz w:val="20"/>
                <w:szCs w:val="20"/>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4"/>
              </w:rPr>
              <w:t>Box</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DocuSign</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DocuSign</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Dolby Laboratories</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Dolby Laboratories</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7"/>
              </w:rPr>
              <w:t>Elastic</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Elastic</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Etsy</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Etsy</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6"/>
              </w:rPr>
              <w:t>F5</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6"/>
              </w:rPr>
              <w:t>F5</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GoDaddy</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GoDaddy</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HubSpot</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HubSpot</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Informatica</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 xml:space="preserve">Added: </w:t>
            </w:r>
            <w:r>
              <w:rPr>
                <w:rFonts w:ascii="Arial" w:cs="Arial" w:eastAsia="Arial" w:hAnsi="Arial"/>
                <w:sz w:val="16"/>
                <w:szCs w:val="16"/>
                <w:color w:val="auto"/>
              </w:rPr>
              <w:t>None</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Informatica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Nutanix</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Nutanix</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Okta</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Okta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Paycom Software</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Paycom Software</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Pinterest</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Pinterest</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Pure Storage</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Pure Storage</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RingCentral</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RingCentral</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Roku</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Roku</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Splunk</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Teradata</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w w:val="99"/>
              </w:rPr>
              <w:t>Teradata</w:t>
            </w: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Zoom Communications</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15"/>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Zoom Communications</w:t>
            </w:r>
          </w:p>
        </w:tc>
        <w:tc>
          <w:tcPr>
            <w:tcW w:w="3740" w:type="dxa"/>
            <w:vAlign w:val="bottom"/>
            <w:shd w:val="clear" w:color="auto" w:fill="F2F2F2"/>
          </w:tcPr>
          <w:p>
            <w:pPr>
              <w:spacing w:after="0"/>
              <w:rPr>
                <w:sz w:val="18"/>
                <w:szCs w:val="18"/>
                <w:color w:val="auto"/>
              </w:rPr>
            </w:pPr>
          </w:p>
        </w:tc>
        <w:tc>
          <w:tcPr>
            <w:tcW w:w="3760" w:type="dxa"/>
            <w:vAlign w:val="bottom"/>
            <w:shd w:val="clear" w:color="auto" w:fill="F2F2F2"/>
          </w:tcPr>
          <w:p>
            <w:pPr>
              <w:spacing w:after="0"/>
              <w:rPr>
                <w:sz w:val="18"/>
                <w:szCs w:val="18"/>
                <w:color w:val="auto"/>
              </w:rPr>
            </w:pPr>
          </w:p>
        </w:tc>
      </w:tr>
      <w:tr>
        <w:trPr>
          <w:trHeight w:val="28"/>
        </w:trPr>
        <w:tc>
          <w:tcPr>
            <w:tcW w:w="3740" w:type="dxa"/>
            <w:vAlign w:val="bottom"/>
            <w:shd w:val="clear" w:color="auto" w:fill="F2F2F2"/>
          </w:tcPr>
          <w:p>
            <w:pPr>
              <w:spacing w:after="0"/>
              <w:rPr>
                <w:sz w:val="2"/>
                <w:szCs w:val="2"/>
                <w:color w:val="auto"/>
              </w:rPr>
            </w:pPr>
          </w:p>
        </w:tc>
        <w:tc>
          <w:tcPr>
            <w:tcW w:w="3740" w:type="dxa"/>
            <w:vAlign w:val="bottom"/>
            <w:shd w:val="clear" w:color="auto" w:fill="F2F2F2"/>
          </w:tcPr>
          <w:p>
            <w:pPr>
              <w:spacing w:after="0"/>
              <w:rPr>
                <w:sz w:val="2"/>
                <w:szCs w:val="2"/>
                <w:color w:val="auto"/>
              </w:rPr>
            </w:pPr>
          </w:p>
        </w:tc>
        <w:tc>
          <w:tcPr>
            <w:tcW w:w="376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-1079500</wp:posOffset>
            </wp:positionV>
            <wp:extent cx="1714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-1079500</wp:posOffset>
            </wp:positionV>
            <wp:extent cx="1714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-1388110</wp:posOffset>
            </wp:positionV>
            <wp:extent cx="1714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-1696720</wp:posOffset>
            </wp:positionV>
            <wp:extent cx="1714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-1696720</wp:posOffset>
            </wp:positionV>
            <wp:extent cx="1714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-2005330</wp:posOffset>
            </wp:positionV>
            <wp:extent cx="1714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-2005330</wp:posOffset>
            </wp:positionV>
            <wp:extent cx="1714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-2313940</wp:posOffset>
            </wp:positionV>
            <wp:extent cx="1714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-2313940</wp:posOffset>
            </wp:positionV>
            <wp:extent cx="1714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-2622550</wp:posOffset>
            </wp:positionV>
            <wp:extent cx="1714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-2622550</wp:posOffset>
            </wp:positionV>
            <wp:extent cx="1714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-2931160</wp:posOffset>
            </wp:positionV>
            <wp:extent cx="1714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-2931160</wp:posOffset>
            </wp:positionV>
            <wp:extent cx="1714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195"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compensation practices of the compensation peer group were the primary guide used by the talent and compensation committee in 2025 to compare the competitiveness of each compensation element and our annual target total direct compensation (base salary, target annual cash bonus opportunities, and target long-term equity incentive compensation opportunities) for our executive officers.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28"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Setting</w:t>
      </w:r>
    </w:p>
    <w:p>
      <w:pPr>
        <w:spacing w:after="0" w:line="16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talent and compensation committee reviews the base salary levels, target annual cash bonus opportunities, and target long-term equity incentive compensation opportunities of our executive officers and all related performance criteria at the beginning of each year, or more frequently as warranted.</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do not establish a specific target for formulating the annual target total direct compensation opportunities of our executive officers, including our named executive officers.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194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ind w:left="200" w:hanging="158"/>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13" w:lineRule="exact"/>
        <w:rPr>
          <w:rFonts w:ascii="Arial" w:cs="Arial" w:eastAsia="Arial" w:hAnsi="Arial"/>
          <w:sz w:val="16"/>
          <w:szCs w:val="16"/>
          <w:color w:val="auto"/>
        </w:rPr>
      </w:pPr>
    </w:p>
    <w:p>
      <w:pPr>
        <w:ind w:left="200" w:hanging="158"/>
        <w:spacing w:after="0" w:line="255"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performance against the financial, operational, and strategic objectives established by the talent and compensation committee and our board of directors;</w:t>
      </w:r>
    </w:p>
    <w:p>
      <w:pPr>
        <w:spacing w:after="0" w:line="61" w:lineRule="exact"/>
        <w:rPr>
          <w:rFonts w:ascii="Arial" w:cs="Arial" w:eastAsia="Arial" w:hAnsi="Arial"/>
          <w:sz w:val="16"/>
          <w:szCs w:val="16"/>
          <w:color w:val="auto"/>
          <w:shd w:val="clear" w:color="auto" w:fill="F2F2F2"/>
        </w:rPr>
      </w:pPr>
    </w:p>
    <w:p>
      <w:pPr>
        <w:ind w:left="200" w:right="160" w:hanging="158"/>
        <w:spacing w:after="0" w:line="252"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Each individual executive officer’s knowledge, skills, experience, qualifications, and tenure relative to other similarly-situated executives at the companies in our compensation peer group and/or selected broad-based compensation surveys;</w:t>
      </w:r>
    </w:p>
    <w:p>
      <w:pPr>
        <w:spacing w:after="0" w:line="77" w:lineRule="exact"/>
        <w:rPr>
          <w:rFonts w:ascii="Arial" w:cs="Arial" w:eastAsia="Arial" w:hAnsi="Arial"/>
          <w:sz w:val="16"/>
          <w:szCs w:val="16"/>
          <w:color w:val="auto"/>
          <w:shd w:val="clear" w:color="auto" w:fill="F2F2F2"/>
        </w:rPr>
      </w:pPr>
    </w:p>
    <w:p>
      <w:pPr>
        <w:ind w:left="200" w:right="20" w:hanging="158"/>
        <w:spacing w:after="0" w:line="255"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scope of each executive officer’s role and responsibilities compared to other similarly-situated executives at the companies in our compensation peer group and/or selected broad-based compensation surveys;</w:t>
      </w:r>
    </w:p>
    <w:p>
      <w:pPr>
        <w:spacing w:after="0" w:line="75" w:lineRule="exact"/>
        <w:rPr>
          <w:rFonts w:ascii="Arial" w:cs="Arial" w:eastAsia="Arial" w:hAnsi="Arial"/>
          <w:sz w:val="16"/>
          <w:szCs w:val="16"/>
          <w:color w:val="auto"/>
          <w:shd w:val="clear" w:color="auto" w:fill="F2F2F2"/>
        </w:rPr>
      </w:pPr>
    </w:p>
    <w:p>
      <w:pPr>
        <w:ind w:left="200" w:hanging="158"/>
        <w:spacing w:after="0" w:line="252" w:lineRule="auto"/>
        <w:tabs>
          <w:tab w:leader="none" w:pos="188" w:val="left"/>
        </w:tabs>
        <w:numPr>
          <w:ilvl w:val="0"/>
          <w:numId w:val="56"/>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9" w:right="240" w:hanging="169"/>
        <w:spacing w:after="0" w:line="281" w:lineRule="auto"/>
        <w:tabs>
          <w:tab w:leader="none" w:pos="15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w:t>
      </w:r>
      <w:r>
        <w:rPr>
          <w:rFonts w:ascii="Arial" w:cs="Arial" w:eastAsia="Arial" w:hAnsi="Arial"/>
          <w:sz w:val="16"/>
          <w:szCs w:val="16"/>
          <w:color w:val="auto"/>
          <w:shd w:val="clear" w:color="auto" w:fill="F2F2F2"/>
        </w:rPr>
        <w:t>term financial, operational, and strategic objectives;</w:t>
      </w:r>
    </w:p>
    <w:p>
      <w:pPr>
        <w:spacing w:after="0" w:line="41" w:lineRule="exact"/>
        <w:rPr>
          <w:rFonts w:ascii="Arial" w:cs="Arial" w:eastAsia="Arial" w:hAnsi="Arial"/>
          <w:sz w:val="16"/>
          <w:szCs w:val="16"/>
          <w:color w:val="auto"/>
        </w:rPr>
      </w:pPr>
    </w:p>
    <w:p>
      <w:pPr>
        <w:ind w:left="169" w:right="100" w:hanging="169"/>
        <w:spacing w:after="0" w:line="281"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Chief Executive Officer’s compensation relative to that of our executive officers, and compensation parity among our executive officers;</w:t>
      </w:r>
    </w:p>
    <w:p>
      <w:pPr>
        <w:spacing w:after="0" w:line="41" w:lineRule="exact"/>
        <w:rPr>
          <w:rFonts w:ascii="Arial" w:cs="Arial" w:eastAsia="Arial" w:hAnsi="Arial"/>
          <w:sz w:val="16"/>
          <w:szCs w:val="16"/>
          <w:color w:val="auto"/>
          <w:shd w:val="clear" w:color="auto" w:fill="F2F2F2"/>
        </w:rPr>
      </w:pPr>
    </w:p>
    <w:p>
      <w:pPr>
        <w:ind w:left="149" w:hanging="149"/>
        <w:spacing w:after="0"/>
        <w:tabs>
          <w:tab w:leader="none" w:pos="149"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financial performance and profile relative to our compensation peers;</w:t>
      </w:r>
    </w:p>
    <w:p>
      <w:pPr>
        <w:spacing w:after="0" w:line="113" w:lineRule="exact"/>
        <w:rPr>
          <w:rFonts w:ascii="Arial" w:cs="Arial" w:eastAsia="Arial" w:hAnsi="Arial"/>
          <w:sz w:val="16"/>
          <w:szCs w:val="16"/>
          <w:color w:val="auto"/>
          <w:shd w:val="clear" w:color="auto" w:fill="F2F2F2"/>
        </w:rPr>
      </w:pPr>
    </w:p>
    <w:p>
      <w:pPr>
        <w:ind w:left="169" w:right="160" w:hanging="169"/>
        <w:spacing w:after="0" w:line="252"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compensation practices of our compensation peer group and the positioning of each executive officer’s compensation in a ranking of peer company compensation levels based on an analysis of competitive market data; and</w:t>
      </w:r>
    </w:p>
    <w:p>
      <w:pPr>
        <w:spacing w:after="0" w:line="77" w:lineRule="exact"/>
        <w:rPr>
          <w:rFonts w:ascii="Arial" w:cs="Arial" w:eastAsia="Arial" w:hAnsi="Arial"/>
          <w:sz w:val="16"/>
          <w:szCs w:val="16"/>
          <w:color w:val="auto"/>
          <w:shd w:val="clear" w:color="auto" w:fill="F2F2F2"/>
        </w:rPr>
      </w:pPr>
    </w:p>
    <w:p>
      <w:pPr>
        <w:ind w:left="169" w:right="360" w:hanging="169"/>
        <w:spacing w:after="0" w:line="263" w:lineRule="auto"/>
        <w:tabs>
          <w:tab w:leader="none" w:pos="157" w:val="left"/>
        </w:tabs>
        <w:numPr>
          <w:ilvl w:val="0"/>
          <w:numId w:val="57"/>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recommendations of our Chief Executive Officer with respect to the compensation of our other executive officers.</w:t>
      </w:r>
    </w:p>
    <w:p>
      <w:pPr>
        <w:spacing w:after="0" w:line="934" w:lineRule="exact"/>
        <w:rPr>
          <w:sz w:val="20"/>
          <w:szCs w:val="20"/>
          <w:color w:val="auto"/>
        </w:rPr>
      </w:pPr>
    </w:p>
    <w:p>
      <w:pPr>
        <w:sectPr>
          <w:pgSz w:w="11900" w:h="16838" w:orient="portrait"/>
          <w:cols w:equalWidth="0" w:num="2">
            <w:col w:w="5500" w:space="171"/>
            <w:col w:w="5569"/>
          </w:cols>
          <w:pgMar w:left="320" w:top="114" w:right="339" w:bottom="1440" w:gutter="0" w:footer="0" w:header="0"/>
          <w:type w:val="continuous"/>
        </w:sectPr>
      </w:pPr>
    </w:p>
    <w:p>
      <w:pPr>
        <w:spacing w:after="0" w:line="9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1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or decisions. The members of the talent and compensation committee consider all of this information in light of their individual experience, knowledge of management, knowledge of the competitive market, knowledge of each executive officer, and business judgment in making their decisions.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the talent and compensation committee considered feedback from our stockholders and the result of our most recent Say-on-Pay vote. Our fiscal 2025 Say-on-Pay vote reflected 98.8%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spacing w:after="0" w:line="129"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The talent and compensation committee also considers the potential risks in our business when designing and administering our executive compensation program and believes our balanced approach to performance measurement and pay delivery serves to avoid misaligned incentives for individuals to undertake excessive or inappropriate risk.</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Elements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 2025,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568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6845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3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Element</w:t>
            </w:r>
          </w:p>
        </w:tc>
        <w:tc>
          <w:tcPr>
            <w:tcW w:w="184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Type of Element</w:t>
            </w:r>
          </w:p>
        </w:tc>
        <w:tc>
          <w:tcPr>
            <w:tcW w:w="2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Compensation Element</w:t>
            </w:r>
          </w:p>
        </w:tc>
        <w:tc>
          <w:tcPr>
            <w:tcW w:w="50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Objective</w:t>
            </w:r>
          </w:p>
        </w:tc>
      </w:tr>
      <w:tr>
        <w:trPr>
          <w:trHeight w:val="242"/>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Base Salary</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Fixed</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Cash</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Attract and retain highly talented executives by providing fixed</w:t>
            </w:r>
          </w:p>
        </w:tc>
      </w:tr>
      <w:tr>
        <w:trPr>
          <w:trHeight w:val="189"/>
        </w:trPr>
        <w:tc>
          <w:tcPr>
            <w:tcW w:w="232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compensation amounts that are competitive in the market and</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reward performance.</w:t>
            </w:r>
          </w:p>
        </w:tc>
      </w:tr>
      <w:tr>
        <w:trPr>
          <w:trHeight w:val="69"/>
        </w:trPr>
        <w:tc>
          <w:tcPr>
            <w:tcW w:w="232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2000" w:type="dxa"/>
            <w:vAlign w:val="bottom"/>
            <w:shd w:val="clear" w:color="auto" w:fill="F2F2F2"/>
          </w:tcPr>
          <w:p>
            <w:pPr>
              <w:spacing w:after="0"/>
              <w:rPr>
                <w:sz w:val="6"/>
                <w:szCs w:val="6"/>
                <w:color w:val="auto"/>
              </w:rPr>
            </w:pPr>
          </w:p>
        </w:tc>
        <w:tc>
          <w:tcPr>
            <w:tcW w:w="5080" w:type="dxa"/>
            <w:vAlign w:val="bottom"/>
            <w:shd w:val="clear" w:color="auto" w:fill="F2F2F2"/>
          </w:tcPr>
          <w:p>
            <w:pPr>
              <w:spacing w:after="0"/>
              <w:rPr>
                <w:sz w:val="6"/>
                <w:szCs w:val="6"/>
                <w:color w:val="auto"/>
              </w:rPr>
            </w:pPr>
          </w:p>
        </w:tc>
      </w:tr>
      <w:tr>
        <w:trPr>
          <w:trHeight w:val="242"/>
        </w:trPr>
        <w:tc>
          <w:tcPr>
            <w:tcW w:w="2320" w:type="dxa"/>
            <w:vAlign w:val="bottom"/>
          </w:tcPr>
          <w:p>
            <w:pPr>
              <w:ind w:left="60"/>
              <w:spacing w:after="0"/>
              <w:rPr>
                <w:sz w:val="20"/>
                <w:szCs w:val="20"/>
                <w:color w:val="auto"/>
              </w:rPr>
            </w:pPr>
            <w:r>
              <w:rPr>
                <w:rFonts w:ascii="Arial" w:cs="Arial" w:eastAsia="Arial" w:hAnsi="Arial"/>
                <w:sz w:val="16"/>
                <w:szCs w:val="16"/>
                <w:color w:val="auto"/>
              </w:rPr>
              <w:t>Annual Cash Bonus</w:t>
            </w:r>
          </w:p>
        </w:tc>
        <w:tc>
          <w:tcPr>
            <w:tcW w:w="1840" w:type="dxa"/>
            <w:vAlign w:val="bottom"/>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tcPr>
          <w:p>
            <w:pPr>
              <w:ind w:left="60"/>
              <w:spacing w:after="0"/>
              <w:rPr>
                <w:sz w:val="20"/>
                <w:szCs w:val="20"/>
                <w:color w:val="auto"/>
              </w:rPr>
            </w:pPr>
            <w:r>
              <w:rPr>
                <w:rFonts w:ascii="Arial" w:cs="Arial" w:eastAsia="Arial" w:hAnsi="Arial"/>
                <w:sz w:val="16"/>
                <w:szCs w:val="16"/>
                <w:color w:val="auto"/>
              </w:rPr>
              <w:t>Cash</w:t>
            </w:r>
          </w:p>
        </w:tc>
        <w:tc>
          <w:tcPr>
            <w:tcW w:w="5080" w:type="dxa"/>
            <w:vAlign w:val="bottom"/>
          </w:tcPr>
          <w:p>
            <w:pPr>
              <w:ind w:left="340"/>
              <w:spacing w:after="0"/>
              <w:rPr>
                <w:sz w:val="20"/>
                <w:szCs w:val="20"/>
                <w:color w:val="auto"/>
              </w:rPr>
            </w:pPr>
            <w:r>
              <w:rPr>
                <w:rFonts w:ascii="Arial" w:cs="Arial" w:eastAsia="Arial" w:hAnsi="Arial"/>
                <w:sz w:val="16"/>
                <w:szCs w:val="16"/>
                <w:color w:val="auto"/>
              </w:rPr>
              <w:t>Motivate our executives to achieve annual business objectives set</w:t>
            </w:r>
          </w:p>
        </w:tc>
      </w:tr>
      <w:tr>
        <w:trPr>
          <w:trHeight w:val="189"/>
        </w:trPr>
        <w:tc>
          <w:tcPr>
            <w:tcW w:w="2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forth in our annual operating plan and provide financial incentives</w:t>
            </w:r>
          </w:p>
        </w:tc>
      </w:tr>
      <w:tr>
        <w:trPr>
          <w:trHeight w:val="215"/>
        </w:trPr>
        <w:tc>
          <w:tcPr>
            <w:tcW w:w="2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when we meet or exceed these annual objectives.</w:t>
            </w:r>
          </w:p>
        </w:tc>
      </w:tr>
      <w:tr>
        <w:trPr>
          <w:trHeight w:val="69"/>
        </w:trPr>
        <w:tc>
          <w:tcPr>
            <w:tcW w:w="23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5080" w:type="dxa"/>
            <w:vAlign w:val="bottom"/>
          </w:tcPr>
          <w:p>
            <w:pPr>
              <w:spacing w:after="0"/>
              <w:rPr>
                <w:sz w:val="6"/>
                <w:szCs w:val="6"/>
                <w:color w:val="auto"/>
              </w:rPr>
            </w:pPr>
          </w:p>
        </w:tc>
      </w:tr>
      <w:tr>
        <w:trPr>
          <w:trHeight w:val="242"/>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Long-Term Equity Incentive</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Equity</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Align the interests of our executives and our stockholders by</w:t>
            </w:r>
          </w:p>
        </w:tc>
      </w:tr>
      <w:tr>
        <w:trPr>
          <w:trHeight w:val="189"/>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Compensation</w:t>
            </w: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motivating them to create sustainable long-term stockholder</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value.</w:t>
            </w:r>
          </w:p>
        </w:tc>
      </w:tr>
      <w:tr>
        <w:trPr>
          <w:trHeight w:val="69"/>
        </w:trPr>
        <w:tc>
          <w:tcPr>
            <w:tcW w:w="2320" w:type="dxa"/>
            <w:vAlign w:val="bottom"/>
            <w:shd w:val="clear" w:color="auto" w:fill="F2F2F2"/>
          </w:tcPr>
          <w:p>
            <w:pPr>
              <w:spacing w:after="0"/>
              <w:rPr>
                <w:sz w:val="6"/>
                <w:szCs w:val="6"/>
                <w:color w:val="auto"/>
              </w:rPr>
            </w:pPr>
          </w:p>
        </w:tc>
        <w:tc>
          <w:tcPr>
            <w:tcW w:w="1840" w:type="dxa"/>
            <w:vAlign w:val="bottom"/>
            <w:shd w:val="clear" w:color="auto" w:fill="F2F2F2"/>
          </w:tcPr>
          <w:p>
            <w:pPr>
              <w:spacing w:after="0"/>
              <w:rPr>
                <w:sz w:val="6"/>
                <w:szCs w:val="6"/>
                <w:color w:val="auto"/>
              </w:rPr>
            </w:pPr>
          </w:p>
        </w:tc>
        <w:tc>
          <w:tcPr>
            <w:tcW w:w="2000" w:type="dxa"/>
            <w:vAlign w:val="bottom"/>
            <w:shd w:val="clear" w:color="auto" w:fill="F2F2F2"/>
          </w:tcPr>
          <w:p>
            <w:pPr>
              <w:spacing w:after="0"/>
              <w:rPr>
                <w:sz w:val="6"/>
                <w:szCs w:val="6"/>
                <w:color w:val="auto"/>
              </w:rPr>
            </w:pPr>
          </w:p>
        </w:tc>
        <w:tc>
          <w:tcPr>
            <w:tcW w:w="5080" w:type="dxa"/>
            <w:vAlign w:val="bottom"/>
            <w:shd w:val="clear" w:color="auto" w:fill="F2F2F2"/>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554"/>
        <w:spacing w:after="0"/>
        <w:tabs>
          <w:tab w:leader="none" w:pos="5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Mix of Pay</w:t>
      </w:r>
    </w:p>
    <w:p>
      <w:pPr>
        <w:spacing w:after="0" w:line="16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primary focus in compensating our executive officers is on the longer-term and performance-based elements of their annual target total direct compensation opportunities. Under our 2025 executive compensation program, approximately 96% of the annual target total direct compensation opportunities of our named executive officers (excluding our CEO), as of December 31, 2025, was variable in the form of annual cash bonus and long-term equity incentive compensation. Our CEO’s mix of pay was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6"/>
          <w:szCs w:val="16"/>
          <w:i w:val="1"/>
          <w:iCs w:val="1"/>
          <w:color w:val="auto"/>
        </w:rPr>
        <w:t>Co-Founder Grant</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424815</wp:posOffset>
            </wp:positionV>
            <wp:extent cx="5803265" cy="2074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0326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*The pay mix calculations for "Other Named Executive Officers" include all other NEOs with the</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exception of Mr. Tennenbaum given his December 2025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Base Salary</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negotiations at the time of hire,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competitive market conditions.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March 2025, the talent and compensation committee reviewed the base salaries of our incumbent executive officers, including our incumbent named executive officers at that time, taking into consideration a competitive market analysis prepared by our compensation consultant and the recommendations of our Chief Executive Officer (except with respect to his own base salary), as well as the other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Setting</w:t>
      </w:r>
      <w:r>
        <w:rPr>
          <w:rFonts w:ascii="Arial" w:cs="Arial" w:eastAsia="Arial" w:hAnsi="Arial"/>
          <w:sz w:val="16"/>
          <w:szCs w:val="16"/>
          <w:color w:val="auto"/>
        </w:rPr>
        <w:t>” above. The base salaries of Messrs. Houston, Regan and Alkarmi were maintained at their 2024 levels because the talent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determined their current base salaries continued to reflect the competitive market for their positions. Mr. Yoon's base salary was increased in connection with his appointment as Chief Legal Officer to reflect his increased responsibilities in his new role.</w:t>
      </w:r>
    </w:p>
    <w:p>
      <w:pPr>
        <w:spacing w:after="0" w:line="12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Base salaries for Messrs. Dasdan and Tennenbaum were determined by the talent and compensation committee in connection with their hiring, prior to commencement of employment. Mr. Dasdan’s initial base salary was set in December 2024 in advance of his March 2025 start date, and Mr. Tennenbaum’s initial base salary was set in advance of his December 2025 start date. In each case, these initial base salary determinations were made taking into account a competitive market analysis prepared by the talent and compensation committee's compensation consultant and the recommendations of our Chief Executive Officer, as well as the other factors described in the section titled “</w:t>
      </w:r>
      <w:r>
        <w:rPr>
          <w:rFonts w:ascii="Arial" w:cs="Arial" w:eastAsia="Arial" w:hAnsi="Arial"/>
          <w:sz w:val="16"/>
          <w:szCs w:val="16"/>
          <w:i w:val="1"/>
          <w:iCs w:val="1"/>
          <w:color w:val="auto"/>
        </w:rPr>
        <w:t>Executive Compensation—Compensation-Setting Process—Compensation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Setting</w:t>
      </w:r>
      <w:r>
        <w:rPr>
          <w:rFonts w:ascii="Arial" w:cs="Arial" w:eastAsia="Arial" w:hAnsi="Arial"/>
          <w:sz w:val="16"/>
          <w:szCs w:val="16"/>
          <w:color w:val="auto"/>
        </w:rPr>
        <w:t>” above.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for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837555" cy="582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58293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shd w:val="clear" w:color="auto" w:fill="0063A6"/>
          </w:tcPr>
          <w:p>
            <w:pPr>
              <w:spacing w:after="0"/>
              <w:rPr>
                <w:sz w:val="20"/>
                <w:szCs w:val="20"/>
                <w:color w:val="auto"/>
              </w:rPr>
            </w:pPr>
          </w:p>
        </w:tc>
        <w:tc>
          <w:tcPr>
            <w:tcW w:w="2060" w:type="dxa"/>
            <w:vAlign w:val="bottom"/>
            <w:shd w:val="clear" w:color="auto" w:fill="0063A6"/>
          </w:tcPr>
          <w:p>
            <w:pPr>
              <w:spacing w:after="0"/>
              <w:rPr>
                <w:sz w:val="20"/>
                <w:szCs w:val="20"/>
                <w:color w:val="auto"/>
              </w:rPr>
            </w:pPr>
          </w:p>
        </w:tc>
        <w:tc>
          <w:tcPr>
            <w:tcW w:w="2180" w:type="dxa"/>
            <w:vAlign w:val="bottom"/>
            <w:shd w:val="clear" w:color="auto" w:fill="0063A6"/>
          </w:tcPr>
          <w:p>
            <w:pPr>
              <w:spacing w:after="0"/>
              <w:rPr>
                <w:sz w:val="20"/>
                <w:szCs w:val="20"/>
                <w:color w:val="auto"/>
              </w:rPr>
            </w:pPr>
          </w:p>
        </w:tc>
        <w:tc>
          <w:tcPr>
            <w:tcW w:w="1920" w:type="dxa"/>
            <w:vAlign w:val="bottom"/>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5080" w:type="dxa"/>
            <w:vAlign w:val="bottom"/>
            <w:shd w:val="clear" w:color="auto" w:fill="0063A6"/>
          </w:tcPr>
          <w:p>
            <w:pPr>
              <w:spacing w:after="0"/>
              <w:rPr>
                <w:sz w:val="14"/>
                <w:szCs w:val="1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Base Salary</w:t>
            </w:r>
          </w:p>
        </w:tc>
        <w:tc>
          <w:tcPr>
            <w:tcW w:w="2180" w:type="dxa"/>
            <w:vAlign w:val="bottom"/>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0063A6"/>
          </w:tcPr>
          <w:p>
            <w:pPr>
              <w:jc w:val="center"/>
              <w:ind w:right="82"/>
              <w:spacing w:after="0"/>
              <w:rPr>
                <w:sz w:val="20"/>
                <w:szCs w:val="20"/>
                <w:color w:val="auto"/>
              </w:rPr>
            </w:pPr>
            <w:r>
              <w:rPr>
                <w:rFonts w:ascii="Arial" w:cs="Arial" w:eastAsia="Arial" w:hAnsi="Arial"/>
                <w:sz w:val="14"/>
                <w:szCs w:val="14"/>
                <w:b w:val="1"/>
                <w:bCs w:val="1"/>
                <w:color w:val="FFFFFF"/>
              </w:rPr>
              <w:t>(Decrease) /</w:t>
            </w:r>
          </w:p>
        </w:tc>
      </w:tr>
      <w:tr>
        <w:trPr>
          <w:trHeight w:val="246"/>
        </w:trPr>
        <w:tc>
          <w:tcPr>
            <w:tcW w:w="50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as of End of 2024 ($)</w:t>
            </w:r>
          </w:p>
        </w:tc>
        <w:tc>
          <w:tcPr>
            <w:tcW w:w="2180" w:type="dxa"/>
            <w:vAlign w:val="bottom"/>
            <w:tcBorders>
              <w:bottom w:val="single" w:sz="8" w:color="0063A6"/>
            </w:tcBorders>
            <w:shd w:val="clear" w:color="auto" w:fill="0063A6"/>
          </w:tcPr>
          <w:p>
            <w:pPr>
              <w:jc w:val="center"/>
              <w:ind w:right="61"/>
              <w:spacing w:after="0"/>
              <w:rPr>
                <w:sz w:val="20"/>
                <w:szCs w:val="20"/>
                <w:color w:val="auto"/>
              </w:rPr>
            </w:pPr>
            <w:r>
              <w:rPr>
                <w:rFonts w:ascii="Arial" w:cs="Arial" w:eastAsia="Arial" w:hAnsi="Arial"/>
                <w:sz w:val="14"/>
                <w:szCs w:val="14"/>
                <w:b w:val="1"/>
                <w:bCs w:val="1"/>
                <w:color w:val="FFFFFF"/>
              </w:rPr>
              <w:t>as of End of 2025 ($)</w:t>
            </w:r>
          </w:p>
        </w:tc>
        <w:tc>
          <w:tcPr>
            <w:tcW w:w="1920" w:type="dxa"/>
            <w:vAlign w:val="bottom"/>
            <w:tcBorders>
              <w:bottom w:val="single" w:sz="8" w:color="0063A6"/>
            </w:tcBorders>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Increase</w:t>
            </w:r>
          </w:p>
        </w:tc>
      </w:tr>
      <w:tr>
        <w:trPr>
          <w:trHeight w:val="236"/>
        </w:trPr>
        <w:tc>
          <w:tcPr>
            <w:tcW w:w="50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2180" w:type="dxa"/>
            <w:vAlign w:val="bottom"/>
            <w:tcBorders>
              <w:bottom w:val="single" w:sz="8" w:color="F2F2F2"/>
            </w:tcBorders>
            <w:shd w:val="clear" w:color="auto" w:fill="F2F2F2"/>
          </w:tcPr>
          <w:p>
            <w:pPr>
              <w:jc w:val="center"/>
              <w:ind w:right="61"/>
              <w:spacing w:after="0"/>
              <w:rPr>
                <w:sz w:val="20"/>
                <w:szCs w:val="20"/>
                <w:color w:val="auto"/>
              </w:rPr>
            </w:pPr>
            <w:r>
              <w:rPr>
                <w:rFonts w:ascii="Arial" w:cs="Arial" w:eastAsia="Arial" w:hAnsi="Arial"/>
                <w:sz w:val="16"/>
                <w:szCs w:val="16"/>
                <w:color w:val="auto"/>
              </w:rPr>
              <w:t>800,000</w:t>
            </w:r>
          </w:p>
        </w:tc>
        <w:tc>
          <w:tcPr>
            <w:tcW w:w="1920" w:type="dxa"/>
            <w:vAlign w:val="bottom"/>
            <w:tcBorders>
              <w:bottom w:val="single" w:sz="8" w:color="F2F2F2"/>
            </w:tcBorders>
            <w:shd w:val="clear" w:color="auto" w:fill="F2F2F2"/>
          </w:tcPr>
          <w:p>
            <w:pPr>
              <w:jc w:val="center"/>
              <w:ind w:right="42"/>
              <w:spacing w:after="0"/>
              <w:rPr>
                <w:sz w:val="20"/>
                <w:szCs w:val="20"/>
                <w:color w:val="auto"/>
              </w:rPr>
            </w:pPr>
            <w:r>
              <w:rPr>
                <w:rFonts w:ascii="Arial" w:cs="Arial" w:eastAsia="Arial" w:hAnsi="Arial"/>
                <w:sz w:val="16"/>
                <w:szCs w:val="16"/>
                <w:color w:val="auto"/>
              </w:rPr>
              <w:t>0%</w:t>
            </w:r>
          </w:p>
        </w:tc>
      </w:tr>
      <w:tr>
        <w:trPr>
          <w:trHeight w:val="243"/>
        </w:trPr>
        <w:tc>
          <w:tcPr>
            <w:tcW w:w="508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(1)</w:t>
            </w:r>
          </w:p>
        </w:tc>
        <w:tc>
          <w:tcPr>
            <w:tcW w:w="2060" w:type="dxa"/>
            <w:vAlign w:val="bottom"/>
          </w:tcPr>
          <w:p>
            <w:pPr>
              <w:jc w:val="center"/>
              <w:spacing w:after="0"/>
              <w:rPr>
                <w:sz w:val="20"/>
                <w:szCs w:val="20"/>
                <w:color w:val="auto"/>
              </w:rPr>
            </w:pPr>
            <w:r>
              <w:rPr>
                <w:rFonts w:ascii="Arial" w:cs="Arial" w:eastAsia="Arial" w:hAnsi="Arial"/>
                <w:sz w:val="16"/>
                <w:szCs w:val="16"/>
                <w:color w:val="auto"/>
              </w:rPr>
              <w:t>—</w:t>
            </w:r>
          </w:p>
        </w:tc>
        <w:tc>
          <w:tcPr>
            <w:tcW w:w="2180" w:type="dxa"/>
            <w:vAlign w:val="bottom"/>
          </w:tcPr>
          <w:p>
            <w:pPr>
              <w:jc w:val="center"/>
              <w:ind w:right="41"/>
              <w:spacing w:after="0"/>
              <w:rPr>
                <w:sz w:val="20"/>
                <w:szCs w:val="20"/>
                <w:color w:val="auto"/>
              </w:rPr>
            </w:pPr>
            <w:r>
              <w:rPr>
                <w:rFonts w:ascii="Arial" w:cs="Arial" w:eastAsia="Arial" w:hAnsi="Arial"/>
                <w:sz w:val="16"/>
                <w:szCs w:val="16"/>
                <w:color w:val="auto"/>
              </w:rPr>
              <w:t>550,000</w:t>
            </w:r>
          </w:p>
        </w:tc>
        <w:tc>
          <w:tcPr>
            <w:tcW w:w="1920" w:type="dxa"/>
            <w:vAlign w:val="bottom"/>
          </w:tcPr>
          <w:p>
            <w:pPr>
              <w:jc w:val="center"/>
              <w:ind w:right="62"/>
              <w:spacing w:after="0"/>
              <w:rPr>
                <w:sz w:val="20"/>
                <w:szCs w:val="20"/>
                <w:color w:val="auto"/>
              </w:rPr>
            </w:pPr>
            <w:r>
              <w:rPr>
                <w:rFonts w:ascii="Arial" w:cs="Arial" w:eastAsia="Arial" w:hAnsi="Arial"/>
                <w:sz w:val="16"/>
                <w:szCs w:val="16"/>
                <w:color w:val="auto"/>
                <w:w w:val="97"/>
              </w:rPr>
              <w:t>N/A</w:t>
            </w:r>
          </w:p>
        </w:tc>
      </w:tr>
      <w:tr>
        <w:trPr>
          <w:trHeight w:val="243"/>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r>
              <w:rPr>
                <w:rFonts w:ascii="Arial" w:cs="Arial" w:eastAsia="Arial" w:hAnsi="Arial"/>
                <w:sz w:val="21"/>
                <w:szCs w:val="21"/>
                <w:color w:val="auto"/>
                <w:vertAlign w:val="superscript"/>
              </w:rPr>
              <w:t>(2)</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560,000</w:t>
            </w:r>
          </w:p>
        </w:tc>
        <w:tc>
          <w:tcPr>
            <w:tcW w:w="218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560,000</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0%</w:t>
            </w:r>
          </w:p>
        </w:tc>
      </w:tr>
      <w:tr>
        <w:trPr>
          <w:trHeight w:val="243"/>
        </w:trPr>
        <w:tc>
          <w:tcPr>
            <w:tcW w:w="5080" w:type="dxa"/>
            <w:vAlign w:val="bottom"/>
          </w:tcPr>
          <w:p>
            <w:pPr>
              <w:ind w:left="60"/>
              <w:spacing w:after="0"/>
              <w:rPr>
                <w:sz w:val="20"/>
                <w:szCs w:val="20"/>
                <w:color w:val="auto"/>
              </w:rPr>
            </w:pPr>
            <w:r>
              <w:rPr>
                <w:rFonts w:ascii="Arial" w:cs="Arial" w:eastAsia="Arial" w:hAnsi="Arial"/>
                <w:sz w:val="16"/>
                <w:szCs w:val="16"/>
                <w:color w:val="auto"/>
              </w:rPr>
              <w:t>William Yoon</w:t>
            </w:r>
            <w:r>
              <w:rPr>
                <w:rFonts w:ascii="Arial" w:cs="Arial" w:eastAsia="Arial" w:hAnsi="Arial"/>
                <w:sz w:val="21"/>
                <w:szCs w:val="21"/>
                <w:color w:val="auto"/>
                <w:vertAlign w:val="superscript"/>
              </w:rPr>
              <w:t>(3)</w:t>
            </w:r>
          </w:p>
        </w:tc>
        <w:tc>
          <w:tcPr>
            <w:tcW w:w="2060" w:type="dxa"/>
            <w:vAlign w:val="bottom"/>
          </w:tcPr>
          <w:p>
            <w:pPr>
              <w:jc w:val="center"/>
              <w:spacing w:after="0"/>
              <w:rPr>
                <w:sz w:val="20"/>
                <w:szCs w:val="20"/>
                <w:color w:val="auto"/>
              </w:rPr>
            </w:pPr>
            <w:r>
              <w:rPr>
                <w:rFonts w:ascii="Arial" w:cs="Arial" w:eastAsia="Arial" w:hAnsi="Arial"/>
                <w:sz w:val="16"/>
                <w:szCs w:val="16"/>
                <w:color w:val="auto"/>
              </w:rPr>
              <w:t>420,000</w:t>
            </w:r>
          </w:p>
        </w:tc>
        <w:tc>
          <w:tcPr>
            <w:tcW w:w="2180" w:type="dxa"/>
            <w:vAlign w:val="bottom"/>
          </w:tcPr>
          <w:p>
            <w:pPr>
              <w:jc w:val="center"/>
              <w:ind w:right="61"/>
              <w:spacing w:after="0"/>
              <w:rPr>
                <w:sz w:val="20"/>
                <w:szCs w:val="20"/>
                <w:color w:val="auto"/>
              </w:rPr>
            </w:pPr>
            <w:r>
              <w:rPr>
                <w:rFonts w:ascii="Arial" w:cs="Arial" w:eastAsia="Arial" w:hAnsi="Arial"/>
                <w:sz w:val="16"/>
                <w:szCs w:val="16"/>
                <w:color w:val="auto"/>
              </w:rPr>
              <w:t>475,000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w w:val="99"/>
              </w:rPr>
              <w:t>13%</w:t>
            </w:r>
          </w:p>
        </w:tc>
      </w:tr>
      <w:tr>
        <w:trPr>
          <w:trHeight w:val="243"/>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r>
              <w:rPr>
                <w:rFonts w:ascii="Arial" w:cs="Arial" w:eastAsia="Arial" w:hAnsi="Arial"/>
                <w:sz w:val="21"/>
                <w:szCs w:val="21"/>
                <w:color w:val="auto"/>
                <w:vertAlign w:val="superscript"/>
              </w:rPr>
              <w:t>(4)</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180" w:type="dxa"/>
            <w:vAlign w:val="bottom"/>
            <w:shd w:val="clear" w:color="auto" w:fill="F2F2F2"/>
          </w:tcPr>
          <w:p>
            <w:pPr>
              <w:jc w:val="center"/>
              <w:ind w:right="61"/>
              <w:spacing w:after="0"/>
              <w:rPr>
                <w:sz w:val="20"/>
                <w:szCs w:val="20"/>
                <w:color w:val="auto"/>
              </w:rPr>
            </w:pPr>
            <w:r>
              <w:rPr>
                <w:rFonts w:ascii="Arial" w:cs="Arial" w:eastAsia="Arial" w:hAnsi="Arial"/>
                <w:sz w:val="16"/>
                <w:szCs w:val="16"/>
                <w:color w:val="auto"/>
              </w:rPr>
              <w:t>500,000</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N/A</w:t>
            </w:r>
          </w:p>
        </w:tc>
      </w:tr>
      <w:tr>
        <w:trPr>
          <w:trHeight w:val="241"/>
        </w:trPr>
        <w:tc>
          <w:tcPr>
            <w:tcW w:w="50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060" w:type="dxa"/>
            <w:vAlign w:val="bottom"/>
          </w:tcPr>
          <w:p>
            <w:pPr>
              <w:jc w:val="center"/>
              <w:spacing w:after="0"/>
              <w:rPr>
                <w:sz w:val="20"/>
                <w:szCs w:val="20"/>
                <w:color w:val="auto"/>
              </w:rPr>
            </w:pPr>
            <w:r>
              <w:rPr>
                <w:rFonts w:ascii="Arial" w:cs="Arial" w:eastAsia="Arial" w:hAnsi="Arial"/>
                <w:sz w:val="16"/>
                <w:szCs w:val="16"/>
                <w:color w:val="auto"/>
              </w:rPr>
              <w:t>500,000</w:t>
            </w:r>
          </w:p>
        </w:tc>
        <w:tc>
          <w:tcPr>
            <w:tcW w:w="2180" w:type="dxa"/>
            <w:vAlign w:val="bottom"/>
          </w:tcPr>
          <w:p>
            <w:pPr>
              <w:jc w:val="center"/>
              <w:ind w:right="81"/>
              <w:spacing w:after="0"/>
              <w:rPr>
                <w:sz w:val="20"/>
                <w:szCs w:val="20"/>
                <w:color w:val="auto"/>
              </w:rPr>
            </w:pPr>
            <w:r>
              <w:rPr>
                <w:rFonts w:ascii="Arial" w:cs="Arial" w:eastAsia="Arial" w:hAnsi="Arial"/>
                <w:sz w:val="16"/>
                <w:szCs w:val="16"/>
                <w:color w:val="auto"/>
              </w:rPr>
              <w:t>500,000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-306705</wp:posOffset>
            </wp:positionV>
            <wp:extent cx="1714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wp:posOffset>
            </wp:positionV>
            <wp:extent cx="1714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-306705</wp:posOffset>
            </wp:positionV>
            <wp:extent cx="1714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-615315</wp:posOffset>
            </wp:positionV>
            <wp:extent cx="1714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-615315</wp:posOffset>
            </wp:positionV>
            <wp:extent cx="1714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-615315</wp:posOffset>
            </wp:positionV>
            <wp:extent cx="1714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5"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Mr. Tennenbaum was appointed as Chief Financial Officer in December 2025.</w:t>
      </w:r>
    </w:p>
    <w:p>
      <w:pPr>
        <w:ind w:left="260" w:hanging="252"/>
        <w:spacing w:after="0" w:line="187" w:lineRule="auto"/>
        <w:tabs>
          <w:tab w:leader="none" w:pos="2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Mr. Regan's role as Chief Financial Officer ended on December 16, 2025, and his employment with the company ended in March 2026.</w:t>
      </w:r>
    </w:p>
    <w:p>
      <w:pPr>
        <w:ind w:left="260" w:hanging="252"/>
        <w:spacing w:after="0" w:line="187" w:lineRule="auto"/>
        <w:tabs>
          <w:tab w:leader="none" w:pos="2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Mr. Yoon was appointed as Chief Legal Officer in March 2025, and his 2025 base salary increase was in connection with his appointment.</w:t>
      </w:r>
    </w:p>
    <w:p>
      <w:pPr>
        <w:ind w:left="260" w:hanging="252"/>
        <w:spacing w:after="0"/>
        <w:tabs>
          <w:tab w:leader="none" w:pos="260" w:val="left"/>
        </w:tabs>
        <w:numPr>
          <w:ilvl w:val="0"/>
          <w:numId w:val="59"/>
        </w:numPr>
        <w:rPr>
          <w:rFonts w:ascii="Arial" w:cs="Arial" w:eastAsia="Arial" w:hAnsi="Arial"/>
          <w:sz w:val="9"/>
          <w:szCs w:val="9"/>
          <w:color w:val="auto"/>
        </w:rPr>
      </w:pPr>
      <w:r>
        <w:rPr>
          <w:rFonts w:ascii="Arial" w:cs="Arial" w:eastAsia="Arial" w:hAnsi="Arial"/>
          <w:sz w:val="14"/>
          <w:szCs w:val="14"/>
          <w:color w:val="auto"/>
        </w:rPr>
        <w:t>Mr. Dasdan was appointed as Chief Technology Officer in March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paid to our named executive officers during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below.</w:t>
      </w:r>
    </w:p>
    <w:p>
      <w:pPr>
        <w:spacing w:after="0" w:line="15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noted above. Mr. Regan’s role as Chief Financial Officer ended on December 16, 2025, and his employment with the company ended in March 2026. Following his resignation as Chief Financial Officer, Mr. Regan continued to serve as a non-executive employee of the company to ensure a smooth transition. Mr. Regan received a one-time advisory fee cash payment of $250,000 in December 2025 in connection with his continued service.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Annual Cash Bonuses</w:t>
      </w:r>
    </w:p>
    <w:p>
      <w:pPr>
        <w:spacing w:after="0" w:line="1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In January 2025, the talent and compensation committee, with input from management, adopted our 2025 annual cash bonus plan (the “ </w:t>
      </w:r>
      <w:r>
        <w:rPr>
          <w:rFonts w:ascii="Arial" w:cs="Arial" w:eastAsia="Arial" w:hAnsi="Arial"/>
          <w:sz w:val="16"/>
          <w:szCs w:val="16"/>
          <w:b w:val="1"/>
          <w:bCs w:val="1"/>
          <w:i w:val="1"/>
          <w:iCs w:val="1"/>
          <w:color w:val="auto"/>
        </w:rPr>
        <w:t>2025 Cash Bonus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which was designed to provide financial incentives for our executive officers if we met or exceeded the pre-established threshold levels for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and non-GAAP operating margin established under our 2025 annual operating plan. The 2025 Cash Bonus Plan is funded based on our actual achievement against the pre-established target levels for the applicable corporate performance measure.</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2025 Cash Bonus Plan, annual cash bonus opportunities and payments were based upon an eligible percentage of each participant’s base salary. In March 2025, the talent and compensation committee reviewed and approved the target annual cash bonus opportunities of our then-current executive officers, taking into consideration a competitive market analysis prepared by our compensation consultant and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Setting</w:t>
      </w:r>
      <w:r>
        <w:rPr>
          <w:rFonts w:ascii="Arial" w:cs="Arial" w:eastAsia="Arial" w:hAnsi="Arial"/>
          <w:sz w:val="16"/>
          <w:szCs w:val="16"/>
          <w:color w:val="auto"/>
        </w:rPr>
        <w:t>” above. Based on this review, the talent and compensation committee decided to make no adjustment to the 2024 target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bonus opportunity (as a percentage of base salary) of each of our then-current named executive officers.</w:t>
      </w:r>
    </w:p>
    <w:p>
      <w:pPr>
        <w:spacing w:after="0" w:line="128"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Mr. Yoon's target annual cash bonus opportunity was increased from 50% to 75% of his base salary in connection with his appointment as Chief Legal Officer to reflect his increased responsibilities in his new role and taking into consideration a competitive market analysis prepared by the talent and compensation committee's compensation consultant and the recommendations of our Chief Executive Officer, as well as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2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Target annual cash bonus opportunities for Messrs. Dasdan, and Tennenbaum were determined by the talent and compensation committee in connection with their hiring, prior to commencement of employment. Mr. Dasdan’s initial target annual cash bonus opportunity was set in December 2024 in advance of his March 2025 start date; and Mr. Tennenbaum’s 2026 target annual cash bonus opportunity was set in advance of his December 2025 start date. In each case, target annual cash bonus opportunity determinations were made taking into account a competitive market analysis prepared by the talent and compensation committee's compensation consultant and the recommendations of our Chief Executive Officer, as well as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2025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80645</wp:posOffset>
            </wp:positionV>
            <wp:extent cx="17145" cy="643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80645</wp:posOffset>
            </wp:positionV>
            <wp:extent cx="17145"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7747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120" w:type="dxa"/>
            <w:vAlign w:val="bottom"/>
            <w:shd w:val="clear" w:color="auto" w:fill="0063A6"/>
          </w:tcPr>
          <w:p>
            <w:pPr>
              <w:spacing w:after="0"/>
              <w:rPr>
                <w:sz w:val="24"/>
                <w:szCs w:val="24"/>
                <w:color w:val="auto"/>
              </w:rPr>
            </w:pP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w:t>
            </w:r>
          </w:p>
        </w:tc>
        <w:tc>
          <w:tcPr>
            <w:tcW w:w="3180" w:type="dxa"/>
            <w:vAlign w:val="bottom"/>
            <w:shd w:val="clear" w:color="auto" w:fill="0063A6"/>
          </w:tcPr>
          <w:p>
            <w:pPr>
              <w:spacing w:after="0"/>
              <w:rPr>
                <w:sz w:val="24"/>
                <w:szCs w:val="24"/>
                <w:color w:val="auto"/>
              </w:rPr>
            </w:pPr>
          </w:p>
        </w:tc>
      </w:tr>
      <w:tr>
        <w:trPr>
          <w:trHeight w:val="160"/>
        </w:trPr>
        <w:tc>
          <w:tcPr>
            <w:tcW w:w="5120" w:type="dxa"/>
            <w:vAlign w:val="bottom"/>
            <w:shd w:val="clear" w:color="auto" w:fill="0063A6"/>
          </w:tcPr>
          <w:p>
            <w:pPr>
              <w:spacing w:after="0"/>
              <w:rPr>
                <w:sz w:val="13"/>
                <w:szCs w:val="13"/>
                <w:color w:val="auto"/>
              </w:rPr>
            </w:pPr>
          </w:p>
        </w:tc>
        <w:tc>
          <w:tcPr>
            <w:tcW w:w="29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Cash Bonus Opportunity</w:t>
            </w:r>
          </w:p>
        </w:tc>
        <w:tc>
          <w:tcPr>
            <w:tcW w:w="3180" w:type="dxa"/>
            <w:vAlign w:val="bottom"/>
            <w:shd w:val="clear" w:color="auto" w:fill="0063A6"/>
          </w:tcPr>
          <w:p>
            <w:pPr>
              <w:jc w:val="center"/>
              <w:ind w:right="361"/>
              <w:spacing w:after="0" w:line="159" w:lineRule="exact"/>
              <w:rPr>
                <w:sz w:val="20"/>
                <w:szCs w:val="20"/>
                <w:color w:val="auto"/>
              </w:rPr>
            </w:pPr>
            <w:r>
              <w:rPr>
                <w:rFonts w:ascii="Arial" w:cs="Arial" w:eastAsia="Arial" w:hAnsi="Arial"/>
                <w:sz w:val="14"/>
                <w:szCs w:val="14"/>
                <w:b w:val="1"/>
                <w:bCs w:val="1"/>
                <w:color w:val="FFFFFF"/>
              </w:rPr>
              <w:t>2025 Target Annual Cash</w:t>
            </w:r>
          </w:p>
        </w:tc>
      </w:tr>
      <w:tr>
        <w:trPr>
          <w:trHeight w:val="214"/>
        </w:trPr>
        <w:tc>
          <w:tcPr>
            <w:tcW w:w="51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(as a Percentage of Base Salary)</w:t>
            </w:r>
          </w:p>
        </w:tc>
        <w:tc>
          <w:tcPr>
            <w:tcW w:w="3180" w:type="dxa"/>
            <w:vAlign w:val="bottom"/>
            <w:shd w:val="clear" w:color="auto" w:fill="0063A6"/>
          </w:tcPr>
          <w:p>
            <w:pPr>
              <w:jc w:val="center"/>
              <w:ind w:right="381"/>
              <w:spacing w:after="0"/>
              <w:rPr>
                <w:sz w:val="20"/>
                <w:szCs w:val="20"/>
                <w:color w:val="auto"/>
              </w:rPr>
            </w:pPr>
            <w:r>
              <w:rPr>
                <w:rFonts w:ascii="Arial" w:cs="Arial" w:eastAsia="Arial" w:hAnsi="Arial"/>
                <w:sz w:val="14"/>
                <w:szCs w:val="14"/>
                <w:b w:val="1"/>
                <w:bCs w:val="1"/>
                <w:color w:val="FFFFFF"/>
              </w:rPr>
              <w:t>Bonus Opportunity ($)</w:t>
            </w:r>
            <w:r>
              <w:rPr>
                <w:rFonts w:ascii="Arial" w:cs="Arial" w:eastAsia="Arial" w:hAnsi="Arial"/>
                <w:sz w:val="18"/>
                <w:szCs w:val="18"/>
                <w:b w:val="1"/>
                <w:bCs w:val="1"/>
                <w:color w:val="FFFFFF"/>
                <w:vertAlign w:val="superscript"/>
              </w:rPr>
              <w:t>(1)</w:t>
            </w:r>
          </w:p>
        </w:tc>
      </w:tr>
      <w:tr>
        <w:trPr>
          <w:trHeight w:val="108"/>
        </w:trPr>
        <w:tc>
          <w:tcPr>
            <w:tcW w:w="5120" w:type="dxa"/>
            <w:vAlign w:val="bottom"/>
            <w:shd w:val="clear" w:color="auto" w:fill="0063A6"/>
          </w:tcPr>
          <w:p>
            <w:pPr>
              <w:spacing w:after="0"/>
              <w:rPr>
                <w:sz w:val="9"/>
                <w:szCs w:val="9"/>
                <w:color w:val="auto"/>
              </w:rPr>
            </w:pPr>
          </w:p>
        </w:tc>
        <w:tc>
          <w:tcPr>
            <w:tcW w:w="2940" w:type="dxa"/>
            <w:vAlign w:val="bottom"/>
            <w:shd w:val="clear" w:color="auto" w:fill="0063A6"/>
          </w:tcPr>
          <w:p>
            <w:pPr>
              <w:spacing w:after="0"/>
              <w:rPr>
                <w:sz w:val="9"/>
                <w:szCs w:val="9"/>
                <w:color w:val="auto"/>
              </w:rPr>
            </w:pPr>
          </w:p>
        </w:tc>
        <w:tc>
          <w:tcPr>
            <w:tcW w:w="3180" w:type="dxa"/>
            <w:vAlign w:val="bottom"/>
            <w:shd w:val="clear" w:color="auto" w:fill="0063A6"/>
          </w:tcPr>
          <w:p>
            <w:pPr>
              <w:spacing w:after="0"/>
              <w:rPr>
                <w:sz w:val="9"/>
                <w:szCs w:val="9"/>
                <w:color w:val="auto"/>
              </w:rPr>
            </w:pP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800,000</w:t>
            </w:r>
          </w:p>
        </w:tc>
      </w:tr>
      <w:tr>
        <w:trPr>
          <w:trHeight w:val="256"/>
        </w:trPr>
        <w:tc>
          <w:tcPr>
            <w:tcW w:w="512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(2)</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180" w:type="dxa"/>
            <w:vAlign w:val="bottom"/>
          </w:tcPr>
          <w:p>
            <w:pPr>
              <w:jc w:val="center"/>
              <w:ind w:right="381"/>
              <w:spacing w:after="0"/>
              <w:rPr>
                <w:sz w:val="20"/>
                <w:szCs w:val="20"/>
                <w:color w:val="auto"/>
              </w:rPr>
            </w:pPr>
            <w:r>
              <w:rPr>
                <w:rFonts w:ascii="Arial" w:cs="Arial" w:eastAsia="Arial" w:hAnsi="Arial"/>
                <w:sz w:val="16"/>
                <w:szCs w:val="16"/>
                <w:color w:val="auto"/>
                <w:w w:val="99"/>
              </w:rPr>
              <w:t>—</w:t>
            </w: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85%</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476,000</w:t>
            </w:r>
          </w:p>
        </w:tc>
      </w:tr>
      <w:tr>
        <w:trPr>
          <w:trHeight w:val="243"/>
        </w:trPr>
        <w:tc>
          <w:tcPr>
            <w:tcW w:w="5120" w:type="dxa"/>
            <w:vAlign w:val="bottom"/>
          </w:tcPr>
          <w:p>
            <w:pPr>
              <w:ind w:left="60"/>
              <w:spacing w:after="0"/>
              <w:rPr>
                <w:sz w:val="20"/>
                <w:szCs w:val="20"/>
                <w:color w:val="auto"/>
              </w:rPr>
            </w:pPr>
            <w:r>
              <w:rPr>
                <w:rFonts w:ascii="Arial" w:cs="Arial" w:eastAsia="Arial" w:hAnsi="Arial"/>
                <w:sz w:val="16"/>
                <w:szCs w:val="16"/>
                <w:color w:val="auto"/>
              </w:rPr>
              <w:t>William Yoon</w:t>
            </w:r>
            <w:r>
              <w:rPr>
                <w:rFonts w:ascii="Arial" w:cs="Arial" w:eastAsia="Arial" w:hAnsi="Arial"/>
                <w:sz w:val="21"/>
                <w:szCs w:val="21"/>
                <w:color w:val="auto"/>
                <w:vertAlign w:val="superscript"/>
              </w:rPr>
              <w:t>(3)</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3180" w:type="dxa"/>
            <w:vAlign w:val="bottom"/>
          </w:tcPr>
          <w:p>
            <w:pPr>
              <w:jc w:val="center"/>
              <w:ind w:right="361"/>
              <w:spacing w:after="0"/>
              <w:rPr>
                <w:sz w:val="20"/>
                <w:szCs w:val="20"/>
                <w:color w:val="auto"/>
              </w:rPr>
            </w:pPr>
            <w:r>
              <w:rPr>
                <w:rFonts w:ascii="Arial" w:cs="Arial" w:eastAsia="Arial" w:hAnsi="Arial"/>
                <w:sz w:val="16"/>
                <w:szCs w:val="16"/>
                <w:color w:val="auto"/>
              </w:rPr>
              <w:t>320,188</w:t>
            </w:r>
          </w:p>
        </w:tc>
      </w:tr>
      <w:tr>
        <w:trPr>
          <w:trHeight w:val="243"/>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r>
              <w:rPr>
                <w:rFonts w:ascii="Arial" w:cs="Arial" w:eastAsia="Arial" w:hAnsi="Arial"/>
                <w:sz w:val="21"/>
                <w:szCs w:val="21"/>
                <w:color w:val="auto"/>
                <w:vertAlign w:val="superscript"/>
              </w:rPr>
              <w:t>(4)</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100%</w:t>
            </w:r>
          </w:p>
        </w:tc>
        <w:tc>
          <w:tcPr>
            <w:tcW w:w="3180" w:type="dxa"/>
            <w:vAlign w:val="bottom"/>
            <w:shd w:val="clear" w:color="auto" w:fill="F2F2F2"/>
          </w:tcPr>
          <w:p>
            <w:pPr>
              <w:jc w:val="center"/>
              <w:ind w:right="361"/>
              <w:spacing w:after="0"/>
              <w:rPr>
                <w:sz w:val="20"/>
                <w:szCs w:val="20"/>
                <w:color w:val="auto"/>
              </w:rPr>
            </w:pPr>
            <w:r>
              <w:rPr>
                <w:rFonts w:ascii="Arial" w:cs="Arial" w:eastAsia="Arial" w:hAnsi="Arial"/>
                <w:sz w:val="16"/>
                <w:szCs w:val="16"/>
                <w:color w:val="auto"/>
              </w:rPr>
              <w:t>416,438</w:t>
            </w:r>
          </w:p>
        </w:tc>
      </w:tr>
      <w:tr>
        <w:trPr>
          <w:trHeight w:val="241"/>
        </w:trPr>
        <w:tc>
          <w:tcPr>
            <w:tcW w:w="512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940" w:type="dxa"/>
            <w:vAlign w:val="bottom"/>
          </w:tcPr>
          <w:p>
            <w:pPr>
              <w:jc w:val="center"/>
              <w:spacing w:after="0"/>
              <w:rPr>
                <w:sz w:val="20"/>
                <w:szCs w:val="20"/>
                <w:color w:val="auto"/>
              </w:rPr>
            </w:pPr>
            <w:r>
              <w:rPr>
                <w:rFonts w:ascii="Arial" w:cs="Arial" w:eastAsia="Arial" w:hAnsi="Arial"/>
                <w:sz w:val="16"/>
                <w:szCs w:val="16"/>
                <w:color w:val="auto"/>
              </w:rPr>
              <w:t>100%</w:t>
            </w:r>
          </w:p>
        </w:tc>
        <w:tc>
          <w:tcPr>
            <w:tcW w:w="3180" w:type="dxa"/>
            <w:vAlign w:val="bottom"/>
          </w:tcPr>
          <w:p>
            <w:pPr>
              <w:jc w:val="center"/>
              <w:ind w:right="361"/>
              <w:spacing w:after="0"/>
              <w:rPr>
                <w:sz w:val="20"/>
                <w:szCs w:val="20"/>
                <w:color w:val="auto"/>
              </w:rPr>
            </w:pPr>
            <w:r>
              <w:rPr>
                <w:rFonts w:ascii="Arial" w:cs="Arial" w:eastAsia="Arial" w:hAnsi="Arial"/>
                <w:sz w:val="16"/>
                <w:szCs w:val="16"/>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-306705</wp:posOffset>
            </wp:positionV>
            <wp:extent cx="1714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-615315</wp:posOffset>
            </wp:positionV>
            <wp:extent cx="1714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-615315</wp:posOffset>
            </wp:positionV>
            <wp:extent cx="1714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-1343660</wp:posOffset>
            </wp:positionV>
            <wp:extent cx="17145" cy="5657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565785"/>
                    </a:xfrm>
                    <a:prstGeom prst="rect">
                      <a:avLst/>
                    </a:prstGeom>
                    <a:noFill/>
                  </pic:spPr>
                </pic:pic>
              </a:graphicData>
            </a:graphic>
          </wp:anchor>
        </w:drawing>
      </w:r>
    </w:p>
    <w:p>
      <w:pPr>
        <w:spacing w:after="0" w:line="40" w:lineRule="exact"/>
        <w:rPr>
          <w:sz w:val="20"/>
          <w:szCs w:val="20"/>
          <w:color w:val="auto"/>
        </w:rPr>
      </w:pPr>
    </w:p>
    <w:p>
      <w:pPr>
        <w:ind w:left="340" w:right="20" w:hanging="332"/>
        <w:spacing w:after="0" w:line="251" w:lineRule="auto"/>
        <w:tabs>
          <w:tab w:leader="none" w:pos="333" w:val="left"/>
        </w:tabs>
        <w:numPr>
          <w:ilvl w:val="0"/>
          <w:numId w:val="61"/>
        </w:numPr>
        <w:rPr>
          <w:rFonts w:ascii="Arial" w:cs="Arial" w:eastAsia="Arial" w:hAnsi="Arial"/>
          <w:sz w:val="9"/>
          <w:szCs w:val="9"/>
          <w:color w:val="auto"/>
        </w:rPr>
      </w:pPr>
      <w:r>
        <w:rPr>
          <w:rFonts w:ascii="Arial" w:cs="Arial" w:eastAsia="Arial" w:hAnsi="Arial"/>
          <w:sz w:val="14"/>
          <w:szCs w:val="14"/>
          <w:color w:val="auto"/>
        </w:rPr>
        <w:t>Target annual cash bonus opportunities are shown as of December 31, 2025. Target annual cash bonus opportunities are prorated as applicable to reflect any salary and/or target bonus changes as well as employment start dates in 2025.</w:t>
      </w:r>
    </w:p>
    <w:p>
      <w:pPr>
        <w:spacing w:after="0" w:line="1" w:lineRule="exact"/>
        <w:rPr>
          <w:rFonts w:ascii="Arial" w:cs="Arial" w:eastAsia="Arial" w:hAnsi="Arial"/>
          <w:sz w:val="9"/>
          <w:szCs w:val="9"/>
          <w:color w:val="auto"/>
        </w:rPr>
      </w:pPr>
    </w:p>
    <w:p>
      <w:pPr>
        <w:ind w:left="320" w:hanging="312"/>
        <w:spacing w:after="0" w:line="187" w:lineRule="auto"/>
        <w:tabs>
          <w:tab w:leader="none" w:pos="32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Mr. Tennenbaum joined the company in December 2025 and therefore was not eligible to receive an annual cash bonus for 2025.</w:t>
      </w:r>
    </w:p>
    <w:p>
      <w:pPr>
        <w:ind w:left="340" w:right="240" w:hanging="332"/>
        <w:spacing w:after="0" w:line="204" w:lineRule="auto"/>
        <w:tabs>
          <w:tab w:leader="none" w:pos="333"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Mr. Yoon's target annual cash bonus opportunity reflects the adjustments to his base salary and target annual cash bonus opportunity during 2025 in connection with his appointment to Chief Legal Officer.</w:t>
      </w:r>
    </w:p>
    <w:p>
      <w:pPr>
        <w:spacing w:after="0" w:line="1"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Mr. Dasdan's target annual cash bonus amount is prorated based on his start date.</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Potential annual cash bonus payments for our executive officers under the 2025 Cash Bonus Plan ranged from zero to 187.5% of their target annual cash bonus opportunity.</w:t>
      </w:r>
    </w:p>
    <w:p>
      <w:pPr>
        <w:spacing w:after="0" w:line="318" w:lineRule="exact"/>
        <w:rPr>
          <w:sz w:val="20"/>
          <w:szCs w:val="20"/>
          <w:color w:val="auto"/>
        </w:rPr>
      </w:pPr>
    </w:p>
    <w:tbl>
      <w:tblPr>
        <w:tblLayout w:type="fixed"/>
        <w:tblInd w:w="560" w:type="dxa"/>
        <w:tblCellMar>
          <w:top w:w="0" w:type="dxa"/>
          <w:left w:w="0" w:type="dxa"/>
          <w:bottom w:w="0" w:type="dxa"/>
          <w:right w:w="0" w:type="dxa"/>
        </w:tblCellMar>
      </w:tblPr>
      <w:tr>
        <w:trPr>
          <w:trHeight w:val="269"/>
        </w:trPr>
        <w:tc>
          <w:tcPr>
            <w:tcW w:w="198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 Bonus</w:t>
            </w:r>
          </w:p>
        </w:tc>
        <w:tc>
          <w:tcPr>
            <w:tcW w:w="660" w:type="dxa"/>
            <w:vAlign w:val="bottom"/>
          </w:tcPr>
          <w:p>
            <w:pPr>
              <w:spacing w:after="0"/>
              <w:rPr>
                <w:sz w:val="23"/>
                <w:szCs w:val="23"/>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Corporate</w:t>
            </w:r>
          </w:p>
        </w:tc>
        <w:tc>
          <w:tcPr>
            <w:tcW w:w="700" w:type="dxa"/>
            <w:vAlign w:val="bottom"/>
          </w:tcPr>
          <w:p>
            <w:pPr>
              <w:spacing w:after="0"/>
              <w:rPr>
                <w:sz w:val="23"/>
                <w:szCs w:val="23"/>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w:t>
            </w:r>
          </w:p>
        </w:tc>
        <w:tc>
          <w:tcPr>
            <w:tcW w:w="680" w:type="dxa"/>
            <w:vAlign w:val="bottom"/>
          </w:tcPr>
          <w:p>
            <w:pPr>
              <w:spacing w:after="0"/>
              <w:rPr>
                <w:sz w:val="23"/>
                <w:szCs w:val="23"/>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Bonus Payout</w:t>
            </w:r>
          </w:p>
        </w:tc>
        <w:tc>
          <w:tcPr>
            <w:tcW w:w="0" w:type="dxa"/>
            <w:vAlign w:val="bottom"/>
          </w:tcPr>
          <w:p>
            <w:pPr>
              <w:spacing w:after="0"/>
              <w:rPr>
                <w:sz w:val="1"/>
                <w:szCs w:val="1"/>
                <w:color w:val="auto"/>
              </w:rPr>
            </w:pPr>
          </w:p>
        </w:tc>
      </w:tr>
      <w:tr>
        <w:trPr>
          <w:trHeight w:val="91"/>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5"/>
              </w:rPr>
              <w:t>Target</w:t>
            </w:r>
          </w:p>
        </w:tc>
        <w:tc>
          <w:tcPr>
            <w:tcW w:w="66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70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680" w:type="dxa"/>
            <w:vAlign w:val="bottom"/>
          </w:tcPr>
          <w:p>
            <w:pPr>
              <w:spacing w:after="0"/>
              <w:rPr>
                <w:sz w:val="7"/>
                <w:szCs w:val="7"/>
                <w:color w:val="auto"/>
              </w:rPr>
            </w:pPr>
          </w:p>
        </w:tc>
        <w:tc>
          <w:tcPr>
            <w:tcW w:w="2040" w:type="dxa"/>
            <w:vAlign w:val="bottom"/>
            <w:vMerge w:val="continue"/>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3774B3"/>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70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680" w:type="dxa"/>
            <w:vAlign w:val="bottom"/>
          </w:tcPr>
          <w:p>
            <w:pPr>
              <w:spacing w:after="0"/>
              <w:rPr>
                <w:sz w:val="8"/>
                <w:szCs w:val="8"/>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5"/>
              </w:rPr>
              <w:t>0% - 187.5% of Target</w:t>
            </w:r>
          </w:p>
        </w:tc>
        <w:tc>
          <w:tcPr>
            <w:tcW w:w="0" w:type="dxa"/>
            <w:vAlign w:val="bottom"/>
          </w:tcPr>
          <w:p>
            <w:pPr>
              <w:spacing w:after="0"/>
              <w:rPr>
                <w:sz w:val="1"/>
                <w:szCs w:val="1"/>
                <w:color w:val="auto"/>
              </w:rPr>
            </w:pPr>
          </w:p>
        </w:tc>
      </w:tr>
      <w:tr>
        <w:trPr>
          <w:trHeight w:val="71"/>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 of Salary</w:t>
            </w:r>
          </w:p>
        </w:tc>
        <w:tc>
          <w:tcPr>
            <w:tcW w:w="660" w:type="dxa"/>
            <w:vAlign w:val="bottom"/>
          </w:tcPr>
          <w:p>
            <w:pPr>
              <w:spacing w:after="0"/>
              <w:rPr>
                <w:sz w:val="6"/>
                <w:szCs w:val="6"/>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7"/>
              </w:rPr>
              <w:t>0% - 125%</w:t>
            </w:r>
          </w:p>
        </w:tc>
        <w:tc>
          <w:tcPr>
            <w:tcW w:w="700" w:type="dxa"/>
            <w:vAlign w:val="bottom"/>
          </w:tcPr>
          <w:p>
            <w:pPr>
              <w:spacing w:after="0"/>
              <w:rPr>
                <w:sz w:val="6"/>
                <w:szCs w:val="6"/>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0% -150%</w:t>
            </w:r>
          </w:p>
        </w:tc>
        <w:tc>
          <w:tcPr>
            <w:tcW w:w="680" w:type="dxa"/>
            <w:vAlign w:val="bottom"/>
          </w:tcPr>
          <w:p>
            <w:pPr>
              <w:spacing w:after="0"/>
              <w:rPr>
                <w:sz w:val="6"/>
                <w:szCs w:val="6"/>
                <w:color w:val="auto"/>
              </w:rPr>
            </w:pPr>
          </w:p>
        </w:tc>
        <w:tc>
          <w:tcPr>
            <w:tcW w:w="2040" w:type="dxa"/>
            <w:vAlign w:val="bottom"/>
            <w:vMerge w:val="continue"/>
            <w:shd w:val="clear" w:color="auto" w:fill="3774B3"/>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3774B3"/>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700" w:type="dxa"/>
            <w:vAlign w:val="bottom"/>
          </w:tcPr>
          <w:p>
            <w:pPr>
              <w:spacing w:after="0"/>
              <w:rPr>
                <w:sz w:val="8"/>
                <w:szCs w:val="8"/>
                <w:color w:val="auto"/>
              </w:rPr>
            </w:pPr>
          </w:p>
        </w:tc>
        <w:tc>
          <w:tcPr>
            <w:tcW w:w="2040" w:type="dxa"/>
            <w:vAlign w:val="bottom"/>
            <w:vMerge w:val="continue"/>
            <w:shd w:val="clear" w:color="auto" w:fill="3774B3"/>
          </w:tcPr>
          <w:p>
            <w:pPr>
              <w:spacing w:after="0"/>
              <w:rPr>
                <w:sz w:val="8"/>
                <w:szCs w:val="8"/>
                <w:color w:val="auto"/>
              </w:rPr>
            </w:pPr>
          </w:p>
        </w:tc>
        <w:tc>
          <w:tcPr>
            <w:tcW w:w="680" w:type="dxa"/>
            <w:vAlign w:val="bottom"/>
          </w:tcPr>
          <w:p>
            <w:pPr>
              <w:spacing w:after="0"/>
              <w:rPr>
                <w:sz w:val="8"/>
                <w:szCs w:val="8"/>
                <w:color w:val="auto"/>
              </w:rPr>
            </w:pPr>
          </w:p>
        </w:tc>
        <w:tc>
          <w:tcPr>
            <w:tcW w:w="2040" w:type="dxa"/>
            <w:vAlign w:val="bottom"/>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980" w:type="dxa"/>
            <w:vAlign w:val="bottom"/>
            <w:shd w:val="clear" w:color="auto" w:fill="3774B3"/>
          </w:tcPr>
          <w:p>
            <w:pPr>
              <w:spacing w:after="0"/>
              <w:rPr>
                <w:sz w:val="7"/>
                <w:szCs w:val="7"/>
                <w:color w:val="auto"/>
              </w:rPr>
            </w:pPr>
          </w:p>
        </w:tc>
        <w:tc>
          <w:tcPr>
            <w:tcW w:w="66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70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68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-316865</wp:posOffset>
            </wp:positionV>
            <wp:extent cx="12001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-316865</wp:posOffset>
            </wp:positionV>
            <wp:extent cx="12001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120015"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145415</wp:posOffset>
            </wp:positionV>
            <wp:extent cx="2245995" cy="231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4599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80" w:type="dxa"/>
        <w:tblCellMar>
          <w:top w:w="0" w:type="dxa"/>
          <w:left w:w="0" w:type="dxa"/>
          <w:bottom w:w="0" w:type="dxa"/>
          <w:right w:w="0" w:type="dxa"/>
        </w:tblCellMar>
      </w:tblPr>
      <w:tr>
        <w:trPr>
          <w:trHeight w:val="269"/>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9"/>
              </w:rPr>
              <w:t>Revenue</w:t>
            </w:r>
          </w:p>
        </w:tc>
        <w:tc>
          <w:tcPr>
            <w:tcW w:w="240" w:type="dxa"/>
            <w:vAlign w:val="bottom"/>
          </w:tcPr>
          <w:p>
            <w:pPr>
              <w:spacing w:after="0"/>
              <w:rPr>
                <w:sz w:val="23"/>
                <w:szCs w:val="23"/>
                <w:color w:val="auto"/>
              </w:rPr>
            </w:pPr>
          </w:p>
        </w:tc>
        <w:tc>
          <w:tcPr>
            <w:tcW w:w="206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Non-GAAP</w:t>
            </w:r>
          </w:p>
        </w:tc>
        <w:tc>
          <w:tcPr>
            <w:tcW w:w="0" w:type="dxa"/>
            <w:vAlign w:val="bottom"/>
          </w:tcPr>
          <w:p>
            <w:pPr>
              <w:spacing w:after="0"/>
              <w:rPr>
                <w:sz w:val="1"/>
                <w:szCs w:val="1"/>
                <w:color w:val="auto"/>
              </w:rPr>
            </w:pPr>
          </w:p>
        </w:tc>
      </w:tr>
      <w:tr>
        <w:trPr>
          <w:trHeight w:val="91"/>
        </w:trPr>
        <w:tc>
          <w:tcPr>
            <w:tcW w:w="2020" w:type="dxa"/>
            <w:vAlign w:val="bottom"/>
            <w:vMerge w:val="continue"/>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Operating Margin</w:t>
            </w:r>
          </w:p>
        </w:tc>
        <w:tc>
          <w:tcPr>
            <w:tcW w:w="0" w:type="dxa"/>
            <w:vAlign w:val="bottom"/>
          </w:tcPr>
          <w:p>
            <w:pPr>
              <w:spacing w:after="0"/>
              <w:rPr>
                <w:sz w:val="1"/>
                <w:szCs w:val="1"/>
                <w:color w:val="auto"/>
              </w:rPr>
            </w:pPr>
          </w:p>
        </w:tc>
      </w:tr>
      <w:tr>
        <w:trPr>
          <w:trHeight w:val="95"/>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(67% weight)</w:t>
            </w:r>
          </w:p>
        </w:tc>
        <w:tc>
          <w:tcPr>
            <w:tcW w:w="240" w:type="dxa"/>
            <w:vAlign w:val="bottom"/>
          </w:tcPr>
          <w:p>
            <w:pPr>
              <w:spacing w:after="0"/>
              <w:rPr>
                <w:sz w:val="8"/>
                <w:szCs w:val="8"/>
                <w:color w:val="auto"/>
              </w:rPr>
            </w:pPr>
          </w:p>
        </w:tc>
        <w:tc>
          <w:tcPr>
            <w:tcW w:w="2060" w:type="dxa"/>
            <w:vAlign w:val="bottom"/>
            <w:vMerge w:val="continue"/>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20" w:type="dxa"/>
            <w:vAlign w:val="bottom"/>
            <w:vMerge w:val="continue"/>
            <w:shd w:val="clear" w:color="auto" w:fill="3774B3"/>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(33% weight)</w:t>
            </w:r>
          </w:p>
        </w:tc>
        <w:tc>
          <w:tcPr>
            <w:tcW w:w="0" w:type="dxa"/>
            <w:vAlign w:val="bottom"/>
          </w:tcPr>
          <w:p>
            <w:pPr>
              <w:spacing w:after="0"/>
              <w:rPr>
                <w:sz w:val="1"/>
                <w:szCs w:val="1"/>
                <w:color w:val="auto"/>
              </w:rPr>
            </w:pPr>
          </w:p>
        </w:tc>
      </w:tr>
      <w:tr>
        <w:trPr>
          <w:trHeight w:val="95"/>
        </w:trPr>
        <w:tc>
          <w:tcPr>
            <w:tcW w:w="2020" w:type="dxa"/>
            <w:vAlign w:val="bottom"/>
            <w:shd w:val="clear" w:color="auto" w:fill="3774B3"/>
          </w:tcPr>
          <w:p>
            <w:pPr>
              <w:spacing w:after="0"/>
              <w:rPr>
                <w:sz w:val="8"/>
                <w:szCs w:val="8"/>
                <w:color w:val="auto"/>
              </w:rPr>
            </w:pPr>
          </w:p>
        </w:tc>
        <w:tc>
          <w:tcPr>
            <w:tcW w:w="240" w:type="dxa"/>
            <w:vAlign w:val="bottom"/>
          </w:tcPr>
          <w:p>
            <w:pPr>
              <w:spacing w:after="0"/>
              <w:rPr>
                <w:sz w:val="8"/>
                <w:szCs w:val="8"/>
                <w:color w:val="auto"/>
              </w:rPr>
            </w:pPr>
          </w:p>
        </w:tc>
        <w:tc>
          <w:tcPr>
            <w:tcW w:w="2060" w:type="dxa"/>
            <w:vAlign w:val="bottom"/>
            <w:vMerge w:val="continue"/>
            <w:shd w:val="clear" w:color="auto" w:fill="3774B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20" w:type="dxa"/>
            <w:vAlign w:val="bottom"/>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u w:val="single" w:color="auto"/>
          <w:color w:val="auto"/>
        </w:rPr>
        <w:t>Corporate Performance Measure</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talent and compensation committee approved annual revenue (weighted 67%) and non-GAAP operating margin (weighted 33%) as components of the corporate performance measure under the 2025 Cash Bonus Plan because it believes incorporating both annual revenue and non-GAAP operating margin aligns with our emphasis on driving profitable growth. For purposes of the 2025 Cash Bonus Plan, “annual revenue” was calculated by excluding the impact of foreign exchange from our annual revenue reflected in our audited financial statements for the 2025 fiscal year. For purposes of the 2025 Cash Bonus plan, “non-GAAP operating margin” was calculated by excluding the impact of stock-based compensation expense, acquisition-related and other expenses, amortization of acquired intangible assets, workforce reduction expenses, and net gains and losses on real estate assets. These adjustments were made to provide a clearer view of our core operating performance for the year.</w:t>
      </w:r>
    </w:p>
    <w:p>
      <w:pPr>
        <w:spacing w:after="0" w:line="11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January 2025, the talent and compensation committee set the target performance levels under the 2025 Cash Bonus Plan at (i) $2,502 million for annual revenue and (ii) 39.0% for non-GAAP operating margin. In addition, the talent and compensation committee approved the performance matrix for funding the 2025 Cash Bonus Plan (as described below).</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With respect to the annual revenue performance measure, funding was 0% if revenue did not meet the threshold performance level of $2,426 million. At 97% of the target revenue performance level, funding was 50%. For performance between 97% and 100% of target, the funding percentage increased linearly up to 100% at target performance. For performance between 100% and 103% of target, the funding percentage increased linearly from 100% to a maximum of 125% at 103% of target revenue. The maximum annual revenue bonus funding percentage was 125%.</w:t>
      </w:r>
    </w:p>
    <w:p>
      <w:pPr>
        <w:spacing w:after="0" w:line="129"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For the non-GAAP operating margin performance measure, bonus funding was 0% if performance fell below the 35.1% threshold level. At 35.1%, bonus funding was 50%. Funding then increased linearly from 50% at 35.1% to 100% at the target performance level of 39.0%. Above target, funding increased linearly from 100% at 39.0% to a maximum of 125% at 42.9%. The maximum bonus funding percentage for this component was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0575" cy="317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0575" cy="31750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shd w:val="clear" w:color="auto" w:fill="0063A6"/>
          </w:tcPr>
          <w:p>
            <w:pPr>
              <w:spacing w:after="0"/>
              <w:rPr>
                <w:sz w:val="19"/>
                <w:szCs w:val="19"/>
                <w:color w:val="auto"/>
              </w:rPr>
            </w:pPr>
          </w:p>
        </w:tc>
        <w:tc>
          <w:tcPr>
            <w:tcW w:w="2640" w:type="dxa"/>
            <w:vAlign w:val="bottom"/>
            <w:shd w:val="clear" w:color="auto" w:fill="0063A6"/>
          </w:tcPr>
          <w:p>
            <w:pPr>
              <w:jc w:val="center"/>
              <w:ind w:left="1062"/>
              <w:spacing w:after="0"/>
              <w:rPr>
                <w:sz w:val="20"/>
                <w:szCs w:val="20"/>
                <w:color w:val="auto"/>
              </w:rPr>
            </w:pPr>
            <w:r>
              <w:rPr>
                <w:rFonts w:ascii="Arial" w:cs="Arial" w:eastAsia="Arial" w:hAnsi="Arial"/>
                <w:sz w:val="14"/>
                <w:szCs w:val="14"/>
                <w:b w:val="1"/>
                <w:bCs w:val="1"/>
                <w:color w:val="FFFFFF"/>
                <w:w w:val="98"/>
              </w:rPr>
              <w:t>Weight</w:t>
            </w:r>
          </w:p>
        </w:tc>
        <w:tc>
          <w:tcPr>
            <w:tcW w:w="170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Threshold</w:t>
            </w:r>
          </w:p>
        </w:tc>
        <w:tc>
          <w:tcPr>
            <w:tcW w:w="1500" w:type="dxa"/>
            <w:vAlign w:val="bottom"/>
            <w:shd w:val="clear" w:color="auto" w:fill="0063A6"/>
          </w:tcPr>
          <w:p>
            <w:pPr>
              <w:ind w:left="520"/>
              <w:spacing w:after="0"/>
              <w:rPr>
                <w:sz w:val="20"/>
                <w:szCs w:val="20"/>
                <w:color w:val="auto"/>
              </w:rPr>
            </w:pPr>
            <w:r>
              <w:rPr>
                <w:rFonts w:ascii="Arial" w:cs="Arial" w:eastAsia="Arial" w:hAnsi="Arial"/>
                <w:sz w:val="14"/>
                <w:szCs w:val="14"/>
                <w:b w:val="1"/>
                <w:bCs w:val="1"/>
                <w:color w:val="FFFFFF"/>
              </w:rPr>
              <w:t>Target</w:t>
            </w:r>
          </w:p>
        </w:tc>
        <w:tc>
          <w:tcPr>
            <w:tcW w:w="162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Maximum</w:t>
            </w:r>
          </w:p>
        </w:tc>
      </w:tr>
      <w:tr>
        <w:trPr>
          <w:trHeight w:val="237"/>
        </w:trPr>
        <w:tc>
          <w:tcPr>
            <w:tcW w:w="378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Revenue ($M)</w:t>
            </w:r>
          </w:p>
        </w:tc>
        <w:tc>
          <w:tcPr>
            <w:tcW w:w="2640" w:type="dxa"/>
            <w:vAlign w:val="bottom"/>
            <w:tcBorders>
              <w:bottom w:val="single" w:sz="8" w:color="F2F2F2"/>
            </w:tcBorders>
            <w:shd w:val="clear" w:color="auto" w:fill="F2F2F2"/>
          </w:tcPr>
          <w:p>
            <w:pPr>
              <w:jc w:val="center"/>
              <w:ind w:left="1062"/>
              <w:spacing w:after="0"/>
              <w:rPr>
                <w:sz w:val="20"/>
                <w:szCs w:val="20"/>
                <w:color w:val="auto"/>
              </w:rPr>
            </w:pPr>
            <w:r>
              <w:rPr>
                <w:rFonts w:ascii="Arial" w:cs="Arial" w:eastAsia="Arial" w:hAnsi="Arial"/>
                <w:sz w:val="16"/>
                <w:szCs w:val="16"/>
                <w:color w:val="auto"/>
              </w:rPr>
              <w:t>67%</w:t>
            </w:r>
          </w:p>
        </w:tc>
        <w:tc>
          <w:tcPr>
            <w:tcW w:w="1700" w:type="dxa"/>
            <w:vAlign w:val="bottom"/>
            <w:tcBorders>
              <w:bottom w:val="single" w:sz="8" w:color="F2F2F2"/>
            </w:tcBorders>
            <w:shd w:val="clear" w:color="auto" w:fill="F2F2F2"/>
          </w:tcPr>
          <w:p>
            <w:pPr>
              <w:jc w:val="right"/>
              <w:ind w:right="522"/>
              <w:spacing w:after="0"/>
              <w:rPr>
                <w:sz w:val="20"/>
                <w:szCs w:val="20"/>
                <w:color w:val="auto"/>
              </w:rPr>
            </w:pPr>
            <w:r>
              <w:rPr>
                <w:rFonts w:ascii="Arial" w:cs="Arial" w:eastAsia="Arial" w:hAnsi="Arial"/>
                <w:sz w:val="16"/>
                <w:szCs w:val="16"/>
                <w:color w:val="auto"/>
              </w:rPr>
              <w:t>$2,426</w:t>
            </w:r>
          </w:p>
        </w:tc>
        <w:tc>
          <w:tcPr>
            <w:tcW w:w="1500" w:type="dxa"/>
            <w:vAlign w:val="bottom"/>
            <w:tcBorders>
              <w:bottom w:val="single" w:sz="8" w:color="F2F2F2"/>
            </w:tcBorders>
            <w:shd w:val="clear" w:color="auto" w:fill="F2F2F2"/>
          </w:tcPr>
          <w:p>
            <w:pPr>
              <w:jc w:val="right"/>
              <w:ind w:right="442"/>
              <w:spacing w:after="0"/>
              <w:rPr>
                <w:sz w:val="20"/>
                <w:szCs w:val="20"/>
                <w:color w:val="auto"/>
              </w:rPr>
            </w:pPr>
            <w:r>
              <w:rPr>
                <w:rFonts w:ascii="Arial" w:cs="Arial" w:eastAsia="Arial" w:hAnsi="Arial"/>
                <w:sz w:val="16"/>
                <w:szCs w:val="16"/>
                <w:color w:val="auto"/>
              </w:rPr>
              <w:t>$2,502</w:t>
            </w:r>
          </w:p>
        </w:tc>
        <w:tc>
          <w:tcPr>
            <w:tcW w:w="162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$2,577</w:t>
            </w:r>
          </w:p>
        </w:tc>
      </w:tr>
      <w:tr>
        <w:trPr>
          <w:trHeight w:val="228"/>
        </w:trPr>
        <w:tc>
          <w:tcPr>
            <w:tcW w:w="37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640" w:type="dxa"/>
            <w:vAlign w:val="bottom"/>
          </w:tcPr>
          <w:p>
            <w:pPr>
              <w:jc w:val="center"/>
              <w:ind w:left="1062"/>
              <w:spacing w:after="0"/>
              <w:rPr>
                <w:sz w:val="20"/>
                <w:szCs w:val="20"/>
                <w:color w:val="auto"/>
              </w:rPr>
            </w:pPr>
            <w:r>
              <w:rPr>
                <w:rFonts w:ascii="Arial" w:cs="Arial" w:eastAsia="Arial" w:hAnsi="Arial"/>
                <w:sz w:val="16"/>
                <w:szCs w:val="16"/>
                <w:color w:val="auto"/>
              </w:rPr>
              <w:t>33%</w:t>
            </w:r>
          </w:p>
        </w:tc>
        <w:tc>
          <w:tcPr>
            <w:tcW w:w="1700" w:type="dxa"/>
            <w:vAlign w:val="bottom"/>
          </w:tcPr>
          <w:p>
            <w:pPr>
              <w:jc w:val="right"/>
              <w:ind w:right="542"/>
              <w:spacing w:after="0"/>
              <w:rPr>
                <w:sz w:val="20"/>
                <w:szCs w:val="20"/>
                <w:color w:val="auto"/>
              </w:rPr>
            </w:pPr>
            <w:r>
              <w:rPr>
                <w:rFonts w:ascii="Arial" w:cs="Arial" w:eastAsia="Arial" w:hAnsi="Arial"/>
                <w:sz w:val="16"/>
                <w:szCs w:val="16"/>
                <w:color w:val="auto"/>
              </w:rPr>
              <w:t>35.1%</w:t>
            </w:r>
          </w:p>
        </w:tc>
        <w:tc>
          <w:tcPr>
            <w:tcW w:w="1500" w:type="dxa"/>
            <w:vAlign w:val="bottom"/>
          </w:tcPr>
          <w:p>
            <w:pPr>
              <w:jc w:val="right"/>
              <w:ind w:right="462"/>
              <w:spacing w:after="0"/>
              <w:rPr>
                <w:sz w:val="20"/>
                <w:szCs w:val="20"/>
                <w:color w:val="auto"/>
              </w:rPr>
            </w:pPr>
            <w:r>
              <w:rPr>
                <w:rFonts w:ascii="Arial" w:cs="Arial" w:eastAsia="Arial" w:hAnsi="Arial"/>
                <w:sz w:val="16"/>
                <w:szCs w:val="16"/>
                <w:color w:val="auto"/>
              </w:rPr>
              <w:t>39.0%</w:t>
            </w:r>
          </w:p>
        </w:tc>
        <w:tc>
          <w:tcPr>
            <w:tcW w:w="1620" w:type="dxa"/>
            <w:vAlign w:val="bottom"/>
          </w:tcPr>
          <w:p>
            <w:pPr>
              <w:jc w:val="right"/>
              <w:ind w:right="482"/>
              <w:spacing w:after="0"/>
              <w:rPr>
                <w:sz w:val="20"/>
                <w:szCs w:val="20"/>
                <w:color w:val="auto"/>
              </w:rPr>
            </w:pPr>
            <w:r>
              <w:rPr>
                <w:rFonts w:ascii="Arial" w:cs="Arial" w:eastAsia="Arial" w:hAnsi="Arial"/>
                <w:sz w:val="16"/>
                <w:szCs w:val="16"/>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215265</wp:posOffset>
            </wp:positionV>
            <wp:extent cx="6386195" cy="2057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861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determining the amount of annual cash bonus payments under the 2025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bonus eligible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hanging="554"/>
        <w:spacing w:after="0"/>
        <w:tabs>
          <w:tab w:leader="none" w:pos="5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2025 Annual Cash Bonus Decisions</w:t>
      </w:r>
    </w:p>
    <w:p>
      <w:pPr>
        <w:spacing w:after="0" w:line="16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In March 2026, the talent and compensation committee, based on its evaluation of our performance against our annual operating plan, determined the size of the bonus pool based on our performance during 2025 and determined the annual cash bonus payments for our bonus eligible executive officers, including our bonus eligible named executive officers, pursuant to the 2025 Cash Bonus Plan. The talent and compensation committee reviewed our actual annual revenue performance for 2025 and determined that, for purposes of the calculation used for the 2025 Cash Bonus Plan, we had achieved annual revenue of $2,518 million, which was 101% of our annual revenue target for the year. In addition, the talent and compensation committee determined that we had achieved non-GAAP operating margin of 40.7% (for purposes of the calculation used for the 2025 Cash Bonus Plan) compared to our target of 39.0% for the year. Our revenue and non-GAAP operating margin performances resulted in a corporate performance measure of 107.3%. Accordingly, the talent and compensation committee approved a bonus funding percentage of 107.3% with respect to the corporate performance measure.</w:t>
      </w:r>
    </w:p>
    <w:p>
      <w:pPr>
        <w:spacing w:after="0" w:line="12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2025 and formulated an annual cash bonus payment for him based on the subjective assessment of his performance.</w:t>
      </w:r>
    </w:p>
    <w:p>
      <w:pPr>
        <w:spacing w:after="0" w:line="12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Based on these evaluations, the talent and compensation committee approved the annual cash bonus payments for our bonus eligible named executive officers for 2025 as set forth in the table below, including adjustments for the named executive officer's individual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148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 Cash</w:t>
            </w:r>
          </w:p>
        </w:tc>
        <w:tc>
          <w:tcPr>
            <w:tcW w:w="2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Annual Cash Bonus</w:t>
            </w:r>
          </w:p>
        </w:tc>
        <w:tc>
          <w:tcPr>
            <w:tcW w:w="2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Percentage of Target Annual</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0063A6"/>
            </w:tcBorders>
            <w:vMerge w:val="continue"/>
            <w:shd w:val="clear" w:color="auto" w:fill="0063A6"/>
          </w:tcPr>
          <w:p>
            <w:pPr>
              <w:spacing w:after="0"/>
              <w:rPr>
                <w:sz w:val="19"/>
                <w:szCs w:val="19"/>
                <w:color w:val="auto"/>
              </w:rPr>
            </w:pPr>
          </w:p>
        </w:tc>
        <w:tc>
          <w:tcPr>
            <w:tcW w:w="2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Bonus Payment ($)</w:t>
            </w:r>
          </w:p>
        </w:tc>
        <w:tc>
          <w:tcPr>
            <w:tcW w:w="2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Payment ($)</w:t>
            </w:r>
          </w:p>
        </w:tc>
        <w:tc>
          <w:tcPr>
            <w:tcW w:w="2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 Actually Paid</w:t>
            </w:r>
          </w:p>
        </w:tc>
        <w:tc>
          <w:tcPr>
            <w:tcW w:w="0" w:type="dxa"/>
            <w:vAlign w:val="bottom"/>
          </w:tcPr>
          <w:p>
            <w:pPr>
              <w:spacing w:after="0"/>
              <w:rPr>
                <w:sz w:val="1"/>
                <w:szCs w:val="1"/>
                <w:color w:val="auto"/>
              </w:rPr>
            </w:pPr>
          </w:p>
        </w:tc>
      </w:tr>
      <w:tr>
        <w:trPr>
          <w:trHeight w:val="229"/>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750,400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94%</w:t>
            </w:r>
          </w:p>
        </w:tc>
        <w:tc>
          <w:tcPr>
            <w:tcW w:w="0" w:type="dxa"/>
            <w:vAlign w:val="bottom"/>
          </w:tcPr>
          <w:p>
            <w:pPr>
              <w:spacing w:after="0"/>
              <w:rPr>
                <w:sz w:val="1"/>
                <w:szCs w:val="1"/>
                <w:color w:val="auto"/>
              </w:rPr>
            </w:pPr>
          </w:p>
        </w:tc>
      </w:tr>
      <w:tr>
        <w:trPr>
          <w:trHeight w:val="215"/>
        </w:trPr>
        <w:tc>
          <w:tcPr>
            <w:tcW w:w="39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7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3980" w:type="dxa"/>
            <w:vAlign w:val="bottom"/>
            <w:shd w:val="clear" w:color="auto" w:fill="F2F2F2"/>
          </w:tcPr>
          <w:p>
            <w:pPr>
              <w:ind w:left="60"/>
              <w:spacing w:after="0" w:line="230" w:lineRule="exact"/>
              <w:rPr>
                <w:sz w:val="20"/>
                <w:szCs w:val="20"/>
                <w:color w:val="auto"/>
              </w:rPr>
            </w:pPr>
            <w:r>
              <w:rPr>
                <w:rFonts w:ascii="Arial" w:cs="Arial" w:eastAsia="Arial" w:hAnsi="Arial"/>
                <w:sz w:val="16"/>
                <w:szCs w:val="16"/>
                <w:color w:val="auto"/>
              </w:rPr>
              <w:t>Timothy Regan</w:t>
            </w:r>
            <w:r>
              <w:rPr>
                <w:rFonts w:ascii="Arial" w:cs="Arial" w:eastAsia="Arial" w:hAnsi="Arial"/>
                <w:sz w:val="21"/>
                <w:szCs w:val="21"/>
                <w:color w:val="auto"/>
                <w:vertAlign w:val="superscript"/>
              </w:rPr>
              <w:t>(1)</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476,000</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558,000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r>
        <w:trPr>
          <w:trHeight w:val="228"/>
        </w:trPr>
        <w:tc>
          <w:tcPr>
            <w:tcW w:w="398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260" w:type="dxa"/>
            <w:vAlign w:val="bottom"/>
          </w:tcPr>
          <w:p>
            <w:pPr>
              <w:jc w:val="center"/>
              <w:spacing w:after="0"/>
              <w:rPr>
                <w:sz w:val="20"/>
                <w:szCs w:val="20"/>
                <w:color w:val="auto"/>
              </w:rPr>
            </w:pPr>
            <w:r>
              <w:rPr>
                <w:rFonts w:ascii="Arial" w:cs="Arial" w:eastAsia="Arial" w:hAnsi="Arial"/>
                <w:sz w:val="16"/>
                <w:szCs w:val="16"/>
                <w:color w:val="auto"/>
              </w:rPr>
              <w:t>320,188</w:t>
            </w:r>
          </w:p>
        </w:tc>
        <w:tc>
          <w:tcPr>
            <w:tcW w:w="2240" w:type="dxa"/>
            <w:vAlign w:val="bottom"/>
          </w:tcPr>
          <w:p>
            <w:pPr>
              <w:jc w:val="center"/>
              <w:spacing w:after="0"/>
              <w:rPr>
                <w:sz w:val="20"/>
                <w:szCs w:val="20"/>
                <w:color w:val="auto"/>
              </w:rPr>
            </w:pPr>
            <w:r>
              <w:rPr>
                <w:rFonts w:ascii="Arial" w:cs="Arial" w:eastAsia="Arial" w:hAnsi="Arial"/>
                <w:sz w:val="16"/>
                <w:szCs w:val="16"/>
                <w:color w:val="auto"/>
              </w:rPr>
              <w:t>375,000</w:t>
            </w:r>
          </w:p>
        </w:tc>
        <w:tc>
          <w:tcPr>
            <w:tcW w:w="2760" w:type="dxa"/>
            <w:vAlign w:val="bottom"/>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r>
        <w:trPr>
          <w:trHeight w:val="231"/>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416,438</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391,000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94%</w:t>
            </w:r>
          </w:p>
        </w:tc>
        <w:tc>
          <w:tcPr>
            <w:tcW w:w="0" w:type="dxa"/>
            <w:vAlign w:val="bottom"/>
          </w:tcPr>
          <w:p>
            <w:pPr>
              <w:spacing w:after="0"/>
              <w:rPr>
                <w:sz w:val="1"/>
                <w:szCs w:val="1"/>
                <w:color w:val="auto"/>
              </w:rPr>
            </w:pPr>
          </w:p>
        </w:tc>
      </w:tr>
      <w:tr>
        <w:trPr>
          <w:trHeight w:val="228"/>
        </w:trPr>
        <w:tc>
          <w:tcPr>
            <w:tcW w:w="39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260" w:type="dxa"/>
            <w:vAlign w:val="bottom"/>
          </w:tcPr>
          <w:p>
            <w:pPr>
              <w:jc w:val="center"/>
              <w:spacing w:after="0"/>
              <w:rPr>
                <w:sz w:val="20"/>
                <w:szCs w:val="20"/>
                <w:color w:val="auto"/>
              </w:rPr>
            </w:pPr>
            <w:r>
              <w:rPr>
                <w:rFonts w:ascii="Arial" w:cs="Arial" w:eastAsia="Arial" w:hAnsi="Arial"/>
                <w:sz w:val="16"/>
                <w:szCs w:val="16"/>
                <w:color w:val="auto"/>
              </w:rPr>
              <w:t>500,000</w:t>
            </w:r>
          </w:p>
        </w:tc>
        <w:tc>
          <w:tcPr>
            <w:tcW w:w="2240" w:type="dxa"/>
            <w:vAlign w:val="bottom"/>
          </w:tcPr>
          <w:p>
            <w:pPr>
              <w:jc w:val="center"/>
              <w:spacing w:after="0"/>
              <w:rPr>
                <w:sz w:val="20"/>
                <w:szCs w:val="20"/>
                <w:color w:val="auto"/>
              </w:rPr>
            </w:pPr>
            <w:r>
              <w:rPr>
                <w:rFonts w:ascii="Arial" w:cs="Arial" w:eastAsia="Arial" w:hAnsi="Arial"/>
                <w:sz w:val="16"/>
                <w:szCs w:val="16"/>
                <w:color w:val="auto"/>
              </w:rPr>
              <w:t>586,000</w:t>
            </w:r>
          </w:p>
        </w:tc>
        <w:tc>
          <w:tcPr>
            <w:tcW w:w="2760" w:type="dxa"/>
            <w:vAlign w:val="bottom"/>
          </w:tcPr>
          <w:p>
            <w:pPr>
              <w:jc w:val="center"/>
              <w:spacing w:after="0"/>
              <w:rPr>
                <w:sz w:val="20"/>
                <w:szCs w:val="20"/>
                <w:color w:val="auto"/>
              </w:rPr>
            </w:pPr>
            <w:r>
              <w:rPr>
                <w:rFonts w:ascii="Arial" w:cs="Arial" w:eastAsia="Arial" w:hAnsi="Arial"/>
                <w:sz w:val="16"/>
                <w:szCs w:val="16"/>
                <w:color w:val="auto"/>
                <w:w w:val="97"/>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-289560</wp:posOffset>
            </wp:positionV>
            <wp:extent cx="1714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pacing w:after="0" w:line="229" w:lineRule="exact"/>
        <w:rPr>
          <w:sz w:val="20"/>
          <w:szCs w:val="20"/>
          <w:color w:val="auto"/>
        </w:rPr>
      </w:pPr>
    </w:p>
    <w:p>
      <w:pPr>
        <w:ind w:left="340" w:right="80" w:hanging="332"/>
        <w:spacing w:after="0" w:line="218" w:lineRule="auto"/>
        <w:tabs>
          <w:tab w:leader="none" w:pos="262" w:val="left"/>
        </w:tabs>
        <w:numPr>
          <w:ilvl w:val="0"/>
          <w:numId w:val="63"/>
        </w:numPr>
        <w:rPr>
          <w:rFonts w:ascii="Arial" w:cs="Arial" w:eastAsia="Arial" w:hAnsi="Arial"/>
          <w:sz w:val="21"/>
          <w:szCs w:val="21"/>
          <w:color w:val="auto"/>
          <w:vertAlign w:val="superscript"/>
        </w:rPr>
      </w:pPr>
      <w:r>
        <w:rPr>
          <w:rFonts w:ascii="Arial" w:cs="Arial" w:eastAsia="Arial" w:hAnsi="Arial"/>
          <w:sz w:val="14"/>
          <w:szCs w:val="14"/>
          <w:color w:val="auto"/>
        </w:rPr>
        <w:t>Due to his continued employment through March 2026, Mr. Regan remained eligible to receive an annual cash bonus payment based on his 2025 target annual cash bonus opportunity.</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annual cash bonus payments made to our named executive officers for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amount and forms of the equity awards granted to our executive officers are determined by the talent and compensation committee after considering a competitive market analysis prepared by our compensation consultant, the recommendation of our Chief Executive Officer (other than for himself), and the factors described in the section titled “</w:t>
      </w:r>
      <w:r>
        <w:rPr>
          <w:rFonts w:ascii="Arial" w:cs="Arial" w:eastAsia="Arial" w:hAnsi="Arial"/>
          <w:sz w:val="16"/>
          <w:szCs w:val="16"/>
          <w:i w:val="1"/>
          <w:iCs w:val="1"/>
          <w:color w:val="auto"/>
        </w:rPr>
        <w:t>Executive Compensation—Compensation-Setting Process—Compensation Setting</w:t>
      </w:r>
      <w:r>
        <w:rPr>
          <w:rFonts w:ascii="Arial" w:cs="Arial" w:eastAsia="Arial" w:hAnsi="Arial"/>
          <w:sz w:val="16"/>
          <w:szCs w:val="16"/>
          <w:color w:val="auto"/>
        </w:rPr>
        <w:t>” above. The size of the equity awards is also intended to be competitive and result in target total direct compensation opportunities that the talent and compensation committee believes are reasonable and appropriate taking into consideration the factors described in the preceding sentence.</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March 2025, the talent and compensation committee approved equity grants in the form of restricted stock unit awards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covering our Class A common stock to Messrs. Regan and Yoon, each of which were effective April 1, 2025. Separately, the talent and compensation committee approved a new hire award for Mr. Alkarmi, which was granted effective January 1, 2025 and a new hire award for Mr. Dasdan, which was granted effective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Differentiation was made among our named executive officers based on the talent and compensation committee’s review of a competitive market analysis for their respective positions, internal equity, past performance, and expected future contributions. Mr. Houston did not receive an equity grant in 2025 in light of his significant ownership position in the company and the Co-Founder Grant he received in 2017. The equity awards granted to our named executive officers in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8401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84010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70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280" w:type="dxa"/>
            <w:vAlign w:val="bottom"/>
            <w:shd w:val="clear" w:color="auto" w:fill="0063A6"/>
          </w:tcPr>
          <w:p>
            <w:pPr>
              <w:ind w:left="880"/>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(1)</w:t>
            </w:r>
          </w:p>
        </w:tc>
        <w:tc>
          <w:tcPr>
            <w:tcW w:w="2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Aggregate Grant</w:t>
            </w:r>
          </w:p>
        </w:tc>
        <w:tc>
          <w:tcPr>
            <w:tcW w:w="0" w:type="dxa"/>
            <w:vAlign w:val="bottom"/>
          </w:tcPr>
          <w:p>
            <w:pPr>
              <w:spacing w:after="0"/>
              <w:rPr>
                <w:sz w:val="1"/>
                <w:szCs w:val="1"/>
                <w:color w:val="auto"/>
              </w:rPr>
            </w:pPr>
          </w:p>
        </w:tc>
      </w:tr>
      <w:tr>
        <w:trPr>
          <w:trHeight w:val="232"/>
        </w:trPr>
        <w:tc>
          <w:tcPr>
            <w:tcW w:w="6700" w:type="dxa"/>
            <w:vAlign w:val="bottom"/>
            <w:tcBorders>
              <w:bottom w:val="single" w:sz="8" w:color="0063A6"/>
            </w:tcBorders>
            <w:vMerge w:val="continue"/>
            <w:shd w:val="clear" w:color="auto" w:fill="0063A6"/>
          </w:tcPr>
          <w:p>
            <w:pPr>
              <w:spacing w:after="0"/>
              <w:rPr>
                <w:sz w:val="20"/>
                <w:szCs w:val="20"/>
                <w:color w:val="auto"/>
              </w:rPr>
            </w:pPr>
          </w:p>
        </w:tc>
        <w:tc>
          <w:tcPr>
            <w:tcW w:w="2280" w:type="dxa"/>
            <w:vAlign w:val="bottom"/>
            <w:tcBorders>
              <w:bottom w:val="single" w:sz="8" w:color="0063A6"/>
            </w:tcBorders>
            <w:shd w:val="clear" w:color="auto" w:fill="0063A6"/>
          </w:tcPr>
          <w:p>
            <w:pPr>
              <w:spacing w:after="0"/>
              <w:rPr>
                <w:sz w:val="20"/>
                <w:szCs w:val="20"/>
                <w:color w:val="auto"/>
              </w:rPr>
            </w:pPr>
          </w:p>
        </w:tc>
        <w:tc>
          <w:tcPr>
            <w:tcW w:w="2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Date Fair Value ($)</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6700" w:type="dxa"/>
            <w:vAlign w:val="bottom"/>
          </w:tcPr>
          <w:p>
            <w:pPr>
              <w:ind w:left="60"/>
              <w:spacing w:after="0"/>
              <w:rPr>
                <w:sz w:val="20"/>
                <w:szCs w:val="20"/>
                <w:color w:val="auto"/>
              </w:rPr>
            </w:pPr>
            <w:r>
              <w:rPr>
                <w:rFonts w:ascii="Arial" w:cs="Arial" w:eastAsia="Arial" w:hAnsi="Arial"/>
                <w:sz w:val="16"/>
                <w:szCs w:val="16"/>
                <w:color w:val="auto"/>
              </w:rPr>
              <w:t>Ross Tennenbaum</w:t>
            </w:r>
            <w:r>
              <w:rPr>
                <w:rFonts w:ascii="Arial" w:cs="Arial" w:eastAsia="Arial" w:hAnsi="Arial"/>
                <w:sz w:val="21"/>
                <w:szCs w:val="21"/>
                <w:color w:val="auto"/>
                <w:vertAlign w:val="superscript"/>
              </w:rPr>
              <w:t>(2)</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209,777</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5,603,144</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280" w:type="dxa"/>
            <w:vAlign w:val="bottom"/>
          </w:tcPr>
          <w:p>
            <w:pPr>
              <w:jc w:val="center"/>
              <w:spacing w:after="0"/>
              <w:rPr>
                <w:sz w:val="20"/>
                <w:szCs w:val="20"/>
                <w:color w:val="auto"/>
              </w:rPr>
            </w:pPr>
            <w:r>
              <w:rPr>
                <w:rFonts w:ascii="Arial" w:cs="Arial" w:eastAsia="Arial" w:hAnsi="Arial"/>
                <w:sz w:val="16"/>
                <w:szCs w:val="16"/>
                <w:color w:val="auto"/>
              </w:rPr>
              <w:t>190,706</w:t>
            </w:r>
          </w:p>
        </w:tc>
        <w:tc>
          <w:tcPr>
            <w:tcW w:w="2260" w:type="dxa"/>
            <w:vAlign w:val="bottom"/>
          </w:tcPr>
          <w:p>
            <w:pPr>
              <w:jc w:val="center"/>
              <w:spacing w:after="0"/>
              <w:rPr>
                <w:sz w:val="20"/>
                <w:szCs w:val="20"/>
                <w:color w:val="auto"/>
              </w:rPr>
            </w:pPr>
            <w:r>
              <w:rPr>
                <w:rFonts w:ascii="Arial" w:cs="Arial" w:eastAsia="Arial" w:hAnsi="Arial"/>
                <w:sz w:val="16"/>
                <w:szCs w:val="16"/>
                <w:color w:val="auto"/>
              </w:rPr>
              <w:t>5,093,757</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610,260</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16,300,045</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280" w:type="dxa"/>
            <w:vAlign w:val="bottom"/>
          </w:tcPr>
          <w:p>
            <w:pPr>
              <w:jc w:val="center"/>
              <w:spacing w:after="0"/>
              <w:rPr>
                <w:sz w:val="20"/>
                <w:szCs w:val="20"/>
                <w:color w:val="auto"/>
              </w:rPr>
            </w:pPr>
            <w:r>
              <w:rPr>
                <w:rFonts w:ascii="Arial" w:cs="Arial" w:eastAsia="Arial" w:hAnsi="Arial"/>
                <w:sz w:val="16"/>
                <w:szCs w:val="16"/>
                <w:color w:val="auto"/>
              </w:rPr>
              <w:t>537,936</w:t>
            </w:r>
          </w:p>
        </w:tc>
        <w:tc>
          <w:tcPr>
            <w:tcW w:w="2260" w:type="dxa"/>
            <w:vAlign w:val="bottom"/>
          </w:tcPr>
          <w:p>
            <w:pPr>
              <w:jc w:val="center"/>
              <w:spacing w:after="0"/>
              <w:rPr>
                <w:sz w:val="20"/>
                <w:szCs w:val="20"/>
                <w:color w:val="auto"/>
              </w:rPr>
            </w:pPr>
            <w:r>
              <w:rPr>
                <w:rFonts w:ascii="Arial" w:cs="Arial" w:eastAsia="Arial" w:hAnsi="Arial"/>
                <w:sz w:val="16"/>
                <w:szCs w:val="16"/>
                <w:color w:val="auto"/>
              </w:rPr>
              <w:t>16,159,597</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right="320" w:hanging="332"/>
        <w:spacing w:after="0" w:line="213" w:lineRule="auto"/>
        <w:tabs>
          <w:tab w:leader="none" w:pos="333"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The time-based RSU awards granted to Messrs. Regan Yoon, Dasdan, and Alkarmi were scheduled to vest over a four-year period in equal quarterly installments. The unvested portion of the RSU awards previously granted to Mr. Regan terminated upon his departure from the company.</w:t>
      </w:r>
    </w:p>
    <w:p>
      <w:pPr>
        <w:spacing w:after="0" w:line="1"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Mr. Tennenbaum joined the company in December 2025 and, in connection with his hiring, he was granted an equity award in January 2026.</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equity awards granted to our named executive officers during 2025 are set forth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2025</w:t>
      </w:r>
      <w:r>
        <w:rPr>
          <w:rFonts w:ascii="Arial" w:cs="Arial" w:eastAsia="Arial" w:hAnsi="Arial"/>
          <w:sz w:val="16"/>
          <w:szCs w:val="16"/>
          <w:color w:val="auto"/>
        </w:rPr>
        <w:t>”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CFO Sign On Bonus</w:t>
      </w:r>
    </w:p>
    <w:p>
      <w:pPr>
        <w:spacing w:after="0" w:line="15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As noted above, Mr. Tennenbaum was not eligible to receive a bonus under the 2025 Cash Bonus Plan. However, in connection with his hiring, the talent and compensation committee approved a one-time sign-on bonus in the aggregate amount of $350,000 to Mr. Tennenbaum, which was paid in December 2025.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Houston’s Co-Founder Grant</w:t>
      </w:r>
    </w:p>
    <w:p>
      <w:pPr>
        <w:spacing w:after="0" w:line="167"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December 2017, our board approved a grant to Mr. Houston (our co-founder, Chief Executive Officer and chair of the board of directors) of a restricted stock award ("</w:t>
      </w:r>
      <w:r>
        <w:rPr>
          <w:rFonts w:ascii="Arial" w:cs="Arial" w:eastAsia="Arial" w:hAnsi="Arial"/>
          <w:sz w:val="16"/>
          <w:szCs w:val="16"/>
          <w:b w:val="1"/>
          <w:bCs w:val="1"/>
          <w:i w:val="1"/>
          <w:iCs w:val="1"/>
          <w:color w:val="auto"/>
        </w:rPr>
        <w:t>RSA</w:t>
      </w:r>
      <w:r>
        <w:rPr>
          <w:rFonts w:ascii="Arial" w:cs="Arial" w:eastAsia="Arial" w:hAnsi="Arial"/>
          <w:sz w:val="16"/>
          <w:szCs w:val="16"/>
          <w:color w:val="auto"/>
        </w:rPr>
        <w:t>") with respect to 10.3 million shares of Class A common stock in the aggregate (the “</w:t>
      </w:r>
      <w:r>
        <w:rPr>
          <w:rFonts w:ascii="Arial" w:cs="Arial" w:eastAsia="Arial" w:hAnsi="Arial"/>
          <w:sz w:val="16"/>
          <w:szCs w:val="16"/>
          <w:b w:val="1"/>
          <w:bCs w:val="1"/>
          <w:i w:val="1"/>
          <w:iCs w:val="1"/>
          <w:color w:val="auto"/>
        </w:rPr>
        <w:t>Co-Founder Grant</w:t>
      </w:r>
      <w:r>
        <w:rPr>
          <w:rFonts w:ascii="Arial" w:cs="Arial" w:eastAsia="Arial" w:hAnsi="Arial"/>
          <w:sz w:val="16"/>
          <w:szCs w:val="16"/>
          <w:color w:val="auto"/>
        </w:rPr>
        <w:t>”).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50800</wp:posOffset>
            </wp:positionV>
            <wp:extent cx="3823335" cy="1817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23335" cy="1817370"/>
                    </a:xfrm>
                    <a:prstGeom prst="rect">
                      <a:avLst/>
                    </a:prstGeom>
                    <a:noFill/>
                  </pic:spPr>
                </pic:pic>
              </a:graphicData>
            </a:graphic>
          </wp:anchor>
        </w:drawing>
      </w:r>
    </w:p>
    <w:p>
      <w:pPr>
        <w:spacing w:after="0" w:line="60"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000" w:type="dxa"/>
            <w:vAlign w:val="bottom"/>
            <w:shd w:val="clear" w:color="auto" w:fill="0063A6"/>
          </w:tcPr>
          <w:p>
            <w:pPr>
              <w:spacing w:after="0"/>
              <w:rPr>
                <w:sz w:val="20"/>
                <w:szCs w:val="20"/>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3000" w:type="dxa"/>
            <w:vAlign w:val="bottom"/>
            <w:shd w:val="clear" w:color="auto" w:fill="0063A6"/>
          </w:tcPr>
          <w:p>
            <w:pPr>
              <w:spacing w:after="0"/>
              <w:rPr>
                <w:sz w:val="14"/>
                <w:szCs w:val="14"/>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246"/>
        </w:trPr>
        <w:tc>
          <w:tcPr>
            <w:tcW w:w="30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3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257"/>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3020" w:type="dxa"/>
            <w:vAlign w:val="bottom"/>
            <w:shd w:val="clear" w:color="auto" w:fill="F2F2F2"/>
          </w:tcPr>
          <w:p>
            <w:pPr>
              <w:jc w:val="center"/>
              <w:ind w:right="281"/>
              <w:spacing w:after="0"/>
              <w:rPr>
                <w:sz w:val="20"/>
                <w:szCs w:val="20"/>
                <w:color w:val="auto"/>
              </w:rPr>
            </w:pPr>
            <w:r>
              <w:rPr>
                <w:rFonts w:ascii="Arial" w:cs="Arial" w:eastAsia="Arial" w:hAnsi="Arial"/>
                <w:sz w:val="16"/>
                <w:szCs w:val="16"/>
                <w:color w:val="auto"/>
                <w:w w:val="97"/>
              </w:rPr>
              <w:t>2,066,667</w:t>
            </w:r>
            <w:r>
              <w:rPr>
                <w:rFonts w:ascii="Arial" w:cs="Arial" w:eastAsia="Arial" w:hAnsi="Arial"/>
                <w:sz w:val="21"/>
                <w:szCs w:val="21"/>
                <w:color w:val="auto"/>
                <w:w w:val="97"/>
                <w:vertAlign w:val="superscript"/>
              </w:rPr>
              <w:t>(1)</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$37.50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1,033,334</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1,033,334</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$52.50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$67.50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$82.50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15"/>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3020" w:type="dxa"/>
            <w:vAlign w:val="bottom"/>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shd w:val="clear" w:color="auto" w:fill="F2F2F2"/>
          </w:tcPr>
          <w:p>
            <w:pPr>
              <w:spacing w:after="0"/>
              <w:rPr>
                <w:sz w:val="2"/>
                <w:szCs w:val="2"/>
                <w:color w:val="auto"/>
              </w:rPr>
            </w:pPr>
          </w:p>
        </w:tc>
        <w:tc>
          <w:tcPr>
            <w:tcW w:w="3020" w:type="dxa"/>
            <w:vAlign w:val="bottom"/>
            <w:shd w:val="clear" w:color="auto" w:fill="F2F2F2"/>
          </w:tcPr>
          <w:p>
            <w:pPr>
              <w:spacing w:after="0"/>
              <w:rPr>
                <w:sz w:val="2"/>
                <w:szCs w:val="2"/>
                <w:color w:val="auto"/>
              </w:rPr>
            </w:pPr>
          </w:p>
        </w:tc>
      </w:tr>
    </w:tbl>
    <w:p>
      <w:pPr>
        <w:spacing w:after="0" w:line="138"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This tranche was vested and achieved on November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hanging="554"/>
        <w:spacing w:after="0"/>
        <w:tabs>
          <w:tab w:leader="none" w:pos="5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 No additional tranches were earned or vested during 2025.</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Welfare and Health Benefits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2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intend for the plan to qualify under Section 401(a)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that contributions by participants to the plan, and income earned on plan contributions, are not taxable to participants until withdrawn from the plan.</w:t>
      </w:r>
    </w:p>
    <w:p>
      <w:pPr>
        <w:spacing w:after="0" w:line="10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31"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2025, the talent and compensation committee approved the continued provision of security measures for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6"/>
          <w:szCs w:val="16"/>
          <w:i w:val="1"/>
          <w:iCs w:val="1"/>
          <w:color w:val="auto"/>
        </w:rPr>
        <w:t>Summary Compensation Table for Fiscal Year 2025</w:t>
      </w:r>
      <w:r>
        <w:rPr>
          <w:rFonts w:ascii="Arial" w:cs="Arial" w:eastAsia="Arial" w:hAnsi="Arial"/>
          <w:sz w:val="16"/>
          <w:szCs w:val="16"/>
          <w:color w:val="auto"/>
        </w:rPr>
        <w:t>.” The talent and compensation committee periodically reviews the nature and cost of this program in relation to Mr. Houston’s security profile. In connection with this review, in August 2025, the talent and compensation committee approved Mr. Houston's participation in a security program with an annual limit of $605,000. The talent and compensation committee later approved an increase to this annual limit to $610,222 to reflect the actual cost of the security services for Mr. Houston in 2025.</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Stock Ownership Guidelines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 Officer) are required to acquire and own stock or stock equivalents in an amount equal to two times their base annual salary.</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w:t>
      </w:r>
    </w:p>
    <w:p>
      <w:pPr>
        <w:spacing w:after="0" w:line="12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At the end of fiscal 2025, all of our then-current named executive officers have met, exceeded, or are on track to meet, these guidelines based on their current rate of stock accumulations in the time frames set out in the stock ownership guidelines.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Practices with Regard to Timing of Equity Awards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board and the talent and compensation committee of our board does not take material nonpublic information into account when determining the timing and terms of equity grants. We do not have a policy or practice to time equity grants based on the release of material non-public information. We did not grant stock options to any of our named executive officers in 2025 and have never granted stock appreciation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Recovery Policy</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August 2023, the talent and compensation committee adopted a compensation recovery ("</w:t>
      </w:r>
      <w:r>
        <w:rPr>
          <w:rFonts w:ascii="Arial" w:cs="Arial" w:eastAsia="Arial" w:hAnsi="Arial"/>
          <w:sz w:val="16"/>
          <w:szCs w:val="16"/>
          <w:b w:val="1"/>
          <w:bCs w:val="1"/>
          <w:i w:val="1"/>
          <w:iCs w:val="1"/>
          <w:color w:val="auto"/>
        </w:rPr>
        <w:t>clawback</w:t>
      </w:r>
      <w:r>
        <w:rPr>
          <w:rFonts w:ascii="Arial" w:cs="Arial" w:eastAsia="Arial" w:hAnsi="Arial"/>
          <w:sz w:val="16"/>
          <w:szCs w:val="16"/>
          <w:color w:val="auto"/>
        </w:rPr>
        <w:t>")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Employment Arrangements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Post-Employment Compensation</w:t>
      </w:r>
    </w:p>
    <w:p>
      <w:pPr>
        <w:spacing w:after="0" w:line="21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fiduciary duties under Nevada law. The terms and conditions were approved by our board of directors after an analysis of competitive market data.</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Houston’s Co-Founder Grant (as described below) is eligible to vest in connection with our acquisition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6"/>
          <w:szCs w:val="16"/>
          <w:i w:val="1"/>
          <w:iCs w:val="1"/>
          <w:color w:val="auto"/>
        </w:rPr>
        <w:t>Potential Payments 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w:t>
      </w:r>
      <w:r>
        <w:rPr>
          <w:rFonts w:ascii="Arial" w:cs="Arial" w:eastAsia="Arial" w:hAnsi="Arial"/>
          <w:sz w:val="16"/>
          <w:szCs w:val="16"/>
          <w:color w:val="auto"/>
        </w:rPr>
        <w:t>” below for additional details.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Hedging and Pledging Prohibitions</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350" w:lineRule="exact"/>
        <w:rPr>
          <w:sz w:val="20"/>
          <w:szCs w:val="20"/>
          <w:color w:val="auto"/>
        </w:rPr>
      </w:pPr>
    </w:p>
    <w:p>
      <w:pPr>
        <w:spacing w:after="0"/>
        <w:rPr>
          <w:sz w:val="20"/>
          <w:szCs w:val="20"/>
          <w:color w:val="auto"/>
        </w:rPr>
      </w:pPr>
      <w:r>
        <w:rPr>
          <w:rFonts w:ascii="Arial" w:cs="Arial" w:eastAsia="Arial" w:hAnsi="Arial"/>
          <w:sz w:val="26"/>
          <w:szCs w:val="26"/>
          <w:color w:val="0063A6"/>
        </w:rPr>
        <w:t>Tax and Accounting Considerations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and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As of December 31, 2024, Mr. Houston's Co-Founder Grant has been fully recognized, and no further stock-based compensation expense related to the Co-Founder Grant remains.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140970</wp:posOffset>
            </wp:positionV>
            <wp:extent cx="17145" cy="12344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123444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Grant date</w:t>
            </w:r>
          </w:p>
        </w:tc>
        <w:tc>
          <w:tcPr>
            <w:tcW w:w="5840" w:type="dxa"/>
            <w:vAlign w:val="bottom"/>
            <w:shd w:val="clear" w:color="auto" w:fill="F2F2F2"/>
          </w:tcPr>
          <w:p>
            <w:pPr>
              <w:jc w:val="center"/>
              <w:ind w:left="159"/>
              <w:spacing w:after="0"/>
              <w:rPr>
                <w:sz w:val="20"/>
                <w:szCs w:val="20"/>
                <w:color w:val="auto"/>
              </w:rPr>
            </w:pPr>
            <w:r>
              <w:rPr>
                <w:rFonts w:ascii="Arial" w:cs="Arial" w:eastAsia="Arial" w:hAnsi="Arial"/>
                <w:sz w:val="16"/>
                <w:szCs w:val="16"/>
                <w:color w:val="auto"/>
                <w:w w:val="99"/>
              </w:rPr>
              <w:t>12/12/2017</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IPO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3/31/2018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Lock-up period</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rPr>
              <w:t>1/1/2019</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Expiration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3/31/2028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Grant price</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w w:val="98"/>
              </w:rPr>
              <w:t>$17.15</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volatility</w:t>
            </w:r>
          </w:p>
        </w:tc>
        <w:tc>
          <w:tcPr>
            <w:tcW w:w="5840" w:type="dxa"/>
            <w:vAlign w:val="bottom"/>
          </w:tcPr>
          <w:p>
            <w:pPr>
              <w:jc w:val="center"/>
              <w:ind w:left="139"/>
              <w:spacing w:after="0"/>
              <w:rPr>
                <w:sz w:val="20"/>
                <w:szCs w:val="20"/>
                <w:color w:val="auto"/>
              </w:rPr>
            </w:pPr>
            <w:r>
              <w:rPr>
                <w:rFonts w:ascii="Arial" w:cs="Arial" w:eastAsia="Arial" w:hAnsi="Arial"/>
                <w:sz w:val="16"/>
                <w:szCs w:val="16"/>
                <w:color w:val="auto"/>
              </w:rPr>
              <w:t>40.0%</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Risk-free interest rate (continuous)</w:t>
            </w:r>
          </w:p>
        </w:tc>
        <w:tc>
          <w:tcPr>
            <w:tcW w:w="5840" w:type="dxa"/>
            <w:vAlign w:val="bottom"/>
            <w:tcBorders>
              <w:bottom w:val="single" w:sz="8" w:color="F2F2F2"/>
            </w:tcBorders>
            <w:shd w:val="clear" w:color="auto" w:fill="F2F2F2"/>
          </w:tcPr>
          <w:p>
            <w:pPr>
              <w:jc w:val="center"/>
              <w:ind w:left="139"/>
              <w:spacing w:after="0"/>
              <w:rPr>
                <w:sz w:val="20"/>
                <w:szCs w:val="20"/>
                <w:color w:val="auto"/>
              </w:rPr>
            </w:pPr>
            <w:r>
              <w:rPr>
                <w:rFonts w:ascii="Arial" w:cs="Arial" w:eastAsia="Arial" w:hAnsi="Arial"/>
                <w:sz w:val="16"/>
                <w:szCs w:val="16"/>
                <w:color w:val="auto"/>
              </w:rPr>
              <w:t>2.38%</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dividends</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0%</w:t>
            </w:r>
          </w:p>
        </w:tc>
      </w:tr>
    </w:tbl>
    <w:p>
      <w:pPr>
        <w:spacing w:after="0" w:line="23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 xml:space="preserve">Expected grant date, expected IPO date, lock-up period, and expiration date. </w:t>
      </w:r>
      <w:r>
        <w:rPr>
          <w:rFonts w:ascii="Arial" w:cs="Arial" w:eastAsia="Arial" w:hAnsi="Arial"/>
          <w:sz w:val="16"/>
          <w:szCs w:val="16"/>
          <w:color w:val="auto"/>
        </w:rPr>
        <w:t>The Grant Date, expected IPO date, and the expiration of the lock-up period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estimates at the time of the valuation and correspond to the terms defined in the Restricted Stock Award Agreement.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Grant price. </w:t>
      </w:r>
      <w:r>
        <w:rPr>
          <w:rFonts w:ascii="Arial" w:cs="Arial" w:eastAsia="Arial" w:hAnsi="Arial"/>
          <w:sz w:val="16"/>
          <w:szCs w:val="16"/>
          <w:color w:val="auto"/>
        </w:rPr>
        <w:t>The grant price is based on the valuation of Common Stock as of December 12, 2017.</w:t>
      </w:r>
    </w:p>
    <w:p>
      <w:pPr>
        <w:spacing w:after="0" w:line="167"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Expected volatility is based on the average of the implied volatility of the longer at-the-money call option and the annualized daily return</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over the greater of the trading history or the term for each one of the guideline companies. The concluded volatility is then based on the median of the comparable companies.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interpolated based on the U.S. Treasury rates sourced from S&amp;P Capital IQ with a term commensurate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remaining performance period.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 dividend yield of zero.</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Report of the Compensation Committee</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talent and compensation committee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Paul E. Jacobs*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Abhay Parasnis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Karen Peacock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Seibel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 Dr. Jacobs joined the talent and compensation committee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Risk Assessment</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200" w:lineRule="exact"/>
        <w:rPr>
          <w:sz w:val="20"/>
          <w:szCs w:val="20"/>
          <w:color w:val="auto"/>
        </w:rPr>
      </w:pPr>
    </w:p>
    <w:p>
      <w:pPr>
        <w:spacing w:after="0" w:line="325" w:lineRule="exact"/>
        <w:rPr>
          <w:sz w:val="20"/>
          <w:szCs w:val="20"/>
          <w:color w:val="auto"/>
        </w:rPr>
      </w:pPr>
    </w:p>
    <w:p>
      <w:pPr>
        <w:ind w:left="580" w:hanging="554"/>
        <w:spacing w:after="0"/>
        <w:tabs>
          <w:tab w:leader="none" w:pos="58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Summary Compensation Table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49465" cy="3446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4"/>
        </w:trPr>
        <w:tc>
          <w:tcPr>
            <w:tcW w:w="2660" w:type="dxa"/>
            <w:vAlign w:val="bottom"/>
            <w:shd w:val="clear" w:color="auto" w:fill="0063A6"/>
          </w:tcPr>
          <w:p>
            <w:pPr>
              <w:spacing w:after="0"/>
              <w:rPr>
                <w:sz w:val="4"/>
                <w:szCs w:val="4"/>
                <w:color w:val="auto"/>
              </w:rPr>
            </w:pPr>
          </w:p>
        </w:tc>
        <w:tc>
          <w:tcPr>
            <w:tcW w:w="720" w:type="dxa"/>
            <w:vAlign w:val="bottom"/>
            <w:tcBorders>
              <w:right w:val="single" w:sz="8" w:color="0063A6"/>
            </w:tcBorders>
            <w:shd w:val="clear" w:color="auto" w:fill="0063A6"/>
          </w:tcPr>
          <w:p>
            <w:pPr>
              <w:spacing w:after="0"/>
              <w:rPr>
                <w:sz w:val="4"/>
                <w:szCs w:val="4"/>
                <w:color w:val="auto"/>
              </w:rPr>
            </w:pPr>
          </w:p>
        </w:tc>
        <w:tc>
          <w:tcPr>
            <w:tcW w:w="880" w:type="dxa"/>
            <w:vAlign w:val="bottom"/>
            <w:shd w:val="clear" w:color="auto" w:fill="0063A6"/>
          </w:tcPr>
          <w:p>
            <w:pPr>
              <w:spacing w:after="0"/>
              <w:rPr>
                <w:sz w:val="4"/>
                <w:szCs w:val="4"/>
                <w:color w:val="auto"/>
              </w:rPr>
            </w:pPr>
          </w:p>
        </w:tc>
        <w:tc>
          <w:tcPr>
            <w:tcW w:w="800" w:type="dxa"/>
            <w:vAlign w:val="bottom"/>
            <w:shd w:val="clear" w:color="auto" w:fill="0063A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shd w:val="clear" w:color="auto" w:fill="0063A6"/>
          </w:tcPr>
          <w:p>
            <w:pPr>
              <w:spacing w:after="0"/>
              <w:rPr>
                <w:sz w:val="4"/>
                <w:szCs w:val="4"/>
                <w:color w:val="auto"/>
              </w:rPr>
            </w:pPr>
          </w:p>
        </w:tc>
        <w:tc>
          <w:tcPr>
            <w:tcW w:w="40" w:type="dxa"/>
            <w:vAlign w:val="bottom"/>
            <w:shd w:val="clear" w:color="auto" w:fill="0063A6"/>
          </w:tcPr>
          <w:p>
            <w:pPr>
              <w:spacing w:after="0"/>
              <w:rPr>
                <w:sz w:val="4"/>
                <w:szCs w:val="4"/>
                <w:color w:val="auto"/>
              </w:rPr>
            </w:pPr>
          </w:p>
        </w:tc>
        <w:tc>
          <w:tcPr>
            <w:tcW w:w="980" w:type="dxa"/>
            <w:vAlign w:val="bottom"/>
            <w:tcBorders>
              <w:right w:val="single" w:sz="8" w:color="0063A6"/>
            </w:tcBorders>
            <w:shd w:val="clear" w:color="auto" w:fill="0063A6"/>
          </w:tcPr>
          <w:p>
            <w:pPr>
              <w:spacing w:after="0"/>
              <w:rPr>
                <w:sz w:val="4"/>
                <w:szCs w:val="4"/>
                <w:color w:val="auto"/>
              </w:rPr>
            </w:pPr>
          </w:p>
        </w:tc>
        <w:tc>
          <w:tcPr>
            <w:tcW w:w="400" w:type="dxa"/>
            <w:vAlign w:val="bottom"/>
            <w:shd w:val="clear" w:color="auto" w:fill="0063A6"/>
          </w:tcPr>
          <w:p>
            <w:pPr>
              <w:spacing w:after="0"/>
              <w:rPr>
                <w:sz w:val="4"/>
                <w:szCs w:val="4"/>
                <w:color w:val="auto"/>
              </w:rPr>
            </w:pPr>
          </w:p>
        </w:tc>
        <w:tc>
          <w:tcPr>
            <w:tcW w:w="132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Non-equity</w:t>
            </w:r>
          </w:p>
        </w:tc>
        <w:tc>
          <w:tcPr>
            <w:tcW w:w="40" w:type="dxa"/>
            <w:vAlign w:val="bottom"/>
            <w:tcBorders>
              <w:right w:val="single" w:sz="8" w:color="0063A6"/>
            </w:tcBorders>
            <w:shd w:val="clear" w:color="auto" w:fill="0063A6"/>
          </w:tcPr>
          <w:p>
            <w:pPr>
              <w:spacing w:after="0"/>
              <w:rPr>
                <w:sz w:val="4"/>
                <w:szCs w:val="4"/>
                <w:color w:val="auto"/>
              </w:rPr>
            </w:pPr>
          </w:p>
        </w:tc>
        <w:tc>
          <w:tcPr>
            <w:tcW w:w="1360" w:type="dxa"/>
            <w:vAlign w:val="bottom"/>
            <w:tcBorders>
              <w:right w:val="single" w:sz="8" w:color="0063A6"/>
            </w:tcBorders>
            <w:shd w:val="clear" w:color="auto" w:fill="0063A6"/>
          </w:tcPr>
          <w:p>
            <w:pPr>
              <w:spacing w:after="0"/>
              <w:rPr>
                <w:sz w:val="4"/>
                <w:szCs w:val="4"/>
                <w:color w:val="auto"/>
              </w:rPr>
            </w:pPr>
          </w:p>
        </w:tc>
        <w:tc>
          <w:tcPr>
            <w:tcW w:w="360" w:type="dxa"/>
            <w:vAlign w:val="bottom"/>
            <w:tcBorders>
              <w:right w:val="single" w:sz="8" w:color="0063A6"/>
            </w:tcBorders>
            <w:shd w:val="clear" w:color="auto" w:fill="0063A6"/>
          </w:tcPr>
          <w:p>
            <w:pPr>
              <w:spacing w:after="0"/>
              <w:rPr>
                <w:sz w:val="4"/>
                <w:szCs w:val="4"/>
                <w:color w:val="auto"/>
              </w:rPr>
            </w:pPr>
          </w:p>
        </w:tc>
        <w:tc>
          <w:tcPr>
            <w:tcW w:w="1340" w:type="dxa"/>
            <w:vAlign w:val="bottom"/>
            <w:shd w:val="clear" w:color="auto" w:fill="0063A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0063A6"/>
          </w:tcPr>
          <w:p>
            <w:pPr>
              <w:spacing w:after="0"/>
              <w:rPr>
                <w:sz w:val="14"/>
                <w:szCs w:val="14"/>
                <w:color w:val="auto"/>
              </w:rPr>
            </w:pPr>
          </w:p>
        </w:tc>
        <w:tc>
          <w:tcPr>
            <w:tcW w:w="720" w:type="dxa"/>
            <w:vAlign w:val="bottom"/>
            <w:tcBorders>
              <w:right w:val="single" w:sz="8" w:color="0063A6"/>
            </w:tcBorders>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980" w:type="dxa"/>
            <w:vAlign w:val="bottom"/>
            <w:tcBorders>
              <w:right w:val="single" w:sz="8" w:color="0063A6"/>
            </w:tcBorders>
            <w:shd w:val="clear" w:color="auto" w:fill="0063A6"/>
          </w:tcPr>
          <w:p>
            <w:pPr>
              <w:spacing w:after="0"/>
              <w:rPr>
                <w:sz w:val="14"/>
                <w:szCs w:val="14"/>
                <w:color w:val="auto"/>
              </w:rPr>
            </w:pPr>
          </w:p>
        </w:tc>
        <w:tc>
          <w:tcPr>
            <w:tcW w:w="400" w:type="dxa"/>
            <w:vAlign w:val="bottom"/>
            <w:shd w:val="clear" w:color="auto" w:fill="0063A6"/>
          </w:tcPr>
          <w:p>
            <w:pPr>
              <w:spacing w:after="0"/>
              <w:rPr>
                <w:sz w:val="14"/>
                <w:szCs w:val="14"/>
                <w:color w:val="auto"/>
              </w:rPr>
            </w:pPr>
          </w:p>
        </w:tc>
        <w:tc>
          <w:tcPr>
            <w:tcW w:w="1320" w:type="dxa"/>
            <w:vAlign w:val="bottom"/>
            <w:vMerge w:val="continue"/>
            <w:shd w:val="clear" w:color="auto" w:fill="0063A6"/>
          </w:tcPr>
          <w:p>
            <w:pPr>
              <w:spacing w:after="0"/>
              <w:rPr>
                <w:sz w:val="14"/>
                <w:szCs w:val="14"/>
                <w:color w:val="auto"/>
              </w:rPr>
            </w:pPr>
          </w:p>
        </w:tc>
        <w:tc>
          <w:tcPr>
            <w:tcW w:w="40" w:type="dxa"/>
            <w:vAlign w:val="bottom"/>
            <w:tcBorders>
              <w:right w:val="single" w:sz="8" w:color="0063A6"/>
            </w:tcBorders>
            <w:shd w:val="clear" w:color="auto" w:fill="0063A6"/>
          </w:tcPr>
          <w:p>
            <w:pPr>
              <w:spacing w:after="0"/>
              <w:rPr>
                <w:sz w:val="14"/>
                <w:szCs w:val="14"/>
                <w:color w:val="auto"/>
              </w:rPr>
            </w:pPr>
          </w:p>
        </w:tc>
        <w:tc>
          <w:tcPr>
            <w:tcW w:w="1360" w:type="dxa"/>
            <w:vAlign w:val="bottom"/>
            <w:tcBorders>
              <w:right w:val="single" w:sz="8" w:color="0063A6"/>
            </w:tcBorders>
            <w:shd w:val="clear" w:color="auto" w:fill="0063A6"/>
          </w:tcPr>
          <w:p>
            <w:pPr>
              <w:spacing w:after="0"/>
              <w:rPr>
                <w:sz w:val="14"/>
                <w:szCs w:val="14"/>
                <w:color w:val="auto"/>
              </w:rPr>
            </w:pPr>
          </w:p>
        </w:tc>
        <w:tc>
          <w:tcPr>
            <w:tcW w:w="360" w:type="dxa"/>
            <w:vAlign w:val="bottom"/>
            <w:tcBorders>
              <w:right w:val="single" w:sz="8" w:color="0063A6"/>
            </w:tcBorders>
            <w:shd w:val="clear" w:color="auto" w:fill="0063A6"/>
          </w:tcPr>
          <w:p>
            <w:pPr>
              <w:spacing w:after="0"/>
              <w:rPr>
                <w:sz w:val="14"/>
                <w:szCs w:val="14"/>
                <w:color w:val="auto"/>
              </w:rPr>
            </w:pPr>
          </w:p>
        </w:tc>
        <w:tc>
          <w:tcPr>
            <w:tcW w:w="1340" w:type="dxa"/>
            <w:vAlign w:val="bottom"/>
            <w:shd w:val="clear" w:color="auto" w:fill="0063A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0063A6"/>
          </w:tcPr>
          <w:p>
            <w:pPr>
              <w:spacing w:after="0"/>
              <w:rPr>
                <w:sz w:val="14"/>
                <w:szCs w:val="14"/>
                <w:color w:val="auto"/>
              </w:rPr>
            </w:pPr>
          </w:p>
        </w:tc>
        <w:tc>
          <w:tcPr>
            <w:tcW w:w="720" w:type="dxa"/>
            <w:vAlign w:val="bottom"/>
            <w:tcBorders>
              <w:right w:val="single" w:sz="8" w:color="0063A6"/>
            </w:tcBorders>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800" w:type="dxa"/>
            <w:vAlign w:val="bottom"/>
            <w:shd w:val="clear" w:color="auto" w:fill="0063A6"/>
          </w:tcPr>
          <w:p>
            <w:pPr>
              <w:spacing w:after="0"/>
              <w:rPr>
                <w:sz w:val="14"/>
                <w:szCs w:val="14"/>
                <w:color w:val="auto"/>
              </w:rPr>
            </w:pPr>
          </w:p>
        </w:tc>
        <w:tc>
          <w:tcPr>
            <w:tcW w:w="20" w:type="dxa"/>
            <w:vAlign w:val="bottom"/>
            <w:shd w:val="clear" w:color="auto" w:fill="0063A6"/>
          </w:tcPr>
          <w:p>
            <w:pPr>
              <w:spacing w:after="0"/>
              <w:rPr>
                <w:sz w:val="14"/>
                <w:szCs w:val="14"/>
                <w:color w:val="auto"/>
              </w:rPr>
            </w:pPr>
          </w:p>
        </w:tc>
        <w:tc>
          <w:tcPr>
            <w:tcW w:w="32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1380" w:type="dxa"/>
            <w:vAlign w:val="bottom"/>
            <w:gridSpan w:val="2"/>
            <w:shd w:val="clear" w:color="auto" w:fill="0063A6"/>
          </w:tcPr>
          <w:p>
            <w:pPr>
              <w:jc w:val="center"/>
              <w:ind w:right="40"/>
              <w:spacing w:after="0"/>
              <w:rPr>
                <w:sz w:val="20"/>
                <w:szCs w:val="20"/>
                <w:color w:val="auto"/>
              </w:rPr>
            </w:pPr>
            <w:r>
              <w:rPr>
                <w:rFonts w:ascii="Arial" w:cs="Arial" w:eastAsia="Arial" w:hAnsi="Arial"/>
                <w:sz w:val="14"/>
                <w:szCs w:val="14"/>
                <w:b w:val="1"/>
                <w:bCs w:val="1"/>
                <w:color w:val="FFFFFF"/>
                <w:w w:val="99"/>
              </w:rPr>
              <w:t>Stock</w:t>
            </w:r>
          </w:p>
        </w:tc>
        <w:tc>
          <w:tcPr>
            <w:tcW w:w="13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Incentive Plan</w:t>
            </w:r>
          </w:p>
        </w:tc>
        <w:tc>
          <w:tcPr>
            <w:tcW w:w="40" w:type="dxa"/>
            <w:vAlign w:val="bottom"/>
            <w:tcBorders>
              <w:right w:val="single" w:sz="8" w:color="0063A6"/>
            </w:tcBorders>
            <w:shd w:val="clear" w:color="auto" w:fill="0063A6"/>
          </w:tcPr>
          <w:p>
            <w:pPr>
              <w:spacing w:after="0"/>
              <w:rPr>
                <w:sz w:val="14"/>
                <w:szCs w:val="14"/>
                <w:color w:val="auto"/>
              </w:rPr>
            </w:pPr>
          </w:p>
        </w:tc>
        <w:tc>
          <w:tcPr>
            <w:tcW w:w="1360" w:type="dxa"/>
            <w:vAlign w:val="bottom"/>
            <w:tcBorders>
              <w:right w:val="single" w:sz="8" w:color="0063A6"/>
            </w:tcBorders>
            <w:shd w:val="clear" w:color="auto" w:fill="0063A6"/>
          </w:tcPr>
          <w:p>
            <w:pPr>
              <w:jc w:val="center"/>
              <w:ind w:left="248"/>
              <w:spacing w:after="0"/>
              <w:rPr>
                <w:sz w:val="20"/>
                <w:szCs w:val="20"/>
                <w:color w:val="auto"/>
              </w:rPr>
            </w:pPr>
            <w:r>
              <w:rPr>
                <w:rFonts w:ascii="Arial" w:cs="Arial" w:eastAsia="Arial" w:hAnsi="Arial"/>
                <w:sz w:val="14"/>
                <w:szCs w:val="14"/>
                <w:b w:val="1"/>
                <w:bCs w:val="1"/>
                <w:color w:val="FFFFFF"/>
              </w:rPr>
              <w:t>All Other</w:t>
            </w:r>
          </w:p>
        </w:tc>
        <w:tc>
          <w:tcPr>
            <w:tcW w:w="360" w:type="dxa"/>
            <w:vAlign w:val="bottom"/>
            <w:tcBorders>
              <w:right w:val="single" w:sz="8" w:color="0063A6"/>
            </w:tcBorders>
            <w:shd w:val="clear" w:color="auto" w:fill="0063A6"/>
          </w:tcPr>
          <w:p>
            <w:pPr>
              <w:spacing w:after="0"/>
              <w:rPr>
                <w:sz w:val="14"/>
                <w:szCs w:val="14"/>
                <w:color w:val="auto"/>
              </w:rPr>
            </w:pPr>
          </w:p>
        </w:tc>
        <w:tc>
          <w:tcPr>
            <w:tcW w:w="1340" w:type="dxa"/>
            <w:vAlign w:val="bottom"/>
            <w:shd w:val="clear" w:color="auto" w:fill="0063A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60" w:type="dxa"/>
            <w:vAlign w:val="bottom"/>
            <w:shd w:val="clear" w:color="auto" w:fill="0063A6"/>
          </w:tcPr>
          <w:p>
            <w:pPr>
              <w:spacing w:after="0"/>
              <w:rPr>
                <w:sz w:val="13"/>
                <w:szCs w:val="13"/>
                <w:color w:val="auto"/>
              </w:rPr>
            </w:pPr>
          </w:p>
        </w:tc>
        <w:tc>
          <w:tcPr>
            <w:tcW w:w="720" w:type="dxa"/>
            <w:vAlign w:val="bottom"/>
            <w:tcBorders>
              <w:right w:val="single" w:sz="8" w:color="0063A6"/>
            </w:tcBorders>
            <w:shd w:val="clear" w:color="auto" w:fill="0063A6"/>
          </w:tcPr>
          <w:p>
            <w:pPr>
              <w:spacing w:after="0"/>
              <w:rPr>
                <w:sz w:val="13"/>
                <w:szCs w:val="13"/>
                <w:color w:val="auto"/>
              </w:rPr>
            </w:pPr>
          </w:p>
        </w:tc>
        <w:tc>
          <w:tcPr>
            <w:tcW w:w="880" w:type="dxa"/>
            <w:vAlign w:val="bottom"/>
            <w:shd w:val="clear" w:color="auto" w:fill="0063A6"/>
          </w:tcPr>
          <w:p>
            <w:pPr>
              <w:jc w:val="right"/>
              <w:ind w:right="188"/>
              <w:spacing w:after="0" w:line="159" w:lineRule="exact"/>
              <w:rPr>
                <w:sz w:val="20"/>
                <w:szCs w:val="20"/>
                <w:color w:val="auto"/>
              </w:rPr>
            </w:pPr>
            <w:r>
              <w:rPr>
                <w:rFonts w:ascii="Arial" w:cs="Arial" w:eastAsia="Arial" w:hAnsi="Arial"/>
                <w:sz w:val="14"/>
                <w:szCs w:val="14"/>
                <w:b w:val="1"/>
                <w:bCs w:val="1"/>
                <w:color w:val="FFFFFF"/>
              </w:rPr>
              <w:t>Salary</w:t>
            </w:r>
          </w:p>
        </w:tc>
        <w:tc>
          <w:tcPr>
            <w:tcW w:w="820" w:type="dxa"/>
            <w:vAlign w:val="bottom"/>
            <w:gridSpan w:val="2"/>
            <w:shd w:val="clear" w:color="auto" w:fill="0063A6"/>
          </w:tcPr>
          <w:p>
            <w:pPr>
              <w:jc w:val="center"/>
              <w:ind w:left="268"/>
              <w:spacing w:after="0" w:line="159" w:lineRule="exact"/>
              <w:rPr>
                <w:sz w:val="20"/>
                <w:szCs w:val="20"/>
                <w:color w:val="auto"/>
              </w:rPr>
            </w:pPr>
            <w:r>
              <w:rPr>
                <w:rFonts w:ascii="Arial" w:cs="Arial" w:eastAsia="Arial" w:hAnsi="Arial"/>
                <w:sz w:val="14"/>
                <w:szCs w:val="14"/>
                <w:b w:val="1"/>
                <w:bCs w:val="1"/>
                <w:color w:val="FFFFFF"/>
              </w:rPr>
              <w:t>Bonus</w:t>
            </w:r>
          </w:p>
        </w:tc>
        <w:tc>
          <w:tcPr>
            <w:tcW w:w="320" w:type="dxa"/>
            <w:vAlign w:val="bottom"/>
            <w:shd w:val="clear" w:color="auto" w:fill="0063A6"/>
          </w:tcPr>
          <w:p>
            <w:pPr>
              <w:spacing w:after="0"/>
              <w:rPr>
                <w:sz w:val="13"/>
                <w:szCs w:val="13"/>
                <w:color w:val="auto"/>
              </w:rPr>
            </w:pPr>
          </w:p>
        </w:tc>
        <w:tc>
          <w:tcPr>
            <w:tcW w:w="40" w:type="dxa"/>
            <w:vAlign w:val="bottom"/>
            <w:shd w:val="clear" w:color="auto" w:fill="0063A6"/>
          </w:tcPr>
          <w:p>
            <w:pPr>
              <w:spacing w:after="0"/>
              <w:rPr>
                <w:sz w:val="13"/>
                <w:szCs w:val="13"/>
                <w:color w:val="auto"/>
              </w:rPr>
            </w:pPr>
          </w:p>
        </w:tc>
        <w:tc>
          <w:tcPr>
            <w:tcW w:w="1380" w:type="dxa"/>
            <w:vAlign w:val="bottom"/>
            <w:gridSpan w:val="2"/>
            <w:shd w:val="clear" w:color="auto" w:fill="0063A6"/>
          </w:tcPr>
          <w:p>
            <w:pPr>
              <w:jc w:val="center"/>
              <w:ind w:right="40"/>
              <w:spacing w:after="0" w:line="159" w:lineRule="exact"/>
              <w:rPr>
                <w:sz w:val="20"/>
                <w:szCs w:val="20"/>
                <w:color w:val="auto"/>
              </w:rPr>
            </w:pPr>
            <w:r>
              <w:rPr>
                <w:rFonts w:ascii="Arial" w:cs="Arial" w:eastAsia="Arial" w:hAnsi="Arial"/>
                <w:sz w:val="14"/>
                <w:szCs w:val="14"/>
                <w:b w:val="1"/>
                <w:bCs w:val="1"/>
                <w:color w:val="FFFFFF"/>
                <w:w w:val="98"/>
              </w:rPr>
              <w:t>Awards</w:t>
            </w:r>
          </w:p>
        </w:tc>
        <w:tc>
          <w:tcPr>
            <w:tcW w:w="132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40" w:type="dxa"/>
            <w:vAlign w:val="bottom"/>
            <w:tcBorders>
              <w:right w:val="single" w:sz="8" w:color="0063A6"/>
            </w:tcBorders>
            <w:shd w:val="clear" w:color="auto" w:fill="0063A6"/>
          </w:tcPr>
          <w:p>
            <w:pPr>
              <w:spacing w:after="0"/>
              <w:rPr>
                <w:sz w:val="13"/>
                <w:szCs w:val="13"/>
                <w:color w:val="auto"/>
              </w:rPr>
            </w:pPr>
          </w:p>
        </w:tc>
        <w:tc>
          <w:tcPr>
            <w:tcW w:w="1360" w:type="dxa"/>
            <w:vAlign w:val="bottom"/>
            <w:tcBorders>
              <w:right w:val="single" w:sz="8" w:color="0063A6"/>
            </w:tcBorders>
            <w:shd w:val="clear" w:color="auto" w:fill="0063A6"/>
          </w:tcPr>
          <w:p>
            <w:pPr>
              <w:jc w:val="center"/>
              <w:ind w:left="248"/>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360" w:type="dxa"/>
            <w:vAlign w:val="bottom"/>
            <w:tcBorders>
              <w:right w:val="single" w:sz="8" w:color="0063A6"/>
            </w:tcBorders>
            <w:shd w:val="clear" w:color="auto" w:fill="0063A6"/>
          </w:tcPr>
          <w:p>
            <w:pPr>
              <w:spacing w:after="0"/>
              <w:rPr>
                <w:sz w:val="13"/>
                <w:szCs w:val="13"/>
                <w:color w:val="auto"/>
              </w:rPr>
            </w:pPr>
          </w:p>
        </w:tc>
        <w:tc>
          <w:tcPr>
            <w:tcW w:w="1340" w:type="dxa"/>
            <w:vAlign w:val="bottom"/>
            <w:shd w:val="clear" w:color="auto" w:fill="0063A6"/>
          </w:tcPr>
          <w:p>
            <w:pPr>
              <w:jc w:val="right"/>
              <w:ind w:right="468"/>
              <w:spacing w:after="0" w:line="159" w:lineRule="exact"/>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6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720" w:type="dxa"/>
            <w:vAlign w:val="bottom"/>
            <w:tcBorders>
              <w:bottom w:val="single" w:sz="8" w:color="0063A6"/>
              <w:right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Year</w:t>
            </w:r>
          </w:p>
        </w:tc>
        <w:tc>
          <w:tcPr>
            <w:tcW w:w="8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0063A6"/>
            </w:tcBorders>
            <w:shd w:val="clear" w:color="auto" w:fill="0063A6"/>
          </w:tcPr>
          <w:p>
            <w:pPr>
              <w:jc w:val="right"/>
              <w:ind w:right="6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63A6"/>
          </w:tcPr>
          <w:p>
            <w:pPr>
              <w:spacing w:after="0"/>
              <w:rPr>
                <w:sz w:val="21"/>
                <w:szCs w:val="21"/>
                <w:color w:val="auto"/>
              </w:rPr>
            </w:pPr>
          </w:p>
        </w:tc>
        <w:tc>
          <w:tcPr>
            <w:tcW w:w="320" w:type="dxa"/>
            <w:vAlign w:val="bottom"/>
            <w:tcBorders>
              <w:bottom w:val="single" w:sz="8" w:color="0063A6"/>
            </w:tcBorders>
            <w:shd w:val="clear" w:color="auto" w:fill="0063A6"/>
          </w:tcPr>
          <w:p>
            <w:pPr>
              <w:spacing w:after="0"/>
              <w:rPr>
                <w:sz w:val="21"/>
                <w:szCs w:val="21"/>
                <w:color w:val="auto"/>
              </w:rPr>
            </w:pPr>
          </w:p>
        </w:tc>
        <w:tc>
          <w:tcPr>
            <w:tcW w:w="40" w:type="dxa"/>
            <w:vAlign w:val="bottom"/>
            <w:tcBorders>
              <w:bottom w:val="single" w:sz="8" w:color="0063A6"/>
            </w:tcBorders>
            <w:shd w:val="clear" w:color="auto" w:fill="0063A6"/>
          </w:tcPr>
          <w:p>
            <w:pPr>
              <w:spacing w:after="0"/>
              <w:rPr>
                <w:sz w:val="21"/>
                <w:szCs w:val="21"/>
                <w:color w:val="auto"/>
              </w:rPr>
            </w:pPr>
          </w:p>
        </w:tc>
        <w:tc>
          <w:tcPr>
            <w:tcW w:w="980" w:type="dxa"/>
            <w:vAlign w:val="bottom"/>
            <w:tcBorders>
              <w:bottom w:val="single" w:sz="8" w:color="0063A6"/>
              <w:right w:val="single" w:sz="8" w:color="0063A6"/>
            </w:tcBorders>
            <w:shd w:val="clear" w:color="auto" w:fill="0063A6"/>
          </w:tcPr>
          <w:p>
            <w:pPr>
              <w:jc w:val="center"/>
              <w:ind w:left="288"/>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c>
          <w:tcPr>
            <w:tcW w:w="400" w:type="dxa"/>
            <w:vAlign w:val="bottom"/>
            <w:tcBorders>
              <w:bottom w:val="single" w:sz="8" w:color="0063A6"/>
            </w:tcBorders>
            <w:shd w:val="clear" w:color="auto" w:fill="0063A6"/>
          </w:tcPr>
          <w:p>
            <w:pPr>
              <w:spacing w:after="0"/>
              <w:rPr>
                <w:sz w:val="21"/>
                <w:szCs w:val="21"/>
                <w:color w:val="auto"/>
              </w:rPr>
            </w:pPr>
          </w:p>
        </w:tc>
        <w:tc>
          <w:tcPr>
            <w:tcW w:w="13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(2)</w:t>
            </w:r>
          </w:p>
        </w:tc>
        <w:tc>
          <w:tcPr>
            <w:tcW w:w="1400" w:type="dxa"/>
            <w:vAlign w:val="bottom"/>
            <w:tcBorders>
              <w:bottom w:val="single" w:sz="8" w:color="0063A6"/>
              <w:right w:val="single" w:sz="8" w:color="0063A6"/>
            </w:tcBorders>
            <w:gridSpan w:val="2"/>
            <w:shd w:val="clear" w:color="auto" w:fill="0063A6"/>
          </w:tcPr>
          <w:p>
            <w:pPr>
              <w:jc w:val="center"/>
              <w:ind w:left="28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360" w:type="dxa"/>
            <w:vAlign w:val="bottom"/>
            <w:tcBorders>
              <w:bottom w:val="single" w:sz="8" w:color="0063A6"/>
              <w:right w:val="single" w:sz="8" w:color="0063A6"/>
            </w:tcBorders>
            <w:shd w:val="clear" w:color="auto" w:fill="0063A6"/>
          </w:tcPr>
          <w:p>
            <w:pPr>
              <w:spacing w:after="0"/>
              <w:rPr>
                <w:sz w:val="21"/>
                <w:szCs w:val="21"/>
                <w:color w:val="auto"/>
              </w:rPr>
            </w:pPr>
          </w:p>
        </w:tc>
        <w:tc>
          <w:tcPr>
            <w:tcW w:w="1340" w:type="dxa"/>
            <w:vAlign w:val="bottom"/>
            <w:tcBorders>
              <w:bottom w:val="single" w:sz="8" w:color="0063A6"/>
            </w:tcBorders>
            <w:shd w:val="clear" w:color="auto" w:fill="0063A6"/>
          </w:tcPr>
          <w:p>
            <w:pPr>
              <w:jc w:val="right"/>
              <w:ind w:right="508"/>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Andrew W. Houston</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800,000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750,400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616,222</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2,166,622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660" w:type="dxa"/>
            <w:vAlign w:val="bottom"/>
            <w:vMerge w:val="continue"/>
            <w:shd w:val="clear" w:color="auto" w:fill="F2F2F2"/>
          </w:tcPr>
          <w:p>
            <w:pPr>
              <w:spacing w:after="0"/>
              <w:rPr>
                <w:sz w:val="8"/>
                <w:szCs w:val="8"/>
                <w:color w:val="auto"/>
              </w:rPr>
            </w:pPr>
          </w:p>
        </w:tc>
        <w:tc>
          <w:tcPr>
            <w:tcW w:w="720" w:type="dxa"/>
            <w:vAlign w:val="bottom"/>
            <w:tcBorders>
              <w:right w:val="single" w:sz="8" w:color="F2F2F2"/>
            </w:tcBorders>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820" w:type="dxa"/>
            <w:vAlign w:val="bottom"/>
            <w:gridSpan w:val="2"/>
            <w:vMerge w:val="continue"/>
            <w:shd w:val="clear" w:color="auto" w:fill="F2F2F2"/>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40" w:type="dxa"/>
            <w:vAlign w:val="bottom"/>
            <w:shd w:val="clear" w:color="auto" w:fill="F2F2F2"/>
          </w:tcPr>
          <w:p>
            <w:pPr>
              <w:spacing w:after="0"/>
              <w:rPr>
                <w:sz w:val="8"/>
                <w:szCs w:val="8"/>
                <w:color w:val="auto"/>
              </w:rPr>
            </w:pPr>
          </w:p>
        </w:tc>
        <w:tc>
          <w:tcPr>
            <w:tcW w:w="1380" w:type="dxa"/>
            <w:vAlign w:val="bottom"/>
            <w:gridSpan w:val="2"/>
            <w:vMerge w:val="continue"/>
            <w:shd w:val="clear" w:color="auto" w:fill="F2F2F2"/>
          </w:tcPr>
          <w:p>
            <w:pPr>
              <w:spacing w:after="0"/>
              <w:rPr>
                <w:sz w:val="8"/>
                <w:szCs w:val="8"/>
                <w:color w:val="auto"/>
              </w:rPr>
            </w:pPr>
          </w:p>
        </w:tc>
        <w:tc>
          <w:tcPr>
            <w:tcW w:w="1320" w:type="dxa"/>
            <w:vAlign w:val="bottom"/>
            <w:vMerge w:val="continue"/>
            <w:shd w:val="clear" w:color="auto" w:fill="F2F2F2"/>
          </w:tcPr>
          <w:p>
            <w:pPr>
              <w:spacing w:after="0"/>
              <w:rPr>
                <w:sz w:val="8"/>
                <w:szCs w:val="8"/>
                <w:color w:val="auto"/>
              </w:rPr>
            </w:pPr>
          </w:p>
        </w:tc>
        <w:tc>
          <w:tcPr>
            <w:tcW w:w="1400" w:type="dxa"/>
            <w:vAlign w:val="bottom"/>
            <w:tcBorders>
              <w:right w:val="single" w:sz="8" w:color="F2F2F2"/>
            </w:tcBorders>
            <w:gridSpan w:val="2"/>
            <w:vMerge w:val="continue"/>
            <w:shd w:val="clear" w:color="auto" w:fill="F2F2F2"/>
          </w:tcPr>
          <w:p>
            <w:pPr>
              <w:spacing w:after="0"/>
              <w:rPr>
                <w:sz w:val="8"/>
                <w:szCs w:val="8"/>
                <w:color w:val="auto"/>
              </w:rPr>
            </w:pPr>
          </w:p>
        </w:tc>
        <w:tc>
          <w:tcPr>
            <w:tcW w:w="360" w:type="dxa"/>
            <w:vAlign w:val="bottom"/>
            <w:tcBorders>
              <w:right w:val="single" w:sz="8" w:color="F2F2F2"/>
            </w:tcBorders>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660" w:type="dxa"/>
            <w:vAlign w:val="bottom"/>
            <w:vMerge w:val="continue"/>
            <w:shd w:val="clear" w:color="auto" w:fill="F2F2F2"/>
          </w:tcPr>
          <w:p>
            <w:pPr>
              <w:spacing w:after="0"/>
              <w:rPr>
                <w:sz w:val="4"/>
                <w:szCs w:val="4"/>
                <w:color w:val="auto"/>
              </w:rPr>
            </w:pPr>
          </w:p>
        </w:tc>
        <w:tc>
          <w:tcPr>
            <w:tcW w:w="720" w:type="dxa"/>
            <w:vAlign w:val="bottom"/>
            <w:tcBorders>
              <w:right w:val="single" w:sz="8" w:color="F2F2F2"/>
            </w:tcBorders>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80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32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980" w:type="dxa"/>
            <w:vAlign w:val="bottom"/>
            <w:tcBorders>
              <w:right w:val="single" w:sz="8" w:color="F2F2F2"/>
            </w:tcBorders>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40" w:type="dxa"/>
            <w:vAlign w:val="bottom"/>
            <w:tcBorders>
              <w:right w:val="single" w:sz="8" w:color="F2F2F2"/>
            </w:tcBorders>
            <w:shd w:val="clear" w:color="auto" w:fill="F2F2F2"/>
          </w:tcPr>
          <w:p>
            <w:pPr>
              <w:spacing w:after="0"/>
              <w:rPr>
                <w:sz w:val="4"/>
                <w:szCs w:val="4"/>
                <w:color w:val="auto"/>
              </w:rPr>
            </w:pPr>
          </w:p>
        </w:tc>
        <w:tc>
          <w:tcPr>
            <w:tcW w:w="1360" w:type="dxa"/>
            <w:vAlign w:val="bottom"/>
            <w:tcBorders>
              <w:right w:val="single" w:sz="8" w:color="F2F2F2"/>
            </w:tcBorders>
            <w:shd w:val="clear" w:color="auto" w:fill="F2F2F2"/>
          </w:tcPr>
          <w:p>
            <w:pPr>
              <w:spacing w:after="0"/>
              <w:rPr>
                <w:sz w:val="4"/>
                <w:szCs w:val="4"/>
                <w:color w:val="auto"/>
              </w:rPr>
            </w:pPr>
          </w:p>
        </w:tc>
        <w:tc>
          <w:tcPr>
            <w:tcW w:w="360" w:type="dxa"/>
            <w:vAlign w:val="bottom"/>
            <w:tcBorders>
              <w:right w:val="single" w:sz="8" w:color="F2F2F2"/>
            </w:tcBorders>
            <w:vMerge w:val="restart"/>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shd w:val="clear" w:color="auto" w:fill="F2F2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Chief Executive Officer</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756,250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9"/>
                <w:szCs w:val="9"/>
                <w:color w:val="auto"/>
              </w:rPr>
            </w:pPr>
          </w:p>
        </w:tc>
        <w:tc>
          <w:tcPr>
            <w:tcW w:w="40" w:type="dxa"/>
            <w:vAlign w:val="bottom"/>
            <w:shd w:val="clear" w:color="auto" w:fill="F2F2F2"/>
          </w:tcPr>
          <w:p>
            <w:pPr>
              <w:spacing w:after="0"/>
              <w:rPr>
                <w:sz w:val="9"/>
                <w:szCs w:val="9"/>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551,480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398,775</w:t>
            </w:r>
          </w:p>
        </w:tc>
        <w:tc>
          <w:tcPr>
            <w:tcW w:w="360" w:type="dxa"/>
            <w:vAlign w:val="bottom"/>
            <w:tcBorders>
              <w:right w:val="single" w:sz="8" w:color="F2F2F2"/>
            </w:tcBorders>
            <w:vMerge w:val="continue"/>
            <w:shd w:val="clear" w:color="auto" w:fill="F2F2F2"/>
          </w:tcPr>
          <w:p>
            <w:pPr>
              <w:spacing w:after="0"/>
              <w:rPr>
                <w:sz w:val="9"/>
                <w:szCs w:val="9"/>
                <w:color w:val="auto"/>
              </w:rPr>
            </w:pP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1,706,505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660" w:type="dxa"/>
            <w:vAlign w:val="bottom"/>
            <w:vMerge w:val="continue"/>
            <w:shd w:val="clear" w:color="auto" w:fill="F2F2F2"/>
          </w:tcPr>
          <w:p>
            <w:pPr>
              <w:spacing w:after="0"/>
              <w:rPr>
                <w:sz w:val="6"/>
                <w:szCs w:val="6"/>
                <w:color w:val="auto"/>
              </w:rPr>
            </w:pPr>
          </w:p>
        </w:tc>
        <w:tc>
          <w:tcPr>
            <w:tcW w:w="720" w:type="dxa"/>
            <w:vAlign w:val="bottom"/>
            <w:tcBorders>
              <w:right w:val="single" w:sz="8" w:color="F2F2F2"/>
            </w:tcBorders>
            <w:vMerge w:val="continue"/>
            <w:shd w:val="clear" w:color="auto" w:fill="F2F2F2"/>
          </w:tcPr>
          <w:p>
            <w:pPr>
              <w:spacing w:after="0"/>
              <w:rPr>
                <w:sz w:val="6"/>
                <w:szCs w:val="6"/>
                <w:color w:val="auto"/>
              </w:rPr>
            </w:pPr>
          </w:p>
        </w:tc>
        <w:tc>
          <w:tcPr>
            <w:tcW w:w="880" w:type="dxa"/>
            <w:vAlign w:val="bottom"/>
            <w:vMerge w:val="continue"/>
            <w:shd w:val="clear" w:color="auto" w:fill="F2F2F2"/>
          </w:tcPr>
          <w:p>
            <w:pPr>
              <w:spacing w:after="0"/>
              <w:rPr>
                <w:sz w:val="6"/>
                <w:szCs w:val="6"/>
                <w:color w:val="auto"/>
              </w:rPr>
            </w:pPr>
          </w:p>
        </w:tc>
        <w:tc>
          <w:tcPr>
            <w:tcW w:w="820" w:type="dxa"/>
            <w:vAlign w:val="bottom"/>
            <w:gridSpan w:val="2"/>
            <w:vMerge w:val="continue"/>
            <w:shd w:val="clear" w:color="auto" w:fill="F2F2F2"/>
          </w:tcPr>
          <w:p>
            <w:pPr>
              <w:spacing w:after="0"/>
              <w:rPr>
                <w:sz w:val="6"/>
                <w:szCs w:val="6"/>
                <w:color w:val="auto"/>
              </w:rPr>
            </w:pPr>
          </w:p>
        </w:tc>
        <w:tc>
          <w:tcPr>
            <w:tcW w:w="320" w:type="dxa"/>
            <w:vAlign w:val="bottom"/>
            <w:shd w:val="clear" w:color="auto" w:fill="F2F2F2"/>
          </w:tcPr>
          <w:p>
            <w:pPr>
              <w:spacing w:after="0"/>
              <w:rPr>
                <w:sz w:val="6"/>
                <w:szCs w:val="6"/>
                <w:color w:val="auto"/>
              </w:rPr>
            </w:pPr>
          </w:p>
        </w:tc>
        <w:tc>
          <w:tcPr>
            <w:tcW w:w="40" w:type="dxa"/>
            <w:vAlign w:val="bottom"/>
            <w:shd w:val="clear" w:color="auto" w:fill="F2F2F2"/>
          </w:tcPr>
          <w:p>
            <w:pPr>
              <w:spacing w:after="0"/>
              <w:rPr>
                <w:sz w:val="6"/>
                <w:szCs w:val="6"/>
                <w:color w:val="auto"/>
              </w:rPr>
            </w:pPr>
          </w:p>
        </w:tc>
        <w:tc>
          <w:tcPr>
            <w:tcW w:w="1380" w:type="dxa"/>
            <w:vAlign w:val="bottom"/>
            <w:gridSpan w:val="2"/>
            <w:vMerge w:val="continue"/>
            <w:shd w:val="clear" w:color="auto" w:fill="F2F2F2"/>
          </w:tcPr>
          <w:p>
            <w:pPr>
              <w:spacing w:after="0"/>
              <w:rPr>
                <w:sz w:val="6"/>
                <w:szCs w:val="6"/>
                <w:color w:val="auto"/>
              </w:rPr>
            </w:pPr>
          </w:p>
        </w:tc>
        <w:tc>
          <w:tcPr>
            <w:tcW w:w="1320" w:type="dxa"/>
            <w:vAlign w:val="bottom"/>
            <w:vMerge w:val="continue"/>
            <w:shd w:val="clear" w:color="auto" w:fill="F2F2F2"/>
          </w:tcPr>
          <w:p>
            <w:pPr>
              <w:spacing w:after="0"/>
              <w:rPr>
                <w:sz w:val="6"/>
                <w:szCs w:val="6"/>
                <w:color w:val="auto"/>
              </w:rPr>
            </w:pPr>
          </w:p>
        </w:tc>
        <w:tc>
          <w:tcPr>
            <w:tcW w:w="1400" w:type="dxa"/>
            <w:vAlign w:val="bottom"/>
            <w:tcBorders>
              <w:right w:val="single" w:sz="8" w:color="F2F2F2"/>
            </w:tcBorders>
            <w:gridSpan w:val="2"/>
            <w:vMerge w:val="continue"/>
            <w:shd w:val="clear" w:color="auto" w:fill="F2F2F2"/>
          </w:tcPr>
          <w:p>
            <w:pPr>
              <w:spacing w:after="0"/>
              <w:rPr>
                <w:sz w:val="6"/>
                <w:szCs w:val="6"/>
                <w:color w:val="auto"/>
              </w:rPr>
            </w:pPr>
          </w:p>
        </w:tc>
        <w:tc>
          <w:tcPr>
            <w:tcW w:w="360" w:type="dxa"/>
            <w:vAlign w:val="bottom"/>
            <w:tcBorders>
              <w:right w:val="single" w:sz="8" w:color="F2F2F2"/>
            </w:tcBorders>
            <w:shd w:val="clear" w:color="auto" w:fill="F2F2F2"/>
          </w:tcPr>
          <w:p>
            <w:pPr>
              <w:spacing w:after="0"/>
              <w:rPr>
                <w:sz w:val="6"/>
                <w:szCs w:val="6"/>
                <w:color w:val="auto"/>
              </w:rPr>
            </w:pPr>
          </w:p>
        </w:tc>
        <w:tc>
          <w:tcPr>
            <w:tcW w:w="1340" w:type="dxa"/>
            <w:vAlign w:val="bottom"/>
            <w:vMerge w:val="continue"/>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and Co-Founder</w:t>
            </w: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625,000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1380" w:type="dxa"/>
            <w:vAlign w:val="bottom"/>
            <w:gridSpan w:val="2"/>
            <w:vMerge w:val="restart"/>
            <w:shd w:val="clear" w:color="auto" w:fill="F2F2F2"/>
          </w:tcPr>
          <w:p>
            <w:pPr>
              <w:jc w:val="center"/>
              <w:ind w:right="42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485,000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429,577</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(4)</w:t>
            </w:r>
          </w:p>
        </w:tc>
        <w:tc>
          <w:tcPr>
            <w:tcW w:w="134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1,539,577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660" w:type="dxa"/>
            <w:vAlign w:val="bottom"/>
            <w:tcBorders>
              <w:bottom w:val="single" w:sz="8" w:color="F2F2F2"/>
            </w:tcBorders>
            <w:shd w:val="clear" w:color="auto" w:fill="F2F2F2"/>
          </w:tcPr>
          <w:p>
            <w:pPr>
              <w:spacing w:after="0"/>
              <w:rPr>
                <w:sz w:val="8"/>
                <w:szCs w:val="8"/>
                <w:color w:val="auto"/>
              </w:rPr>
            </w:pPr>
          </w:p>
        </w:tc>
        <w:tc>
          <w:tcPr>
            <w:tcW w:w="720" w:type="dxa"/>
            <w:vAlign w:val="bottom"/>
            <w:tcBorders>
              <w:bottom w:val="single" w:sz="8" w:color="F2F2F2"/>
              <w:right w:val="single" w:sz="8" w:color="F2F2F2"/>
            </w:tcBorders>
            <w:vMerge w:val="continue"/>
            <w:shd w:val="clear" w:color="auto" w:fill="F2F2F2"/>
          </w:tcPr>
          <w:p>
            <w:pPr>
              <w:spacing w:after="0"/>
              <w:rPr>
                <w:sz w:val="8"/>
                <w:szCs w:val="8"/>
                <w:color w:val="auto"/>
              </w:rPr>
            </w:pPr>
          </w:p>
        </w:tc>
        <w:tc>
          <w:tcPr>
            <w:tcW w:w="880" w:type="dxa"/>
            <w:vAlign w:val="bottom"/>
            <w:tcBorders>
              <w:bottom w:val="single" w:sz="8" w:color="F2F2F2"/>
            </w:tcBorders>
            <w:vMerge w:val="continue"/>
            <w:shd w:val="clear" w:color="auto" w:fill="F2F2F2"/>
          </w:tcPr>
          <w:p>
            <w:pPr>
              <w:spacing w:after="0"/>
              <w:rPr>
                <w:sz w:val="8"/>
                <w:szCs w:val="8"/>
                <w:color w:val="auto"/>
              </w:rPr>
            </w:pPr>
          </w:p>
        </w:tc>
        <w:tc>
          <w:tcPr>
            <w:tcW w:w="820" w:type="dxa"/>
            <w:vAlign w:val="bottom"/>
            <w:tcBorders>
              <w:bottom w:val="single" w:sz="8" w:color="F2F2F2"/>
            </w:tcBorders>
            <w:gridSpan w:val="2"/>
            <w:vMerge w:val="continue"/>
            <w:shd w:val="clear" w:color="auto" w:fill="F2F2F2"/>
          </w:tcPr>
          <w:p>
            <w:pPr>
              <w:spacing w:after="0"/>
              <w:rPr>
                <w:sz w:val="8"/>
                <w:szCs w:val="8"/>
                <w:color w:val="auto"/>
              </w:rPr>
            </w:pPr>
          </w:p>
        </w:tc>
        <w:tc>
          <w:tcPr>
            <w:tcW w:w="320" w:type="dxa"/>
            <w:vAlign w:val="bottom"/>
            <w:tcBorders>
              <w:bottom w:val="single" w:sz="8" w:color="F2F2F2"/>
            </w:tcBorders>
            <w:shd w:val="clear" w:color="auto" w:fill="F2F2F2"/>
          </w:tcPr>
          <w:p>
            <w:pPr>
              <w:spacing w:after="0"/>
              <w:rPr>
                <w:sz w:val="8"/>
                <w:szCs w:val="8"/>
                <w:color w:val="auto"/>
              </w:rPr>
            </w:pPr>
          </w:p>
        </w:tc>
        <w:tc>
          <w:tcPr>
            <w:tcW w:w="40" w:type="dxa"/>
            <w:vAlign w:val="bottom"/>
            <w:tcBorders>
              <w:bottom w:val="single" w:sz="8" w:color="F2F2F2"/>
            </w:tcBorders>
            <w:shd w:val="clear" w:color="auto" w:fill="F2F2F2"/>
          </w:tcPr>
          <w:p>
            <w:pPr>
              <w:spacing w:after="0"/>
              <w:rPr>
                <w:sz w:val="8"/>
                <w:szCs w:val="8"/>
                <w:color w:val="auto"/>
              </w:rPr>
            </w:pPr>
          </w:p>
        </w:tc>
        <w:tc>
          <w:tcPr>
            <w:tcW w:w="1380" w:type="dxa"/>
            <w:vAlign w:val="bottom"/>
            <w:tcBorders>
              <w:bottom w:val="single" w:sz="8" w:color="F2F2F2"/>
            </w:tcBorders>
            <w:gridSpan w:val="2"/>
            <w:vMerge w:val="continue"/>
            <w:shd w:val="clear" w:color="auto" w:fill="F2F2F2"/>
          </w:tcPr>
          <w:p>
            <w:pPr>
              <w:spacing w:after="0"/>
              <w:rPr>
                <w:sz w:val="8"/>
                <w:szCs w:val="8"/>
                <w:color w:val="auto"/>
              </w:rPr>
            </w:pPr>
          </w:p>
        </w:tc>
        <w:tc>
          <w:tcPr>
            <w:tcW w:w="1320" w:type="dxa"/>
            <w:vAlign w:val="bottom"/>
            <w:tcBorders>
              <w:bottom w:val="single" w:sz="8" w:color="F2F2F2"/>
            </w:tcBorders>
            <w:vMerge w:val="continue"/>
            <w:shd w:val="clear" w:color="auto" w:fill="F2F2F2"/>
          </w:tcPr>
          <w:p>
            <w:pPr>
              <w:spacing w:after="0"/>
              <w:rPr>
                <w:sz w:val="8"/>
                <w:szCs w:val="8"/>
                <w:color w:val="auto"/>
              </w:rPr>
            </w:pPr>
          </w:p>
        </w:tc>
        <w:tc>
          <w:tcPr>
            <w:tcW w:w="1400" w:type="dxa"/>
            <w:vAlign w:val="bottom"/>
            <w:tcBorders>
              <w:bottom w:val="single" w:sz="8" w:color="F2F2F2"/>
              <w:right w:val="single" w:sz="8" w:color="F2F2F2"/>
            </w:tcBorders>
            <w:gridSpan w:val="2"/>
            <w:vMerge w:val="continue"/>
            <w:shd w:val="clear" w:color="auto" w:fill="F2F2F2"/>
          </w:tcPr>
          <w:p>
            <w:pPr>
              <w:spacing w:after="0"/>
              <w:rPr>
                <w:sz w:val="8"/>
                <w:szCs w:val="8"/>
                <w:color w:val="auto"/>
              </w:rPr>
            </w:pPr>
          </w:p>
        </w:tc>
        <w:tc>
          <w:tcPr>
            <w:tcW w:w="360" w:type="dxa"/>
            <w:vAlign w:val="bottom"/>
            <w:tcBorders>
              <w:bottom w:val="single" w:sz="8" w:color="F2F2F2"/>
              <w:right w:val="single" w:sz="8" w:color="F2F2F2"/>
            </w:tcBorders>
            <w:shd w:val="clear" w:color="auto" w:fill="F2F2F2"/>
          </w:tcPr>
          <w:p>
            <w:pPr>
              <w:spacing w:after="0"/>
              <w:rPr>
                <w:sz w:val="8"/>
                <w:szCs w:val="8"/>
                <w:color w:val="auto"/>
              </w:rPr>
            </w:pPr>
          </w:p>
        </w:tc>
        <w:tc>
          <w:tcPr>
            <w:tcW w:w="1340" w:type="dxa"/>
            <w:vAlign w:val="bottom"/>
            <w:tcBorders>
              <w:bottom w:val="single" w:sz="8" w:color="F2F2F2"/>
            </w:tcBorders>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22,917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350,000</w:t>
            </w:r>
          </w:p>
        </w:tc>
        <w:tc>
          <w:tcPr>
            <w:tcW w:w="20" w:type="dxa"/>
            <w:vAlign w:val="bottom"/>
          </w:tcPr>
          <w:p>
            <w:pPr>
              <w:spacing w:after="0"/>
              <w:rPr>
                <w:sz w:val="13"/>
                <w:szCs w:val="13"/>
                <w:color w:val="auto"/>
              </w:rPr>
            </w:pPr>
          </w:p>
        </w:tc>
        <w:tc>
          <w:tcPr>
            <w:tcW w:w="320" w:type="dxa"/>
            <w:vAlign w:val="bottom"/>
          </w:tcPr>
          <w:p>
            <w:pPr>
              <w:jc w:val="right"/>
              <w:ind w:right="53"/>
              <w:spacing w:after="0"/>
              <w:rPr>
                <w:sz w:val="20"/>
                <w:szCs w:val="20"/>
                <w:color w:val="auto"/>
              </w:rPr>
            </w:pPr>
            <w:r>
              <w:rPr>
                <w:rFonts w:ascii="Arial" w:cs="Arial" w:eastAsia="Arial" w:hAnsi="Arial"/>
                <w:sz w:val="9"/>
                <w:szCs w:val="9"/>
                <w:color w:val="auto"/>
              </w:rPr>
              <w:t>(5)</w:t>
            </w:r>
          </w:p>
        </w:tc>
        <w:tc>
          <w:tcPr>
            <w:tcW w:w="4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3"/>
                <w:szCs w:val="13"/>
                <w:color w:val="auto"/>
              </w:rPr>
            </w:pPr>
          </w:p>
        </w:tc>
        <w:tc>
          <w:tcPr>
            <w:tcW w:w="1340" w:type="dxa"/>
            <w:vAlign w:val="bottom"/>
            <w:vMerge w:val="restart"/>
          </w:tcPr>
          <w:p>
            <w:pPr>
              <w:jc w:val="right"/>
              <w:ind w:right="208"/>
              <w:spacing w:after="0"/>
              <w:rPr>
                <w:sz w:val="20"/>
                <w:szCs w:val="20"/>
                <w:color w:val="auto"/>
              </w:rPr>
            </w:pPr>
            <w:r>
              <w:rPr>
                <w:rFonts w:ascii="Arial" w:cs="Arial" w:eastAsia="Arial" w:hAnsi="Arial"/>
                <w:sz w:val="14"/>
                <w:szCs w:val="14"/>
                <w:color w:val="auto"/>
              </w:rPr>
              <w:t>372,917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Ross Tennenbaum</w:t>
            </w:r>
          </w:p>
        </w:tc>
        <w:tc>
          <w:tcPr>
            <w:tcW w:w="7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1"/>
                <w:szCs w:val="11"/>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7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880" w:type="dxa"/>
            <w:vAlign w:val="bottom"/>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60" w:type="dxa"/>
            <w:vAlign w:val="bottom"/>
            <w:shd w:val="clear" w:color="auto" w:fill="F2F2F2"/>
          </w:tcPr>
          <w:p>
            <w:pPr>
              <w:spacing w:after="0"/>
              <w:rPr>
                <w:sz w:val="13"/>
                <w:szCs w:val="13"/>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3"/>
                <w:szCs w:val="13"/>
                <w:color w:val="auto"/>
              </w:rPr>
            </w:pPr>
          </w:p>
        </w:tc>
        <w:tc>
          <w:tcPr>
            <w:tcW w:w="40" w:type="dxa"/>
            <w:vAlign w:val="bottom"/>
            <w:shd w:val="clear" w:color="auto" w:fill="F2F2F2"/>
          </w:tcPr>
          <w:p>
            <w:pPr>
              <w:spacing w:after="0"/>
              <w:rPr>
                <w:sz w:val="13"/>
                <w:szCs w:val="13"/>
                <w:color w:val="auto"/>
              </w:rPr>
            </w:pPr>
          </w:p>
        </w:tc>
        <w:tc>
          <w:tcPr>
            <w:tcW w:w="98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rPr>
              <w:t>5,603,144</w:t>
            </w:r>
          </w:p>
        </w:tc>
        <w:tc>
          <w:tcPr>
            <w:tcW w:w="400" w:type="dxa"/>
            <w:vAlign w:val="bottom"/>
            <w:shd w:val="clear" w:color="auto" w:fill="F2F2F2"/>
          </w:tcPr>
          <w:p>
            <w:pPr>
              <w:spacing w:after="0"/>
              <w:rPr>
                <w:sz w:val="13"/>
                <w:szCs w:val="13"/>
                <w:color w:val="auto"/>
              </w:rPr>
            </w:pP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558,000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256,000</w:t>
            </w:r>
          </w:p>
        </w:tc>
        <w:tc>
          <w:tcPr>
            <w:tcW w:w="360" w:type="dxa"/>
            <w:vAlign w:val="bottom"/>
            <w:tcBorders>
              <w:right w:val="single" w:sz="8" w:color="F2F2F2"/>
            </w:tcBorders>
            <w:shd w:val="clear" w:color="auto" w:fill="F2F2F2"/>
          </w:tcPr>
          <w:p>
            <w:pPr>
              <w:jc w:val="right"/>
              <w:ind w:right="93"/>
              <w:spacing w:after="0"/>
              <w:rPr>
                <w:sz w:val="20"/>
                <w:szCs w:val="20"/>
                <w:color w:val="auto"/>
              </w:rPr>
            </w:pPr>
            <w:r>
              <w:rPr>
                <w:rFonts w:ascii="Arial" w:cs="Arial" w:eastAsia="Arial" w:hAnsi="Arial"/>
                <w:sz w:val="9"/>
                <w:szCs w:val="9"/>
                <w:color w:val="auto"/>
              </w:rPr>
              <w:t>(6)</w:t>
            </w:r>
          </w:p>
        </w:tc>
        <w:tc>
          <w:tcPr>
            <w:tcW w:w="1340" w:type="dxa"/>
            <w:vAlign w:val="bottom"/>
            <w:vMerge w:val="restart"/>
            <w:shd w:val="clear" w:color="auto" w:fill="F2F2F2"/>
          </w:tcPr>
          <w:p>
            <w:pPr>
              <w:jc w:val="right"/>
              <w:ind w:right="188"/>
              <w:spacing w:after="0"/>
              <w:rPr>
                <w:sz w:val="20"/>
                <w:szCs w:val="20"/>
                <w:color w:val="auto"/>
              </w:rPr>
            </w:pPr>
            <w:r>
              <w:rPr>
                <w:rFonts w:ascii="Arial" w:cs="Arial" w:eastAsia="Arial" w:hAnsi="Arial"/>
                <w:sz w:val="14"/>
                <w:szCs w:val="14"/>
                <w:color w:val="auto"/>
              </w:rPr>
              <w:t>6,977,144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Timothy Regan</w:t>
            </w:r>
          </w:p>
        </w:tc>
        <w:tc>
          <w:tcPr>
            <w:tcW w:w="720" w:type="dxa"/>
            <w:vAlign w:val="bottom"/>
            <w:tcBorders>
              <w:right w:val="single" w:sz="8" w:color="F2F2F2"/>
            </w:tcBorders>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820" w:type="dxa"/>
            <w:vAlign w:val="bottom"/>
            <w:gridSpan w:val="2"/>
            <w:vMerge w:val="continue"/>
            <w:shd w:val="clear" w:color="auto" w:fill="F2F2F2"/>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40" w:type="dxa"/>
            <w:vAlign w:val="bottom"/>
            <w:shd w:val="clear" w:color="auto" w:fill="F2F2F2"/>
          </w:tcPr>
          <w:p>
            <w:pPr>
              <w:spacing w:after="0"/>
              <w:rPr>
                <w:sz w:val="8"/>
                <w:szCs w:val="8"/>
                <w:color w:val="auto"/>
              </w:rPr>
            </w:pPr>
          </w:p>
        </w:tc>
        <w:tc>
          <w:tcPr>
            <w:tcW w:w="980" w:type="dxa"/>
            <w:vAlign w:val="bottom"/>
            <w:tcBorders>
              <w:right w:val="single" w:sz="8" w:color="F2F2F2"/>
            </w:tcBorders>
            <w:vMerge w:val="continue"/>
            <w:shd w:val="clear" w:color="auto" w:fill="F2F2F2"/>
          </w:tcPr>
          <w:p>
            <w:pPr>
              <w:spacing w:after="0"/>
              <w:rPr>
                <w:sz w:val="8"/>
                <w:szCs w:val="8"/>
                <w:color w:val="auto"/>
              </w:rPr>
            </w:pPr>
          </w:p>
        </w:tc>
        <w:tc>
          <w:tcPr>
            <w:tcW w:w="400" w:type="dxa"/>
            <w:vAlign w:val="bottom"/>
            <w:shd w:val="clear" w:color="auto" w:fill="F2F2F2"/>
          </w:tcPr>
          <w:p>
            <w:pPr>
              <w:spacing w:after="0"/>
              <w:rPr>
                <w:sz w:val="8"/>
                <w:szCs w:val="8"/>
                <w:color w:val="auto"/>
              </w:rPr>
            </w:pPr>
          </w:p>
        </w:tc>
        <w:tc>
          <w:tcPr>
            <w:tcW w:w="1320" w:type="dxa"/>
            <w:vAlign w:val="bottom"/>
            <w:vMerge w:val="continue"/>
            <w:shd w:val="clear" w:color="auto" w:fill="F2F2F2"/>
          </w:tcPr>
          <w:p>
            <w:pPr>
              <w:spacing w:after="0"/>
              <w:rPr>
                <w:sz w:val="8"/>
                <w:szCs w:val="8"/>
                <w:color w:val="auto"/>
              </w:rPr>
            </w:pPr>
          </w:p>
        </w:tc>
        <w:tc>
          <w:tcPr>
            <w:tcW w:w="1400" w:type="dxa"/>
            <w:vAlign w:val="bottom"/>
            <w:tcBorders>
              <w:right w:val="single" w:sz="8" w:color="F2F2F2"/>
            </w:tcBorders>
            <w:gridSpan w:val="2"/>
            <w:vMerge w:val="continue"/>
            <w:shd w:val="clear" w:color="auto" w:fill="F2F2F2"/>
          </w:tcPr>
          <w:p>
            <w:pPr>
              <w:spacing w:after="0"/>
              <w:rPr>
                <w:sz w:val="8"/>
                <w:szCs w:val="8"/>
                <w:color w:val="auto"/>
              </w:rPr>
            </w:pPr>
          </w:p>
        </w:tc>
        <w:tc>
          <w:tcPr>
            <w:tcW w:w="360" w:type="dxa"/>
            <w:vAlign w:val="bottom"/>
            <w:tcBorders>
              <w:right w:val="single" w:sz="8" w:color="F2F2F2"/>
            </w:tcBorders>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60" w:type="dxa"/>
            <w:vAlign w:val="bottom"/>
            <w:vMerge w:val="continue"/>
            <w:shd w:val="clear" w:color="auto" w:fill="F2F2F2"/>
          </w:tcPr>
          <w:p>
            <w:pPr>
              <w:spacing w:after="0"/>
              <w:rPr>
                <w:sz w:val="10"/>
                <w:szCs w:val="10"/>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98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rPr>
              <w:t>5,034,474</w:t>
            </w:r>
          </w:p>
        </w:tc>
        <w:tc>
          <w:tcPr>
            <w:tcW w:w="400" w:type="dxa"/>
            <w:vAlign w:val="bottom"/>
            <w:shd w:val="clear" w:color="auto" w:fill="F2F2F2"/>
          </w:tcPr>
          <w:p>
            <w:pPr>
              <w:spacing w:after="0"/>
              <w:rPr>
                <w:sz w:val="10"/>
                <w:szCs w:val="10"/>
                <w:color w:val="auto"/>
              </w:rPr>
            </w:pP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623,000</w:t>
            </w:r>
          </w:p>
        </w:tc>
        <w:tc>
          <w:tcPr>
            <w:tcW w:w="1400" w:type="dxa"/>
            <w:vAlign w:val="bottom"/>
            <w:tcBorders>
              <w:right w:val="single" w:sz="8" w:color="F2F2F2"/>
            </w:tcBorders>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360" w:type="dxa"/>
            <w:vAlign w:val="bottom"/>
            <w:tcBorders>
              <w:right w:val="single" w:sz="8" w:color="F2F2F2"/>
            </w:tcBorders>
            <w:shd w:val="clear" w:color="auto" w:fill="F2F2F2"/>
          </w:tcPr>
          <w:p>
            <w:pPr>
              <w:spacing w:after="0"/>
              <w:rPr>
                <w:sz w:val="10"/>
                <w:szCs w:val="10"/>
                <w:color w:val="auto"/>
              </w:rPr>
            </w:pPr>
          </w:p>
        </w:tc>
        <w:tc>
          <w:tcPr>
            <w:tcW w:w="1340" w:type="dxa"/>
            <w:vAlign w:val="bottom"/>
            <w:vMerge w:val="restart"/>
            <w:shd w:val="clear" w:color="auto" w:fill="F2F2F2"/>
          </w:tcPr>
          <w:p>
            <w:pPr>
              <w:jc w:val="right"/>
              <w:ind w:right="188"/>
              <w:spacing w:after="0"/>
              <w:rPr>
                <w:sz w:val="20"/>
                <w:szCs w:val="20"/>
                <w:color w:val="auto"/>
              </w:rPr>
            </w:pPr>
            <w:r>
              <w:rPr>
                <w:rFonts w:ascii="Arial" w:cs="Arial" w:eastAsia="Arial" w:hAnsi="Arial"/>
                <w:sz w:val="14"/>
                <w:szCs w:val="14"/>
                <w:color w:val="auto"/>
              </w:rPr>
              <w:t>6,223,474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Former Chief Financial Officer</w:t>
            </w:r>
          </w:p>
        </w:tc>
        <w:tc>
          <w:tcPr>
            <w:tcW w:w="720" w:type="dxa"/>
            <w:vAlign w:val="bottom"/>
            <w:tcBorders>
              <w:right w:val="single" w:sz="8" w:color="F2F2F2"/>
            </w:tcBorders>
            <w:vMerge w:val="continue"/>
            <w:shd w:val="clear" w:color="auto" w:fill="F2F2F2"/>
          </w:tcPr>
          <w:p>
            <w:pPr>
              <w:spacing w:after="0"/>
              <w:rPr>
                <w:sz w:val="11"/>
                <w:szCs w:val="11"/>
                <w:color w:val="auto"/>
              </w:rPr>
            </w:pPr>
          </w:p>
        </w:tc>
        <w:tc>
          <w:tcPr>
            <w:tcW w:w="880" w:type="dxa"/>
            <w:vAlign w:val="bottom"/>
            <w:vMerge w:val="continue"/>
            <w:shd w:val="clear" w:color="auto" w:fill="F2F2F2"/>
          </w:tcPr>
          <w:p>
            <w:pPr>
              <w:spacing w:after="0"/>
              <w:rPr>
                <w:sz w:val="11"/>
                <w:szCs w:val="11"/>
                <w:color w:val="auto"/>
              </w:rPr>
            </w:pPr>
          </w:p>
        </w:tc>
        <w:tc>
          <w:tcPr>
            <w:tcW w:w="820" w:type="dxa"/>
            <w:vAlign w:val="bottom"/>
            <w:gridSpan w:val="2"/>
            <w:vMerge w:val="continue"/>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980" w:type="dxa"/>
            <w:vAlign w:val="bottom"/>
            <w:tcBorders>
              <w:right w:val="single" w:sz="8" w:color="F2F2F2"/>
            </w:tcBorders>
            <w:vMerge w:val="continue"/>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320" w:type="dxa"/>
            <w:vAlign w:val="bottom"/>
            <w:vMerge w:val="continue"/>
            <w:shd w:val="clear" w:color="auto" w:fill="F2F2F2"/>
          </w:tcPr>
          <w:p>
            <w:pPr>
              <w:spacing w:after="0"/>
              <w:rPr>
                <w:sz w:val="11"/>
                <w:szCs w:val="11"/>
                <w:color w:val="auto"/>
              </w:rPr>
            </w:pPr>
          </w:p>
        </w:tc>
        <w:tc>
          <w:tcPr>
            <w:tcW w:w="1400" w:type="dxa"/>
            <w:vAlign w:val="bottom"/>
            <w:tcBorders>
              <w:right w:val="single" w:sz="8" w:color="F2F2F2"/>
            </w:tcBorders>
            <w:gridSpan w:val="2"/>
            <w:vMerge w:val="continue"/>
            <w:shd w:val="clear" w:color="auto" w:fill="F2F2F2"/>
          </w:tcPr>
          <w:p>
            <w:pPr>
              <w:spacing w:after="0"/>
              <w:rPr>
                <w:sz w:val="11"/>
                <w:szCs w:val="11"/>
                <w:color w:val="auto"/>
              </w:rPr>
            </w:pPr>
          </w:p>
        </w:tc>
        <w:tc>
          <w:tcPr>
            <w:tcW w:w="360" w:type="dxa"/>
            <w:vAlign w:val="bottom"/>
            <w:tcBorders>
              <w:right w:val="single" w:sz="8" w:color="F2F2F2"/>
            </w:tcBorders>
            <w:shd w:val="clear" w:color="auto" w:fill="F2F2F2"/>
          </w:tcPr>
          <w:p>
            <w:pPr>
              <w:spacing w:after="0"/>
              <w:rPr>
                <w:sz w:val="11"/>
                <w:szCs w:val="11"/>
                <w:color w:val="auto"/>
              </w:rPr>
            </w:pPr>
          </w:p>
        </w:tc>
        <w:tc>
          <w:tcPr>
            <w:tcW w:w="1340" w:type="dxa"/>
            <w:vAlign w:val="bottom"/>
            <w:vMerge w:val="continue"/>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60" w:type="dxa"/>
            <w:vAlign w:val="bottom"/>
            <w:vMerge w:val="continue"/>
            <w:shd w:val="clear" w:color="auto" w:fill="F2F2F2"/>
          </w:tcPr>
          <w:p>
            <w:pPr>
              <w:spacing w:after="0"/>
              <w:rPr>
                <w:sz w:val="4"/>
                <w:szCs w:val="4"/>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F2F2F2"/>
          </w:tcPr>
          <w:p>
            <w:pPr>
              <w:spacing w:after="0"/>
              <w:rPr>
                <w:sz w:val="4"/>
                <w:szCs w:val="4"/>
                <w:color w:val="auto"/>
              </w:rPr>
            </w:pP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980" w:type="dxa"/>
            <w:vAlign w:val="bottom"/>
            <w:tcBorders>
              <w:right w:val="single" w:sz="8" w:color="F2F2F2"/>
            </w:tcBorders>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40" w:type="dxa"/>
            <w:vAlign w:val="bottom"/>
            <w:tcBorders>
              <w:right w:val="single" w:sz="8" w:color="F2F2F2"/>
            </w:tcBorders>
            <w:shd w:val="clear" w:color="auto" w:fill="F2F2F2"/>
          </w:tcPr>
          <w:p>
            <w:pPr>
              <w:spacing w:after="0"/>
              <w:rPr>
                <w:sz w:val="4"/>
                <w:szCs w:val="4"/>
                <w:color w:val="auto"/>
              </w:rPr>
            </w:pPr>
          </w:p>
        </w:tc>
        <w:tc>
          <w:tcPr>
            <w:tcW w:w="1360" w:type="dxa"/>
            <w:vAlign w:val="bottom"/>
            <w:tcBorders>
              <w:right w:val="single" w:sz="8" w:color="F2F2F2"/>
            </w:tcBorders>
            <w:shd w:val="clear" w:color="auto" w:fill="F2F2F2"/>
          </w:tcPr>
          <w:p>
            <w:pPr>
              <w:spacing w:after="0"/>
              <w:rPr>
                <w:sz w:val="4"/>
                <w:szCs w:val="4"/>
                <w:color w:val="auto"/>
              </w:rPr>
            </w:pPr>
          </w:p>
        </w:tc>
        <w:tc>
          <w:tcPr>
            <w:tcW w:w="360" w:type="dxa"/>
            <w:vAlign w:val="bottom"/>
            <w:tcBorders>
              <w:right w:val="single" w:sz="8" w:color="F2F2F2"/>
            </w:tcBorders>
            <w:shd w:val="clear" w:color="auto" w:fill="F2F2F2"/>
          </w:tcPr>
          <w:p>
            <w:pPr>
              <w:spacing w:after="0"/>
              <w:rPr>
                <w:sz w:val="4"/>
                <w:szCs w:val="4"/>
                <w:color w:val="auto"/>
              </w:rPr>
            </w:pPr>
          </w:p>
        </w:tc>
        <w:tc>
          <w:tcPr>
            <w:tcW w:w="1340" w:type="dxa"/>
            <w:vAlign w:val="bottom"/>
            <w:shd w:val="clear" w:color="auto" w:fill="F2F2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60" w:type="dxa"/>
            <w:vAlign w:val="bottom"/>
            <w:shd w:val="clear" w:color="auto" w:fill="F2F2F2"/>
          </w:tcPr>
          <w:p>
            <w:pPr>
              <w:spacing w:after="0"/>
              <w:rPr>
                <w:sz w:val="18"/>
                <w:szCs w:val="18"/>
                <w:color w:val="auto"/>
              </w:rPr>
            </w:pPr>
          </w:p>
        </w:tc>
        <w:tc>
          <w:tcPr>
            <w:tcW w:w="720" w:type="dxa"/>
            <w:vAlign w:val="bottom"/>
            <w:tcBorders>
              <w:right w:val="single" w:sz="8" w:color="F2F2F2"/>
            </w:tcBorders>
            <w:vMerge w:val="continue"/>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560,000</w:t>
            </w:r>
          </w:p>
        </w:tc>
        <w:tc>
          <w:tcPr>
            <w:tcW w:w="820" w:type="dxa"/>
            <w:vAlign w:val="bottom"/>
            <w:gridSpan w:val="2"/>
            <w:vMerge w:val="continue"/>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40" w:type="dxa"/>
            <w:vAlign w:val="bottom"/>
            <w:shd w:val="clear" w:color="auto" w:fill="F2F2F2"/>
          </w:tcPr>
          <w:p>
            <w:pPr>
              <w:spacing w:after="0"/>
              <w:rPr>
                <w:sz w:val="18"/>
                <w:szCs w:val="18"/>
                <w:color w:val="auto"/>
              </w:rPr>
            </w:pPr>
          </w:p>
        </w:tc>
        <w:tc>
          <w:tcPr>
            <w:tcW w:w="98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4,761,200</w:t>
            </w:r>
          </w:p>
        </w:tc>
        <w:tc>
          <w:tcPr>
            <w:tcW w:w="400" w:type="dxa"/>
            <w:vAlign w:val="bottom"/>
            <w:shd w:val="clear" w:color="auto" w:fill="F2F2F2"/>
          </w:tcPr>
          <w:p>
            <w:pPr>
              <w:spacing w:after="0"/>
              <w:rPr>
                <w:sz w:val="18"/>
                <w:szCs w:val="18"/>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348,000</w:t>
            </w:r>
          </w:p>
        </w:tc>
        <w:tc>
          <w:tcPr>
            <w:tcW w:w="1400" w:type="dxa"/>
            <w:vAlign w:val="bottom"/>
            <w:tcBorders>
              <w:right w:val="single" w:sz="8" w:color="F2F2F2"/>
            </w:tcBorders>
            <w:gridSpan w:val="2"/>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360" w:type="dxa"/>
            <w:vAlign w:val="bottom"/>
            <w:tcBorders>
              <w:right w:val="single" w:sz="8" w:color="F2F2F2"/>
            </w:tcBorders>
            <w:shd w:val="clear" w:color="auto" w:fill="F2F2F2"/>
          </w:tcPr>
          <w:p>
            <w:pPr>
              <w:spacing w:after="0"/>
              <w:rPr>
                <w:sz w:val="18"/>
                <w:szCs w:val="18"/>
                <w:color w:val="auto"/>
              </w:rPr>
            </w:pPr>
          </w:p>
        </w:tc>
        <w:tc>
          <w:tcPr>
            <w:tcW w:w="1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5,675,200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William Yoon</w:t>
            </w:r>
          </w:p>
        </w:tc>
        <w:tc>
          <w:tcPr>
            <w:tcW w:w="720" w:type="dxa"/>
            <w:vAlign w:val="bottom"/>
            <w:tcBorders>
              <w:right w:val="single" w:sz="8" w:color="F2F2F2"/>
            </w:tcBorders>
          </w:tcPr>
          <w:p>
            <w:pPr>
              <w:ind w:left="200"/>
              <w:spacing w:after="0"/>
              <w:rPr>
                <w:sz w:val="20"/>
                <w:szCs w:val="20"/>
                <w:color w:val="auto"/>
              </w:rPr>
            </w:pPr>
            <w:r>
              <w:rPr>
                <w:rFonts w:ascii="Arial" w:cs="Arial" w:eastAsia="Arial" w:hAnsi="Arial"/>
                <w:sz w:val="14"/>
                <w:szCs w:val="14"/>
                <w:color w:val="auto"/>
              </w:rPr>
              <w:t>2025</w:t>
            </w:r>
          </w:p>
        </w:tc>
        <w:tc>
          <w:tcPr>
            <w:tcW w:w="880" w:type="dxa"/>
            <w:vAlign w:val="bottom"/>
          </w:tcPr>
          <w:p>
            <w:pPr>
              <w:jc w:val="center"/>
              <w:spacing w:after="0"/>
              <w:rPr>
                <w:sz w:val="20"/>
                <w:szCs w:val="20"/>
                <w:color w:val="auto"/>
              </w:rPr>
            </w:pPr>
            <w:r>
              <w:rPr>
                <w:rFonts w:ascii="Arial" w:cs="Arial" w:eastAsia="Arial" w:hAnsi="Arial"/>
                <w:sz w:val="14"/>
                <w:szCs w:val="14"/>
                <w:color w:val="auto"/>
              </w:rPr>
              <w:t>461,250</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Borders>
              <w:right w:val="single" w:sz="8" w:color="F2F2F2"/>
            </w:tcBorders>
          </w:tcPr>
          <w:p>
            <w:pPr>
              <w:jc w:val="center"/>
              <w:spacing w:after="0"/>
              <w:rPr>
                <w:sz w:val="20"/>
                <w:szCs w:val="20"/>
                <w:color w:val="auto"/>
              </w:rPr>
            </w:pPr>
            <w:r>
              <w:rPr>
                <w:rFonts w:ascii="Arial" w:cs="Arial" w:eastAsia="Arial" w:hAnsi="Arial"/>
                <w:sz w:val="14"/>
                <w:szCs w:val="14"/>
                <w:color w:val="auto"/>
              </w:rPr>
              <w:t>5,093,757</w:t>
            </w:r>
          </w:p>
        </w:tc>
        <w:tc>
          <w:tcPr>
            <w:tcW w:w="4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375,000</w:t>
            </w:r>
          </w:p>
        </w:tc>
        <w:tc>
          <w:tcPr>
            <w:tcW w:w="40" w:type="dxa"/>
            <w:vAlign w:val="bottom"/>
            <w:tcBorders>
              <w:right w:val="single" w:sz="8" w:color="F2F2F2"/>
            </w:tcBorders>
          </w:tcPr>
          <w:p>
            <w:pPr>
              <w:spacing w:after="0"/>
              <w:rPr>
                <w:sz w:val="21"/>
                <w:szCs w:val="21"/>
                <w:color w:val="auto"/>
              </w:rPr>
            </w:pPr>
          </w:p>
        </w:tc>
        <w:tc>
          <w:tcPr>
            <w:tcW w:w="1360" w:type="dxa"/>
            <w:vAlign w:val="bottom"/>
            <w:tcBorders>
              <w:right w:val="single" w:sz="8" w:color="F2F2F2"/>
            </w:tcBorders>
          </w:tcPr>
          <w:p>
            <w:pPr>
              <w:jc w:val="center"/>
              <w:spacing w:after="0"/>
              <w:rPr>
                <w:sz w:val="20"/>
                <w:szCs w:val="20"/>
                <w:color w:val="auto"/>
              </w:rPr>
            </w:pPr>
            <w:r>
              <w:rPr>
                <w:rFonts w:ascii="Arial" w:cs="Arial" w:eastAsia="Arial" w:hAnsi="Arial"/>
                <w:sz w:val="14"/>
                <w:szCs w:val="14"/>
                <w:color w:val="auto"/>
              </w:rPr>
              <w:t>9,273</w:t>
            </w:r>
          </w:p>
        </w:tc>
        <w:tc>
          <w:tcPr>
            <w:tcW w:w="360" w:type="dxa"/>
            <w:vAlign w:val="bottom"/>
            <w:tcBorders>
              <w:right w:val="single" w:sz="8" w:color="F2F2F2"/>
            </w:tcBorders>
          </w:tcPr>
          <w:p>
            <w:pPr>
              <w:spacing w:after="0"/>
              <w:rPr>
                <w:sz w:val="21"/>
                <w:szCs w:val="21"/>
                <w:color w:val="auto"/>
              </w:rPr>
            </w:pP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5,939,280</w:t>
            </w:r>
          </w:p>
        </w:tc>
        <w:tc>
          <w:tcPr>
            <w:tcW w:w="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660" w:type="dxa"/>
            <w:vAlign w:val="bottom"/>
            <w:vMerge w:val="continue"/>
          </w:tcPr>
          <w:p>
            <w:pPr>
              <w:spacing w:after="0"/>
              <w:rPr>
                <w:sz w:val="11"/>
                <w:szCs w:val="11"/>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1"/>
                <w:szCs w:val="11"/>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Legal Officer</w:t>
            </w:r>
          </w:p>
        </w:tc>
        <w:tc>
          <w:tcPr>
            <w:tcW w:w="7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2023</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Ali Dasdan</w:t>
            </w:r>
          </w:p>
        </w:tc>
        <w:tc>
          <w:tcPr>
            <w:tcW w:w="720" w:type="dxa"/>
            <w:vAlign w:val="bottom"/>
            <w:tcBorders>
              <w:right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2025</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415,063</w:t>
            </w:r>
          </w:p>
        </w:tc>
        <w:tc>
          <w:tcPr>
            <w:tcW w:w="820" w:type="dxa"/>
            <w:vAlign w:val="bottom"/>
            <w:gridSpan w:val="2"/>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21"/>
                <w:szCs w:val="21"/>
                <w:color w:val="auto"/>
              </w:rPr>
            </w:pPr>
          </w:p>
        </w:tc>
        <w:tc>
          <w:tcPr>
            <w:tcW w:w="40" w:type="dxa"/>
            <w:vAlign w:val="bottom"/>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16,300,045</w:t>
            </w:r>
          </w:p>
        </w:tc>
        <w:tc>
          <w:tcPr>
            <w:tcW w:w="400" w:type="dxa"/>
            <w:vAlign w:val="bottom"/>
            <w:shd w:val="clear" w:color="auto" w:fill="F2F2F2"/>
          </w:tcPr>
          <w:p>
            <w:pPr>
              <w:spacing w:after="0"/>
              <w:rPr>
                <w:sz w:val="21"/>
                <w:szCs w:val="21"/>
                <w:color w:val="auto"/>
              </w:rPr>
            </w:pP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391,000</w:t>
            </w:r>
          </w:p>
        </w:tc>
        <w:tc>
          <w:tcPr>
            <w:tcW w:w="1400" w:type="dxa"/>
            <w:vAlign w:val="bottom"/>
            <w:tcBorders>
              <w:right w:val="single" w:sz="8" w:color="F2F2F2"/>
            </w:tcBorders>
            <w:gridSpan w:val="2"/>
            <w:shd w:val="clear" w:color="auto" w:fill="F2F2F2"/>
          </w:tcPr>
          <w:p>
            <w:pPr>
              <w:jc w:val="center"/>
              <w:spacing w:after="0"/>
              <w:rPr>
                <w:sz w:val="20"/>
                <w:szCs w:val="20"/>
                <w:color w:val="auto"/>
              </w:rPr>
            </w:pPr>
            <w:r>
              <w:rPr>
                <w:rFonts w:ascii="Arial" w:cs="Arial" w:eastAsia="Arial" w:hAnsi="Arial"/>
                <w:sz w:val="14"/>
                <w:szCs w:val="14"/>
                <w:color w:val="auto"/>
              </w:rPr>
              <w:t>9,488</w:t>
            </w:r>
          </w:p>
        </w:tc>
        <w:tc>
          <w:tcPr>
            <w:tcW w:w="360" w:type="dxa"/>
            <w:vAlign w:val="bottom"/>
            <w:tcBorders>
              <w:right w:val="single" w:sz="8" w:color="F2F2F2"/>
            </w:tcBorders>
            <w:shd w:val="clear" w:color="auto" w:fill="F2F2F2"/>
          </w:tcPr>
          <w:p>
            <w:pPr>
              <w:spacing w:after="0"/>
              <w:rPr>
                <w:sz w:val="21"/>
                <w:szCs w:val="21"/>
                <w:color w:val="auto"/>
              </w:rPr>
            </w:pPr>
          </w:p>
        </w:tc>
        <w:tc>
          <w:tcPr>
            <w:tcW w:w="13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17,115,597</w:t>
            </w:r>
          </w:p>
        </w:tc>
        <w:tc>
          <w:tcPr>
            <w:tcW w:w="2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660" w:type="dxa"/>
            <w:vAlign w:val="bottom"/>
            <w:vMerge w:val="continue"/>
            <w:shd w:val="clear" w:color="auto" w:fill="F2F2F2"/>
          </w:tcPr>
          <w:p>
            <w:pPr>
              <w:spacing w:after="0"/>
              <w:rPr>
                <w:sz w:val="11"/>
                <w:szCs w:val="11"/>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380" w:type="dxa"/>
            <w:vAlign w:val="bottom"/>
            <w:gridSpan w:val="2"/>
            <w:vMerge w:val="restart"/>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F2F2F2"/>
            </w:tcBorders>
            <w:shd w:val="clear" w:color="auto" w:fill="F2F2F2"/>
          </w:tcPr>
          <w:p>
            <w:pPr>
              <w:spacing w:after="0"/>
              <w:rPr>
                <w:sz w:val="11"/>
                <w:szCs w:val="11"/>
                <w:color w:val="auto"/>
              </w:rPr>
            </w:pPr>
          </w:p>
        </w:tc>
        <w:tc>
          <w:tcPr>
            <w:tcW w:w="1360" w:type="dxa"/>
            <w:vAlign w:val="bottom"/>
            <w:tcBorders>
              <w:right w:val="single" w:sz="8" w:color="F2F2F2"/>
            </w:tcBorders>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Borders>
              <w:right w:val="single" w:sz="8" w:color="F2F2F2"/>
            </w:tcBorders>
            <w:shd w:val="clear" w:color="auto" w:fill="F2F2F2"/>
          </w:tcPr>
          <w:p>
            <w:pPr>
              <w:spacing w:after="0"/>
              <w:rPr>
                <w:sz w:val="11"/>
                <w:szCs w:val="11"/>
                <w:color w:val="auto"/>
              </w:rPr>
            </w:pPr>
          </w:p>
        </w:tc>
        <w:tc>
          <w:tcPr>
            <w:tcW w:w="1340" w:type="dxa"/>
            <w:vAlign w:val="bottom"/>
            <w:vMerge w:val="restart"/>
            <w:shd w:val="clear" w:color="auto" w:fill="F2F2F2"/>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6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Chief Technology Officer</w:t>
            </w:r>
          </w:p>
        </w:tc>
        <w:tc>
          <w:tcPr>
            <w:tcW w:w="720" w:type="dxa"/>
            <w:vAlign w:val="bottom"/>
            <w:tcBorders>
              <w:right w:val="single" w:sz="8" w:color="F2F2F2"/>
            </w:tcBorders>
            <w:vMerge w:val="continue"/>
            <w:shd w:val="clear" w:color="auto" w:fill="F2F2F2"/>
          </w:tcPr>
          <w:p>
            <w:pPr>
              <w:spacing w:after="0"/>
              <w:rPr>
                <w:sz w:val="10"/>
                <w:szCs w:val="10"/>
                <w:color w:val="auto"/>
              </w:rPr>
            </w:pPr>
          </w:p>
        </w:tc>
        <w:tc>
          <w:tcPr>
            <w:tcW w:w="880" w:type="dxa"/>
            <w:vAlign w:val="bottom"/>
            <w:vMerge w:val="continue"/>
            <w:shd w:val="clear" w:color="auto" w:fill="F2F2F2"/>
          </w:tcPr>
          <w:p>
            <w:pPr>
              <w:spacing w:after="0"/>
              <w:rPr>
                <w:sz w:val="10"/>
                <w:szCs w:val="10"/>
                <w:color w:val="auto"/>
              </w:rPr>
            </w:pPr>
          </w:p>
        </w:tc>
        <w:tc>
          <w:tcPr>
            <w:tcW w:w="820" w:type="dxa"/>
            <w:vAlign w:val="bottom"/>
            <w:gridSpan w:val="2"/>
            <w:vMerge w:val="continue"/>
            <w:shd w:val="clear" w:color="auto" w:fill="F2F2F2"/>
          </w:tcPr>
          <w:p>
            <w:pPr>
              <w:spacing w:after="0"/>
              <w:rPr>
                <w:sz w:val="10"/>
                <w:szCs w:val="10"/>
                <w:color w:val="auto"/>
              </w:rPr>
            </w:pPr>
          </w:p>
        </w:tc>
        <w:tc>
          <w:tcPr>
            <w:tcW w:w="32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1380" w:type="dxa"/>
            <w:vAlign w:val="bottom"/>
            <w:gridSpan w:val="2"/>
            <w:vMerge w:val="continue"/>
            <w:shd w:val="clear" w:color="auto" w:fill="F2F2F2"/>
          </w:tcPr>
          <w:p>
            <w:pPr>
              <w:spacing w:after="0"/>
              <w:rPr>
                <w:sz w:val="10"/>
                <w:szCs w:val="10"/>
                <w:color w:val="auto"/>
              </w:rPr>
            </w:pPr>
          </w:p>
        </w:tc>
        <w:tc>
          <w:tcPr>
            <w:tcW w:w="1320" w:type="dxa"/>
            <w:vAlign w:val="bottom"/>
            <w:vMerge w:val="continue"/>
            <w:shd w:val="clear" w:color="auto" w:fill="F2F2F2"/>
          </w:tcPr>
          <w:p>
            <w:pPr>
              <w:spacing w:after="0"/>
              <w:rPr>
                <w:sz w:val="10"/>
                <w:szCs w:val="10"/>
                <w:color w:val="auto"/>
              </w:rPr>
            </w:pPr>
          </w:p>
        </w:tc>
        <w:tc>
          <w:tcPr>
            <w:tcW w:w="40" w:type="dxa"/>
            <w:vAlign w:val="bottom"/>
            <w:tcBorders>
              <w:right w:val="single" w:sz="8" w:color="F2F2F2"/>
            </w:tcBorders>
            <w:shd w:val="clear" w:color="auto" w:fill="F2F2F2"/>
          </w:tcPr>
          <w:p>
            <w:pPr>
              <w:spacing w:after="0"/>
              <w:rPr>
                <w:sz w:val="10"/>
                <w:szCs w:val="10"/>
                <w:color w:val="auto"/>
              </w:rPr>
            </w:pPr>
          </w:p>
        </w:tc>
        <w:tc>
          <w:tcPr>
            <w:tcW w:w="1360" w:type="dxa"/>
            <w:vAlign w:val="bottom"/>
            <w:tcBorders>
              <w:right w:val="single" w:sz="8" w:color="F2F2F2"/>
            </w:tcBorders>
            <w:vMerge w:val="continue"/>
            <w:shd w:val="clear" w:color="auto" w:fill="F2F2F2"/>
          </w:tcPr>
          <w:p>
            <w:pPr>
              <w:spacing w:after="0"/>
              <w:rPr>
                <w:sz w:val="10"/>
                <w:szCs w:val="10"/>
                <w:color w:val="auto"/>
              </w:rPr>
            </w:pPr>
          </w:p>
        </w:tc>
        <w:tc>
          <w:tcPr>
            <w:tcW w:w="360" w:type="dxa"/>
            <w:vAlign w:val="bottom"/>
            <w:tcBorders>
              <w:right w:val="single" w:sz="8" w:color="F2F2F2"/>
            </w:tcBorders>
            <w:shd w:val="clear" w:color="auto" w:fill="F2F2F2"/>
          </w:tcPr>
          <w:p>
            <w:pPr>
              <w:spacing w:after="0"/>
              <w:rPr>
                <w:sz w:val="10"/>
                <w:szCs w:val="10"/>
                <w:color w:val="auto"/>
              </w:rPr>
            </w:pPr>
          </w:p>
        </w:tc>
        <w:tc>
          <w:tcPr>
            <w:tcW w:w="1340" w:type="dxa"/>
            <w:vAlign w:val="bottom"/>
            <w:vMerge w:val="continue"/>
            <w:shd w:val="clear" w:color="auto" w:fill="F2F2F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60" w:type="dxa"/>
            <w:vAlign w:val="bottom"/>
            <w:vMerge w:val="continue"/>
            <w:shd w:val="clear" w:color="auto" w:fill="F2F2F2"/>
          </w:tcPr>
          <w:p>
            <w:pPr>
              <w:spacing w:after="0"/>
              <w:rPr>
                <w:sz w:val="5"/>
                <w:szCs w:val="5"/>
                <w:color w:val="auto"/>
              </w:rPr>
            </w:pPr>
          </w:p>
        </w:tc>
        <w:tc>
          <w:tcPr>
            <w:tcW w:w="720" w:type="dxa"/>
            <w:vAlign w:val="bottom"/>
            <w:tcBorders>
              <w:right w:val="single" w:sz="8" w:color="F2F2F2"/>
            </w:tcBorders>
            <w:vMerge w:val="restart"/>
            <w:shd w:val="clear" w:color="auto" w:fill="F2F2F2"/>
          </w:tcPr>
          <w:p>
            <w:pPr>
              <w:ind w:left="20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F2F2F2"/>
          </w:tcPr>
          <w:p>
            <w:pPr>
              <w:spacing w:after="0"/>
              <w:rPr>
                <w:sz w:val="5"/>
                <w:szCs w:val="5"/>
                <w:color w:val="auto"/>
              </w:rPr>
            </w:pPr>
          </w:p>
        </w:tc>
        <w:tc>
          <w:tcPr>
            <w:tcW w:w="820" w:type="dxa"/>
            <w:vAlign w:val="bottom"/>
            <w:gridSpan w:val="2"/>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F2F2F2"/>
          </w:tcPr>
          <w:p>
            <w:pPr>
              <w:spacing w:after="0"/>
              <w:rPr>
                <w:sz w:val="5"/>
                <w:szCs w:val="5"/>
                <w:color w:val="auto"/>
              </w:rPr>
            </w:pPr>
          </w:p>
        </w:tc>
        <w:tc>
          <w:tcPr>
            <w:tcW w:w="40" w:type="dxa"/>
            <w:vAlign w:val="bottom"/>
            <w:shd w:val="clear" w:color="auto" w:fill="F2F2F2"/>
          </w:tcPr>
          <w:p>
            <w:pPr>
              <w:spacing w:after="0"/>
              <w:rPr>
                <w:sz w:val="5"/>
                <w:szCs w:val="5"/>
                <w:color w:val="auto"/>
              </w:rPr>
            </w:pPr>
          </w:p>
        </w:tc>
        <w:tc>
          <w:tcPr>
            <w:tcW w:w="980" w:type="dxa"/>
            <w:vAlign w:val="bottom"/>
            <w:tcBorders>
              <w:right w:val="single" w:sz="8" w:color="F2F2F2"/>
            </w:tcBorders>
            <w:shd w:val="clear" w:color="auto" w:fill="F2F2F2"/>
          </w:tcPr>
          <w:p>
            <w:pPr>
              <w:spacing w:after="0"/>
              <w:rPr>
                <w:sz w:val="5"/>
                <w:szCs w:val="5"/>
                <w:color w:val="auto"/>
              </w:rPr>
            </w:pPr>
          </w:p>
        </w:tc>
        <w:tc>
          <w:tcPr>
            <w:tcW w:w="400" w:type="dxa"/>
            <w:vAlign w:val="bottom"/>
            <w:shd w:val="clear" w:color="auto" w:fill="F2F2F2"/>
          </w:tcPr>
          <w:p>
            <w:pPr>
              <w:spacing w:after="0"/>
              <w:rPr>
                <w:sz w:val="5"/>
                <w:szCs w:val="5"/>
                <w:color w:val="auto"/>
              </w:rPr>
            </w:pPr>
          </w:p>
        </w:tc>
        <w:tc>
          <w:tcPr>
            <w:tcW w:w="1320" w:type="dxa"/>
            <w:vAlign w:val="bottom"/>
            <w:shd w:val="clear" w:color="auto" w:fill="F2F2F2"/>
          </w:tcPr>
          <w:p>
            <w:pPr>
              <w:spacing w:after="0"/>
              <w:rPr>
                <w:sz w:val="5"/>
                <w:szCs w:val="5"/>
                <w:color w:val="auto"/>
              </w:rPr>
            </w:pPr>
          </w:p>
        </w:tc>
        <w:tc>
          <w:tcPr>
            <w:tcW w:w="40" w:type="dxa"/>
            <w:vAlign w:val="bottom"/>
            <w:tcBorders>
              <w:right w:val="single" w:sz="8" w:color="F2F2F2"/>
            </w:tcBorders>
            <w:shd w:val="clear" w:color="auto" w:fill="F2F2F2"/>
          </w:tcPr>
          <w:p>
            <w:pPr>
              <w:spacing w:after="0"/>
              <w:rPr>
                <w:sz w:val="5"/>
                <w:szCs w:val="5"/>
                <w:color w:val="auto"/>
              </w:rPr>
            </w:pPr>
          </w:p>
        </w:tc>
        <w:tc>
          <w:tcPr>
            <w:tcW w:w="1360" w:type="dxa"/>
            <w:vAlign w:val="bottom"/>
            <w:tcBorders>
              <w:right w:val="single" w:sz="8" w:color="F2F2F2"/>
            </w:tcBorders>
            <w:shd w:val="clear" w:color="auto" w:fill="F2F2F2"/>
          </w:tcPr>
          <w:p>
            <w:pPr>
              <w:spacing w:after="0"/>
              <w:rPr>
                <w:sz w:val="5"/>
                <w:szCs w:val="5"/>
                <w:color w:val="auto"/>
              </w:rPr>
            </w:pPr>
          </w:p>
        </w:tc>
        <w:tc>
          <w:tcPr>
            <w:tcW w:w="360" w:type="dxa"/>
            <w:vAlign w:val="bottom"/>
            <w:tcBorders>
              <w:right w:val="single" w:sz="8" w:color="F2F2F2"/>
            </w:tcBorders>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F2F2F2"/>
          </w:tcPr>
          <w:p>
            <w:pPr>
              <w:spacing w:after="0"/>
              <w:rPr>
                <w:sz w:val="18"/>
                <w:szCs w:val="18"/>
                <w:color w:val="auto"/>
              </w:rPr>
            </w:pPr>
          </w:p>
        </w:tc>
        <w:tc>
          <w:tcPr>
            <w:tcW w:w="720" w:type="dxa"/>
            <w:vAlign w:val="bottom"/>
            <w:tcBorders>
              <w:right w:val="single" w:sz="8" w:color="F2F2F2"/>
            </w:tcBorders>
            <w:vMerge w:val="continue"/>
            <w:shd w:val="clear" w:color="auto" w:fill="F2F2F2"/>
          </w:tcPr>
          <w:p>
            <w:pPr>
              <w:spacing w:after="0"/>
              <w:rPr>
                <w:sz w:val="18"/>
                <w:szCs w:val="18"/>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vMerge w:val="continue"/>
            <w:shd w:val="clear" w:color="auto" w:fill="F2F2F2"/>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40" w:type="dxa"/>
            <w:vAlign w:val="bottom"/>
            <w:shd w:val="clear" w:color="auto" w:fill="F2F2F2"/>
          </w:tcPr>
          <w:p>
            <w:pPr>
              <w:spacing w:after="0"/>
              <w:rPr>
                <w:sz w:val="18"/>
                <w:szCs w:val="18"/>
                <w:color w:val="auto"/>
              </w:rPr>
            </w:pPr>
          </w:p>
        </w:tc>
        <w:tc>
          <w:tcPr>
            <w:tcW w:w="1380" w:type="dxa"/>
            <w:vAlign w:val="bottom"/>
            <w:gridSpan w:val="2"/>
            <w:shd w:val="clear" w:color="auto" w:fill="F2F2F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F2F2F2"/>
            </w:tcBorders>
            <w:shd w:val="clear" w:color="auto" w:fill="F2F2F2"/>
          </w:tcPr>
          <w:p>
            <w:pPr>
              <w:spacing w:after="0"/>
              <w:rPr>
                <w:sz w:val="18"/>
                <w:szCs w:val="18"/>
                <w:color w:val="auto"/>
              </w:rPr>
            </w:pPr>
          </w:p>
        </w:tc>
        <w:tc>
          <w:tcPr>
            <w:tcW w:w="1360" w:type="dxa"/>
            <w:vAlign w:val="bottom"/>
            <w:tcBorders>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Borders>
              <w:right w:val="single" w:sz="8" w:color="F2F2F2"/>
            </w:tcBorders>
            <w:shd w:val="clear" w:color="auto" w:fill="F2F2F2"/>
          </w:tcPr>
          <w:p>
            <w:pPr>
              <w:spacing w:after="0"/>
              <w:rPr>
                <w:sz w:val="18"/>
                <w:szCs w:val="18"/>
                <w:color w:val="auto"/>
              </w:rPr>
            </w:pPr>
          </w:p>
        </w:tc>
        <w:tc>
          <w:tcPr>
            <w:tcW w:w="1340" w:type="dxa"/>
            <w:vAlign w:val="bottom"/>
            <w:shd w:val="clear" w:color="auto" w:fill="F2F2F2"/>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Ashraf Alkarmi</w:t>
            </w:r>
          </w:p>
        </w:tc>
        <w:tc>
          <w:tcPr>
            <w:tcW w:w="720" w:type="dxa"/>
            <w:vAlign w:val="bottom"/>
            <w:tcBorders>
              <w:right w:val="single" w:sz="8" w:color="F2F2F2"/>
            </w:tcBorders>
          </w:tcPr>
          <w:p>
            <w:pPr>
              <w:ind w:left="200"/>
              <w:spacing w:after="0"/>
              <w:rPr>
                <w:sz w:val="20"/>
                <w:szCs w:val="20"/>
                <w:color w:val="auto"/>
              </w:rPr>
            </w:pPr>
            <w:r>
              <w:rPr>
                <w:rFonts w:ascii="Arial" w:cs="Arial" w:eastAsia="Arial" w:hAnsi="Arial"/>
                <w:sz w:val="14"/>
                <w:szCs w:val="14"/>
                <w:color w:val="auto"/>
              </w:rPr>
              <w:t>2025</w:t>
            </w:r>
          </w:p>
        </w:tc>
        <w:tc>
          <w:tcPr>
            <w:tcW w:w="880" w:type="dxa"/>
            <w:vAlign w:val="bottom"/>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0"/>
                <w:szCs w:val="20"/>
                <w:color w:val="auto"/>
              </w:rPr>
            </w:pPr>
          </w:p>
        </w:tc>
        <w:tc>
          <w:tcPr>
            <w:tcW w:w="40" w:type="dxa"/>
            <w:vAlign w:val="bottom"/>
            <w:tcBorders>
              <w:top w:val="single" w:sz="8" w:color="F2F2F2"/>
            </w:tcBorders>
          </w:tcPr>
          <w:p>
            <w:pPr>
              <w:spacing w:after="0"/>
              <w:rPr>
                <w:sz w:val="20"/>
                <w:szCs w:val="20"/>
                <w:color w:val="auto"/>
              </w:rPr>
            </w:pPr>
          </w:p>
        </w:tc>
        <w:tc>
          <w:tcPr>
            <w:tcW w:w="980" w:type="dxa"/>
            <w:vAlign w:val="bottom"/>
            <w:tcBorders>
              <w:top w:val="single" w:sz="8" w:color="F2F2F2"/>
              <w:bottom w:val="single" w:sz="8" w:color="F2F2F2"/>
            </w:tcBorders>
          </w:tcPr>
          <w:p>
            <w:pPr>
              <w:jc w:val="center"/>
              <w:spacing w:after="0"/>
              <w:rPr>
                <w:sz w:val="20"/>
                <w:szCs w:val="20"/>
                <w:color w:val="auto"/>
              </w:rPr>
            </w:pPr>
            <w:r>
              <w:rPr>
                <w:rFonts w:ascii="Arial" w:cs="Arial" w:eastAsia="Arial" w:hAnsi="Arial"/>
                <w:sz w:val="14"/>
                <w:szCs w:val="14"/>
                <w:color w:val="auto"/>
              </w:rPr>
              <w:t>16,159,597</w:t>
            </w:r>
          </w:p>
        </w:tc>
        <w:tc>
          <w:tcPr>
            <w:tcW w:w="4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586,000</w:t>
            </w: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rPr>
              <w:t>9,808</w:t>
            </w:r>
          </w:p>
        </w:tc>
        <w:tc>
          <w:tcPr>
            <w:tcW w:w="360" w:type="dxa"/>
            <w:vAlign w:val="bottom"/>
            <w:tcBorders>
              <w:right w:val="single" w:sz="8" w:color="F2F2F2"/>
            </w:tcBorders>
          </w:tcPr>
          <w:p>
            <w:pPr>
              <w:spacing w:after="0"/>
              <w:rPr>
                <w:sz w:val="20"/>
                <w:szCs w:val="20"/>
                <w:color w:val="auto"/>
              </w:rPr>
            </w:pPr>
          </w:p>
        </w:tc>
        <w:tc>
          <w:tcPr>
            <w:tcW w:w="1340" w:type="dxa"/>
            <w:vAlign w:val="bottom"/>
            <w:tcBorders>
              <w:top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17,255,405</w:t>
            </w:r>
          </w:p>
        </w:tc>
        <w:tc>
          <w:tcPr>
            <w:tcW w:w="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80"/>
              <w:spacing w:after="0"/>
              <w:rPr>
                <w:sz w:val="20"/>
                <w:szCs w:val="20"/>
                <w:color w:val="auto"/>
              </w:rPr>
            </w:pPr>
            <w:r>
              <w:rPr>
                <w:rFonts w:ascii="Arial" w:cs="Arial" w:eastAsia="Arial" w:hAnsi="Arial"/>
                <w:sz w:val="14"/>
                <w:szCs w:val="14"/>
                <w:i w:val="1"/>
                <w:iCs w:val="1"/>
                <w:color w:val="auto"/>
              </w:rPr>
              <w:t>General Manager and Senior Vice</w:t>
            </w:r>
          </w:p>
        </w:tc>
        <w:tc>
          <w:tcPr>
            <w:tcW w:w="720" w:type="dxa"/>
            <w:vAlign w:val="bottom"/>
          </w:tcPr>
          <w:p>
            <w:pPr>
              <w:ind w:left="200"/>
              <w:spacing w:after="0"/>
              <w:rPr>
                <w:sz w:val="20"/>
                <w:szCs w:val="20"/>
                <w:color w:val="auto"/>
              </w:rPr>
            </w:pPr>
            <w:r>
              <w:rPr>
                <w:rFonts w:ascii="Arial" w:cs="Arial" w:eastAsia="Arial" w:hAnsi="Arial"/>
                <w:sz w:val="14"/>
                <w:szCs w:val="14"/>
                <w:color w:val="auto"/>
              </w:rPr>
              <w:t>2024</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6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President, Core Products</w:t>
            </w:r>
          </w:p>
        </w:tc>
        <w:tc>
          <w:tcPr>
            <w:tcW w:w="72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Borders>
              <w:bottom w:val="single" w:sz="8" w:color="F2F2F2"/>
            </w:tcBorders>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4"/>
                <w:szCs w:val="4"/>
                <w:color w:val="auto"/>
              </w:rPr>
            </w:pPr>
          </w:p>
        </w:tc>
        <w:tc>
          <w:tcPr>
            <w:tcW w:w="134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60" w:type="dxa"/>
            <w:vAlign w:val="bottom"/>
            <w:vMerge w:val="continue"/>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color w:val="auto"/>
              </w:rPr>
              <w:t>2023</w:t>
            </w:r>
          </w:p>
        </w:tc>
        <w:tc>
          <w:tcPr>
            <w:tcW w:w="880" w:type="dxa"/>
            <w:vAlign w:val="bottom"/>
            <w:vMerge w:val="continue"/>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100" w:hanging="332"/>
        <w:spacing w:after="0" w:line="213" w:lineRule="auto"/>
        <w:tabs>
          <w:tab w:leader="none" w:pos="33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spacing w:after="0" w:line="1" w:lineRule="exact"/>
        <w:rPr>
          <w:rFonts w:ascii="Arial" w:cs="Arial" w:eastAsia="Arial" w:hAnsi="Arial"/>
          <w:sz w:val="19"/>
          <w:szCs w:val="19"/>
          <w:color w:val="auto"/>
          <w:vertAlign w:val="superscript"/>
        </w:rPr>
      </w:pPr>
    </w:p>
    <w:p>
      <w:pPr>
        <w:ind w:left="340" w:right="100" w:hanging="332"/>
        <w:spacing w:after="0" w:line="204" w:lineRule="auto"/>
        <w:tabs>
          <w:tab w:leader="none" w:pos="33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The amounts reported represent the amounts payable under our cash bonus plans for 2023, 2024, and 2025, respectively. See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Elements—Annual Cash Bonuses</w:t>
      </w:r>
      <w:r>
        <w:rPr>
          <w:rFonts w:ascii="Arial" w:cs="Arial" w:eastAsia="Arial" w:hAnsi="Arial"/>
          <w:sz w:val="14"/>
          <w:szCs w:val="14"/>
          <w:color w:val="auto"/>
        </w:rPr>
        <w:t>” above.</w:t>
      </w:r>
    </w:p>
    <w:p>
      <w:pPr>
        <w:spacing w:after="0" w:line="1"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Unless otherwise noted, the amount reported includes matching 401(k) contributions in 2023, 2024, and 2025, respectively.</w:t>
      </w:r>
    </w:p>
    <w:p>
      <w:pPr>
        <w:ind w:left="320" w:hanging="312"/>
        <w:spacing w:after="0" w:line="187" w:lineRule="auto"/>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security programs and related costs.</w:t>
      </w:r>
    </w:p>
    <w:p>
      <w:pPr>
        <w:ind w:left="320" w:hanging="312"/>
        <w:spacing w:after="0" w:line="182" w:lineRule="auto"/>
        <w:tabs>
          <w:tab w:leader="none" w:pos="320" w:val="left"/>
        </w:tabs>
        <w:numPr>
          <w:ilvl w:val="0"/>
          <w:numId w:val="70"/>
        </w:numPr>
        <w:rPr>
          <w:rFonts w:ascii="Arial" w:cs="Arial" w:eastAsia="Arial" w:hAnsi="Arial"/>
          <w:sz w:val="17"/>
          <w:szCs w:val="17"/>
          <w:color w:val="auto"/>
          <w:vertAlign w:val="superscript"/>
        </w:rPr>
      </w:pPr>
      <w:r>
        <w:rPr>
          <w:rFonts w:ascii="Arial" w:cs="Arial" w:eastAsia="Arial" w:hAnsi="Arial"/>
          <w:sz w:val="13"/>
          <w:szCs w:val="13"/>
          <w:color w:val="auto"/>
        </w:rPr>
        <w:t>The amount reported represents a sign-on bonus pursuant to the terms of the offer letter that we entered into with Mr. Tennenbaum in December 2025.</w:t>
      </w:r>
    </w:p>
    <w:p>
      <w:pPr>
        <w:ind w:left="340" w:right="320" w:hanging="332"/>
        <w:spacing w:after="0" w:line="264" w:lineRule="auto"/>
        <w:tabs>
          <w:tab w:leader="none" w:pos="333" w:val="left"/>
        </w:tabs>
        <w:numPr>
          <w:ilvl w:val="0"/>
          <w:numId w:val="70"/>
        </w:numPr>
        <w:rPr>
          <w:rFonts w:ascii="Arial" w:cs="Arial" w:eastAsia="Arial" w:hAnsi="Arial"/>
          <w:sz w:val="9"/>
          <w:szCs w:val="9"/>
          <w:color w:val="auto"/>
        </w:rPr>
      </w:pPr>
      <w:r>
        <w:rPr>
          <w:rFonts w:ascii="Arial" w:cs="Arial" w:eastAsia="Arial" w:hAnsi="Arial"/>
          <w:sz w:val="14"/>
          <w:szCs w:val="14"/>
          <w:color w:val="auto"/>
        </w:rPr>
        <w:t>Mr. Regan received a one-time advisory fee cash payment of $250,000 in December 2025 in connection with his continued service as a non-executive employee of the company to ensure a smooth transition. Mr. Regan did not otherwise receive any other compensation in connection with his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Grants of Plan-Based Awards in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140970</wp:posOffset>
            </wp:positionV>
            <wp:extent cx="4509135" cy="2185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09135" cy="218567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8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3440" w:type="dxa"/>
            <w:vAlign w:val="bottom"/>
            <w:gridSpan w:val="3"/>
            <w:shd w:val="clear" w:color="auto" w:fill="0063A6"/>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480" w:type="dxa"/>
            <w:vAlign w:val="bottom"/>
            <w:shd w:val="clear" w:color="auto" w:fill="0063A6"/>
          </w:tcPr>
          <w:p>
            <w:pPr>
              <w:spacing w:after="0"/>
              <w:rPr>
                <w:sz w:val="22"/>
                <w:szCs w:val="22"/>
                <w:color w:val="auto"/>
              </w:rPr>
            </w:pPr>
          </w:p>
        </w:tc>
      </w:tr>
      <w:tr>
        <w:trPr>
          <w:trHeight w:val="166"/>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Stock</w:t>
            </w:r>
          </w:p>
        </w:tc>
        <w:tc>
          <w:tcPr>
            <w:tcW w:w="1480" w:type="dxa"/>
            <w:vAlign w:val="bottom"/>
            <w:shd w:val="clear" w:color="auto" w:fill="0063A6"/>
          </w:tcPr>
          <w:p>
            <w:pPr>
              <w:spacing w:after="0"/>
              <w:rPr>
                <w:sz w:val="14"/>
                <w:szCs w:val="14"/>
                <w:color w:val="auto"/>
              </w:rPr>
            </w:pPr>
          </w:p>
        </w:tc>
      </w:tr>
      <w:tr>
        <w:trPr>
          <w:trHeight w:val="171"/>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line="171" w:lineRule="exact"/>
              <w:rPr>
                <w:sz w:val="20"/>
                <w:szCs w:val="20"/>
                <w:color w:val="auto"/>
              </w:rPr>
            </w:pPr>
            <w:r>
              <w:rPr>
                <w:rFonts w:ascii="Arial" w:cs="Arial" w:eastAsia="Arial" w:hAnsi="Arial"/>
                <w:sz w:val="14"/>
                <w:szCs w:val="14"/>
                <w:b w:val="1"/>
                <w:bCs w:val="1"/>
                <w:color w:val="FFFFFF"/>
                <w:w w:val="98"/>
              </w:rPr>
              <w:t>Plan Awards ($)</w:t>
            </w:r>
            <w:r>
              <w:rPr>
                <w:rFonts w:ascii="Arial" w:cs="Arial" w:eastAsia="Arial" w:hAnsi="Arial"/>
                <w:sz w:val="18"/>
                <w:szCs w:val="18"/>
                <w:b w:val="1"/>
                <w:bCs w:val="1"/>
                <w:color w:val="FFFFFF"/>
                <w:w w:val="98"/>
                <w:vertAlign w:val="superscript"/>
              </w:rPr>
              <w:t>(1)</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Awards:</w:t>
            </w:r>
          </w:p>
        </w:tc>
        <w:tc>
          <w:tcPr>
            <w:tcW w:w="14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Grant Date</w:t>
            </w:r>
          </w:p>
        </w:tc>
      </w:tr>
      <w:tr>
        <w:trPr>
          <w:trHeight w:val="153"/>
        </w:trPr>
        <w:tc>
          <w:tcPr>
            <w:tcW w:w="268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52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16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Number of</w:t>
            </w:r>
          </w:p>
        </w:tc>
        <w:tc>
          <w:tcPr>
            <w:tcW w:w="148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Fair Value of Stock</w:t>
            </w:r>
          </w:p>
        </w:tc>
      </w:tr>
      <w:tr>
        <w:trPr>
          <w:trHeight w:val="246"/>
        </w:trPr>
        <w:tc>
          <w:tcPr>
            <w:tcW w:w="26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bottom w:val="single" w:sz="8" w:color="0063A6"/>
            </w:tcBorders>
            <w:shd w:val="clear" w:color="auto" w:fill="0063A6"/>
          </w:tcPr>
          <w:p>
            <w:pPr>
              <w:ind w:left="260"/>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ind w:left="140"/>
              <w:spacing w:after="0"/>
              <w:rPr>
                <w:sz w:val="20"/>
                <w:szCs w:val="20"/>
                <w:color w:val="auto"/>
              </w:rPr>
            </w:pPr>
            <w:r>
              <w:rPr>
                <w:rFonts w:ascii="Arial" w:cs="Arial" w:eastAsia="Arial" w:hAnsi="Arial"/>
                <w:sz w:val="14"/>
                <w:szCs w:val="14"/>
                <w:b w:val="1"/>
                <w:bCs w:val="1"/>
                <w:color w:val="FFFFFF"/>
              </w:rPr>
              <w:t>Approval Date</w:t>
            </w:r>
          </w:p>
        </w:tc>
        <w:tc>
          <w:tcPr>
            <w:tcW w:w="960" w:type="dxa"/>
            <w:vAlign w:val="bottom"/>
            <w:tcBorders>
              <w:bottom w:val="single" w:sz="8" w:color="0063A6"/>
            </w:tcBorders>
            <w:shd w:val="clear" w:color="auto" w:fill="0063A6"/>
          </w:tcPr>
          <w:p>
            <w:pPr>
              <w:ind w:left="240"/>
              <w:spacing w:after="0"/>
              <w:rPr>
                <w:sz w:val="20"/>
                <w:szCs w:val="20"/>
                <w:color w:val="auto"/>
              </w:rPr>
            </w:pPr>
            <w:r>
              <w:rPr>
                <w:rFonts w:ascii="Arial" w:cs="Arial" w:eastAsia="Arial" w:hAnsi="Arial"/>
                <w:sz w:val="14"/>
                <w:szCs w:val="14"/>
                <w:b w:val="1"/>
                <w:bCs w:val="1"/>
                <w:color w:val="FFFFFF"/>
              </w:rPr>
              <w:t>Threshold</w:t>
            </w:r>
          </w:p>
        </w:tc>
        <w:tc>
          <w:tcPr>
            <w:tcW w:w="15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9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Maximum</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Awards ($)</w:t>
            </w:r>
            <w:r>
              <w:rPr>
                <w:rFonts w:ascii="Arial" w:cs="Arial" w:eastAsia="Arial" w:hAnsi="Arial"/>
                <w:sz w:val="18"/>
                <w:szCs w:val="18"/>
                <w:b w:val="1"/>
                <w:bCs w:val="1"/>
                <w:color w:val="FFFFFF"/>
                <w:w w:val="97"/>
                <w:vertAlign w:val="superscript"/>
              </w:rPr>
              <w:t>(2)</w:t>
            </w:r>
          </w:p>
        </w:tc>
      </w:tr>
      <w:tr>
        <w:trPr>
          <w:trHeight w:val="223"/>
        </w:trPr>
        <w:tc>
          <w:tcPr>
            <w:tcW w:w="2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rPr>
              <w:t>200,000</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rPr>
              <w:t>1,500,000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8"/>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5"/>
        </w:trPr>
        <w:tc>
          <w:tcPr>
            <w:tcW w:w="26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left="121"/>
              <w:spacing w:after="0"/>
              <w:rPr>
                <w:sz w:val="20"/>
                <w:szCs w:val="20"/>
                <w:color w:val="auto"/>
              </w:rPr>
            </w:pPr>
            <w:r>
              <w:rPr>
                <w:rFonts w:ascii="Arial" w:cs="Arial" w:eastAsia="Arial" w:hAnsi="Arial"/>
                <w:sz w:val="16"/>
                <w:szCs w:val="16"/>
                <w:color w:val="auto"/>
                <w:w w:val="96"/>
              </w:rPr>
              <w:t>119,000</w:t>
            </w:r>
          </w:p>
        </w:tc>
        <w:tc>
          <w:tcPr>
            <w:tcW w:w="1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476,000</w:t>
            </w:r>
          </w:p>
        </w:tc>
        <w:tc>
          <w:tcPr>
            <w:tcW w:w="96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892,500</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51"/>
        </w:trPr>
        <w:tc>
          <w:tcPr>
            <w:tcW w:w="2680" w:type="dxa"/>
            <w:vAlign w:val="bottom"/>
            <w:tcBorders>
              <w:bottom w:val="single" w:sz="8" w:color="F2F2F2"/>
            </w:tcBorders>
            <w:shd w:val="clear" w:color="auto" w:fill="F2F2F2"/>
          </w:tcPr>
          <w:p>
            <w:pPr>
              <w:spacing w:after="0"/>
              <w:rPr>
                <w:sz w:val="21"/>
                <w:szCs w:val="21"/>
                <w:color w:val="auto"/>
              </w:rPr>
            </w:pP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3/5/2025</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209,777</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5,603,144</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41"/>
              <w:spacing w:after="0"/>
              <w:rPr>
                <w:sz w:val="20"/>
                <w:szCs w:val="20"/>
                <w:color w:val="auto"/>
              </w:rPr>
            </w:pPr>
            <w:r>
              <w:rPr>
                <w:rFonts w:ascii="Arial" w:cs="Arial" w:eastAsia="Arial" w:hAnsi="Arial"/>
                <w:sz w:val="16"/>
                <w:szCs w:val="16"/>
                <w:color w:val="auto"/>
              </w:rPr>
              <w:t>80,047</w:t>
            </w:r>
          </w:p>
        </w:tc>
        <w:tc>
          <w:tcPr>
            <w:tcW w:w="1520" w:type="dxa"/>
            <w:vAlign w:val="bottom"/>
          </w:tcPr>
          <w:p>
            <w:pPr>
              <w:jc w:val="center"/>
              <w:spacing w:after="0"/>
              <w:rPr>
                <w:sz w:val="20"/>
                <w:szCs w:val="20"/>
                <w:color w:val="auto"/>
              </w:rPr>
            </w:pPr>
            <w:r>
              <w:rPr>
                <w:rFonts w:ascii="Arial" w:cs="Arial" w:eastAsia="Arial" w:hAnsi="Arial"/>
                <w:sz w:val="16"/>
                <w:szCs w:val="16"/>
                <w:color w:val="auto"/>
              </w:rPr>
              <w:t>320,188</w:t>
            </w:r>
          </w:p>
        </w:tc>
        <w:tc>
          <w:tcPr>
            <w:tcW w:w="960" w:type="dxa"/>
            <w:vAlign w:val="bottom"/>
          </w:tcPr>
          <w:p>
            <w:pPr>
              <w:jc w:val="center"/>
              <w:ind w:right="100"/>
              <w:spacing w:after="0"/>
              <w:rPr>
                <w:sz w:val="20"/>
                <w:szCs w:val="20"/>
                <w:color w:val="auto"/>
              </w:rPr>
            </w:pPr>
            <w:r>
              <w:rPr>
                <w:rFonts w:ascii="Arial" w:cs="Arial" w:eastAsia="Arial" w:hAnsi="Arial"/>
                <w:sz w:val="16"/>
                <w:szCs w:val="16"/>
                <w:color w:val="auto"/>
              </w:rPr>
              <w:t>600,353</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Pr>
          <w:p>
            <w:pPr>
              <w:jc w:val="center"/>
              <w:spacing w:after="0"/>
              <w:rPr>
                <w:sz w:val="20"/>
                <w:szCs w:val="20"/>
                <w:color w:val="auto"/>
              </w:rPr>
            </w:pPr>
            <w:r>
              <w:rPr>
                <w:rFonts w:ascii="Arial" w:cs="Arial" w:eastAsia="Arial" w:hAnsi="Arial"/>
                <w:sz w:val="16"/>
                <w:szCs w:val="16"/>
                <w:color w:val="auto"/>
              </w:rPr>
              <w:t>3/6/2025</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190,706</w:t>
            </w:r>
          </w:p>
        </w:tc>
        <w:tc>
          <w:tcPr>
            <w:tcW w:w="1480" w:type="dxa"/>
            <w:vAlign w:val="bottom"/>
          </w:tcPr>
          <w:p>
            <w:pPr>
              <w:jc w:val="center"/>
              <w:spacing w:after="0"/>
              <w:rPr>
                <w:sz w:val="20"/>
                <w:szCs w:val="20"/>
                <w:color w:val="auto"/>
              </w:rPr>
            </w:pPr>
            <w:r>
              <w:rPr>
                <w:rFonts w:ascii="Arial" w:cs="Arial" w:eastAsia="Arial" w:hAnsi="Arial"/>
                <w:sz w:val="16"/>
                <w:szCs w:val="16"/>
                <w:color w:val="auto"/>
              </w:rPr>
              <w:t>5,093,757</w:t>
            </w:r>
          </w:p>
        </w:tc>
      </w:tr>
      <w:tr>
        <w:trPr>
          <w:trHeight w:val="29"/>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5"/>
        </w:trPr>
        <w:tc>
          <w:tcPr>
            <w:tcW w:w="26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left="141"/>
              <w:spacing w:after="0"/>
              <w:rPr>
                <w:sz w:val="20"/>
                <w:szCs w:val="20"/>
                <w:color w:val="auto"/>
              </w:rPr>
            </w:pPr>
            <w:r>
              <w:rPr>
                <w:rFonts w:ascii="Arial" w:cs="Arial" w:eastAsia="Arial" w:hAnsi="Arial"/>
                <w:sz w:val="16"/>
                <w:szCs w:val="16"/>
                <w:color w:val="auto"/>
              </w:rPr>
              <w:t>104,110</w:t>
            </w:r>
          </w:p>
        </w:tc>
        <w:tc>
          <w:tcPr>
            <w:tcW w:w="152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416,438</w:t>
            </w:r>
          </w:p>
        </w:tc>
        <w:tc>
          <w:tcPr>
            <w:tcW w:w="960" w:type="dxa"/>
            <w:vAlign w:val="bottom"/>
            <w:shd w:val="clear" w:color="auto" w:fill="F2F2F2"/>
          </w:tcPr>
          <w:p>
            <w:pPr>
              <w:jc w:val="center"/>
              <w:ind w:right="100"/>
              <w:spacing w:after="0"/>
              <w:rPr>
                <w:sz w:val="20"/>
                <w:szCs w:val="20"/>
                <w:color w:val="auto"/>
              </w:rPr>
            </w:pPr>
            <w:r>
              <w:rPr>
                <w:rFonts w:ascii="Arial" w:cs="Arial" w:eastAsia="Arial" w:hAnsi="Arial"/>
                <w:sz w:val="16"/>
                <w:szCs w:val="16"/>
                <w:color w:val="auto"/>
              </w:rPr>
              <w:t>780,821</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51"/>
        </w:trPr>
        <w:tc>
          <w:tcPr>
            <w:tcW w:w="2680" w:type="dxa"/>
            <w:vAlign w:val="bottom"/>
            <w:tcBorders>
              <w:bottom w:val="single" w:sz="8" w:color="F2F2F2"/>
            </w:tcBorders>
            <w:shd w:val="clear" w:color="auto" w:fill="F2F2F2"/>
          </w:tcPr>
          <w:p>
            <w:pPr>
              <w:spacing w:after="0"/>
              <w:rPr>
                <w:sz w:val="21"/>
                <w:szCs w:val="21"/>
                <w:color w:val="auto"/>
              </w:rPr>
            </w:pP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4/1/2025</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3/5/2025</w:t>
            </w:r>
          </w:p>
        </w:tc>
        <w:tc>
          <w:tcPr>
            <w:tcW w:w="960" w:type="dxa"/>
            <w:vAlign w:val="bottom"/>
            <w:tcBorders>
              <w:bottom w:val="single" w:sz="8" w:color="F2F2F2"/>
            </w:tcBorders>
            <w:shd w:val="clear" w:color="auto" w:fill="F2F2F2"/>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610,260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16,300,045</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41"/>
              <w:spacing w:after="0"/>
              <w:rPr>
                <w:sz w:val="20"/>
                <w:szCs w:val="20"/>
                <w:color w:val="auto"/>
              </w:rPr>
            </w:pPr>
            <w:r>
              <w:rPr>
                <w:rFonts w:ascii="Arial" w:cs="Arial" w:eastAsia="Arial" w:hAnsi="Arial"/>
                <w:sz w:val="16"/>
                <w:szCs w:val="16"/>
                <w:color w:val="auto"/>
              </w:rPr>
              <w:t>125,000</w:t>
            </w:r>
          </w:p>
        </w:tc>
        <w:tc>
          <w:tcPr>
            <w:tcW w:w="1520" w:type="dxa"/>
            <w:vAlign w:val="bottom"/>
          </w:tcPr>
          <w:p>
            <w:pPr>
              <w:jc w:val="center"/>
              <w:spacing w:after="0"/>
              <w:rPr>
                <w:sz w:val="20"/>
                <w:szCs w:val="20"/>
                <w:color w:val="auto"/>
              </w:rPr>
            </w:pPr>
            <w:r>
              <w:rPr>
                <w:rFonts w:ascii="Arial" w:cs="Arial" w:eastAsia="Arial" w:hAnsi="Arial"/>
                <w:sz w:val="16"/>
                <w:szCs w:val="16"/>
                <w:color w:val="auto"/>
              </w:rPr>
              <w:t>500,000</w:t>
            </w:r>
          </w:p>
        </w:tc>
        <w:tc>
          <w:tcPr>
            <w:tcW w:w="960" w:type="dxa"/>
            <w:vAlign w:val="bottom"/>
          </w:tcPr>
          <w:p>
            <w:pPr>
              <w:jc w:val="center"/>
              <w:ind w:right="100"/>
              <w:spacing w:after="0"/>
              <w:rPr>
                <w:sz w:val="20"/>
                <w:szCs w:val="20"/>
                <w:color w:val="auto"/>
              </w:rPr>
            </w:pPr>
            <w:r>
              <w:rPr>
                <w:rFonts w:ascii="Arial" w:cs="Arial" w:eastAsia="Arial" w:hAnsi="Arial"/>
                <w:sz w:val="16"/>
                <w:szCs w:val="16"/>
                <w:color w:val="auto"/>
              </w:rPr>
              <w:t>937,500</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1/1/2025</w:t>
            </w:r>
          </w:p>
        </w:tc>
        <w:tc>
          <w:tcPr>
            <w:tcW w:w="1240" w:type="dxa"/>
            <w:vAlign w:val="bottom"/>
          </w:tcPr>
          <w:p>
            <w:pPr>
              <w:jc w:val="center"/>
              <w:spacing w:after="0"/>
              <w:rPr>
                <w:sz w:val="20"/>
                <w:szCs w:val="20"/>
                <w:color w:val="auto"/>
              </w:rPr>
            </w:pPr>
            <w:r>
              <w:rPr>
                <w:rFonts w:ascii="Arial" w:cs="Arial" w:eastAsia="Arial" w:hAnsi="Arial"/>
                <w:sz w:val="16"/>
                <w:szCs w:val="16"/>
                <w:color w:val="auto"/>
              </w:rPr>
              <w:t>12/9/2024</w:t>
            </w:r>
          </w:p>
        </w:tc>
        <w:tc>
          <w:tcPr>
            <w:tcW w:w="960" w:type="dxa"/>
            <w:vAlign w:val="bottom"/>
          </w:tcPr>
          <w:p>
            <w:pPr>
              <w:jc w:val="center"/>
              <w:ind w:left="121"/>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537,936</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16,159,597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-598170</wp:posOffset>
            </wp:positionV>
            <wp:extent cx="1714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-598170</wp:posOffset>
            </wp:positionV>
            <wp:extent cx="1714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-598170</wp:posOffset>
            </wp:positionV>
            <wp:extent cx="1714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-598170</wp:posOffset>
            </wp:positionV>
            <wp:extent cx="1714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-1369695</wp:posOffset>
            </wp:positionV>
            <wp:extent cx="17145"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308610"/>
                    </a:xfrm>
                    <a:prstGeom prst="rect">
                      <a:avLst/>
                    </a:prstGeom>
                    <a:noFill/>
                  </pic:spPr>
                </pic:pic>
              </a:graphicData>
            </a:graphic>
          </wp:anchor>
        </w:drawing>
      </w:r>
    </w:p>
    <w:p>
      <w:pPr>
        <w:spacing w:after="0" w:line="81" w:lineRule="exact"/>
        <w:rPr>
          <w:sz w:val="20"/>
          <w:szCs w:val="20"/>
          <w:color w:val="auto"/>
        </w:rPr>
      </w:pPr>
    </w:p>
    <w:p>
      <w:pPr>
        <w:ind w:left="340" w:right="220" w:hanging="332"/>
        <w:spacing w:after="0" w:line="222" w:lineRule="auto"/>
        <w:tabs>
          <w:tab w:leader="none" w:pos="333"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Each of these grants was made pursuant to our 2025 Cash Bonus Plan, as described in greater detail under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 – Annual Cash Bonuses</w:t>
      </w:r>
      <w:r>
        <w:rPr>
          <w:rFonts w:ascii="Arial" w:cs="Arial" w:eastAsia="Arial" w:hAnsi="Arial"/>
          <w:sz w:val="14"/>
          <w:szCs w:val="14"/>
          <w:color w:val="auto"/>
        </w:rPr>
        <w:t>” above.</w:t>
      </w:r>
    </w:p>
    <w:p>
      <w:pPr>
        <w:ind w:left="340" w:right="20" w:hanging="332"/>
        <w:spacing w:after="0" w:line="213" w:lineRule="auto"/>
        <w:tabs>
          <w:tab w:leader="none" w:pos="333"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 w:hanging="554"/>
        <w:spacing w:after="0"/>
        <w:tabs>
          <w:tab w:leader="none" w:pos="5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Outstanding Equity Awards at 2025 Year-End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9317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080" w:type="dxa"/>
            <w:vAlign w:val="bottom"/>
            <w:shd w:val="clear" w:color="auto" w:fill="0063A6"/>
          </w:tcPr>
          <w:p>
            <w:pPr>
              <w:spacing w:after="0"/>
              <w:rPr>
                <w:sz w:val="24"/>
                <w:szCs w:val="24"/>
                <w:color w:val="auto"/>
              </w:rPr>
            </w:pPr>
          </w:p>
        </w:tc>
        <w:tc>
          <w:tcPr>
            <w:tcW w:w="560" w:type="dxa"/>
            <w:vAlign w:val="bottom"/>
            <w:shd w:val="clear" w:color="auto" w:fill="0063A6"/>
          </w:tcPr>
          <w:p>
            <w:pPr>
              <w:spacing w:after="0"/>
              <w:rPr>
                <w:sz w:val="24"/>
                <w:szCs w:val="24"/>
                <w:color w:val="auto"/>
              </w:rPr>
            </w:pPr>
          </w:p>
        </w:tc>
        <w:tc>
          <w:tcPr>
            <w:tcW w:w="6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2600" w:type="dxa"/>
            <w:vAlign w:val="bottom"/>
            <w:gridSpan w:val="2"/>
            <w:shd w:val="clear" w:color="auto" w:fill="0063A6"/>
          </w:tcPr>
          <w:p>
            <w:pPr>
              <w:ind w:left="800"/>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0063A6"/>
          </w:tcPr>
          <w:p>
            <w:pPr>
              <w:spacing w:after="0"/>
              <w:rPr>
                <w:sz w:val="24"/>
                <w:szCs w:val="24"/>
                <w:color w:val="auto"/>
              </w:rPr>
            </w:pPr>
          </w:p>
        </w:tc>
        <w:tc>
          <w:tcPr>
            <w:tcW w:w="1160" w:type="dxa"/>
            <w:vAlign w:val="bottom"/>
            <w:shd w:val="clear" w:color="auto" w:fill="0063A6"/>
          </w:tcPr>
          <w:p>
            <w:pPr>
              <w:spacing w:after="0"/>
              <w:rPr>
                <w:sz w:val="24"/>
                <w:szCs w:val="24"/>
                <w:color w:val="auto"/>
              </w:rPr>
            </w:pPr>
          </w:p>
        </w:tc>
        <w:tc>
          <w:tcPr>
            <w:tcW w:w="3020" w:type="dxa"/>
            <w:vAlign w:val="bottom"/>
            <w:gridSpan w:val="2"/>
            <w:shd w:val="clear" w:color="auto" w:fill="0063A6"/>
          </w:tcPr>
          <w:p>
            <w:pPr>
              <w:jc w:val="right"/>
              <w:ind w:right="1022"/>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303"/>
        </w:trPr>
        <w:tc>
          <w:tcPr>
            <w:tcW w:w="2080" w:type="dxa"/>
            <w:vAlign w:val="bottom"/>
            <w:shd w:val="clear" w:color="auto" w:fill="0063A6"/>
          </w:tcPr>
          <w:p>
            <w:pPr>
              <w:spacing w:after="0"/>
              <w:rPr>
                <w:sz w:val="24"/>
                <w:szCs w:val="24"/>
                <w:color w:val="auto"/>
              </w:rPr>
            </w:pPr>
          </w:p>
        </w:tc>
        <w:tc>
          <w:tcPr>
            <w:tcW w:w="560" w:type="dxa"/>
            <w:vAlign w:val="bottom"/>
            <w:shd w:val="clear" w:color="auto" w:fill="0063A6"/>
          </w:tcPr>
          <w:p>
            <w:pPr>
              <w:spacing w:after="0"/>
              <w:rPr>
                <w:sz w:val="24"/>
                <w:szCs w:val="24"/>
                <w:color w:val="auto"/>
              </w:rPr>
            </w:pPr>
          </w:p>
        </w:tc>
        <w:tc>
          <w:tcPr>
            <w:tcW w:w="6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0063A6"/>
          </w:tcPr>
          <w:p>
            <w:pPr>
              <w:spacing w:after="0"/>
              <w:rPr>
                <w:sz w:val="24"/>
                <w:szCs w:val="24"/>
                <w:color w:val="auto"/>
              </w:rPr>
            </w:pPr>
          </w:p>
        </w:tc>
        <w:tc>
          <w:tcPr>
            <w:tcW w:w="1160" w:type="dxa"/>
            <w:vAlign w:val="bottom"/>
            <w:shd w:val="clear" w:color="auto" w:fill="0063A6"/>
          </w:tcPr>
          <w:p>
            <w:pPr>
              <w:spacing w:after="0"/>
              <w:rPr>
                <w:sz w:val="24"/>
                <w:szCs w:val="24"/>
                <w:color w:val="auto"/>
              </w:rPr>
            </w:pPr>
          </w:p>
        </w:tc>
        <w:tc>
          <w:tcPr>
            <w:tcW w:w="1600" w:type="dxa"/>
            <w:vAlign w:val="bottom"/>
            <w:shd w:val="clear" w:color="auto" w:fill="0063A6"/>
          </w:tcPr>
          <w:p>
            <w:pPr>
              <w:spacing w:after="0"/>
              <w:rPr>
                <w:sz w:val="24"/>
                <w:szCs w:val="24"/>
                <w:color w:val="auto"/>
              </w:rPr>
            </w:pPr>
          </w:p>
        </w:tc>
        <w:tc>
          <w:tcPr>
            <w:tcW w:w="14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0063A6"/>
          </w:tcPr>
          <w:p>
            <w:pPr>
              <w:spacing w:after="0"/>
              <w:rPr>
                <w:sz w:val="15"/>
                <w:szCs w:val="15"/>
                <w:color w:val="auto"/>
              </w:rPr>
            </w:pPr>
          </w:p>
        </w:tc>
        <w:tc>
          <w:tcPr>
            <w:tcW w:w="560" w:type="dxa"/>
            <w:vAlign w:val="bottom"/>
            <w:shd w:val="clear" w:color="auto" w:fill="0063A6"/>
          </w:tcPr>
          <w:p>
            <w:pPr>
              <w:spacing w:after="0"/>
              <w:rPr>
                <w:sz w:val="15"/>
                <w:szCs w:val="15"/>
                <w:color w:val="auto"/>
              </w:rPr>
            </w:pPr>
          </w:p>
        </w:tc>
        <w:tc>
          <w:tcPr>
            <w:tcW w:w="640" w:type="dxa"/>
            <w:vAlign w:val="bottom"/>
            <w:shd w:val="clear" w:color="auto" w:fill="0063A6"/>
          </w:tcPr>
          <w:p>
            <w:pPr>
              <w:spacing w:after="0"/>
              <w:rPr>
                <w:sz w:val="15"/>
                <w:szCs w:val="15"/>
                <w:color w:val="auto"/>
              </w:rPr>
            </w:pPr>
          </w:p>
        </w:tc>
        <w:tc>
          <w:tcPr>
            <w:tcW w:w="160" w:type="dxa"/>
            <w:vAlign w:val="bottom"/>
            <w:shd w:val="clear" w:color="auto" w:fill="0063A6"/>
          </w:tcPr>
          <w:p>
            <w:pPr>
              <w:spacing w:after="0"/>
              <w:rPr>
                <w:sz w:val="15"/>
                <w:szCs w:val="15"/>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020" w:type="dxa"/>
            <w:vAlign w:val="bottom"/>
            <w:shd w:val="clear" w:color="auto" w:fill="0063A6"/>
          </w:tcPr>
          <w:p>
            <w:pPr>
              <w:spacing w:after="0"/>
              <w:rPr>
                <w:sz w:val="15"/>
                <w:szCs w:val="15"/>
                <w:color w:val="auto"/>
              </w:rPr>
            </w:pPr>
          </w:p>
        </w:tc>
        <w:tc>
          <w:tcPr>
            <w:tcW w:w="1160" w:type="dxa"/>
            <w:vAlign w:val="bottom"/>
            <w:shd w:val="clear" w:color="auto" w:fill="0063A6"/>
          </w:tcPr>
          <w:p>
            <w:pPr>
              <w:spacing w:after="0"/>
              <w:rPr>
                <w:sz w:val="15"/>
                <w:szCs w:val="15"/>
                <w:color w:val="auto"/>
              </w:rPr>
            </w:pPr>
          </w:p>
        </w:tc>
        <w:tc>
          <w:tcPr>
            <w:tcW w:w="1600" w:type="dxa"/>
            <w:vAlign w:val="bottom"/>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Number of</w:t>
            </w:r>
          </w:p>
        </w:tc>
        <w:tc>
          <w:tcPr>
            <w:tcW w:w="14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020" w:type="dxa"/>
            <w:vAlign w:val="bottom"/>
            <w:shd w:val="clear" w:color="auto" w:fill="0063A6"/>
          </w:tcPr>
          <w:p>
            <w:pPr>
              <w:spacing w:after="0"/>
              <w:rPr>
                <w:sz w:val="14"/>
                <w:szCs w:val="14"/>
                <w:color w:val="auto"/>
              </w:rPr>
            </w:pPr>
          </w:p>
        </w:tc>
        <w:tc>
          <w:tcPr>
            <w:tcW w:w="1160" w:type="dxa"/>
            <w:vAlign w:val="bottom"/>
            <w:shd w:val="clear" w:color="auto" w:fill="0063A6"/>
          </w:tcPr>
          <w:p>
            <w:pPr>
              <w:spacing w:after="0"/>
              <w:rPr>
                <w:sz w:val="14"/>
                <w:szCs w:val="14"/>
                <w:color w:val="auto"/>
              </w:rPr>
            </w:pPr>
          </w:p>
        </w:tc>
        <w:tc>
          <w:tcPr>
            <w:tcW w:w="1600" w:type="dxa"/>
            <w:vAlign w:val="bottom"/>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shares or</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of shares or</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0063A6"/>
          </w:tcPr>
          <w:p>
            <w:pPr>
              <w:jc w:val="center"/>
              <w:ind w:right="81"/>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units of stock</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560" w:type="dxa"/>
            <w:vAlign w:val="bottom"/>
            <w:shd w:val="clear" w:color="auto" w:fill="0063A6"/>
          </w:tcPr>
          <w:p>
            <w:pPr>
              <w:spacing w:after="0"/>
              <w:rPr>
                <w:sz w:val="14"/>
                <w:szCs w:val="14"/>
                <w:color w:val="auto"/>
              </w:rPr>
            </w:pPr>
          </w:p>
        </w:tc>
        <w:tc>
          <w:tcPr>
            <w:tcW w:w="6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w:t>
            </w:r>
          </w:p>
        </w:tc>
        <w:tc>
          <w:tcPr>
            <w:tcW w:w="1160" w:type="dxa"/>
            <w:vAlign w:val="bottom"/>
            <w:shd w:val="clear" w:color="auto" w:fill="0063A6"/>
          </w:tcPr>
          <w:p>
            <w:pPr>
              <w:jc w:val="center"/>
              <w:ind w:right="81"/>
              <w:spacing w:after="0"/>
              <w:rPr>
                <w:sz w:val="20"/>
                <w:szCs w:val="20"/>
                <w:color w:val="auto"/>
              </w:rPr>
            </w:pPr>
            <w:r>
              <w:rPr>
                <w:rFonts w:ascii="Arial" w:cs="Arial" w:eastAsia="Arial" w:hAnsi="Arial"/>
                <w:sz w:val="14"/>
                <w:szCs w:val="14"/>
                <w:b w:val="1"/>
                <w:bCs w:val="1"/>
                <w:color w:val="FFFFFF"/>
              </w:rPr>
              <w:t>Expiration</w:t>
            </w: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that have not</w:t>
            </w:r>
          </w:p>
        </w:tc>
        <w:tc>
          <w:tcPr>
            <w:tcW w:w="1420" w:type="dxa"/>
            <w:vAlign w:val="bottom"/>
            <w:shd w:val="clear" w:color="auto" w:fill="0063A6"/>
          </w:tcPr>
          <w:p>
            <w:pPr>
              <w:jc w:val="center"/>
              <w:ind w:left="2"/>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246"/>
        </w:trPr>
        <w:tc>
          <w:tcPr>
            <w:tcW w:w="2080" w:type="dxa"/>
            <w:vAlign w:val="bottom"/>
            <w:tcBorders>
              <w:bottom w:val="single" w:sz="8" w:color="0063A6"/>
            </w:tcBorders>
            <w:shd w:val="clear" w:color="auto" w:fill="0063A6"/>
          </w:tcPr>
          <w:p>
            <w:pPr>
              <w:ind w:left="84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0063A6"/>
            </w:tcBorders>
            <w:gridSpan w:val="3"/>
            <w:shd w:val="clear" w:color="auto" w:fill="0063A6"/>
          </w:tcPr>
          <w:p>
            <w:pPr>
              <w:jc w:val="right"/>
              <w:ind w:right="267"/>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Unexercisable</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Price ($)</w:t>
            </w:r>
          </w:p>
        </w:tc>
        <w:tc>
          <w:tcPr>
            <w:tcW w:w="1160" w:type="dxa"/>
            <w:vAlign w:val="bottom"/>
            <w:tcBorders>
              <w:bottom w:val="single" w:sz="8" w:color="0063A6"/>
            </w:tcBorders>
            <w:shd w:val="clear" w:color="auto" w:fill="0063A6"/>
          </w:tcPr>
          <w:p>
            <w:pPr>
              <w:jc w:val="center"/>
              <w:ind w:right="41"/>
              <w:spacing w:after="0"/>
              <w:rPr>
                <w:sz w:val="20"/>
                <w:szCs w:val="20"/>
                <w:color w:val="auto"/>
              </w:rPr>
            </w:pPr>
            <w:r>
              <w:rPr>
                <w:rFonts w:ascii="Arial" w:cs="Arial" w:eastAsia="Arial" w:hAnsi="Arial"/>
                <w:sz w:val="14"/>
                <w:szCs w:val="14"/>
                <w:b w:val="1"/>
                <w:bCs w:val="1"/>
                <w:color w:val="FFFFFF"/>
              </w:rPr>
              <w:t>Date</w:t>
            </w:r>
          </w:p>
        </w:tc>
        <w:tc>
          <w:tcPr>
            <w:tcW w:w="1600" w:type="dxa"/>
            <w:vAlign w:val="bottom"/>
            <w:tcBorders>
              <w:bottom w:val="single" w:sz="8" w:color="0063A6"/>
            </w:tcBorders>
            <w:shd w:val="clear" w:color="auto" w:fill="0063A6"/>
          </w:tcPr>
          <w:p>
            <w:pPr>
              <w:jc w:val="center"/>
              <w:ind w:right="2"/>
              <w:spacing w:after="0"/>
              <w:rPr>
                <w:sz w:val="20"/>
                <w:szCs w:val="20"/>
                <w:color w:val="auto"/>
              </w:rPr>
            </w:pPr>
            <w:r>
              <w:rPr>
                <w:rFonts w:ascii="Arial" w:cs="Arial" w:eastAsia="Arial" w:hAnsi="Arial"/>
                <w:sz w:val="14"/>
                <w:szCs w:val="14"/>
                <w:b w:val="1"/>
                <w:bCs w:val="1"/>
                <w:color w:val="FFFFFF"/>
              </w:rPr>
              <w:t>vested (#)</w:t>
            </w:r>
          </w:p>
        </w:tc>
        <w:tc>
          <w:tcPr>
            <w:tcW w:w="1420" w:type="dxa"/>
            <w:vAlign w:val="bottom"/>
            <w:tcBorders>
              <w:bottom w:val="single" w:sz="8" w:color="0063A6"/>
            </w:tcBorders>
            <w:shd w:val="clear" w:color="auto" w:fill="0063A6"/>
          </w:tcPr>
          <w:p>
            <w:pPr>
              <w:jc w:val="center"/>
              <w:ind w:left="2"/>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18"/>
                <w:szCs w:val="18"/>
                <w:b w:val="1"/>
                <w:bCs w:val="1"/>
                <w:color w:val="FFFFFF"/>
                <w:w w:val="97"/>
                <w:vertAlign w:val="superscript"/>
              </w:rPr>
              <w:t>(1)</w:t>
            </w:r>
          </w:p>
        </w:tc>
        <w:tc>
          <w:tcPr>
            <w:tcW w:w="0" w:type="dxa"/>
            <w:vAlign w:val="bottom"/>
          </w:tcPr>
          <w:p>
            <w:pPr>
              <w:spacing w:after="0"/>
              <w:rPr>
                <w:sz w:val="1"/>
                <w:szCs w:val="1"/>
                <w:color w:val="auto"/>
              </w:rPr>
            </w:pPr>
          </w:p>
        </w:tc>
      </w:tr>
      <w:tr>
        <w:trPr>
          <w:trHeight w:val="223"/>
        </w:trPr>
        <w:tc>
          <w:tcPr>
            <w:tcW w:w="2080" w:type="dxa"/>
            <w:vAlign w:val="bottom"/>
            <w:vMerge w:val="restart"/>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560" w:type="dxa"/>
            <w:vAlign w:val="bottom"/>
            <w:shd w:val="clear" w:color="auto" w:fill="F2F2F2"/>
          </w:tcPr>
          <w:p>
            <w:pPr>
              <w:spacing w:after="0"/>
              <w:rPr>
                <w:sz w:val="19"/>
                <w:szCs w:val="19"/>
                <w:color w:val="auto"/>
              </w:rPr>
            </w:pPr>
          </w:p>
        </w:tc>
        <w:tc>
          <w:tcPr>
            <w:tcW w:w="640" w:type="dxa"/>
            <w:vAlign w:val="bottom"/>
            <w:vMerge w:val="restart"/>
            <w:shd w:val="clear" w:color="auto" w:fill="F2F2F2"/>
          </w:tcPr>
          <w:p>
            <w:pPr>
              <w:jc w:val="right"/>
              <w:spacing w:after="0"/>
              <w:rPr>
                <w:sz w:val="20"/>
                <w:szCs w:val="20"/>
                <w:color w:val="auto"/>
              </w:rPr>
            </w:pPr>
            <w:r>
              <w:rPr>
                <w:rFonts w:ascii="Arial" w:cs="Arial" w:eastAsia="Arial" w:hAnsi="Arial"/>
                <w:sz w:val="16"/>
                <w:szCs w:val="16"/>
                <w:color w:val="auto"/>
                <w:w w:val="99"/>
                <w:shd w:val="clear" w:color="auto" w:fill="F2F2F2"/>
              </w:rPr>
              <w:t>12/12/17</w:t>
            </w:r>
          </w:p>
        </w:tc>
        <w:tc>
          <w:tcPr>
            <w:tcW w:w="160" w:type="dxa"/>
            <w:vAlign w:val="bottom"/>
            <w:shd w:val="clear" w:color="auto" w:fill="F2F2F2"/>
          </w:tcPr>
          <w:p>
            <w:pPr>
              <w:jc w:val="right"/>
              <w:spacing w:after="0"/>
              <w:rPr>
                <w:sz w:val="20"/>
                <w:szCs w:val="20"/>
                <w:color w:val="auto"/>
              </w:rPr>
            </w:pPr>
            <w:r>
              <w:rPr>
                <w:rFonts w:ascii="Arial" w:cs="Arial" w:eastAsia="Arial" w:hAnsi="Arial"/>
                <w:sz w:val="11"/>
                <w:szCs w:val="11"/>
                <w:color w:val="auto"/>
                <w:w w:val="74"/>
                <w:shd w:val="clear" w:color="auto" w:fill="F2F2F2"/>
              </w:rPr>
              <w:t>(2)</w:t>
            </w:r>
          </w:p>
        </w:tc>
        <w:tc>
          <w:tcPr>
            <w:tcW w:w="124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vMerge w:val="restart"/>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vMerge w:val="restart"/>
            <w:shd w:val="clear" w:color="auto" w:fill="F2F2F2"/>
          </w:tcPr>
          <w:p>
            <w:pPr>
              <w:jc w:val="right"/>
              <w:ind w:right="182"/>
              <w:spacing w:after="0"/>
              <w:rPr>
                <w:sz w:val="20"/>
                <w:szCs w:val="20"/>
                <w:color w:val="auto"/>
              </w:rPr>
            </w:pPr>
            <w:r>
              <w:rPr>
                <w:rFonts w:ascii="Arial" w:cs="Arial" w:eastAsia="Arial" w:hAnsi="Arial"/>
                <w:sz w:val="16"/>
                <w:szCs w:val="16"/>
                <w:color w:val="auto"/>
              </w:rPr>
              <w:t>8,266,666</w:t>
            </w:r>
          </w:p>
        </w:tc>
        <w:tc>
          <w:tcPr>
            <w:tcW w:w="1420" w:type="dxa"/>
            <w:vAlign w:val="bottom"/>
            <w:vMerge w:val="restart"/>
            <w:shd w:val="clear" w:color="auto" w:fill="F2F2F2"/>
          </w:tcPr>
          <w:p>
            <w:pPr>
              <w:jc w:val="right"/>
              <w:ind w:right="2"/>
              <w:spacing w:after="0"/>
              <w:rPr>
                <w:sz w:val="20"/>
                <w:szCs w:val="20"/>
                <w:color w:val="auto"/>
              </w:rPr>
            </w:pPr>
            <w:r>
              <w:rPr>
                <w:rFonts w:ascii="Arial" w:cs="Arial" w:eastAsia="Arial" w:hAnsi="Arial"/>
                <w:sz w:val="16"/>
                <w:szCs w:val="16"/>
                <w:color w:val="auto"/>
              </w:rPr>
              <w:t>229,813,315</w:t>
            </w:r>
          </w:p>
        </w:tc>
        <w:tc>
          <w:tcPr>
            <w:tcW w:w="0" w:type="dxa"/>
            <w:vAlign w:val="bottom"/>
          </w:tcPr>
          <w:p>
            <w:pPr>
              <w:spacing w:after="0"/>
              <w:rPr>
                <w:sz w:val="1"/>
                <w:szCs w:val="1"/>
                <w:color w:val="auto"/>
              </w:rPr>
            </w:pPr>
          </w:p>
        </w:tc>
      </w:tr>
      <w:tr>
        <w:trPr>
          <w:trHeight w:val="74"/>
        </w:trPr>
        <w:tc>
          <w:tcPr>
            <w:tcW w:w="2080" w:type="dxa"/>
            <w:vAlign w:val="bottom"/>
            <w:vMerge w:val="continue"/>
            <w:shd w:val="clear" w:color="auto" w:fill="F2F2F2"/>
          </w:tcPr>
          <w:p>
            <w:pPr>
              <w:spacing w:after="0"/>
              <w:rPr>
                <w:sz w:val="6"/>
                <w:szCs w:val="6"/>
                <w:color w:val="auto"/>
              </w:rPr>
            </w:pPr>
          </w:p>
        </w:tc>
        <w:tc>
          <w:tcPr>
            <w:tcW w:w="560" w:type="dxa"/>
            <w:vAlign w:val="bottom"/>
            <w:shd w:val="clear" w:color="auto" w:fill="F2F2F2"/>
          </w:tcPr>
          <w:p>
            <w:pPr>
              <w:spacing w:after="0"/>
              <w:rPr>
                <w:sz w:val="6"/>
                <w:szCs w:val="6"/>
                <w:color w:val="auto"/>
              </w:rPr>
            </w:pPr>
          </w:p>
        </w:tc>
        <w:tc>
          <w:tcPr>
            <w:tcW w:w="640" w:type="dxa"/>
            <w:vAlign w:val="bottom"/>
            <w:vMerge w:val="continue"/>
            <w:shd w:val="clear" w:color="auto" w:fill="F2F2F2"/>
          </w:tcPr>
          <w:p>
            <w:pPr>
              <w:spacing w:after="0"/>
              <w:rPr>
                <w:sz w:val="6"/>
                <w:szCs w:val="6"/>
                <w:color w:val="auto"/>
              </w:rPr>
            </w:pPr>
          </w:p>
        </w:tc>
        <w:tc>
          <w:tcPr>
            <w:tcW w:w="160" w:type="dxa"/>
            <w:vAlign w:val="bottom"/>
            <w:shd w:val="clear" w:color="auto" w:fill="F2F2F2"/>
          </w:tcPr>
          <w:p>
            <w:pPr>
              <w:spacing w:after="0"/>
              <w:rPr>
                <w:sz w:val="6"/>
                <w:szCs w:val="6"/>
                <w:color w:val="auto"/>
              </w:rPr>
            </w:pPr>
          </w:p>
        </w:tc>
        <w:tc>
          <w:tcPr>
            <w:tcW w:w="1240" w:type="dxa"/>
            <w:vAlign w:val="bottom"/>
            <w:vMerge w:val="continue"/>
            <w:shd w:val="clear" w:color="auto" w:fill="F2F2F2"/>
          </w:tcPr>
          <w:p>
            <w:pPr>
              <w:spacing w:after="0"/>
              <w:rPr>
                <w:sz w:val="6"/>
                <w:szCs w:val="6"/>
                <w:color w:val="auto"/>
              </w:rPr>
            </w:pPr>
          </w:p>
        </w:tc>
        <w:tc>
          <w:tcPr>
            <w:tcW w:w="1360" w:type="dxa"/>
            <w:vAlign w:val="bottom"/>
            <w:vMerge w:val="continue"/>
            <w:shd w:val="clear" w:color="auto" w:fill="F2F2F2"/>
          </w:tcPr>
          <w:p>
            <w:pPr>
              <w:spacing w:after="0"/>
              <w:rPr>
                <w:sz w:val="6"/>
                <w:szCs w:val="6"/>
                <w:color w:val="auto"/>
              </w:rPr>
            </w:pPr>
          </w:p>
        </w:tc>
        <w:tc>
          <w:tcPr>
            <w:tcW w:w="1020" w:type="dxa"/>
            <w:vAlign w:val="bottom"/>
            <w:vMerge w:val="continue"/>
            <w:shd w:val="clear" w:color="auto" w:fill="F2F2F2"/>
          </w:tcPr>
          <w:p>
            <w:pPr>
              <w:spacing w:after="0"/>
              <w:rPr>
                <w:sz w:val="6"/>
                <w:szCs w:val="6"/>
                <w:color w:val="auto"/>
              </w:rPr>
            </w:pPr>
          </w:p>
        </w:tc>
        <w:tc>
          <w:tcPr>
            <w:tcW w:w="1160" w:type="dxa"/>
            <w:vAlign w:val="bottom"/>
            <w:vMerge w:val="continue"/>
            <w:shd w:val="clear" w:color="auto" w:fill="F2F2F2"/>
          </w:tcPr>
          <w:p>
            <w:pPr>
              <w:spacing w:after="0"/>
              <w:rPr>
                <w:sz w:val="6"/>
                <w:szCs w:val="6"/>
                <w:color w:val="auto"/>
              </w:rPr>
            </w:pPr>
          </w:p>
        </w:tc>
        <w:tc>
          <w:tcPr>
            <w:tcW w:w="1600" w:type="dxa"/>
            <w:vAlign w:val="bottom"/>
            <w:vMerge w:val="continue"/>
            <w:shd w:val="clear" w:color="auto" w:fill="F2F2F2"/>
          </w:tcPr>
          <w:p>
            <w:pPr>
              <w:spacing w:after="0"/>
              <w:rPr>
                <w:sz w:val="6"/>
                <w:szCs w:val="6"/>
                <w:color w:val="auto"/>
              </w:rPr>
            </w:pPr>
          </w:p>
        </w:tc>
        <w:tc>
          <w:tcPr>
            <w:tcW w:w="142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F2F2F2"/>
          </w:tcPr>
          <w:p>
            <w:pPr>
              <w:spacing w:after="0"/>
              <w:rPr>
                <w:sz w:val="9"/>
                <w:szCs w:val="9"/>
                <w:color w:val="auto"/>
              </w:rPr>
            </w:pPr>
          </w:p>
        </w:tc>
        <w:tc>
          <w:tcPr>
            <w:tcW w:w="560" w:type="dxa"/>
            <w:vAlign w:val="bottom"/>
            <w:shd w:val="clear" w:color="auto" w:fill="F2F2F2"/>
          </w:tcPr>
          <w:p>
            <w:pPr>
              <w:spacing w:after="0"/>
              <w:rPr>
                <w:sz w:val="9"/>
                <w:szCs w:val="9"/>
                <w:color w:val="auto"/>
              </w:rPr>
            </w:pPr>
          </w:p>
        </w:tc>
        <w:tc>
          <w:tcPr>
            <w:tcW w:w="6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60" w:type="dxa"/>
            <w:vAlign w:val="bottom"/>
            <w:shd w:val="clear" w:color="auto" w:fill="F2F2F2"/>
          </w:tcPr>
          <w:p>
            <w:pPr>
              <w:spacing w:after="0"/>
              <w:rPr>
                <w:sz w:val="9"/>
                <w:szCs w:val="9"/>
                <w:color w:val="auto"/>
              </w:rPr>
            </w:pPr>
          </w:p>
        </w:tc>
        <w:tc>
          <w:tcPr>
            <w:tcW w:w="1020" w:type="dxa"/>
            <w:vAlign w:val="bottom"/>
            <w:shd w:val="clear" w:color="auto" w:fill="F2F2F2"/>
          </w:tcPr>
          <w:p>
            <w:pPr>
              <w:spacing w:after="0"/>
              <w:rPr>
                <w:sz w:val="9"/>
                <w:szCs w:val="9"/>
                <w:color w:val="auto"/>
              </w:rPr>
            </w:pPr>
          </w:p>
        </w:tc>
        <w:tc>
          <w:tcPr>
            <w:tcW w:w="1160" w:type="dxa"/>
            <w:vAlign w:val="bottom"/>
            <w:shd w:val="clear" w:color="auto" w:fill="F2F2F2"/>
          </w:tcPr>
          <w:p>
            <w:pPr>
              <w:spacing w:after="0"/>
              <w:rPr>
                <w:sz w:val="9"/>
                <w:szCs w:val="9"/>
                <w:color w:val="auto"/>
              </w:rPr>
            </w:pPr>
          </w:p>
        </w:tc>
        <w:tc>
          <w:tcPr>
            <w:tcW w:w="1600" w:type="dxa"/>
            <w:vAlign w:val="bottom"/>
            <w:shd w:val="clear" w:color="auto" w:fill="F2F2F2"/>
          </w:tcPr>
          <w:p>
            <w:pPr>
              <w:spacing w:after="0"/>
              <w:rPr>
                <w:sz w:val="9"/>
                <w:szCs w:val="9"/>
                <w:color w:val="auto"/>
              </w:rPr>
            </w:pPr>
          </w:p>
        </w:tc>
        <w:tc>
          <w:tcPr>
            <w:tcW w:w="14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Ross Tennenbaum</w:t>
            </w:r>
          </w:p>
        </w:tc>
        <w:tc>
          <w:tcPr>
            <w:tcW w:w="560" w:type="dxa"/>
            <w:vAlign w:val="bottom"/>
          </w:tcPr>
          <w:p>
            <w:pPr>
              <w:spacing w:after="0"/>
              <w:rPr>
                <w:sz w:val="18"/>
                <w:szCs w:val="18"/>
                <w:color w:val="auto"/>
              </w:rPr>
            </w:pPr>
          </w:p>
        </w:tc>
        <w:tc>
          <w:tcPr>
            <w:tcW w:w="800" w:type="dxa"/>
            <w:vAlign w:val="bottom"/>
            <w:gridSpan w:val="2"/>
          </w:tcPr>
          <w:p>
            <w:pPr>
              <w:jc w:val="right"/>
              <w:ind w:right="547"/>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F2F2F2"/>
          </w:tcPr>
          <w:p>
            <w:pPr>
              <w:ind w:left="20"/>
              <w:spacing w:after="0"/>
              <w:rPr>
                <w:sz w:val="20"/>
                <w:szCs w:val="20"/>
                <w:color w:val="auto"/>
              </w:rPr>
            </w:pPr>
            <w:r>
              <w:rPr>
                <w:rFonts w:ascii="Arial" w:cs="Arial" w:eastAsia="Arial" w:hAnsi="Arial"/>
                <w:sz w:val="16"/>
                <w:szCs w:val="16"/>
                <w:color w:val="auto"/>
              </w:rPr>
              <w:t>Timothy Regan</w:t>
            </w: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4/1/2022</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12,615</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350,697</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4/1/2023</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68,819</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1,913,168</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4/1/2024</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116,539</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3,239,784</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spacing w:after="0"/>
              <w:rPr>
                <w:sz w:val="21"/>
                <w:szCs w:val="21"/>
                <w:color w:val="auto"/>
              </w:rPr>
            </w:pP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182"/>
              <w:spacing w:after="0"/>
              <w:rPr>
                <w:sz w:val="20"/>
                <w:szCs w:val="20"/>
                <w:color w:val="auto"/>
              </w:rPr>
            </w:pPr>
            <w:r>
              <w:rPr>
                <w:rFonts w:ascii="Arial" w:cs="Arial" w:eastAsia="Arial" w:hAnsi="Arial"/>
                <w:sz w:val="16"/>
                <w:szCs w:val="16"/>
                <w:color w:val="auto"/>
              </w:rPr>
              <w:t>170,444</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4,738,343</w:t>
            </w:r>
          </w:p>
        </w:tc>
        <w:tc>
          <w:tcPr>
            <w:tcW w:w="0" w:type="dxa"/>
            <w:vAlign w:val="bottom"/>
          </w:tcPr>
          <w:p>
            <w:pPr>
              <w:spacing w:after="0"/>
              <w:rPr>
                <w:sz w:val="1"/>
                <w:szCs w:val="1"/>
                <w:color w:val="auto"/>
              </w:rPr>
            </w:pPr>
          </w:p>
        </w:tc>
      </w:tr>
      <w:tr>
        <w:trPr>
          <w:trHeight w:val="242"/>
        </w:trPr>
        <w:tc>
          <w:tcPr>
            <w:tcW w:w="2080" w:type="dxa"/>
            <w:vAlign w:val="bottom"/>
          </w:tcPr>
          <w:p>
            <w:pPr>
              <w:ind w:left="20"/>
              <w:spacing w:after="0"/>
              <w:rPr>
                <w:sz w:val="20"/>
                <w:szCs w:val="20"/>
                <w:color w:val="auto"/>
              </w:rPr>
            </w:pPr>
            <w:r>
              <w:rPr>
                <w:rFonts w:ascii="Arial" w:cs="Arial" w:eastAsia="Arial" w:hAnsi="Arial"/>
                <w:sz w:val="16"/>
                <w:szCs w:val="16"/>
                <w:color w:val="auto"/>
              </w:rPr>
              <w:t>William Yoon</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4/1/2022</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182"/>
              <w:spacing w:after="0"/>
              <w:rPr>
                <w:sz w:val="20"/>
                <w:szCs w:val="20"/>
                <w:color w:val="auto"/>
              </w:rPr>
            </w:pPr>
            <w:r>
              <w:rPr>
                <w:rFonts w:ascii="Arial" w:cs="Arial" w:eastAsia="Arial" w:hAnsi="Arial"/>
                <w:sz w:val="16"/>
                <w:szCs w:val="16"/>
                <w:color w:val="auto"/>
              </w:rPr>
              <w:t>2,803</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77,923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4/1/2023</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15,293</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425,145</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4/1/2024</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23,436</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651,521</w:t>
            </w:r>
          </w:p>
        </w:tc>
        <w:tc>
          <w:tcPr>
            <w:tcW w:w="0" w:type="dxa"/>
            <w:vAlign w:val="bottom"/>
          </w:tcPr>
          <w:p>
            <w:pPr>
              <w:spacing w:after="0"/>
              <w:rPr>
                <w:sz w:val="1"/>
                <w:szCs w:val="1"/>
                <w:color w:val="auto"/>
              </w:rPr>
            </w:pPr>
          </w:p>
        </w:tc>
      </w:tr>
      <w:tr>
        <w:trPr>
          <w:trHeight w:val="244"/>
        </w:trPr>
        <w:tc>
          <w:tcPr>
            <w:tcW w:w="20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154,949</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4,307,582</w:t>
            </w:r>
          </w:p>
        </w:tc>
        <w:tc>
          <w:tcPr>
            <w:tcW w:w="0" w:type="dxa"/>
            <w:vAlign w:val="bottom"/>
          </w:tcPr>
          <w:p>
            <w:pPr>
              <w:spacing w:after="0"/>
              <w:rPr>
                <w:sz w:val="1"/>
                <w:szCs w:val="1"/>
                <w:color w:val="auto"/>
              </w:rPr>
            </w:pPr>
          </w:p>
        </w:tc>
      </w:tr>
      <w:tr>
        <w:trPr>
          <w:trHeight w:val="243"/>
        </w:trPr>
        <w:tc>
          <w:tcPr>
            <w:tcW w:w="20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Ali Dasdan</w:t>
            </w:r>
          </w:p>
        </w:tc>
        <w:tc>
          <w:tcPr>
            <w:tcW w:w="1360" w:type="dxa"/>
            <w:vAlign w:val="bottom"/>
            <w:gridSpan w:val="3"/>
            <w:shd w:val="clear" w:color="auto" w:fill="F2F2F2"/>
          </w:tcPr>
          <w:p>
            <w:pPr>
              <w:jc w:val="right"/>
              <w:spacing w:after="0"/>
              <w:rPr>
                <w:sz w:val="20"/>
                <w:szCs w:val="20"/>
                <w:color w:val="auto"/>
              </w:rPr>
            </w:pPr>
            <w:r>
              <w:rPr>
                <w:rFonts w:ascii="Arial" w:cs="Arial" w:eastAsia="Arial" w:hAnsi="Arial"/>
                <w:sz w:val="16"/>
                <w:szCs w:val="16"/>
                <w:color w:val="auto"/>
              </w:rPr>
              <w:t>4/1/2025</w:t>
            </w:r>
            <w:r>
              <w:rPr>
                <w:rFonts w:ascii="Arial" w:cs="Arial" w:eastAsia="Arial" w:hAnsi="Arial"/>
                <w:sz w:val="21"/>
                <w:szCs w:val="21"/>
                <w:color w:val="auto"/>
                <w:vertAlign w:val="superscript"/>
              </w:rPr>
              <w:t>(3)</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F2F2F2"/>
          </w:tcPr>
          <w:p>
            <w:pPr>
              <w:jc w:val="right"/>
              <w:ind w:right="242"/>
              <w:spacing w:after="0"/>
              <w:rPr>
                <w:sz w:val="20"/>
                <w:szCs w:val="20"/>
                <w:color w:val="auto"/>
              </w:rPr>
            </w:pPr>
            <w:r>
              <w:rPr>
                <w:rFonts w:ascii="Arial" w:cs="Arial" w:eastAsia="Arial" w:hAnsi="Arial"/>
                <w:sz w:val="16"/>
                <w:szCs w:val="16"/>
                <w:color w:val="auto"/>
              </w:rPr>
              <w:t>495,836</w:t>
            </w:r>
          </w:p>
        </w:tc>
        <w:tc>
          <w:tcPr>
            <w:tcW w:w="1420" w:type="dxa"/>
            <w:vAlign w:val="bottom"/>
            <w:shd w:val="clear" w:color="auto" w:fill="F2F2F2"/>
          </w:tcPr>
          <w:p>
            <w:pPr>
              <w:jc w:val="right"/>
              <w:ind w:right="2"/>
              <w:spacing w:after="0"/>
              <w:rPr>
                <w:sz w:val="20"/>
                <w:szCs w:val="20"/>
                <w:color w:val="auto"/>
              </w:rPr>
            </w:pPr>
            <w:r>
              <w:rPr>
                <w:rFonts w:ascii="Arial" w:cs="Arial" w:eastAsia="Arial" w:hAnsi="Arial"/>
                <w:sz w:val="16"/>
                <w:szCs w:val="16"/>
                <w:color w:val="auto"/>
              </w:rPr>
              <w:t>13,784,241</w:t>
            </w:r>
          </w:p>
        </w:tc>
        <w:tc>
          <w:tcPr>
            <w:tcW w:w="0" w:type="dxa"/>
            <w:vAlign w:val="bottom"/>
          </w:tcPr>
          <w:p>
            <w:pPr>
              <w:spacing w:after="0"/>
              <w:rPr>
                <w:sz w:val="1"/>
                <w:szCs w:val="1"/>
                <w:color w:val="auto"/>
              </w:rPr>
            </w:pPr>
          </w:p>
        </w:tc>
      </w:tr>
      <w:tr>
        <w:trPr>
          <w:trHeight w:val="285"/>
        </w:trPr>
        <w:tc>
          <w:tcPr>
            <w:tcW w:w="2080" w:type="dxa"/>
            <w:vAlign w:val="bottom"/>
          </w:tcPr>
          <w:p>
            <w:pPr>
              <w:ind w:left="20"/>
              <w:spacing w:after="0"/>
              <w:rPr>
                <w:sz w:val="20"/>
                <w:szCs w:val="20"/>
                <w:color w:val="auto"/>
              </w:rPr>
            </w:pPr>
            <w:r>
              <w:rPr>
                <w:rFonts w:ascii="Arial" w:cs="Arial" w:eastAsia="Arial" w:hAnsi="Arial"/>
                <w:sz w:val="16"/>
                <w:szCs w:val="16"/>
                <w:color w:val="auto"/>
              </w:rPr>
              <w:t>Ashraf Alkarmi</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1/1/2025</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ind w:right="41"/>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242"/>
              <w:spacing w:after="0"/>
              <w:rPr>
                <w:sz w:val="20"/>
                <w:szCs w:val="20"/>
                <w:color w:val="auto"/>
              </w:rPr>
            </w:pPr>
            <w:r>
              <w:rPr>
                <w:rFonts w:ascii="Arial" w:cs="Arial" w:eastAsia="Arial" w:hAnsi="Arial"/>
                <w:sz w:val="16"/>
                <w:szCs w:val="16"/>
                <w:color w:val="auto"/>
              </w:rPr>
              <w:t>403,452</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11,215,966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The closing price of our Class A common stock on December 31, 2025, the last trading day of the year, was $27.80 per share.</w:t>
      </w:r>
    </w:p>
    <w:p>
      <w:pPr>
        <w:jc w:val="both"/>
        <w:ind w:left="340" w:right="200" w:hanging="332"/>
        <w:spacing w:after="0" w:line="221" w:lineRule="auto"/>
        <w:tabs>
          <w:tab w:leader="none" w:pos="33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the section titled “</w:t>
      </w:r>
      <w:r>
        <w:rPr>
          <w:rFonts w:ascii="Arial" w:cs="Arial" w:eastAsia="Arial" w:hAnsi="Arial"/>
          <w:sz w:val="14"/>
          <w:szCs w:val="14"/>
          <w:i w:val="1"/>
          <w:iCs w:val="1"/>
          <w:color w:val="auto"/>
        </w:rPr>
        <w:t>Executive Compensation—Co-Founder Grant</w:t>
      </w:r>
      <w:r>
        <w:rPr>
          <w:rFonts w:ascii="Arial" w:cs="Arial" w:eastAsia="Arial" w:hAnsi="Arial"/>
          <w:sz w:val="14"/>
          <w:szCs w:val="14"/>
          <w:color w:val="auto"/>
        </w:rPr>
        <w:t>” below.</w:t>
      </w:r>
    </w:p>
    <w:p>
      <w:pPr>
        <w:spacing w:after="0" w:line="1" w:lineRule="exact"/>
        <w:rPr>
          <w:rFonts w:ascii="Arial" w:cs="Arial" w:eastAsia="Arial" w:hAnsi="Arial"/>
          <w:sz w:val="19"/>
          <w:szCs w:val="19"/>
          <w:color w:val="auto"/>
          <w:vertAlign w:val="superscript"/>
        </w:rPr>
      </w:pPr>
    </w:p>
    <w:p>
      <w:pPr>
        <w:ind w:left="340" w:right="360" w:hanging="332"/>
        <w:spacing w:after="0" w:line="213" w:lineRule="auto"/>
        <w:tabs>
          <w:tab w:leader="none" w:pos="33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Co-Founder Grant</w:t>
      </w:r>
    </w:p>
    <w:p>
      <w:pPr>
        <w:spacing w:after="0" w:line="233"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In December 2017, our board of directors approved the Co-Founder Grant. The Co-Founder Grant has service-based, market-based, and performance-based vesting conditions as described above in the section titled “</w:t>
      </w:r>
      <w:r>
        <w:rPr>
          <w:rFonts w:ascii="Arial" w:cs="Arial" w:eastAsia="Arial" w:hAnsi="Arial"/>
          <w:sz w:val="16"/>
          <w:szCs w:val="16"/>
          <w:i w:val="1"/>
          <w:iCs w:val="1"/>
          <w:color w:val="auto"/>
        </w:rPr>
        <w:t>Executive Compensation—“Performance Achievement of Mr. Houston’s Co-Founder</w:t>
      </w:r>
    </w:p>
    <w:p>
      <w:pPr>
        <w:spacing w:after="0"/>
        <w:rPr>
          <w:sz w:val="20"/>
          <w:szCs w:val="20"/>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Option Exercises and Stock Vested in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140970</wp:posOffset>
            </wp:positionV>
            <wp:extent cx="4783455" cy="1551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83455" cy="15513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20" w:type="dxa"/>
            <w:vAlign w:val="bottom"/>
            <w:shd w:val="clear" w:color="auto" w:fill="0063A6"/>
          </w:tcPr>
          <w:p>
            <w:pPr>
              <w:spacing w:after="0"/>
              <w:rPr>
                <w:sz w:val="23"/>
                <w:szCs w:val="23"/>
                <w:color w:val="auto"/>
              </w:rPr>
            </w:pPr>
          </w:p>
        </w:tc>
        <w:tc>
          <w:tcPr>
            <w:tcW w:w="3880" w:type="dxa"/>
            <w:vAlign w:val="bottom"/>
            <w:gridSpan w:val="2"/>
            <w:shd w:val="clear" w:color="auto" w:fill="0063A6"/>
          </w:tcPr>
          <w:p>
            <w:pPr>
              <w:ind w:left="1420"/>
              <w:spacing w:after="0"/>
              <w:rPr>
                <w:sz w:val="20"/>
                <w:szCs w:val="20"/>
                <w:color w:val="auto"/>
              </w:rPr>
            </w:pPr>
            <w:r>
              <w:rPr>
                <w:rFonts w:ascii="Arial" w:cs="Arial" w:eastAsia="Arial" w:hAnsi="Arial"/>
                <w:sz w:val="14"/>
                <w:szCs w:val="14"/>
                <w:b w:val="1"/>
                <w:bCs w:val="1"/>
                <w:color w:val="FFFFFF"/>
              </w:rPr>
              <w:t>Option Awards</w:t>
            </w:r>
          </w:p>
        </w:tc>
        <w:tc>
          <w:tcPr>
            <w:tcW w:w="2300" w:type="dxa"/>
            <w:vAlign w:val="bottom"/>
            <w:shd w:val="clear" w:color="auto" w:fill="0063A6"/>
          </w:tcPr>
          <w:p>
            <w:pPr>
              <w:ind w:left="1340"/>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shd w:val="clear" w:color="auto" w:fill="0063A6"/>
          </w:tcPr>
          <w:p>
            <w:pPr>
              <w:spacing w:after="0"/>
              <w:rPr>
                <w:sz w:val="23"/>
                <w:szCs w:val="23"/>
                <w:color w:val="auto"/>
              </w:rPr>
            </w:pPr>
          </w:p>
        </w:tc>
      </w:tr>
      <w:tr>
        <w:trPr>
          <w:trHeight w:val="290"/>
        </w:trPr>
        <w:tc>
          <w:tcPr>
            <w:tcW w:w="3720" w:type="dxa"/>
            <w:vAlign w:val="bottom"/>
            <w:shd w:val="clear" w:color="auto" w:fill="0063A6"/>
          </w:tcPr>
          <w:p>
            <w:pPr>
              <w:spacing w:after="0"/>
              <w:rPr>
                <w:sz w:val="24"/>
                <w:szCs w:val="2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2300" w:type="dxa"/>
            <w:vAlign w:val="bottom"/>
            <w:shd w:val="clear" w:color="auto" w:fill="0063A6"/>
          </w:tcPr>
          <w:p>
            <w:pPr>
              <w:jc w:val="center"/>
              <w:ind w:right="423"/>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shd w:val="clear" w:color="auto" w:fill="0063A6"/>
          </w:tcPr>
          <w:p>
            <w:pPr>
              <w:jc w:val="center"/>
              <w:ind w:right="402"/>
              <w:spacing w:after="0"/>
              <w:rPr>
                <w:sz w:val="20"/>
                <w:szCs w:val="20"/>
                <w:color w:val="auto"/>
              </w:rPr>
            </w:pPr>
            <w:r>
              <w:rPr>
                <w:rFonts w:ascii="Arial" w:cs="Arial" w:eastAsia="Arial" w:hAnsi="Arial"/>
                <w:sz w:val="14"/>
                <w:szCs w:val="14"/>
                <w:b w:val="1"/>
                <w:bCs w:val="1"/>
                <w:color w:val="FFFFFF"/>
              </w:rPr>
              <w:t>Value</w:t>
            </w:r>
          </w:p>
        </w:tc>
      </w:tr>
      <w:tr>
        <w:trPr>
          <w:trHeight w:val="173"/>
        </w:trPr>
        <w:tc>
          <w:tcPr>
            <w:tcW w:w="3720" w:type="dxa"/>
            <w:vAlign w:val="bottom"/>
            <w:shd w:val="clear" w:color="auto" w:fill="0063A6"/>
          </w:tcPr>
          <w:p>
            <w:pPr>
              <w:spacing w:after="0"/>
              <w:rPr>
                <w:sz w:val="15"/>
                <w:szCs w:val="15"/>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Acquired on</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2300" w:type="dxa"/>
            <w:vAlign w:val="bottom"/>
            <w:shd w:val="clear" w:color="auto" w:fill="0063A6"/>
          </w:tcPr>
          <w:p>
            <w:pPr>
              <w:jc w:val="center"/>
              <w:ind w:right="423"/>
              <w:spacing w:after="0"/>
              <w:rPr>
                <w:sz w:val="20"/>
                <w:szCs w:val="20"/>
                <w:color w:val="auto"/>
              </w:rPr>
            </w:pPr>
            <w:r>
              <w:rPr>
                <w:rFonts w:ascii="Arial" w:cs="Arial" w:eastAsia="Arial" w:hAnsi="Arial"/>
                <w:sz w:val="14"/>
                <w:szCs w:val="14"/>
                <w:b w:val="1"/>
                <w:bCs w:val="1"/>
                <w:color w:val="FFFFFF"/>
              </w:rPr>
              <w:t>Acquired on</w:t>
            </w:r>
          </w:p>
        </w:tc>
        <w:tc>
          <w:tcPr>
            <w:tcW w:w="1340" w:type="dxa"/>
            <w:vAlign w:val="bottom"/>
            <w:shd w:val="clear" w:color="auto" w:fill="0063A6"/>
          </w:tcPr>
          <w:p>
            <w:pPr>
              <w:jc w:val="center"/>
              <w:ind w:right="382"/>
              <w:spacing w:after="0"/>
              <w:rPr>
                <w:sz w:val="20"/>
                <w:szCs w:val="20"/>
                <w:color w:val="auto"/>
              </w:rPr>
            </w:pPr>
            <w:r>
              <w:rPr>
                <w:rFonts w:ascii="Arial" w:cs="Arial" w:eastAsia="Arial" w:hAnsi="Arial"/>
                <w:sz w:val="14"/>
                <w:szCs w:val="14"/>
                <w:b w:val="1"/>
                <w:bCs w:val="1"/>
                <w:color w:val="FFFFFF"/>
              </w:rPr>
              <w:t>Realized on</w:t>
            </w:r>
          </w:p>
        </w:tc>
      </w:tr>
      <w:tr>
        <w:trPr>
          <w:trHeight w:val="235"/>
        </w:trPr>
        <w:tc>
          <w:tcPr>
            <w:tcW w:w="37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w:t>
            </w:r>
          </w:p>
        </w:tc>
        <w:tc>
          <w:tcPr>
            <w:tcW w:w="18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w:t>
            </w:r>
          </w:p>
        </w:tc>
        <w:tc>
          <w:tcPr>
            <w:tcW w:w="2300" w:type="dxa"/>
            <w:vAlign w:val="bottom"/>
            <w:tcBorders>
              <w:bottom w:val="single" w:sz="8" w:color="0063A6"/>
            </w:tcBorders>
            <w:shd w:val="clear" w:color="auto" w:fill="0063A6"/>
          </w:tcPr>
          <w:p>
            <w:pPr>
              <w:jc w:val="center"/>
              <w:ind w:right="403"/>
              <w:spacing w:after="0"/>
              <w:rPr>
                <w:sz w:val="20"/>
                <w:szCs w:val="20"/>
                <w:color w:val="auto"/>
              </w:rPr>
            </w:pPr>
            <w:r>
              <w:rPr>
                <w:rFonts w:ascii="Arial" w:cs="Arial" w:eastAsia="Arial" w:hAnsi="Arial"/>
                <w:sz w:val="14"/>
                <w:szCs w:val="14"/>
                <w:b w:val="1"/>
                <w:bCs w:val="1"/>
                <w:color w:val="FFFFFF"/>
              </w:rPr>
              <w:t>Vesting (#)</w:t>
            </w:r>
          </w:p>
        </w:tc>
        <w:tc>
          <w:tcPr>
            <w:tcW w:w="1340" w:type="dxa"/>
            <w:vAlign w:val="bottom"/>
            <w:tcBorders>
              <w:bottom w:val="single" w:sz="8" w:color="0063A6"/>
            </w:tcBorders>
            <w:shd w:val="clear" w:color="auto" w:fill="0063A6"/>
          </w:tcPr>
          <w:p>
            <w:pPr>
              <w:jc w:val="center"/>
              <w:ind w:right="382"/>
              <w:spacing w:after="0" w:line="201" w:lineRule="exact"/>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18"/>
                <w:szCs w:val="18"/>
                <w:b w:val="1"/>
                <w:bCs w:val="1"/>
                <w:color w:val="FFFFFF"/>
                <w:w w:val="97"/>
                <w:vertAlign w:val="superscript"/>
              </w:rPr>
              <w:t>(1)</w:t>
            </w: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ind w:right="422"/>
              <w:spacing w:after="0"/>
              <w:rPr>
                <w:sz w:val="20"/>
                <w:szCs w:val="20"/>
                <w:color w:val="auto"/>
              </w:rPr>
            </w:pPr>
            <w:r>
              <w:rPr>
                <w:rFonts w:ascii="Arial" w:cs="Arial" w:eastAsia="Arial" w:hAnsi="Arial"/>
                <w:sz w:val="16"/>
                <w:szCs w:val="16"/>
                <w:color w:val="auto"/>
                <w:w w:val="99"/>
              </w:rPr>
              <w:t>—</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Regan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03"/>
              <w:spacing w:after="0"/>
              <w:rPr>
                <w:sz w:val="20"/>
                <w:szCs w:val="20"/>
                <w:color w:val="auto"/>
              </w:rPr>
            </w:pPr>
            <w:r>
              <w:rPr>
                <w:rFonts w:ascii="Arial" w:cs="Arial" w:eastAsia="Arial" w:hAnsi="Arial"/>
                <w:sz w:val="16"/>
                <w:szCs w:val="16"/>
                <w:color w:val="auto"/>
              </w:rPr>
              <w:t>207,593</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rPr>
              <w:t>6,246,955</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William Yoon</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73,147</w:t>
            </w:r>
          </w:p>
        </w:tc>
        <w:tc>
          <w:tcPr>
            <w:tcW w:w="1340" w:type="dxa"/>
            <w:vAlign w:val="bottom"/>
          </w:tcPr>
          <w:p>
            <w:pPr>
              <w:jc w:val="center"/>
              <w:ind w:right="382"/>
              <w:spacing w:after="0"/>
              <w:rPr>
                <w:sz w:val="20"/>
                <w:szCs w:val="20"/>
                <w:color w:val="auto"/>
              </w:rPr>
            </w:pPr>
            <w:r>
              <w:rPr>
                <w:rFonts w:ascii="Arial" w:cs="Arial" w:eastAsia="Arial" w:hAnsi="Arial"/>
                <w:sz w:val="16"/>
                <w:szCs w:val="16"/>
                <w:color w:val="auto"/>
              </w:rPr>
              <w:t>2,173,500</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Ali Dasdan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03"/>
              <w:spacing w:after="0"/>
              <w:rPr>
                <w:sz w:val="20"/>
                <w:szCs w:val="20"/>
                <w:color w:val="auto"/>
              </w:rPr>
            </w:pPr>
            <w:r>
              <w:rPr>
                <w:rFonts w:ascii="Arial" w:cs="Arial" w:eastAsia="Arial" w:hAnsi="Arial"/>
                <w:sz w:val="16"/>
                <w:szCs w:val="16"/>
                <w:color w:val="auto"/>
              </w:rPr>
              <w:t>114,424</w:t>
            </w:r>
          </w:p>
        </w:tc>
        <w:tc>
          <w:tcPr>
            <w:tcW w:w="1340" w:type="dxa"/>
            <w:vAlign w:val="bottom"/>
            <w:tcBorders>
              <w:bottom w:val="single" w:sz="8" w:color="F2F2F2"/>
            </w:tcBorders>
            <w:shd w:val="clear" w:color="auto" w:fill="F2F2F2"/>
          </w:tcPr>
          <w:p>
            <w:pPr>
              <w:jc w:val="center"/>
              <w:ind w:right="422"/>
              <w:spacing w:after="0"/>
              <w:rPr>
                <w:sz w:val="20"/>
                <w:szCs w:val="20"/>
                <w:color w:val="auto"/>
              </w:rPr>
            </w:pPr>
            <w:r>
              <w:rPr>
                <w:rFonts w:ascii="Arial" w:cs="Arial" w:eastAsia="Arial" w:hAnsi="Arial"/>
                <w:sz w:val="16"/>
                <w:szCs w:val="16"/>
                <w:color w:val="auto"/>
              </w:rPr>
              <w:t>3,344,993</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Ashraf Alkarmi</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134,484</w:t>
            </w:r>
          </w:p>
        </w:tc>
        <w:tc>
          <w:tcPr>
            <w:tcW w:w="1340" w:type="dxa"/>
            <w:vAlign w:val="bottom"/>
          </w:tcPr>
          <w:p>
            <w:pPr>
              <w:jc w:val="center"/>
              <w:ind w:right="422"/>
              <w:spacing w:after="0"/>
              <w:rPr>
                <w:sz w:val="20"/>
                <w:szCs w:val="20"/>
                <w:color w:val="auto"/>
              </w:rPr>
            </w:pPr>
            <w:r>
              <w:rPr>
                <w:rFonts w:ascii="Arial" w:cs="Arial" w:eastAsia="Arial" w:hAnsi="Arial"/>
                <w:sz w:val="16"/>
                <w:szCs w:val="16"/>
                <w:color w:val="auto"/>
              </w:rPr>
              <w:t>4,050,658</w:t>
            </w:r>
          </w:p>
        </w:tc>
      </w:tr>
    </w:tbl>
    <w:p>
      <w:pPr>
        <w:spacing w:after="0" w:line="114" w:lineRule="exact"/>
        <w:rPr>
          <w:sz w:val="20"/>
          <w:szCs w:val="20"/>
          <w:color w:val="auto"/>
        </w:rPr>
      </w:pPr>
    </w:p>
    <w:p>
      <w:pPr>
        <w:ind w:left="340" w:right="220" w:hanging="332"/>
        <w:spacing w:after="0" w:line="222" w:lineRule="auto"/>
        <w:tabs>
          <w:tab w:leader="none" w:pos="333"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for a share of our Class A common stock on the trading day immediately preceding the vesting date.</w:t>
      </w:r>
    </w:p>
    <w:p>
      <w:pPr>
        <w:spacing w:after="0" w:line="355" w:lineRule="exact"/>
        <w:rPr>
          <w:sz w:val="20"/>
          <w:szCs w:val="20"/>
          <w:color w:val="auto"/>
        </w:rPr>
      </w:pPr>
    </w:p>
    <w:p>
      <w:pPr>
        <w:spacing w:after="0"/>
        <w:rPr>
          <w:sz w:val="20"/>
          <w:szCs w:val="20"/>
          <w:color w:val="auto"/>
        </w:rPr>
      </w:pPr>
      <w:r>
        <w:rPr>
          <w:rFonts w:ascii="Arial" w:cs="Arial" w:eastAsia="Arial" w:hAnsi="Arial"/>
          <w:sz w:val="26"/>
          <w:szCs w:val="26"/>
          <w:color w:val="0063A6"/>
        </w:rPr>
        <w:t>Potential Payments on Termination or Change in Control</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its compensation consultant. We entered into change in control and severance agreements with each of our named executive officers that provide for the severance and change in control payments and benefits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Basic Severance</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17" w:lineRule="exact"/>
        <w:rPr>
          <w:sz w:val="20"/>
          <w:szCs w:val="20"/>
          <w:color w:val="auto"/>
        </w:rPr>
      </w:pPr>
    </w:p>
    <w:p>
      <w:pPr>
        <w:ind w:left="340" w:right="20" w:hanging="332"/>
        <w:spacing w:after="0" w:line="268" w:lineRule="auto"/>
        <w:tabs>
          <w:tab w:leader="none" w:pos="329"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15"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 and</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75"/>
        </w:numPr>
        <w:rPr>
          <w:rFonts w:ascii="Arial" w:cs="Arial" w:eastAsia="Arial" w:hAnsi="Arial"/>
          <w:sz w:val="16"/>
          <w:szCs w:val="16"/>
          <w:color w:val="0063A6"/>
        </w:rPr>
      </w:pPr>
      <w:r>
        <w:rPr>
          <w:rFonts w:ascii="Arial" w:cs="Arial" w:eastAsia="Arial" w:hAnsi="Arial"/>
          <w:sz w:val="16"/>
          <w:szCs w:val="16"/>
          <w:color w:val="auto"/>
        </w:rPr>
        <w:t>in the case of Messrs. Alkarmi, Dasdan, and Yoon, 3 months' accelerated vesting of the unvested portion of outstanding time-based equity awards.</w:t>
      </w:r>
    </w:p>
    <w:p>
      <w:pPr>
        <w:spacing w:after="0" w:line="16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 Mr. Regan voluntarily terminated his employment and therefore was not eligible for accelerated vesting of his unvested awards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Severance</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Period</w:t>
      </w:r>
      <w:r>
        <w:rPr>
          <w:rFonts w:ascii="Arial" w:cs="Arial" w:eastAsia="Arial" w:hAnsi="Arial"/>
          <w:sz w:val="16"/>
          <w:szCs w:val="16"/>
          <w:color w:val="auto"/>
        </w:rPr>
        <w:t>”), a named executive officer’s employment is terminated by us other than for cause, death, or disability or they resign for “good reason”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their change in control and severance agreement), they will be entitled to the following benefits:</w:t>
      </w:r>
    </w:p>
    <w:p>
      <w:pPr>
        <w:spacing w:after="0" w:line="124" w:lineRule="exact"/>
        <w:rPr>
          <w:sz w:val="20"/>
          <w:szCs w:val="20"/>
          <w:color w:val="auto"/>
        </w:rPr>
      </w:pPr>
    </w:p>
    <w:p>
      <w:pPr>
        <w:jc w:val="both"/>
        <w:ind w:left="340" w:right="20" w:hanging="332"/>
        <w:spacing w:after="0" w:line="266" w:lineRule="auto"/>
        <w:tabs>
          <w:tab w:leader="none" w:pos="329" w:val="left"/>
        </w:tabs>
        <w:numPr>
          <w:ilvl w:val="0"/>
          <w:numId w:val="76"/>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200" w:lineRule="exact"/>
        <w:rPr>
          <w:sz w:val="20"/>
          <w:szCs w:val="20"/>
          <w:color w:val="auto"/>
        </w:rPr>
      </w:pPr>
    </w:p>
    <w:p>
      <w:pPr>
        <w:spacing w:after="0" w:line="300" w:lineRule="exact"/>
        <w:rPr>
          <w:sz w:val="20"/>
          <w:szCs w:val="20"/>
          <w:color w:val="auto"/>
        </w:rPr>
      </w:pPr>
    </w:p>
    <w:p>
      <w:pPr>
        <w:ind w:left="580" w:hanging="554"/>
        <w:spacing w:after="0"/>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cash bonus opportunity (for the year of their termination);</w:t>
      </w:r>
    </w:p>
    <w:p>
      <w:pPr>
        <w:spacing w:after="0" w:line="167"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88" w:lineRule="exact"/>
        <w:rPr>
          <w:rFonts w:ascii="Arial" w:cs="Arial" w:eastAsia="Arial" w:hAnsi="Arial"/>
          <w:sz w:val="16"/>
          <w:szCs w:val="16"/>
          <w:color w:val="0063A6"/>
        </w:rPr>
      </w:pPr>
    </w:p>
    <w:p>
      <w:pPr>
        <w:ind w:left="340" w:right="280" w:hanging="332"/>
        <w:spacing w:after="0" w:line="266" w:lineRule="auto"/>
        <w:tabs>
          <w:tab w:leader="none" w:pos="329" w:val="left"/>
        </w:tabs>
        <w:numPr>
          <w:ilvl w:val="0"/>
          <w:numId w:val="78"/>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Andrew Houston Co-Founder Grant</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Co-Founder Grant</w:t>
      </w:r>
      <w:r>
        <w:rPr>
          <w:rFonts w:ascii="Arial" w:cs="Arial" w:eastAsia="Arial" w:hAnsi="Arial"/>
          <w:sz w:val="16"/>
          <w:szCs w:val="16"/>
          <w:color w:val="auto"/>
        </w:rPr>
        <w:t>”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Amount of Payments Upon Termination at 2025 Year-End</w:t>
      </w:r>
    </w:p>
    <w:p>
      <w:pPr>
        <w:spacing w:after="0" w:line="167"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2025. Mr. Regan is not included in this table since he voluntarily terminated his employment with the company prior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100330</wp:posOffset>
            </wp:positionV>
            <wp:extent cx="5066030" cy="1371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6030" cy="137160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80" w:type="dxa"/>
            <w:vAlign w:val="bottom"/>
            <w:shd w:val="clear" w:color="auto" w:fill="0063A6"/>
          </w:tcPr>
          <w:p>
            <w:pPr>
              <w:spacing w:after="0"/>
              <w:rPr>
                <w:sz w:val="21"/>
                <w:szCs w:val="21"/>
                <w:color w:val="auto"/>
              </w:rPr>
            </w:pPr>
          </w:p>
        </w:tc>
        <w:tc>
          <w:tcPr>
            <w:tcW w:w="158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Base Salary</w:t>
            </w:r>
          </w:p>
        </w:tc>
        <w:tc>
          <w:tcPr>
            <w:tcW w:w="156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Cash Bonus</w:t>
            </w:r>
          </w:p>
        </w:tc>
        <w:tc>
          <w:tcPr>
            <w:tcW w:w="1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480" w:type="dxa"/>
            <w:vAlign w:val="bottom"/>
            <w:vMerge w:val="restart"/>
            <w:shd w:val="clear" w:color="auto" w:fill="0063A6"/>
          </w:tcPr>
          <w:p>
            <w:pPr>
              <w:jc w:val="center"/>
              <w:ind w:right="62"/>
              <w:spacing w:after="0"/>
              <w:rPr>
                <w:sz w:val="20"/>
                <w:szCs w:val="20"/>
                <w:color w:val="auto"/>
              </w:rPr>
            </w:pPr>
            <w:r>
              <w:rPr>
                <w:rFonts w:ascii="Arial" w:cs="Arial" w:eastAsia="Arial" w:hAnsi="Arial"/>
                <w:sz w:val="14"/>
                <w:szCs w:val="14"/>
                <w:b w:val="1"/>
                <w:bCs w:val="1"/>
                <w:color w:val="FFFFFF"/>
                <w:w w:val="99"/>
              </w:rPr>
              <w:t>Value of</w:t>
            </w:r>
          </w:p>
        </w:tc>
        <w:tc>
          <w:tcPr>
            <w:tcW w:w="16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0063A6"/>
          </w:tcPr>
          <w:p>
            <w:pPr>
              <w:spacing w:after="0"/>
              <w:rPr>
                <w:sz w:val="14"/>
                <w:szCs w:val="14"/>
                <w:color w:val="auto"/>
              </w:rPr>
            </w:pPr>
          </w:p>
        </w:tc>
        <w:tc>
          <w:tcPr>
            <w:tcW w:w="1580" w:type="dxa"/>
            <w:vAlign w:val="bottom"/>
            <w:vMerge w:val="continue"/>
            <w:shd w:val="clear" w:color="auto" w:fill="0063A6"/>
          </w:tcPr>
          <w:p>
            <w:pPr>
              <w:spacing w:after="0"/>
              <w:rPr>
                <w:sz w:val="14"/>
                <w:szCs w:val="14"/>
                <w:color w:val="auto"/>
              </w:rPr>
            </w:pPr>
          </w:p>
        </w:tc>
        <w:tc>
          <w:tcPr>
            <w:tcW w:w="1560" w:type="dxa"/>
            <w:vAlign w:val="bottom"/>
            <w:vMerge w:val="continue"/>
            <w:shd w:val="clear" w:color="auto" w:fill="0063A6"/>
          </w:tcPr>
          <w:p>
            <w:pPr>
              <w:spacing w:after="0"/>
              <w:rPr>
                <w:sz w:val="14"/>
                <w:szCs w:val="14"/>
                <w:color w:val="auto"/>
              </w:rPr>
            </w:pPr>
          </w:p>
        </w:tc>
        <w:tc>
          <w:tcPr>
            <w:tcW w:w="174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Accelerated</w:t>
            </w:r>
          </w:p>
        </w:tc>
        <w:tc>
          <w:tcPr>
            <w:tcW w:w="1480" w:type="dxa"/>
            <w:vAlign w:val="bottom"/>
            <w:vMerge w:val="continue"/>
            <w:shd w:val="clear" w:color="auto" w:fill="0063A6"/>
          </w:tcPr>
          <w:p>
            <w:pPr>
              <w:spacing w:after="0"/>
              <w:rPr>
                <w:sz w:val="14"/>
                <w:szCs w:val="14"/>
                <w:color w:val="auto"/>
              </w:rPr>
            </w:pPr>
          </w:p>
        </w:tc>
        <w:tc>
          <w:tcPr>
            <w:tcW w:w="16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0063A6"/>
          </w:tcPr>
          <w:p>
            <w:pPr>
              <w:spacing w:after="0"/>
              <w:rPr>
                <w:sz w:val="13"/>
                <w:szCs w:val="13"/>
                <w:color w:val="auto"/>
              </w:rPr>
            </w:pPr>
          </w:p>
        </w:tc>
        <w:tc>
          <w:tcPr>
            <w:tcW w:w="158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56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7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Equity Awards</w:t>
            </w:r>
          </w:p>
        </w:tc>
        <w:tc>
          <w:tcPr>
            <w:tcW w:w="1480" w:type="dxa"/>
            <w:vAlign w:val="bottom"/>
            <w:shd w:val="clear" w:color="auto" w:fill="0063A6"/>
          </w:tcPr>
          <w:p>
            <w:pPr>
              <w:jc w:val="center"/>
              <w:ind w:right="62"/>
              <w:spacing w:after="0" w:line="159" w:lineRule="exact"/>
              <w:rPr>
                <w:sz w:val="20"/>
                <w:szCs w:val="20"/>
                <w:color w:val="auto"/>
              </w:rPr>
            </w:pPr>
            <w:r>
              <w:rPr>
                <w:rFonts w:ascii="Arial" w:cs="Arial" w:eastAsia="Arial" w:hAnsi="Arial"/>
                <w:sz w:val="14"/>
                <w:szCs w:val="14"/>
                <w:b w:val="1"/>
                <w:bCs w:val="1"/>
                <w:color w:val="FFFFFF"/>
              </w:rPr>
              <w:t>Benefits</w:t>
            </w:r>
          </w:p>
        </w:tc>
        <w:tc>
          <w:tcPr>
            <w:tcW w:w="160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28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0063A6"/>
            </w:tcBorders>
            <w:shd w:val="clear" w:color="auto" w:fill="0063A6"/>
          </w:tcPr>
          <w:p>
            <w:pPr>
              <w:ind w:left="720"/>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1480" w:type="dxa"/>
            <w:vAlign w:val="bottom"/>
            <w:tcBorders>
              <w:bottom w:val="single" w:sz="8" w:color="0063A6"/>
            </w:tcBorders>
            <w:shd w:val="clear" w:color="auto" w:fill="0063A6"/>
          </w:tcPr>
          <w:p>
            <w:pPr>
              <w:jc w:val="center"/>
              <w:ind w:right="22"/>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right"/>
              <w:ind w:right="44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400,000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17,511</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417,511</w:t>
            </w:r>
          </w:p>
        </w:tc>
        <w:tc>
          <w:tcPr>
            <w:tcW w:w="0" w:type="dxa"/>
            <w:vAlign w:val="bottom"/>
          </w:tcPr>
          <w:p>
            <w:pPr>
              <w:spacing w:after="0"/>
              <w:rPr>
                <w:sz w:val="1"/>
                <w:szCs w:val="1"/>
                <w:color w:val="auto"/>
              </w:rPr>
            </w:pPr>
          </w:p>
        </w:tc>
      </w:tr>
      <w:tr>
        <w:trPr>
          <w:trHeight w:val="228"/>
        </w:trPr>
        <w:tc>
          <w:tcPr>
            <w:tcW w:w="32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580" w:type="dxa"/>
            <w:vAlign w:val="bottom"/>
          </w:tcPr>
          <w:p>
            <w:pPr>
              <w:jc w:val="center"/>
              <w:spacing w:after="0"/>
              <w:rPr>
                <w:sz w:val="20"/>
                <w:szCs w:val="20"/>
                <w:color w:val="auto"/>
              </w:rPr>
            </w:pPr>
            <w:r>
              <w:rPr>
                <w:rFonts w:ascii="Arial" w:cs="Arial" w:eastAsia="Arial" w:hAnsi="Arial"/>
                <w:sz w:val="16"/>
                <w:szCs w:val="16"/>
                <w:color w:val="auto"/>
              </w:rPr>
              <w:t>275,000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right"/>
              <w:ind w:right="462"/>
              <w:spacing w:after="0"/>
              <w:rPr>
                <w:sz w:val="20"/>
                <w:szCs w:val="20"/>
                <w:color w:val="auto"/>
              </w:rPr>
            </w:pPr>
            <w:r>
              <w:rPr>
                <w:rFonts w:ascii="Arial" w:cs="Arial" w:eastAsia="Arial" w:hAnsi="Arial"/>
                <w:sz w:val="16"/>
                <w:szCs w:val="16"/>
                <w:color w:val="auto"/>
              </w:rPr>
              <w:t>14,129</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289,129</w:t>
            </w: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William Yoon</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237,500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566,731</w:t>
            </w:r>
          </w:p>
        </w:tc>
        <w:tc>
          <w:tcPr>
            <w:tcW w:w="148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821,809</w:t>
            </w:r>
          </w:p>
        </w:tc>
        <w:tc>
          <w:tcPr>
            <w:tcW w:w="0" w:type="dxa"/>
            <w:vAlign w:val="bottom"/>
          </w:tcPr>
          <w:p>
            <w:pPr>
              <w:spacing w:after="0"/>
              <w:rPr>
                <w:sz w:val="1"/>
                <w:szCs w:val="1"/>
                <w:color w:val="auto"/>
              </w:rPr>
            </w:pPr>
          </w:p>
        </w:tc>
      </w:tr>
      <w:tr>
        <w:trPr>
          <w:trHeight w:val="228"/>
        </w:trPr>
        <w:tc>
          <w:tcPr>
            <w:tcW w:w="3280" w:type="dxa"/>
            <w:vAlign w:val="bottom"/>
          </w:tcPr>
          <w:p>
            <w:pPr>
              <w:ind w:left="60"/>
              <w:spacing w:after="0"/>
              <w:rPr>
                <w:sz w:val="20"/>
                <w:szCs w:val="20"/>
                <w:color w:val="auto"/>
              </w:rPr>
            </w:pPr>
            <w:r>
              <w:rPr>
                <w:rFonts w:ascii="Arial" w:cs="Arial" w:eastAsia="Arial" w:hAnsi="Arial"/>
                <w:sz w:val="16"/>
                <w:szCs w:val="16"/>
                <w:color w:val="auto"/>
              </w:rPr>
              <w:t>Ali Dasdan</w:t>
            </w:r>
          </w:p>
        </w:tc>
        <w:tc>
          <w:tcPr>
            <w:tcW w:w="1580" w:type="dxa"/>
            <w:vAlign w:val="bottom"/>
          </w:tcPr>
          <w:p>
            <w:pPr>
              <w:jc w:val="center"/>
              <w:spacing w:after="0"/>
              <w:rPr>
                <w:sz w:val="20"/>
                <w:szCs w:val="20"/>
                <w:color w:val="auto"/>
              </w:rPr>
            </w:pPr>
            <w:r>
              <w:rPr>
                <w:rFonts w:ascii="Arial" w:cs="Arial" w:eastAsia="Arial" w:hAnsi="Arial"/>
                <w:sz w:val="16"/>
                <w:szCs w:val="16"/>
                <w:color w:val="auto"/>
              </w:rPr>
              <w:t>250,000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1,060,320</w:t>
            </w:r>
          </w:p>
        </w:tc>
        <w:tc>
          <w:tcPr>
            <w:tcW w:w="1480" w:type="dxa"/>
            <w:vAlign w:val="bottom"/>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1,327,898</w:t>
            </w:r>
          </w:p>
        </w:tc>
        <w:tc>
          <w:tcPr>
            <w:tcW w:w="0" w:type="dxa"/>
            <w:vAlign w:val="bottom"/>
          </w:tcPr>
          <w:p>
            <w:pPr>
              <w:spacing w:after="0"/>
              <w:rPr>
                <w:sz w:val="1"/>
                <w:szCs w:val="1"/>
                <w:color w:val="auto"/>
              </w:rPr>
            </w:pPr>
          </w:p>
        </w:tc>
      </w:tr>
      <w:tr>
        <w:trPr>
          <w:trHeight w:val="43"/>
        </w:trPr>
        <w:tc>
          <w:tcPr>
            <w:tcW w:w="3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Ashraf Alkarmi</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250,000</w:t>
            </w:r>
          </w:p>
        </w:tc>
        <w:tc>
          <w:tcPr>
            <w:tcW w:w="1560" w:type="dxa"/>
            <w:vAlign w:val="bottom"/>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934,664</w:t>
            </w:r>
          </w:p>
        </w:tc>
        <w:tc>
          <w:tcPr>
            <w:tcW w:w="1480" w:type="dxa"/>
            <w:vAlign w:val="bottom"/>
            <w:shd w:val="clear" w:color="auto" w:fill="F2F2F2"/>
          </w:tcPr>
          <w:p>
            <w:pPr>
              <w:jc w:val="right"/>
              <w:ind w:right="462"/>
              <w:spacing w:after="0"/>
              <w:rPr>
                <w:sz w:val="20"/>
                <w:szCs w:val="20"/>
                <w:color w:val="auto"/>
              </w:rPr>
            </w:pPr>
            <w:r>
              <w:rPr>
                <w:rFonts w:ascii="Arial" w:cs="Arial" w:eastAsia="Arial" w:hAnsi="Arial"/>
                <w:sz w:val="16"/>
                <w:szCs w:val="16"/>
                <w:color w:val="auto"/>
              </w:rPr>
              <w:t>17,578</w:t>
            </w:r>
          </w:p>
        </w:tc>
        <w:tc>
          <w:tcPr>
            <w:tcW w:w="160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1,202,242</w:t>
            </w:r>
          </w:p>
        </w:tc>
        <w:tc>
          <w:tcPr>
            <w:tcW w:w="0" w:type="dxa"/>
            <w:vAlign w:val="bottom"/>
          </w:tcPr>
          <w:p>
            <w:pPr>
              <w:spacing w:after="0"/>
              <w:rPr>
                <w:sz w:val="1"/>
                <w:szCs w:val="1"/>
                <w:color w:val="auto"/>
              </w:rPr>
            </w:pPr>
          </w:p>
        </w:tc>
      </w:tr>
      <w:tr>
        <w:trPr>
          <w:trHeight w:val="29"/>
        </w:trPr>
        <w:tc>
          <w:tcPr>
            <w:tcW w:w="3280" w:type="dxa"/>
            <w:vAlign w:val="bottom"/>
            <w:shd w:val="clear" w:color="auto" w:fill="F2F2F2"/>
          </w:tcPr>
          <w:p>
            <w:pPr>
              <w:spacing w:after="0"/>
              <w:rPr>
                <w:sz w:val="2"/>
                <w:szCs w:val="2"/>
                <w:color w:val="auto"/>
              </w:rPr>
            </w:pPr>
          </w:p>
        </w:tc>
        <w:tc>
          <w:tcPr>
            <w:tcW w:w="1580" w:type="dxa"/>
            <w:vAlign w:val="bottom"/>
            <w:shd w:val="clear" w:color="auto" w:fill="F2F2F2"/>
          </w:tcPr>
          <w:p>
            <w:pPr>
              <w:spacing w:after="0"/>
              <w:rPr>
                <w:sz w:val="2"/>
                <w:szCs w:val="2"/>
                <w:color w:val="auto"/>
              </w:rPr>
            </w:pPr>
          </w:p>
        </w:tc>
        <w:tc>
          <w:tcPr>
            <w:tcW w:w="1560" w:type="dxa"/>
            <w:vAlign w:val="bottom"/>
            <w:shd w:val="clear" w:color="auto" w:fill="F2F2F2"/>
          </w:tcPr>
          <w:p>
            <w:pPr>
              <w:spacing w:after="0"/>
              <w:rPr>
                <w:sz w:val="2"/>
                <w:szCs w:val="2"/>
                <w:color w:val="auto"/>
              </w:rPr>
            </w:pPr>
          </w:p>
        </w:tc>
        <w:tc>
          <w:tcPr>
            <w:tcW w:w="174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6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80" w:hanging="332"/>
        <w:spacing w:after="0" w:line="285" w:lineRule="auto"/>
        <w:tabs>
          <w:tab w:leader="none" w:pos="346" w:val="left"/>
        </w:tabs>
        <w:numPr>
          <w:ilvl w:val="0"/>
          <w:numId w:val="79"/>
        </w:numPr>
        <w:rPr>
          <w:rFonts w:ascii="Arial" w:cs="Arial" w:eastAsia="Arial" w:hAnsi="Arial"/>
          <w:sz w:val="9"/>
          <w:szCs w:val="9"/>
          <w:color w:val="auto"/>
        </w:rPr>
      </w:pPr>
      <w:r>
        <w:rPr>
          <w:rFonts w:ascii="Arial" w:cs="Arial" w:eastAsia="Arial" w:hAnsi="Arial"/>
          <w:sz w:val="14"/>
          <w:szCs w:val="14"/>
          <w:color w:val="auto"/>
        </w:rPr>
        <w:t>Value based on a per share price of $27.80, which was the closing price for a share of our Class A common stock, as reported on December 31, 2025, the last trading day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that remained employed by the company as of December 31, 2025, upon termination of employment in connection with a change in control of Dropbox as described above, assuming such termination had occurred on December 31, 2025. Mr. Regan is not included in this table since he resigned as our Chief Financial Officer prior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320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jc w:val="center"/>
              <w:ind w:left="243"/>
              <w:spacing w:after="0"/>
              <w:rPr>
                <w:sz w:val="20"/>
                <w:szCs w:val="20"/>
                <w:color w:val="auto"/>
              </w:rPr>
            </w:pPr>
            <w:r>
              <w:rPr>
                <w:rFonts w:ascii="Arial" w:cs="Arial" w:eastAsia="Arial" w:hAnsi="Arial"/>
                <w:sz w:val="14"/>
                <w:szCs w:val="14"/>
                <w:b w:val="1"/>
                <w:bCs w:val="1"/>
                <w:color w:val="FFFFFF"/>
              </w:rPr>
              <w:t>Value of</w:t>
            </w:r>
          </w:p>
        </w:tc>
        <w:tc>
          <w:tcPr>
            <w:tcW w:w="440" w:type="dxa"/>
            <w:vAlign w:val="bottom"/>
            <w:shd w:val="clear" w:color="auto" w:fill="0063A6"/>
          </w:tcPr>
          <w:p>
            <w:pPr>
              <w:spacing w:after="0"/>
              <w:rPr>
                <w:sz w:val="20"/>
                <w:szCs w:val="20"/>
                <w:color w:val="auto"/>
              </w:rPr>
            </w:pPr>
          </w:p>
        </w:tc>
        <w:tc>
          <w:tcPr>
            <w:tcW w:w="1220" w:type="dxa"/>
            <w:vAlign w:val="bottom"/>
            <w:shd w:val="clear" w:color="auto" w:fill="0063A6"/>
          </w:tcPr>
          <w:p>
            <w:pPr>
              <w:spacing w:after="0"/>
              <w:rPr>
                <w:sz w:val="20"/>
                <w:szCs w:val="20"/>
                <w:color w:val="auto"/>
              </w:rPr>
            </w:pPr>
          </w:p>
        </w:tc>
        <w:tc>
          <w:tcPr>
            <w:tcW w:w="1400" w:type="dxa"/>
            <w:vAlign w:val="bottom"/>
            <w:shd w:val="clear" w:color="auto" w:fill="0063A6"/>
          </w:tcPr>
          <w:p>
            <w:pPr>
              <w:spacing w:after="0"/>
              <w:rPr>
                <w:sz w:val="20"/>
                <w:szCs w:val="20"/>
                <w:color w:val="auto"/>
              </w:rPr>
            </w:pPr>
          </w:p>
        </w:tc>
        <w:tc>
          <w:tcPr>
            <w:tcW w:w="146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0063A6"/>
          </w:tcPr>
          <w:p>
            <w:pPr>
              <w:spacing w:after="0"/>
              <w:rPr>
                <w:sz w:val="14"/>
                <w:szCs w:val="14"/>
                <w:color w:val="auto"/>
              </w:rPr>
            </w:pP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Base Salary</w:t>
            </w:r>
          </w:p>
        </w:tc>
        <w:tc>
          <w:tcPr>
            <w:tcW w:w="148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Cash Bonus</w:t>
            </w:r>
          </w:p>
        </w:tc>
        <w:tc>
          <w:tcPr>
            <w:tcW w:w="1480" w:type="dxa"/>
            <w:vAlign w:val="bottom"/>
            <w:shd w:val="clear" w:color="auto" w:fill="0063A6"/>
          </w:tcPr>
          <w:p>
            <w:pPr>
              <w:jc w:val="center"/>
              <w:ind w:left="223"/>
              <w:spacing w:after="0"/>
              <w:rPr>
                <w:sz w:val="20"/>
                <w:szCs w:val="20"/>
                <w:color w:val="auto"/>
              </w:rPr>
            </w:pPr>
            <w:r>
              <w:rPr>
                <w:rFonts w:ascii="Arial" w:cs="Arial" w:eastAsia="Arial" w:hAnsi="Arial"/>
                <w:sz w:val="14"/>
                <w:szCs w:val="14"/>
                <w:b w:val="1"/>
                <w:bCs w:val="1"/>
                <w:color w:val="FFFFFF"/>
              </w:rPr>
              <w:t>Accelerated</w:t>
            </w:r>
          </w:p>
        </w:tc>
        <w:tc>
          <w:tcPr>
            <w:tcW w:w="440" w:type="dxa"/>
            <w:vAlign w:val="bottom"/>
            <w:shd w:val="clear" w:color="auto" w:fill="0063A6"/>
          </w:tcPr>
          <w:p>
            <w:pPr>
              <w:spacing w:after="0"/>
              <w:rPr>
                <w:sz w:val="14"/>
                <w:szCs w:val="14"/>
                <w:color w:val="auto"/>
              </w:rPr>
            </w:pPr>
          </w:p>
        </w:tc>
        <w:tc>
          <w:tcPr>
            <w:tcW w:w="1220" w:type="dxa"/>
            <w:vAlign w:val="bottom"/>
            <w:shd w:val="clear" w:color="auto" w:fill="0063A6"/>
          </w:tcPr>
          <w:p>
            <w:pPr>
              <w:jc w:val="right"/>
              <w:ind w:right="442"/>
              <w:spacing w:after="0"/>
              <w:rPr>
                <w:sz w:val="20"/>
                <w:szCs w:val="20"/>
                <w:color w:val="auto"/>
              </w:rPr>
            </w:pPr>
            <w:r>
              <w:rPr>
                <w:rFonts w:ascii="Arial" w:cs="Arial" w:eastAsia="Arial" w:hAnsi="Arial"/>
                <w:sz w:val="14"/>
                <w:szCs w:val="14"/>
                <w:b w:val="1"/>
                <w:bCs w:val="1"/>
                <w:color w:val="FFFFFF"/>
              </w:rPr>
              <w:t>280G</w:t>
            </w:r>
          </w:p>
        </w:tc>
        <w:tc>
          <w:tcPr>
            <w:tcW w:w="1400" w:type="dxa"/>
            <w:vAlign w:val="bottom"/>
            <w:shd w:val="clear" w:color="auto" w:fill="0063A6"/>
          </w:tcPr>
          <w:p>
            <w:pPr>
              <w:ind w:left="400"/>
              <w:spacing w:after="0"/>
              <w:rPr>
                <w:sz w:val="20"/>
                <w:szCs w:val="20"/>
                <w:color w:val="auto"/>
              </w:rPr>
            </w:pPr>
            <w:r>
              <w:rPr>
                <w:rFonts w:ascii="Arial" w:cs="Arial" w:eastAsia="Arial" w:hAnsi="Arial"/>
                <w:sz w:val="14"/>
                <w:szCs w:val="14"/>
                <w:b w:val="1"/>
                <w:bCs w:val="1"/>
                <w:color w:val="FFFFFF"/>
              </w:rPr>
              <w:t>Value of</w:t>
            </w:r>
          </w:p>
        </w:tc>
        <w:tc>
          <w:tcPr>
            <w:tcW w:w="14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0063A6"/>
          </w:tcPr>
          <w:p>
            <w:pPr>
              <w:ind w:left="60"/>
              <w:spacing w:after="0" w:line="181" w:lineRule="exact"/>
              <w:rPr>
                <w:sz w:val="20"/>
                <w:szCs w:val="20"/>
                <w:color w:val="auto"/>
              </w:rPr>
            </w:pPr>
            <w:r>
              <w:rPr>
                <w:rFonts w:ascii="Arial" w:cs="Arial" w:eastAsia="Arial" w:hAnsi="Arial"/>
                <w:sz w:val="14"/>
                <w:szCs w:val="14"/>
                <w:b w:val="1"/>
                <w:bCs w:val="1"/>
                <w:color w:val="FFFFFF"/>
              </w:rPr>
              <w:t>Name</w:t>
            </w:r>
            <w:r>
              <w:rPr>
                <w:rFonts w:ascii="Arial" w:cs="Arial" w:eastAsia="Arial" w:hAnsi="Arial"/>
                <w:sz w:val="18"/>
                <w:szCs w:val="18"/>
                <w:b w:val="1"/>
                <w:bCs w:val="1"/>
                <w:color w:val="FFFFFF"/>
                <w:vertAlign w:val="superscript"/>
              </w:rPr>
              <w:t>(1)</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jc w:val="center"/>
              <w:ind w:left="243"/>
              <w:spacing w:after="0"/>
              <w:rPr>
                <w:sz w:val="20"/>
                <w:szCs w:val="20"/>
                <w:color w:val="auto"/>
              </w:rPr>
            </w:pPr>
            <w:r>
              <w:rPr>
                <w:rFonts w:ascii="Arial" w:cs="Arial" w:eastAsia="Arial" w:hAnsi="Arial"/>
                <w:sz w:val="14"/>
                <w:szCs w:val="14"/>
                <w:b w:val="1"/>
                <w:bCs w:val="1"/>
                <w:color w:val="FFFFFF"/>
              </w:rPr>
              <w:t>Equity Awards</w:t>
            </w:r>
          </w:p>
        </w:tc>
        <w:tc>
          <w:tcPr>
            <w:tcW w:w="440" w:type="dxa"/>
            <w:vAlign w:val="bottom"/>
            <w:shd w:val="clear" w:color="auto" w:fill="0063A6"/>
          </w:tcPr>
          <w:p>
            <w:pPr>
              <w:spacing w:after="0"/>
              <w:rPr>
                <w:sz w:val="15"/>
                <w:szCs w:val="15"/>
                <w:color w:val="auto"/>
              </w:rPr>
            </w:pPr>
          </w:p>
        </w:tc>
        <w:tc>
          <w:tcPr>
            <w:tcW w:w="1220" w:type="dxa"/>
            <w:vAlign w:val="bottom"/>
            <w:shd w:val="clear" w:color="auto" w:fill="0063A6"/>
          </w:tcPr>
          <w:p>
            <w:pPr>
              <w:jc w:val="right"/>
              <w:ind w:right="302"/>
              <w:spacing w:after="0"/>
              <w:rPr>
                <w:sz w:val="20"/>
                <w:szCs w:val="20"/>
                <w:color w:val="auto"/>
              </w:rPr>
            </w:pPr>
            <w:r>
              <w:rPr>
                <w:rFonts w:ascii="Arial" w:cs="Arial" w:eastAsia="Arial" w:hAnsi="Arial"/>
                <w:sz w:val="14"/>
                <w:szCs w:val="14"/>
                <w:b w:val="1"/>
                <w:bCs w:val="1"/>
                <w:color w:val="FFFFFF"/>
              </w:rPr>
              <w:t>Gross-up</w:t>
            </w:r>
          </w:p>
        </w:tc>
        <w:tc>
          <w:tcPr>
            <w:tcW w:w="1400" w:type="dxa"/>
            <w:vAlign w:val="bottom"/>
            <w:shd w:val="clear" w:color="auto" w:fill="0063A6"/>
          </w:tcPr>
          <w:p>
            <w:pPr>
              <w:ind w:left="380"/>
              <w:spacing w:after="0"/>
              <w:rPr>
                <w:sz w:val="20"/>
                <w:szCs w:val="20"/>
                <w:color w:val="auto"/>
              </w:rPr>
            </w:pPr>
            <w:r>
              <w:rPr>
                <w:rFonts w:ascii="Arial" w:cs="Arial" w:eastAsia="Arial" w:hAnsi="Arial"/>
                <w:sz w:val="14"/>
                <w:szCs w:val="14"/>
                <w:b w:val="1"/>
                <w:bCs w:val="1"/>
                <w:color w:val="FFFFFF"/>
              </w:rPr>
              <w:t>Benefits</w:t>
            </w:r>
          </w:p>
        </w:tc>
        <w:tc>
          <w:tcPr>
            <w:tcW w:w="1460" w:type="dxa"/>
            <w:vAlign w:val="bottom"/>
            <w:vMerge w:val="restart"/>
            <w:shd w:val="clear" w:color="auto" w:fill="0063A6"/>
          </w:tcPr>
          <w:p>
            <w:pPr>
              <w:jc w:val="right"/>
              <w:ind w:right="38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27"/>
        </w:trPr>
        <w:tc>
          <w:tcPr>
            <w:tcW w:w="2280" w:type="dxa"/>
            <w:vAlign w:val="bottom"/>
            <w:tcBorders>
              <w:bottom w:val="single" w:sz="8" w:color="0063A6"/>
            </w:tcBorders>
            <w:shd w:val="clear" w:color="auto" w:fill="0063A6"/>
          </w:tcPr>
          <w:p>
            <w:pPr>
              <w:spacing w:after="0"/>
              <w:rPr>
                <w:sz w:val="19"/>
                <w:szCs w:val="19"/>
                <w:color w:val="auto"/>
              </w:rPr>
            </w:pP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ind w:left="243"/>
              <w:spacing w:after="0" w:line="19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(2)</w:t>
            </w:r>
          </w:p>
        </w:tc>
        <w:tc>
          <w:tcPr>
            <w:tcW w:w="440" w:type="dxa"/>
            <w:vAlign w:val="bottom"/>
            <w:tcBorders>
              <w:bottom w:val="single" w:sz="8" w:color="0063A6"/>
            </w:tcBorders>
            <w:shd w:val="clear" w:color="auto" w:fill="0063A6"/>
          </w:tcPr>
          <w:p>
            <w:pPr>
              <w:spacing w:after="0"/>
              <w:rPr>
                <w:sz w:val="19"/>
                <w:szCs w:val="19"/>
                <w:color w:val="auto"/>
              </w:rPr>
            </w:pPr>
          </w:p>
        </w:tc>
        <w:tc>
          <w:tcPr>
            <w:tcW w:w="1220" w:type="dxa"/>
            <w:vAlign w:val="bottom"/>
            <w:tcBorders>
              <w:bottom w:val="single" w:sz="8" w:color="0063A6"/>
            </w:tcBorders>
            <w:shd w:val="clear" w:color="auto" w:fill="0063A6"/>
          </w:tcPr>
          <w:p>
            <w:pPr>
              <w:jc w:val="right"/>
              <w:ind w:right="502"/>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0063A6"/>
            </w:tcBorders>
            <w:vMerge w:val="continue"/>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2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800,000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rPr>
              <w:t>(3)</w:t>
            </w:r>
          </w:p>
        </w:tc>
        <w:tc>
          <w:tcPr>
            <w:tcW w:w="1220" w:type="dxa"/>
            <w:vAlign w:val="bottom"/>
            <w:vMerge w:val="restart"/>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35,021</w:t>
            </w:r>
          </w:p>
        </w:tc>
        <w:tc>
          <w:tcPr>
            <w:tcW w:w="1460" w:type="dxa"/>
            <w:vAlign w:val="bottom"/>
            <w:vMerge w:val="restart"/>
            <w:shd w:val="clear" w:color="auto" w:fill="F2F2F2"/>
          </w:tcPr>
          <w:p>
            <w:pPr>
              <w:jc w:val="right"/>
              <w:ind w:right="1"/>
              <w:spacing w:after="0"/>
              <w:rPr>
                <w:sz w:val="20"/>
                <w:szCs w:val="20"/>
                <w:color w:val="auto"/>
              </w:rPr>
            </w:pPr>
            <w:r>
              <w:rPr>
                <w:rFonts w:ascii="Arial" w:cs="Arial" w:eastAsia="Arial" w:hAnsi="Arial"/>
                <w:sz w:val="16"/>
                <w:szCs w:val="16"/>
                <w:color w:val="auto"/>
              </w:rPr>
              <w:t>1,635,021</w:t>
            </w:r>
          </w:p>
        </w:tc>
        <w:tc>
          <w:tcPr>
            <w:tcW w:w="0" w:type="dxa"/>
            <w:vAlign w:val="bottom"/>
          </w:tcPr>
          <w:p>
            <w:pPr>
              <w:spacing w:after="0"/>
              <w:rPr>
                <w:sz w:val="1"/>
                <w:szCs w:val="1"/>
                <w:color w:val="auto"/>
              </w:rPr>
            </w:pPr>
          </w:p>
        </w:tc>
      </w:tr>
      <w:tr>
        <w:trPr>
          <w:trHeight w:val="112"/>
        </w:trPr>
        <w:tc>
          <w:tcPr>
            <w:tcW w:w="22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440" w:type="dxa"/>
            <w:vAlign w:val="bottom"/>
            <w:tcBorders>
              <w:bottom w:val="single" w:sz="8" w:color="F2F2F2"/>
            </w:tcBorders>
            <w:shd w:val="clear" w:color="auto" w:fill="F2F2F2"/>
          </w:tcPr>
          <w:p>
            <w:pPr>
              <w:spacing w:after="0"/>
              <w:rPr>
                <w:sz w:val="9"/>
                <w:szCs w:val="9"/>
                <w:color w:val="auto"/>
              </w:rPr>
            </w:pPr>
          </w:p>
        </w:tc>
        <w:tc>
          <w:tcPr>
            <w:tcW w:w="1220" w:type="dxa"/>
            <w:vAlign w:val="bottom"/>
            <w:tcBorders>
              <w:bottom w:val="single" w:sz="8" w:color="F2F2F2"/>
            </w:tcBorders>
            <w:vMerge w:val="continue"/>
            <w:shd w:val="clear" w:color="auto" w:fill="F2F2F2"/>
          </w:tcPr>
          <w:p>
            <w:pPr>
              <w:spacing w:after="0"/>
              <w:rPr>
                <w:sz w:val="9"/>
                <w:szCs w:val="9"/>
                <w:color w:val="auto"/>
              </w:rPr>
            </w:pPr>
          </w:p>
        </w:tc>
        <w:tc>
          <w:tcPr>
            <w:tcW w:w="1400" w:type="dxa"/>
            <w:vAlign w:val="bottom"/>
            <w:tcBorders>
              <w:bottom w:val="single" w:sz="8" w:color="F2F2F2"/>
            </w:tcBorders>
            <w:vMerge w:val="continue"/>
            <w:shd w:val="clear" w:color="auto" w:fill="F2F2F2"/>
          </w:tcPr>
          <w:p>
            <w:pPr>
              <w:spacing w:after="0"/>
              <w:rPr>
                <w:sz w:val="9"/>
                <w:szCs w:val="9"/>
                <w:color w:val="auto"/>
              </w:rPr>
            </w:pPr>
          </w:p>
        </w:tc>
        <w:tc>
          <w:tcPr>
            <w:tcW w:w="1460" w:type="dxa"/>
            <w:vAlign w:val="bottom"/>
            <w:tcBorders>
              <w:bottom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60"/>
              <w:spacing w:after="0"/>
              <w:rPr>
                <w:sz w:val="20"/>
                <w:szCs w:val="20"/>
                <w:color w:val="auto"/>
              </w:rPr>
            </w:pPr>
            <w:r>
              <w:rPr>
                <w:rFonts w:ascii="Arial" w:cs="Arial" w:eastAsia="Arial" w:hAnsi="Arial"/>
                <w:sz w:val="16"/>
                <w:szCs w:val="16"/>
                <w:color w:val="auto"/>
              </w:rPr>
              <w:t>Ross Tennenbaum</w:t>
            </w:r>
          </w:p>
        </w:tc>
        <w:tc>
          <w:tcPr>
            <w:tcW w:w="1480" w:type="dxa"/>
            <w:vAlign w:val="bottom"/>
          </w:tcPr>
          <w:p>
            <w:pPr>
              <w:jc w:val="center"/>
              <w:spacing w:after="0"/>
              <w:rPr>
                <w:sz w:val="20"/>
                <w:szCs w:val="20"/>
                <w:color w:val="auto"/>
              </w:rPr>
            </w:pPr>
            <w:r>
              <w:rPr>
                <w:rFonts w:ascii="Arial" w:cs="Arial" w:eastAsia="Arial" w:hAnsi="Arial"/>
                <w:sz w:val="16"/>
                <w:szCs w:val="16"/>
                <w:color w:val="auto"/>
              </w:rPr>
              <w:t>550,000</w:t>
            </w:r>
          </w:p>
        </w:tc>
        <w:tc>
          <w:tcPr>
            <w:tcW w:w="1480" w:type="dxa"/>
            <w:vAlign w:val="bottom"/>
          </w:tcPr>
          <w:p>
            <w:pPr>
              <w:jc w:val="center"/>
              <w:spacing w:after="0"/>
              <w:rPr>
                <w:sz w:val="20"/>
                <w:szCs w:val="20"/>
                <w:color w:val="auto"/>
              </w:rPr>
            </w:pPr>
            <w:r>
              <w:rPr>
                <w:rFonts w:ascii="Arial" w:cs="Arial" w:eastAsia="Arial" w:hAnsi="Arial"/>
                <w:sz w:val="16"/>
                <w:szCs w:val="16"/>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8"/>
                <w:szCs w:val="18"/>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28,259</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578,259</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William Yoon</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475,000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320,188</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5,462,172</w:t>
            </w:r>
          </w:p>
        </w:tc>
        <w:tc>
          <w:tcPr>
            <w:tcW w:w="440" w:type="dxa"/>
            <w:vAlign w:val="bottom"/>
            <w:tcBorders>
              <w:bottom w:val="single" w:sz="8" w:color="F2F2F2"/>
            </w:tcBorders>
            <w:shd w:val="clear" w:color="auto" w:fill="F2F2F2"/>
          </w:tcPr>
          <w:p>
            <w:pPr>
              <w:spacing w:after="0"/>
              <w:rPr>
                <w:sz w:val="20"/>
                <w:szCs w:val="20"/>
                <w:color w:val="auto"/>
              </w:rPr>
            </w:pPr>
          </w:p>
        </w:tc>
        <w:tc>
          <w:tcPr>
            <w:tcW w:w="1220" w:type="dxa"/>
            <w:vAlign w:val="bottom"/>
            <w:tcBorders>
              <w:bottom w:val="single" w:sz="8" w:color="F2F2F2"/>
            </w:tcBorders>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6,292,516</w:t>
            </w:r>
          </w:p>
        </w:tc>
        <w:tc>
          <w:tcPr>
            <w:tcW w:w="0" w:type="dxa"/>
            <w:vAlign w:val="bottom"/>
          </w:tcPr>
          <w:p>
            <w:pPr>
              <w:spacing w:after="0"/>
              <w:rPr>
                <w:sz w:val="1"/>
                <w:szCs w:val="1"/>
                <w:color w:val="auto"/>
              </w:rPr>
            </w:pPr>
          </w:p>
        </w:tc>
      </w:tr>
      <w:tr>
        <w:trPr>
          <w:trHeight w:val="227"/>
        </w:trPr>
        <w:tc>
          <w:tcPr>
            <w:tcW w:w="2280" w:type="dxa"/>
            <w:vAlign w:val="bottom"/>
          </w:tcPr>
          <w:p>
            <w:pPr>
              <w:ind w:left="60"/>
              <w:spacing w:after="0"/>
              <w:rPr>
                <w:sz w:val="20"/>
                <w:szCs w:val="20"/>
                <w:color w:val="auto"/>
              </w:rPr>
            </w:pPr>
            <w:r>
              <w:rPr>
                <w:rFonts w:ascii="Arial" w:cs="Arial" w:eastAsia="Arial" w:hAnsi="Arial"/>
                <w:sz w:val="16"/>
                <w:szCs w:val="16"/>
                <w:color w:val="auto"/>
              </w:rPr>
              <w:t>Ali Dasdan</w:t>
            </w:r>
          </w:p>
        </w:tc>
        <w:tc>
          <w:tcPr>
            <w:tcW w:w="1480" w:type="dxa"/>
            <w:vAlign w:val="bottom"/>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tcPr>
          <w:p>
            <w:pPr>
              <w:jc w:val="center"/>
              <w:spacing w:after="0"/>
              <w:rPr>
                <w:sz w:val="20"/>
                <w:szCs w:val="20"/>
                <w:color w:val="auto"/>
              </w:rPr>
            </w:pPr>
            <w:r>
              <w:rPr>
                <w:rFonts w:ascii="Arial" w:cs="Arial" w:eastAsia="Arial" w:hAnsi="Arial"/>
                <w:sz w:val="16"/>
                <w:szCs w:val="16"/>
                <w:color w:val="auto"/>
              </w:rPr>
              <w:t>416,438</w:t>
            </w:r>
          </w:p>
        </w:tc>
        <w:tc>
          <w:tcPr>
            <w:tcW w:w="1480" w:type="dxa"/>
            <w:vAlign w:val="bottom"/>
          </w:tcPr>
          <w:p>
            <w:pPr>
              <w:jc w:val="center"/>
              <w:spacing w:after="0"/>
              <w:rPr>
                <w:sz w:val="20"/>
                <w:szCs w:val="20"/>
                <w:color w:val="auto"/>
              </w:rPr>
            </w:pPr>
            <w:r>
              <w:rPr>
                <w:rFonts w:ascii="Arial" w:cs="Arial" w:eastAsia="Arial" w:hAnsi="Arial"/>
                <w:sz w:val="16"/>
                <w:szCs w:val="16"/>
                <w:color w:val="auto"/>
              </w:rPr>
              <w:t>13,784,241</w:t>
            </w:r>
          </w:p>
        </w:tc>
        <w:tc>
          <w:tcPr>
            <w:tcW w:w="440" w:type="dxa"/>
            <w:vAlign w:val="bottom"/>
          </w:tcPr>
          <w:p>
            <w:pPr>
              <w:spacing w:after="0"/>
              <w:rPr>
                <w:sz w:val="19"/>
                <w:szCs w:val="19"/>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14,735,835</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80" w:type="dxa"/>
            <w:vAlign w:val="bottom"/>
            <w:shd w:val="clear" w:color="auto" w:fill="F2F2F2"/>
          </w:tcPr>
          <w:p>
            <w:pPr>
              <w:ind w:left="20"/>
              <w:spacing w:after="0"/>
              <w:rPr>
                <w:sz w:val="20"/>
                <w:szCs w:val="20"/>
                <w:color w:val="auto"/>
              </w:rPr>
            </w:pPr>
            <w:r>
              <w:rPr>
                <w:rFonts w:ascii="Arial" w:cs="Arial" w:eastAsia="Arial" w:hAnsi="Arial"/>
                <w:sz w:val="16"/>
                <w:szCs w:val="16"/>
                <w:color w:val="auto"/>
              </w:rPr>
              <w:t>Ashraf Alkarmi</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500,000</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11,215,966</w:t>
            </w:r>
          </w:p>
        </w:tc>
        <w:tc>
          <w:tcPr>
            <w:tcW w:w="440" w:type="dxa"/>
            <w:vAlign w:val="bottom"/>
            <w:shd w:val="clear" w:color="auto" w:fill="F2F2F2"/>
          </w:tcPr>
          <w:p>
            <w:pPr>
              <w:spacing w:after="0"/>
              <w:rPr>
                <w:sz w:val="18"/>
                <w:szCs w:val="18"/>
                <w:color w:val="auto"/>
              </w:rPr>
            </w:pPr>
          </w:p>
        </w:tc>
        <w:tc>
          <w:tcPr>
            <w:tcW w:w="1220" w:type="dxa"/>
            <w:vAlign w:val="bottom"/>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35,156</w:t>
            </w:r>
          </w:p>
        </w:tc>
        <w:tc>
          <w:tcPr>
            <w:tcW w:w="146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12,251,122</w:t>
            </w:r>
          </w:p>
        </w:tc>
        <w:tc>
          <w:tcPr>
            <w:tcW w:w="0" w:type="dxa"/>
            <w:vAlign w:val="bottom"/>
          </w:tcPr>
          <w:p>
            <w:pPr>
              <w:spacing w:after="0"/>
              <w:rPr>
                <w:sz w:val="1"/>
                <w:szCs w:val="1"/>
                <w:color w:val="auto"/>
              </w:rPr>
            </w:pPr>
          </w:p>
        </w:tc>
      </w:tr>
      <w:tr>
        <w:trPr>
          <w:trHeight w:val="28"/>
        </w:trPr>
        <w:tc>
          <w:tcPr>
            <w:tcW w:w="22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440" w:type="dxa"/>
            <w:vAlign w:val="bottom"/>
            <w:shd w:val="clear" w:color="auto" w:fill="F2F2F2"/>
          </w:tcPr>
          <w:p>
            <w:pPr>
              <w:spacing w:after="0"/>
              <w:rPr>
                <w:sz w:val="2"/>
                <w:szCs w:val="2"/>
                <w:color w:val="auto"/>
              </w:rPr>
            </w:pPr>
          </w:p>
        </w:tc>
        <w:tc>
          <w:tcPr>
            <w:tcW w:w="1220" w:type="dxa"/>
            <w:vAlign w:val="bottom"/>
            <w:shd w:val="clear" w:color="auto" w:fill="F2F2F2"/>
          </w:tcPr>
          <w:p>
            <w:pPr>
              <w:spacing w:after="0"/>
              <w:rPr>
                <w:sz w:val="2"/>
                <w:szCs w:val="2"/>
                <w:color w:val="auto"/>
              </w:rPr>
            </w:pPr>
          </w:p>
        </w:tc>
        <w:tc>
          <w:tcPr>
            <w:tcW w:w="1400" w:type="dxa"/>
            <w:vAlign w:val="bottom"/>
            <w:shd w:val="clear" w:color="auto" w:fill="F2F2F2"/>
          </w:tcPr>
          <w:p>
            <w:pPr>
              <w:spacing w:after="0"/>
              <w:rPr>
                <w:sz w:val="2"/>
                <w:szCs w:val="2"/>
                <w:color w:val="auto"/>
              </w:rPr>
            </w:pPr>
          </w:p>
        </w:tc>
        <w:tc>
          <w:tcPr>
            <w:tcW w:w="146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140" w:hanging="332"/>
        <w:spacing w:after="0" w:line="222"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ind w:left="340" w:right="100" w:hanging="332"/>
        <w:spacing w:after="0" w:line="204"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Unless otherwise noted, the value is based on a per share price of $27.80, which was the closing price for a share of our Class A common stock as reported on December 31, 2025, the last trading day of the year.</w:t>
      </w:r>
    </w:p>
    <w:p>
      <w:pPr>
        <w:spacing w:after="0" w:line="1" w:lineRule="exact"/>
        <w:rPr>
          <w:rFonts w:ascii="Arial" w:cs="Arial" w:eastAsia="Arial" w:hAnsi="Arial"/>
          <w:sz w:val="19"/>
          <w:szCs w:val="19"/>
          <w:color w:val="auto"/>
          <w:vertAlign w:val="superscript"/>
        </w:rPr>
      </w:pPr>
    </w:p>
    <w:p>
      <w:pPr>
        <w:ind w:left="340" w:right="80" w:hanging="332"/>
        <w:spacing w:after="0" w:line="216" w:lineRule="auto"/>
        <w:tabs>
          <w:tab w:leader="none" w:pos="333"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Excludes 8,266,666 shares of Class A common stock underlying RSAs subject to Mr. Houston’s Co-Founder Grant. See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Potential Payments on Termination or Change in Control—Certain Equity Awards</w:t>
      </w:r>
      <w:r>
        <w:rPr>
          <w:rFonts w:ascii="Arial" w:cs="Arial" w:eastAsia="Arial" w:hAnsi="Arial"/>
          <w:sz w:val="14"/>
          <w:szCs w:val="14"/>
          <w:color w:val="auto"/>
        </w:rPr>
        <w:t>” above for additional information regarding the terms of Mr. Houston’s Co-Founder Grant</w:t>
      </w:r>
      <w:r>
        <w:rPr>
          <w:rFonts w:ascii="Arial" w:cs="Arial" w:eastAsia="Arial" w:hAnsi="Arial"/>
          <w:sz w:val="14"/>
          <w:szCs w:val="14"/>
          <w:i w:val="1"/>
          <w:iCs w:val="1"/>
          <w:color w:val="auto"/>
        </w:rPr>
        <w:t xml:space="preserve"> </w:t>
      </w:r>
      <w:r>
        <w:rPr>
          <w:rFonts w:ascii="Arial" w:cs="Arial" w:eastAsia="Arial" w:hAnsi="Arial"/>
          <w:sz w:val="14"/>
          <w:szCs w:val="14"/>
          <w:color w:val="auto"/>
        </w:rPr>
        <w:t>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hanging="554"/>
        <w:spacing w:after="0"/>
        <w:tabs>
          <w:tab w:leader="none" w:pos="5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CEO Pay Ratio</w:t>
      </w:r>
    </w:p>
    <w:p>
      <w:pPr>
        <w:spacing w:after="0" w:line="219"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annual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602"/>
        </w:trPr>
        <w:tc>
          <w:tcPr>
            <w:tcW w:w="258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$2,166,622</w:t>
            </w:r>
          </w:p>
        </w:tc>
        <w:tc>
          <w:tcPr>
            <w:tcW w:w="1160" w:type="dxa"/>
            <w:vAlign w:val="bottom"/>
          </w:tcPr>
          <w:p>
            <w:pPr>
              <w:spacing w:after="0"/>
              <w:rPr>
                <w:sz w:val="24"/>
                <w:szCs w:val="24"/>
                <w:color w:val="auto"/>
              </w:rPr>
            </w:pPr>
          </w:p>
        </w:tc>
        <w:tc>
          <w:tcPr>
            <w:tcW w:w="260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$286,151</w:t>
            </w:r>
          </w:p>
        </w:tc>
        <w:tc>
          <w:tcPr>
            <w:tcW w:w="1140" w:type="dxa"/>
            <w:vAlign w:val="bottom"/>
          </w:tcPr>
          <w:p>
            <w:pPr>
              <w:spacing w:after="0"/>
              <w:rPr>
                <w:sz w:val="24"/>
                <w:szCs w:val="24"/>
                <w:color w:val="auto"/>
              </w:rPr>
            </w:pPr>
          </w:p>
        </w:tc>
        <w:tc>
          <w:tcPr>
            <w:tcW w:w="2620" w:type="dxa"/>
            <w:vAlign w:val="bottom"/>
            <w:shd w:val="clear" w:color="auto" w:fill="3774B3"/>
          </w:tcPr>
          <w:p>
            <w:pPr>
              <w:jc w:val="right"/>
              <w:ind w:right="1003"/>
              <w:spacing w:after="0"/>
              <w:rPr>
                <w:sz w:val="20"/>
                <w:szCs w:val="20"/>
                <w:color w:val="auto"/>
              </w:rPr>
            </w:pPr>
            <w:r>
              <w:rPr>
                <w:rFonts w:ascii="Arial" w:cs="Arial" w:eastAsia="Arial" w:hAnsi="Arial"/>
                <w:sz w:val="29"/>
                <w:szCs w:val="29"/>
                <w:color w:val="FFFFFF"/>
              </w:rPr>
              <w:t>8:1</w:t>
            </w:r>
          </w:p>
        </w:tc>
        <w:tc>
          <w:tcPr>
            <w:tcW w:w="0" w:type="dxa"/>
            <w:vAlign w:val="bottom"/>
          </w:tcPr>
          <w:p>
            <w:pPr>
              <w:spacing w:after="0"/>
              <w:rPr>
                <w:sz w:val="1"/>
                <w:szCs w:val="1"/>
                <w:color w:val="auto"/>
              </w:rPr>
            </w:pPr>
          </w:p>
        </w:tc>
      </w:tr>
      <w:tr>
        <w:trPr>
          <w:trHeight w:val="181"/>
        </w:trPr>
        <w:tc>
          <w:tcPr>
            <w:tcW w:w="258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7"/>
              </w:rPr>
              <w:t>CEO Total Annual</w:t>
            </w:r>
          </w:p>
        </w:tc>
        <w:tc>
          <w:tcPr>
            <w:tcW w:w="1160" w:type="dxa"/>
            <w:vAlign w:val="bottom"/>
          </w:tcPr>
          <w:p>
            <w:pPr>
              <w:spacing w:after="0"/>
              <w:rPr>
                <w:sz w:val="15"/>
                <w:szCs w:val="15"/>
                <w:color w:val="auto"/>
              </w:rPr>
            </w:pPr>
          </w:p>
        </w:tc>
        <w:tc>
          <w:tcPr>
            <w:tcW w:w="260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8"/>
              </w:rPr>
              <w:t>Median Employee Total</w:t>
            </w:r>
          </w:p>
        </w:tc>
        <w:tc>
          <w:tcPr>
            <w:tcW w:w="1140" w:type="dxa"/>
            <w:vAlign w:val="bottom"/>
          </w:tcPr>
          <w:p>
            <w:pPr>
              <w:spacing w:after="0"/>
              <w:rPr>
                <w:sz w:val="15"/>
                <w:szCs w:val="15"/>
                <w:color w:val="auto"/>
              </w:rPr>
            </w:pPr>
          </w:p>
        </w:tc>
        <w:tc>
          <w:tcPr>
            <w:tcW w:w="262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CEO Pay Ratio</w:t>
            </w:r>
          </w:p>
        </w:tc>
        <w:tc>
          <w:tcPr>
            <w:tcW w:w="0" w:type="dxa"/>
            <w:vAlign w:val="bottom"/>
          </w:tcPr>
          <w:p>
            <w:pPr>
              <w:spacing w:after="0"/>
              <w:rPr>
                <w:sz w:val="1"/>
                <w:szCs w:val="1"/>
                <w:color w:val="auto"/>
              </w:rPr>
            </w:pPr>
          </w:p>
        </w:tc>
      </w:tr>
      <w:tr>
        <w:trPr>
          <w:trHeight w:val="153"/>
        </w:trPr>
        <w:tc>
          <w:tcPr>
            <w:tcW w:w="258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60" w:type="dxa"/>
            <w:vAlign w:val="bottom"/>
          </w:tcPr>
          <w:p>
            <w:pPr>
              <w:spacing w:after="0"/>
              <w:rPr>
                <w:sz w:val="13"/>
                <w:szCs w:val="13"/>
                <w:color w:val="auto"/>
              </w:rPr>
            </w:pPr>
          </w:p>
        </w:tc>
        <w:tc>
          <w:tcPr>
            <w:tcW w:w="260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40" w:type="dxa"/>
            <w:vAlign w:val="bottom"/>
          </w:tcPr>
          <w:p>
            <w:pPr>
              <w:spacing w:after="0"/>
              <w:rPr>
                <w:sz w:val="13"/>
                <w:szCs w:val="13"/>
                <w:color w:val="auto"/>
              </w:rPr>
            </w:pPr>
          </w:p>
        </w:tc>
        <w:tc>
          <w:tcPr>
            <w:tcW w:w="2620" w:type="dxa"/>
            <w:vAlign w:val="bottom"/>
            <w:vMerge w:val="continue"/>
            <w:shd w:val="clear" w:color="auto" w:fill="3774B3"/>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580" w:type="dxa"/>
            <w:vAlign w:val="bottom"/>
            <w:vMerge w:val="continue"/>
            <w:shd w:val="clear" w:color="auto" w:fill="3774B3"/>
          </w:tcPr>
          <w:p>
            <w:pPr>
              <w:spacing w:after="0"/>
              <w:rPr>
                <w:sz w:val="7"/>
                <w:szCs w:val="7"/>
                <w:color w:val="auto"/>
              </w:rPr>
            </w:pPr>
          </w:p>
        </w:tc>
        <w:tc>
          <w:tcPr>
            <w:tcW w:w="1160" w:type="dxa"/>
            <w:vAlign w:val="bottom"/>
          </w:tcPr>
          <w:p>
            <w:pPr>
              <w:spacing w:after="0"/>
              <w:rPr>
                <w:sz w:val="7"/>
                <w:szCs w:val="7"/>
                <w:color w:val="auto"/>
              </w:rPr>
            </w:pPr>
          </w:p>
        </w:tc>
        <w:tc>
          <w:tcPr>
            <w:tcW w:w="2600" w:type="dxa"/>
            <w:vAlign w:val="bottom"/>
            <w:vMerge w:val="continue"/>
            <w:shd w:val="clear" w:color="auto" w:fill="3774B3"/>
          </w:tcPr>
          <w:p>
            <w:pPr>
              <w:spacing w:after="0"/>
              <w:rPr>
                <w:sz w:val="7"/>
                <w:szCs w:val="7"/>
                <w:color w:val="auto"/>
              </w:rPr>
            </w:pPr>
          </w:p>
        </w:tc>
        <w:tc>
          <w:tcPr>
            <w:tcW w:w="1140" w:type="dxa"/>
            <w:vAlign w:val="bottom"/>
          </w:tcPr>
          <w:p>
            <w:pPr>
              <w:spacing w:after="0"/>
              <w:rPr>
                <w:sz w:val="7"/>
                <w:szCs w:val="7"/>
                <w:color w:val="auto"/>
              </w:rPr>
            </w:pPr>
          </w:p>
        </w:tc>
        <w:tc>
          <w:tcPr>
            <w:tcW w:w="262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shd w:val="clear" w:color="auto" w:fill="3774B3"/>
          </w:tcPr>
          <w:p>
            <w:pPr>
              <w:spacing w:after="0"/>
              <w:rPr>
                <w:sz w:val="23"/>
                <w:szCs w:val="23"/>
                <w:color w:val="auto"/>
              </w:rPr>
            </w:pPr>
          </w:p>
        </w:tc>
        <w:tc>
          <w:tcPr>
            <w:tcW w:w="1160" w:type="dxa"/>
            <w:vAlign w:val="bottom"/>
          </w:tcPr>
          <w:p>
            <w:pPr>
              <w:spacing w:after="0"/>
              <w:rPr>
                <w:sz w:val="23"/>
                <w:szCs w:val="23"/>
                <w:color w:val="auto"/>
              </w:rPr>
            </w:pPr>
          </w:p>
        </w:tc>
        <w:tc>
          <w:tcPr>
            <w:tcW w:w="2600" w:type="dxa"/>
            <w:vAlign w:val="bottom"/>
            <w:shd w:val="clear" w:color="auto" w:fill="3774B3"/>
          </w:tcPr>
          <w:p>
            <w:pPr>
              <w:spacing w:after="0"/>
              <w:rPr>
                <w:sz w:val="23"/>
                <w:szCs w:val="23"/>
                <w:color w:val="auto"/>
              </w:rPr>
            </w:pPr>
          </w:p>
        </w:tc>
        <w:tc>
          <w:tcPr>
            <w:tcW w:w="1140" w:type="dxa"/>
            <w:vAlign w:val="bottom"/>
          </w:tcPr>
          <w:p>
            <w:pPr>
              <w:spacing w:after="0"/>
              <w:rPr>
                <w:sz w:val="23"/>
                <w:szCs w:val="23"/>
                <w:color w:val="auto"/>
              </w:rPr>
            </w:pPr>
          </w:p>
        </w:tc>
        <w:tc>
          <w:tcPr>
            <w:tcW w:w="2620" w:type="dxa"/>
            <w:vAlign w:val="bottom"/>
            <w:shd w:val="clear" w:color="auto" w:fill="3774B3"/>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order to identify our median employee, we examined the total compensation in 2025 of all employees globally, including those employed on a full-time, part-time, seasonal or temporary basis by the company as of December 31, 2025, and then such compensation was converted into U.S. dollars. We did not annualize compensation for employees who were not employed for the entire 2025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2025 through December 31, 2025.</w:t>
      </w:r>
    </w:p>
    <w:p>
      <w:pPr>
        <w:spacing w:after="0" w:line="11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Our CEO had annual total compensation for 2025, calculated using the requirements of Item 402 for purposes of the Pay Ratio Disclosure, of $2,166,622. The annual total compensation of the median employee of the company for 2025, calculated using the same requirements under Item 402 for purposes of the Pay Ratio Disclosure, which included base pay, incentive compensation, the grant date fair value of equity grants and the company’s matching contribution to that employee’s 401(k) plan account, was $286,151. Accordingly, the ratio of the annual total compensation of the CEO to the annual total compensation of the median employee of the company was 8:1.</w:t>
      </w:r>
    </w:p>
    <w:p>
      <w:pPr>
        <w:spacing w:after="0" w:line="11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0063A6"/>
        </w:rPr>
        <w:t>Pay Versus Performance</w:t>
      </w: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accordance with Item 402, below is the comparison of the total compensation actually paid to company performance (the “</w:t>
      </w:r>
      <w:r>
        <w:rPr>
          <w:rFonts w:ascii="Arial" w:cs="Arial" w:eastAsia="Arial" w:hAnsi="Arial"/>
          <w:sz w:val="16"/>
          <w:szCs w:val="16"/>
          <w:b w:val="1"/>
          <w:bCs w:val="1"/>
          <w:i w:val="1"/>
          <w:iCs w:val="1"/>
          <w:color w:val="auto"/>
        </w:rPr>
        <w:t>Pay Versus Performance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Disclosure</w:t>
      </w:r>
      <w:r>
        <w:rPr>
          <w:rFonts w:ascii="Arial" w:cs="Arial" w:eastAsia="Arial" w:hAnsi="Arial"/>
          <w:sz w:val="16"/>
          <w:szCs w:val="16"/>
          <w:color w:val="auto"/>
        </w:rPr>
        <w:t>”). For further information concerning our variable pay-for-performance philosophy and how we align executive compensation with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refer to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0575" cy="14655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0575" cy="146558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shd w:val="clear" w:color="auto" w:fill="0063A6"/>
          </w:tcPr>
          <w:p>
            <w:pPr>
              <w:ind w:left="420"/>
              <w:spacing w:after="0"/>
              <w:rPr>
                <w:sz w:val="20"/>
                <w:szCs w:val="20"/>
                <w:color w:val="auto"/>
              </w:rPr>
            </w:pPr>
            <w:r>
              <w:rPr>
                <w:rFonts w:ascii="Arial" w:cs="Arial" w:eastAsia="Arial" w:hAnsi="Arial"/>
                <w:sz w:val="13"/>
                <w:szCs w:val="13"/>
                <w:b w:val="1"/>
                <w:bCs w:val="1"/>
                <w:color w:val="FFFFFF"/>
              </w:rPr>
              <w:t>(a)</w:t>
            </w: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(g)</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(h)</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7"/>
              </w:rPr>
              <w:t>(i)</w:t>
            </w:r>
          </w:p>
        </w:tc>
        <w:tc>
          <w:tcPr>
            <w:tcW w:w="0" w:type="dxa"/>
            <w:vAlign w:val="bottom"/>
          </w:tcPr>
          <w:p>
            <w:pPr>
              <w:spacing w:after="0"/>
              <w:rPr>
                <w:sz w:val="1"/>
                <w:szCs w:val="1"/>
                <w:color w:val="auto"/>
              </w:rPr>
            </w:pPr>
          </w:p>
        </w:tc>
      </w:tr>
      <w:tr>
        <w:trPr>
          <w:trHeight w:val="286"/>
        </w:trPr>
        <w:tc>
          <w:tcPr>
            <w:tcW w:w="1000" w:type="dxa"/>
            <w:vAlign w:val="bottom"/>
            <w:shd w:val="clear" w:color="auto" w:fill="0063A6"/>
          </w:tcPr>
          <w:p>
            <w:pPr>
              <w:spacing w:after="0"/>
              <w:rPr>
                <w:sz w:val="24"/>
                <w:szCs w:val="24"/>
                <w:color w:val="auto"/>
              </w:rPr>
            </w:pPr>
          </w:p>
        </w:tc>
        <w:tc>
          <w:tcPr>
            <w:tcW w:w="138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2300" w:type="dxa"/>
            <w:vAlign w:val="bottom"/>
            <w:gridSpan w:val="2"/>
            <w:shd w:val="clear" w:color="auto" w:fill="0063A6"/>
          </w:tcPr>
          <w:p>
            <w:pPr>
              <w:ind w:left="300"/>
              <w:spacing w:after="0"/>
              <w:rPr>
                <w:sz w:val="20"/>
                <w:szCs w:val="20"/>
                <w:color w:val="auto"/>
              </w:rPr>
            </w:pPr>
            <w:r>
              <w:rPr>
                <w:rFonts w:ascii="Arial" w:cs="Arial" w:eastAsia="Arial" w:hAnsi="Arial"/>
                <w:sz w:val="13"/>
                <w:szCs w:val="13"/>
                <w:b w:val="1"/>
                <w:bCs w:val="1"/>
                <w:color w:val="FFFFFF"/>
              </w:rPr>
              <w:t>Value of Initial Fixed $100</w:t>
            </w:r>
          </w:p>
        </w:tc>
        <w:tc>
          <w:tcPr>
            <w:tcW w:w="900" w:type="dxa"/>
            <w:vAlign w:val="bottom"/>
            <w:shd w:val="clear" w:color="auto" w:fill="0063A6"/>
          </w:tcPr>
          <w:p>
            <w:pPr>
              <w:spacing w:after="0"/>
              <w:rPr>
                <w:sz w:val="24"/>
                <w:szCs w:val="24"/>
                <w:color w:val="auto"/>
              </w:rPr>
            </w:pPr>
          </w:p>
        </w:tc>
        <w:tc>
          <w:tcPr>
            <w:tcW w:w="9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shd w:val="clear" w:color="auto" w:fill="0063A6"/>
          </w:tcPr>
          <w:p>
            <w:pPr>
              <w:spacing w:after="0"/>
              <w:rPr>
                <w:sz w:val="16"/>
                <w:szCs w:val="16"/>
                <w:color w:val="auto"/>
              </w:rPr>
            </w:pPr>
          </w:p>
        </w:tc>
        <w:tc>
          <w:tcPr>
            <w:tcW w:w="1380" w:type="dxa"/>
            <w:vAlign w:val="bottom"/>
            <w:shd w:val="clear" w:color="auto" w:fill="0063A6"/>
          </w:tcPr>
          <w:p>
            <w:pPr>
              <w:spacing w:after="0"/>
              <w:rPr>
                <w:sz w:val="16"/>
                <w:szCs w:val="16"/>
                <w:color w:val="auto"/>
              </w:rPr>
            </w:pPr>
          </w:p>
        </w:tc>
        <w:tc>
          <w:tcPr>
            <w:tcW w:w="136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2300" w:type="dxa"/>
            <w:vAlign w:val="bottom"/>
            <w:gridSpan w:val="2"/>
            <w:shd w:val="clear" w:color="auto" w:fill="0063A6"/>
          </w:tcPr>
          <w:p>
            <w:pPr>
              <w:ind w:left="440"/>
              <w:spacing w:after="0"/>
              <w:rPr>
                <w:sz w:val="20"/>
                <w:szCs w:val="20"/>
                <w:color w:val="auto"/>
              </w:rPr>
            </w:pPr>
            <w:r>
              <w:rPr>
                <w:rFonts w:ascii="Arial" w:cs="Arial" w:eastAsia="Arial" w:hAnsi="Arial"/>
                <w:sz w:val="13"/>
                <w:szCs w:val="13"/>
                <w:b w:val="1"/>
                <w:bCs w:val="1"/>
                <w:color w:val="FFFFFF"/>
              </w:rPr>
              <w:t>Investment Based On:</w:t>
            </w:r>
          </w:p>
        </w:tc>
        <w:tc>
          <w:tcPr>
            <w:tcW w:w="90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000" w:type="dxa"/>
            <w:vAlign w:val="bottom"/>
            <w:shd w:val="clear" w:color="auto" w:fill="0063A6"/>
          </w:tcPr>
          <w:p>
            <w:pPr>
              <w:spacing w:after="0"/>
              <w:rPr>
                <w:sz w:val="21"/>
                <w:szCs w:val="21"/>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Summary</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Peer Group</w:t>
            </w:r>
          </w:p>
        </w:tc>
        <w:tc>
          <w:tcPr>
            <w:tcW w:w="9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Net</w:t>
            </w:r>
          </w:p>
        </w:tc>
        <w:tc>
          <w:tcPr>
            <w:tcW w:w="9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0063A6"/>
          </w:tcPr>
          <w:p>
            <w:pPr>
              <w:spacing w:after="0"/>
              <w:rPr>
                <w:sz w:val="12"/>
                <w:szCs w:val="1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360" w:type="dxa"/>
            <w:vAlign w:val="bottom"/>
            <w:vMerge w:val="continue"/>
            <w:shd w:val="clear" w:color="auto" w:fill="0063A6"/>
          </w:tcPr>
          <w:p>
            <w:pPr>
              <w:spacing w:after="0"/>
              <w:rPr>
                <w:sz w:val="12"/>
                <w:szCs w:val="12"/>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Company</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900" w:type="dxa"/>
            <w:vAlign w:val="bottom"/>
            <w:vMerge w:val="continue"/>
            <w:shd w:val="clear" w:color="auto" w:fill="0063A6"/>
          </w:tcPr>
          <w:p>
            <w:pPr>
              <w:spacing w:after="0"/>
              <w:rPr>
                <w:sz w:val="12"/>
                <w:szCs w:val="12"/>
                <w:color w:val="auto"/>
              </w:rPr>
            </w:pPr>
          </w:p>
        </w:tc>
        <w:tc>
          <w:tcPr>
            <w:tcW w:w="9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0063A6"/>
          </w:tcPr>
          <w:p>
            <w:pPr>
              <w:spacing w:after="0"/>
              <w:rPr>
                <w:sz w:val="13"/>
                <w:szCs w:val="13"/>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Income</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Revenue</w:t>
            </w:r>
          </w:p>
        </w:tc>
        <w:tc>
          <w:tcPr>
            <w:tcW w:w="0" w:type="dxa"/>
            <w:vAlign w:val="bottom"/>
          </w:tcPr>
          <w:p>
            <w:pPr>
              <w:spacing w:after="0"/>
              <w:rPr>
                <w:sz w:val="1"/>
                <w:szCs w:val="1"/>
                <w:color w:val="auto"/>
              </w:rPr>
            </w:pPr>
          </w:p>
        </w:tc>
      </w:tr>
      <w:tr>
        <w:trPr>
          <w:trHeight w:val="243"/>
        </w:trPr>
        <w:tc>
          <w:tcPr>
            <w:tcW w:w="1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3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(1)</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(2)</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(3)</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(4)</w:t>
            </w:r>
          </w:p>
        </w:tc>
        <w:tc>
          <w:tcPr>
            <w:tcW w:w="11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(5)</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(6)</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(7)</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(8)</w:t>
            </w:r>
          </w:p>
        </w:tc>
        <w:tc>
          <w:tcPr>
            <w:tcW w:w="0" w:type="dxa"/>
            <w:vAlign w:val="bottom"/>
          </w:tcPr>
          <w:p>
            <w:pPr>
              <w:spacing w:after="0"/>
              <w:rPr>
                <w:sz w:val="1"/>
                <w:szCs w:val="1"/>
                <w:color w:val="auto"/>
              </w:rPr>
            </w:pPr>
          </w:p>
        </w:tc>
      </w:tr>
      <w:tr>
        <w:trPr>
          <w:trHeight w:val="270"/>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2025</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2,166,622</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-42,424,294</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9,532,069</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9,530,364</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125.28</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258.44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508.4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56"/>
        </w:trPr>
        <w:tc>
          <w:tcPr>
            <w:tcW w:w="1000" w:type="dxa"/>
            <w:vAlign w:val="bottom"/>
          </w:tcPr>
          <w:p>
            <w:pPr>
              <w:ind w:left="60"/>
              <w:spacing w:after="0"/>
              <w:rPr>
                <w:sz w:val="20"/>
                <w:szCs w:val="20"/>
                <w:color w:val="auto"/>
              </w:rPr>
            </w:pPr>
            <w:r>
              <w:rPr>
                <w:rFonts w:ascii="Arial" w:cs="Arial" w:eastAsia="Arial" w:hAnsi="Arial"/>
                <w:sz w:val="16"/>
                <w:szCs w:val="16"/>
                <w:color w:val="auto"/>
              </w:rPr>
              <w:t>2024</w:t>
            </w:r>
          </w:p>
        </w:tc>
        <w:tc>
          <w:tcPr>
            <w:tcW w:w="1380" w:type="dxa"/>
            <w:vAlign w:val="bottom"/>
          </w:tcPr>
          <w:p>
            <w:pPr>
              <w:jc w:val="center"/>
              <w:spacing w:after="0"/>
              <w:rPr>
                <w:sz w:val="20"/>
                <w:szCs w:val="20"/>
                <w:color w:val="auto"/>
              </w:rPr>
            </w:pPr>
            <w:r>
              <w:rPr>
                <w:rFonts w:ascii="Arial" w:cs="Arial" w:eastAsia="Arial" w:hAnsi="Arial"/>
                <w:sz w:val="16"/>
                <w:szCs w:val="16"/>
                <w:color w:val="auto"/>
              </w:rPr>
              <w:t>1,706,505</w:t>
            </w:r>
          </w:p>
        </w:tc>
        <w:tc>
          <w:tcPr>
            <w:tcW w:w="1360" w:type="dxa"/>
            <w:vAlign w:val="bottom"/>
          </w:tcPr>
          <w:p>
            <w:pPr>
              <w:jc w:val="center"/>
              <w:spacing w:after="0"/>
              <w:rPr>
                <w:sz w:val="20"/>
                <w:szCs w:val="20"/>
                <w:color w:val="auto"/>
              </w:rPr>
            </w:pPr>
            <w:r>
              <w:rPr>
                <w:rFonts w:ascii="Arial" w:cs="Arial" w:eastAsia="Arial" w:hAnsi="Arial"/>
                <w:sz w:val="16"/>
                <w:szCs w:val="16"/>
                <w:color w:val="auto"/>
              </w:rPr>
              <w:t>-16,215,315</w:t>
            </w:r>
          </w:p>
        </w:tc>
        <w:tc>
          <w:tcPr>
            <w:tcW w:w="1700" w:type="dxa"/>
            <w:vAlign w:val="bottom"/>
          </w:tcPr>
          <w:p>
            <w:pPr>
              <w:jc w:val="center"/>
              <w:spacing w:after="0"/>
              <w:rPr>
                <w:sz w:val="20"/>
                <w:szCs w:val="20"/>
                <w:color w:val="auto"/>
              </w:rPr>
            </w:pPr>
            <w:r>
              <w:rPr>
                <w:rFonts w:ascii="Arial" w:cs="Arial" w:eastAsia="Arial" w:hAnsi="Arial"/>
                <w:sz w:val="16"/>
                <w:szCs w:val="16"/>
                <w:color w:val="auto"/>
              </w:rPr>
              <w:t>7,182,866</w:t>
            </w:r>
          </w:p>
        </w:tc>
        <w:tc>
          <w:tcPr>
            <w:tcW w:w="1700" w:type="dxa"/>
            <w:vAlign w:val="bottom"/>
          </w:tcPr>
          <w:p>
            <w:pPr>
              <w:jc w:val="center"/>
              <w:spacing w:after="0"/>
              <w:rPr>
                <w:sz w:val="20"/>
                <w:szCs w:val="20"/>
                <w:color w:val="auto"/>
              </w:rPr>
            </w:pPr>
            <w:r>
              <w:rPr>
                <w:rFonts w:ascii="Arial" w:cs="Arial" w:eastAsia="Arial" w:hAnsi="Arial"/>
                <w:sz w:val="16"/>
                <w:szCs w:val="16"/>
                <w:color w:val="auto"/>
              </w:rPr>
              <w:t>7,498,844</w:t>
            </w:r>
          </w:p>
        </w:tc>
        <w:tc>
          <w:tcPr>
            <w:tcW w:w="1140" w:type="dxa"/>
            <w:vAlign w:val="bottom"/>
          </w:tcPr>
          <w:p>
            <w:pPr>
              <w:ind w:left="320"/>
              <w:spacing w:after="0"/>
              <w:rPr>
                <w:sz w:val="20"/>
                <w:szCs w:val="20"/>
                <w:color w:val="auto"/>
              </w:rPr>
            </w:pPr>
            <w:r>
              <w:rPr>
                <w:rFonts w:ascii="Arial" w:cs="Arial" w:eastAsia="Arial" w:hAnsi="Arial"/>
                <w:sz w:val="16"/>
                <w:szCs w:val="16"/>
                <w:color w:val="auto"/>
              </w:rPr>
              <w:t>135.38</w:t>
            </w:r>
          </w:p>
        </w:tc>
        <w:tc>
          <w:tcPr>
            <w:tcW w:w="1160" w:type="dxa"/>
            <w:vAlign w:val="bottom"/>
          </w:tcPr>
          <w:p>
            <w:pPr>
              <w:jc w:val="center"/>
              <w:spacing w:after="0"/>
              <w:rPr>
                <w:sz w:val="20"/>
                <w:szCs w:val="20"/>
                <w:color w:val="auto"/>
              </w:rPr>
            </w:pPr>
            <w:r>
              <w:rPr>
                <w:rFonts w:ascii="Arial" w:cs="Arial" w:eastAsia="Arial" w:hAnsi="Arial"/>
                <w:sz w:val="16"/>
                <w:szCs w:val="16"/>
                <w:color w:val="auto"/>
              </w:rPr>
              <w:t>200.98</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452.3</w:t>
            </w:r>
          </w:p>
        </w:tc>
        <w:tc>
          <w:tcPr>
            <w:tcW w:w="900" w:type="dxa"/>
            <w:vAlign w:val="bottom"/>
          </w:tcPr>
          <w:p>
            <w:pPr>
              <w:jc w:val="center"/>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44"/>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2023</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1,539,577</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19,457,888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8"/>
              </w:rPr>
              <w:t>2,515,311</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1,165,036</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132.85</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147.39</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453.6</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42"/>
        </w:trPr>
        <w:tc>
          <w:tcPr>
            <w:tcW w:w="1000" w:type="dxa"/>
            <w:vAlign w:val="bottom"/>
          </w:tcPr>
          <w:p>
            <w:pPr>
              <w:ind w:left="60"/>
              <w:spacing w:after="0"/>
              <w:rPr>
                <w:sz w:val="20"/>
                <w:szCs w:val="20"/>
                <w:color w:val="auto"/>
              </w:rPr>
            </w:pPr>
            <w:r>
              <w:rPr>
                <w:rFonts w:ascii="Arial" w:cs="Arial" w:eastAsia="Arial" w:hAnsi="Arial"/>
                <w:sz w:val="16"/>
                <w:szCs w:val="16"/>
                <w:color w:val="auto"/>
              </w:rPr>
              <w:t>2022</w:t>
            </w:r>
          </w:p>
        </w:tc>
        <w:tc>
          <w:tcPr>
            <w:tcW w:w="1380" w:type="dxa"/>
            <w:vAlign w:val="bottom"/>
          </w:tcPr>
          <w:p>
            <w:pPr>
              <w:jc w:val="center"/>
              <w:spacing w:after="0"/>
              <w:rPr>
                <w:sz w:val="20"/>
                <w:szCs w:val="20"/>
                <w:color w:val="auto"/>
              </w:rPr>
            </w:pPr>
            <w:r>
              <w:rPr>
                <w:rFonts w:ascii="Arial" w:cs="Arial" w:eastAsia="Arial" w:hAnsi="Arial"/>
                <w:sz w:val="16"/>
                <w:szCs w:val="16"/>
                <w:color w:val="auto"/>
              </w:rPr>
              <w:t>1,146,000</w:t>
            </w:r>
          </w:p>
        </w:tc>
        <w:tc>
          <w:tcPr>
            <w:tcW w:w="1360" w:type="dxa"/>
            <w:vAlign w:val="bottom"/>
          </w:tcPr>
          <w:p>
            <w:pPr>
              <w:jc w:val="center"/>
              <w:spacing w:after="0"/>
              <w:rPr>
                <w:sz w:val="20"/>
                <w:szCs w:val="20"/>
                <w:color w:val="auto"/>
              </w:rPr>
            </w:pPr>
            <w:r>
              <w:rPr>
                <w:rFonts w:ascii="Arial" w:cs="Arial" w:eastAsia="Arial" w:hAnsi="Arial"/>
                <w:sz w:val="16"/>
                <w:szCs w:val="16"/>
                <w:color w:val="auto"/>
              </w:rPr>
              <w:t>-22,783,000</w:t>
            </w:r>
          </w:p>
        </w:tc>
        <w:tc>
          <w:tcPr>
            <w:tcW w:w="1700" w:type="dxa"/>
            <w:vAlign w:val="bottom"/>
          </w:tcPr>
          <w:p>
            <w:pPr>
              <w:jc w:val="center"/>
              <w:spacing w:after="0"/>
              <w:rPr>
                <w:sz w:val="20"/>
                <w:szCs w:val="20"/>
                <w:color w:val="auto"/>
              </w:rPr>
            </w:pPr>
            <w:r>
              <w:rPr>
                <w:rFonts w:ascii="Arial" w:cs="Arial" w:eastAsia="Arial" w:hAnsi="Arial"/>
                <w:sz w:val="16"/>
                <w:szCs w:val="16"/>
                <w:color w:val="auto"/>
              </w:rPr>
              <w:t>3,473,372</w:t>
            </w:r>
          </w:p>
        </w:tc>
        <w:tc>
          <w:tcPr>
            <w:tcW w:w="1700" w:type="dxa"/>
            <w:vAlign w:val="bottom"/>
          </w:tcPr>
          <w:p>
            <w:pPr>
              <w:jc w:val="center"/>
              <w:spacing w:after="0"/>
              <w:rPr>
                <w:sz w:val="20"/>
                <w:szCs w:val="20"/>
                <w:color w:val="auto"/>
              </w:rPr>
            </w:pPr>
            <w:r>
              <w:rPr>
                <w:rFonts w:ascii="Arial" w:cs="Arial" w:eastAsia="Arial" w:hAnsi="Arial"/>
                <w:sz w:val="16"/>
                <w:szCs w:val="16"/>
                <w:color w:val="auto"/>
              </w:rPr>
              <w:t>528,487</w:t>
            </w:r>
          </w:p>
        </w:tc>
        <w:tc>
          <w:tcPr>
            <w:tcW w:w="1140" w:type="dxa"/>
            <w:vAlign w:val="bottom"/>
          </w:tcPr>
          <w:p>
            <w:pPr>
              <w:ind w:left="320"/>
              <w:spacing w:after="0"/>
              <w:rPr>
                <w:sz w:val="20"/>
                <w:szCs w:val="20"/>
                <w:color w:val="auto"/>
              </w:rPr>
            </w:pPr>
            <w:r>
              <w:rPr>
                <w:rFonts w:ascii="Arial" w:cs="Arial" w:eastAsia="Arial" w:hAnsi="Arial"/>
                <w:sz w:val="16"/>
                <w:szCs w:val="16"/>
                <w:color w:val="auto"/>
              </w:rPr>
              <w:t>100.86</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88.54</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553.2</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2,357</w:t>
            </w:r>
          </w:p>
        </w:tc>
        <w:tc>
          <w:tcPr>
            <w:tcW w:w="0" w:type="dxa"/>
            <w:vAlign w:val="bottom"/>
          </w:tcPr>
          <w:p>
            <w:pPr>
              <w:spacing w:after="0"/>
              <w:rPr>
                <w:sz w:val="1"/>
                <w:szCs w:val="1"/>
                <w:color w:val="auto"/>
              </w:rPr>
            </w:pPr>
          </w:p>
        </w:tc>
      </w:tr>
      <w:tr>
        <w:trPr>
          <w:trHeight w:val="244"/>
        </w:trPr>
        <w:tc>
          <w:tcPr>
            <w:tcW w:w="1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2021</w:t>
            </w:r>
          </w:p>
        </w:tc>
        <w:tc>
          <w:tcPr>
            <w:tcW w:w="13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1,515,269</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25,163,611</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2,832,378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1,261,953</w:t>
            </w:r>
          </w:p>
        </w:tc>
        <w:tc>
          <w:tcPr>
            <w:tcW w:w="1140" w:type="dxa"/>
            <w:vAlign w:val="bottom"/>
            <w:shd w:val="clear" w:color="auto" w:fill="F2F2F2"/>
          </w:tcPr>
          <w:p>
            <w:pPr>
              <w:ind w:left="320"/>
              <w:spacing w:after="0"/>
              <w:rPr>
                <w:sz w:val="20"/>
                <w:szCs w:val="20"/>
                <w:color w:val="auto"/>
              </w:rPr>
            </w:pPr>
            <w:r>
              <w:rPr>
                <w:rFonts w:ascii="Arial" w:cs="Arial" w:eastAsia="Arial" w:hAnsi="Arial"/>
                <w:sz w:val="16"/>
                <w:szCs w:val="16"/>
                <w:color w:val="auto"/>
              </w:rPr>
              <w:t>110.59</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137.86</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335.8</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2,149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-153670</wp:posOffset>
            </wp:positionV>
            <wp:extent cx="1714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-153670</wp:posOffset>
            </wp:positionV>
            <wp:extent cx="1714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-153670</wp:posOffset>
            </wp:positionV>
            <wp:extent cx="1714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-153670</wp:posOffset>
            </wp:positionV>
            <wp:extent cx="1714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-153670</wp:posOffset>
            </wp:positionV>
            <wp:extent cx="1714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ind w:left="340" w:right="60" w:hanging="332"/>
        <w:spacing w:after="0" w:line="222" w:lineRule="auto"/>
        <w:tabs>
          <w:tab w:leader="none" w:pos="234"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(b) are the amounts of total compensation reported for Mr. Houston, our Chief Executive Officer (“</w:t>
      </w:r>
      <w:r>
        <w:rPr>
          <w:rFonts w:ascii="Arial" w:cs="Arial" w:eastAsia="Arial" w:hAnsi="Arial"/>
          <w:sz w:val="14"/>
          <w:szCs w:val="14"/>
          <w:b w:val="1"/>
          <w:bCs w:val="1"/>
          <w:i w:val="1"/>
          <w:iCs w:val="1"/>
          <w:color w:val="auto"/>
        </w:rPr>
        <w:t>PEO</w:t>
      </w:r>
      <w:r>
        <w:rPr>
          <w:rFonts w:ascii="Arial" w:cs="Arial" w:eastAsia="Arial" w:hAnsi="Arial"/>
          <w:sz w:val="14"/>
          <w:szCs w:val="14"/>
          <w:color w:val="auto"/>
        </w:rPr>
        <w:t>”), for each corresponding year in the “Total” column of the applicable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Refer to “</w:t>
      </w:r>
      <w:r>
        <w:rPr>
          <w:rFonts w:ascii="Arial" w:cs="Arial" w:eastAsia="Arial" w:hAnsi="Arial"/>
          <w:sz w:val="14"/>
          <w:szCs w:val="14"/>
          <w:i w:val="1"/>
          <w:iCs w:val="1"/>
          <w:color w:val="auto"/>
        </w:rPr>
        <w:t>Executive Compensation – Summary Compensation Table</w:t>
      </w:r>
      <w:r>
        <w:rPr>
          <w:rFonts w:ascii="Arial" w:cs="Arial" w:eastAsia="Arial" w:hAnsi="Arial"/>
          <w:sz w:val="14"/>
          <w:szCs w:val="14"/>
          <w:color w:val="auto"/>
        </w:rPr>
        <w:t>.”</w:t>
      </w:r>
    </w:p>
    <w:p>
      <w:pPr>
        <w:ind w:left="340" w:right="140" w:hanging="332"/>
        <w:spacing w:after="0"/>
        <w:tabs>
          <w:tab w:leader="none" w:pos="234"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133985</wp:posOffset>
            </wp:positionV>
            <wp:extent cx="6669405" cy="9340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69405" cy="934085"/>
                    </a:xfrm>
                    <a:prstGeom prst="rect">
                      <a:avLst/>
                    </a:prstGeom>
                    <a:noFill/>
                  </pic:spPr>
                </pic:pic>
              </a:graphicData>
            </a:graphic>
          </wp:anchor>
        </w:drawing>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560" w:type="dxa"/>
            <w:vAlign w:val="bottom"/>
            <w:shd w:val="clear" w:color="auto" w:fill="0063A6"/>
          </w:tcPr>
          <w:p>
            <w:pPr>
              <w:spacing w:after="0"/>
              <w:rPr>
                <w:sz w:val="19"/>
                <w:szCs w:val="19"/>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2080" w:type="dxa"/>
            <w:vAlign w:val="bottom"/>
            <w:shd w:val="clear" w:color="auto" w:fill="0063A6"/>
          </w:tcPr>
          <w:p>
            <w:pPr>
              <w:spacing w:after="0"/>
              <w:rPr>
                <w:sz w:val="19"/>
                <w:szCs w:val="19"/>
                <w:color w:val="auto"/>
              </w:rPr>
            </w:pP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0" w:type="dxa"/>
            <w:vAlign w:val="bottom"/>
          </w:tcPr>
          <w:p>
            <w:pPr>
              <w:spacing w:after="0"/>
              <w:rPr>
                <w:sz w:val="1"/>
                <w:szCs w:val="1"/>
                <w:color w:val="auto"/>
              </w:rPr>
            </w:pPr>
          </w:p>
        </w:tc>
      </w:tr>
      <w:tr>
        <w:trPr>
          <w:trHeight w:val="148"/>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940" w:type="dxa"/>
            <w:vAlign w:val="bottom"/>
            <w:vMerge w:val="continue"/>
            <w:shd w:val="clear" w:color="auto" w:fill="0063A6"/>
          </w:tcPr>
          <w:p>
            <w:pPr>
              <w:spacing w:after="0"/>
              <w:rPr>
                <w:sz w:val="12"/>
                <w:szCs w:val="12"/>
                <w:color w:val="auto"/>
              </w:rPr>
            </w:pPr>
          </w:p>
        </w:tc>
        <w:tc>
          <w:tcPr>
            <w:tcW w:w="2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w:t>
            </w:r>
          </w:p>
        </w:tc>
        <w:tc>
          <w:tcPr>
            <w:tcW w:w="1940" w:type="dxa"/>
            <w:vAlign w:val="bottom"/>
            <w:vMerge w:val="continue"/>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Equity</w:t>
            </w:r>
          </w:p>
        </w:tc>
        <w:tc>
          <w:tcPr>
            <w:tcW w:w="2080" w:type="dxa"/>
            <w:vAlign w:val="bottom"/>
            <w:vMerge w:val="continue"/>
            <w:shd w:val="clear" w:color="auto" w:fill="0063A6"/>
          </w:tcPr>
          <w:p>
            <w:pPr>
              <w:spacing w:after="0"/>
              <w:rPr>
                <w:sz w:val="12"/>
                <w:szCs w:val="12"/>
                <w:color w:val="auto"/>
              </w:rPr>
            </w:pPr>
          </w:p>
        </w:tc>
        <w:tc>
          <w:tcPr>
            <w:tcW w:w="1940" w:type="dxa"/>
            <w:vAlign w:val="bottom"/>
            <w:shd w:val="clear" w:color="auto" w:fill="0063A6"/>
          </w:tcPr>
          <w:p>
            <w:pPr>
              <w:jc w:val="center"/>
              <w:ind w:right="10"/>
              <w:spacing w:after="0"/>
              <w:rPr>
                <w:sz w:val="20"/>
                <w:szCs w:val="20"/>
                <w:color w:val="auto"/>
              </w:rPr>
            </w:pPr>
            <w:r>
              <w:rPr>
                <w:rFonts w:ascii="Arial" w:cs="Arial" w:eastAsia="Arial" w:hAnsi="Arial"/>
                <w:sz w:val="13"/>
                <w:szCs w:val="13"/>
                <w:b w:val="1"/>
                <w:bCs w:val="1"/>
                <w:color w:val="FFFFFF"/>
              </w:rPr>
              <w:t>Actually</w:t>
            </w:r>
          </w:p>
        </w:tc>
        <w:tc>
          <w:tcPr>
            <w:tcW w:w="0" w:type="dxa"/>
            <w:vAlign w:val="bottom"/>
          </w:tcPr>
          <w:p>
            <w:pPr>
              <w:spacing w:after="0"/>
              <w:rPr>
                <w:sz w:val="1"/>
                <w:szCs w:val="1"/>
                <w:color w:val="auto"/>
              </w:rPr>
            </w:pPr>
          </w:p>
        </w:tc>
      </w:tr>
      <w:tr>
        <w:trPr>
          <w:trHeight w:val="238"/>
        </w:trPr>
        <w:tc>
          <w:tcPr>
            <w:tcW w:w="25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9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 PEO ($)</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Awards ($)</w:t>
            </w:r>
            <w:r>
              <w:rPr>
                <w:rFonts w:ascii="Arial" w:cs="Arial" w:eastAsia="Arial" w:hAnsi="Arial"/>
                <w:sz w:val="17"/>
                <w:szCs w:val="17"/>
                <w:b w:val="1"/>
                <w:bCs w:val="1"/>
                <w:color w:val="FFFFFF"/>
                <w:w w:val="99"/>
                <w:vertAlign w:val="superscript"/>
              </w:rPr>
              <w:t>(a)</w:t>
            </w:r>
          </w:p>
        </w:tc>
        <w:tc>
          <w:tcPr>
            <w:tcW w:w="2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Adjustments ($)</w:t>
            </w:r>
            <w:r>
              <w:rPr>
                <w:rFonts w:ascii="Arial" w:cs="Arial" w:eastAsia="Arial" w:hAnsi="Arial"/>
                <w:sz w:val="17"/>
                <w:szCs w:val="17"/>
                <w:b w:val="1"/>
                <w:bCs w:val="1"/>
                <w:color w:val="FFFFFF"/>
                <w:w w:val="99"/>
                <w:vertAlign w:val="superscript"/>
              </w:rPr>
              <w:t>(b)</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Paid to PEO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2,166,622</w:t>
            </w:r>
          </w:p>
        </w:tc>
        <w:tc>
          <w:tcPr>
            <w:tcW w:w="1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1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-42,424,294</w:t>
            </w:r>
          </w:p>
        </w:tc>
        <w:tc>
          <w:tcPr>
            <w:tcW w:w="0" w:type="dxa"/>
            <w:vAlign w:val="bottom"/>
          </w:tcPr>
          <w:p>
            <w:pPr>
              <w:spacing w:after="0"/>
              <w:rPr>
                <w:sz w:val="1"/>
                <w:szCs w:val="1"/>
                <w:color w:val="auto"/>
              </w:rPr>
            </w:pPr>
          </w:p>
        </w:tc>
      </w:tr>
      <w:tr>
        <w:trPr>
          <w:trHeight w:val="225"/>
        </w:trPr>
        <w:tc>
          <w:tcPr>
            <w:tcW w:w="2560" w:type="dxa"/>
            <w:vAlign w:val="bottom"/>
          </w:tcPr>
          <w:p>
            <w:pPr>
              <w:ind w:left="60"/>
              <w:spacing w:after="0"/>
              <w:rPr>
                <w:sz w:val="20"/>
                <w:szCs w:val="20"/>
                <w:color w:val="auto"/>
              </w:rPr>
            </w:pPr>
            <w:r>
              <w:rPr>
                <w:rFonts w:ascii="Arial" w:cs="Arial" w:eastAsia="Arial" w:hAnsi="Arial"/>
                <w:sz w:val="14"/>
                <w:szCs w:val="14"/>
                <w:color w:val="auto"/>
              </w:rPr>
              <w:t>2024</w:t>
            </w:r>
          </w:p>
        </w:tc>
        <w:tc>
          <w:tcPr>
            <w:tcW w:w="1980" w:type="dxa"/>
            <w:vAlign w:val="bottom"/>
          </w:tcPr>
          <w:p>
            <w:pPr>
              <w:jc w:val="center"/>
              <w:spacing w:after="0"/>
              <w:rPr>
                <w:sz w:val="20"/>
                <w:szCs w:val="20"/>
                <w:color w:val="auto"/>
              </w:rPr>
            </w:pPr>
            <w:r>
              <w:rPr>
                <w:rFonts w:ascii="Arial" w:cs="Arial" w:eastAsia="Arial" w:hAnsi="Arial"/>
                <w:sz w:val="14"/>
                <w:szCs w:val="14"/>
                <w:color w:val="auto"/>
              </w:rPr>
              <w:t>1,706,505</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1940" w:type="dxa"/>
            <w:vAlign w:val="bottom"/>
          </w:tcPr>
          <w:p>
            <w:pPr>
              <w:jc w:val="center"/>
              <w:spacing w:after="0"/>
              <w:rPr>
                <w:sz w:val="20"/>
                <w:szCs w:val="20"/>
                <w:color w:val="auto"/>
              </w:rPr>
            </w:pPr>
            <w:r>
              <w:rPr>
                <w:rFonts w:ascii="Arial" w:cs="Arial" w:eastAsia="Arial" w:hAnsi="Arial"/>
                <w:sz w:val="14"/>
                <w:szCs w:val="14"/>
                <w:color w:val="auto"/>
              </w:rPr>
              <w:t>-16,215,315</w:t>
            </w:r>
          </w:p>
        </w:tc>
        <w:tc>
          <w:tcPr>
            <w:tcW w:w="0" w:type="dxa"/>
            <w:vAlign w:val="bottom"/>
          </w:tcPr>
          <w:p>
            <w:pPr>
              <w:spacing w:after="0"/>
              <w:rPr>
                <w:sz w:val="1"/>
                <w:szCs w:val="1"/>
                <w:color w:val="auto"/>
              </w:rPr>
            </w:pPr>
          </w:p>
        </w:tc>
      </w:tr>
      <w:tr>
        <w:trPr>
          <w:trHeight w:val="22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1,539,577</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19,457,888</w:t>
            </w:r>
          </w:p>
        </w:tc>
        <w:tc>
          <w:tcPr>
            <w:tcW w:w="0" w:type="dxa"/>
            <w:vAlign w:val="bottom"/>
          </w:tcPr>
          <w:p>
            <w:pPr>
              <w:spacing w:after="0"/>
              <w:rPr>
                <w:sz w:val="1"/>
                <w:szCs w:val="1"/>
                <w:color w:val="auto"/>
              </w:rPr>
            </w:pPr>
          </w:p>
        </w:tc>
      </w:tr>
      <w:tr>
        <w:trPr>
          <w:trHeight w:val="212"/>
        </w:trPr>
        <w:tc>
          <w:tcPr>
            <w:tcW w:w="2560" w:type="dxa"/>
            <w:vAlign w:val="bottom"/>
          </w:tcPr>
          <w:p>
            <w:pPr>
              <w:ind w:left="60"/>
              <w:spacing w:after="0"/>
              <w:rPr>
                <w:sz w:val="20"/>
                <w:szCs w:val="20"/>
                <w:color w:val="auto"/>
              </w:rPr>
            </w:pPr>
            <w:r>
              <w:rPr>
                <w:rFonts w:ascii="Arial" w:cs="Arial" w:eastAsia="Arial" w:hAnsi="Arial"/>
                <w:sz w:val="14"/>
                <w:szCs w:val="14"/>
                <w:color w:val="auto"/>
              </w:rPr>
              <w:t>2022</w:t>
            </w:r>
          </w:p>
        </w:tc>
        <w:tc>
          <w:tcPr>
            <w:tcW w:w="1980" w:type="dxa"/>
            <w:vAlign w:val="bottom"/>
          </w:tcPr>
          <w:p>
            <w:pPr>
              <w:jc w:val="center"/>
              <w:spacing w:after="0"/>
              <w:rPr>
                <w:sz w:val="20"/>
                <w:szCs w:val="20"/>
                <w:color w:val="auto"/>
              </w:rPr>
            </w:pPr>
            <w:r>
              <w:rPr>
                <w:rFonts w:ascii="Arial" w:cs="Arial" w:eastAsia="Arial" w:hAnsi="Arial"/>
                <w:sz w:val="14"/>
                <w:szCs w:val="14"/>
                <w:color w:val="auto"/>
              </w:rPr>
              <w:t>1,146,000</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940" w:type="dxa"/>
            <w:vAlign w:val="bottom"/>
          </w:tcPr>
          <w:p>
            <w:pPr>
              <w:jc w:val="center"/>
              <w:spacing w:after="0"/>
              <w:rPr>
                <w:sz w:val="20"/>
                <w:szCs w:val="20"/>
                <w:color w:val="auto"/>
              </w:rPr>
            </w:pPr>
            <w:r>
              <w:rPr>
                <w:rFonts w:ascii="Arial" w:cs="Arial" w:eastAsia="Arial" w:hAnsi="Arial"/>
                <w:sz w:val="14"/>
                <w:szCs w:val="14"/>
                <w:color w:val="auto"/>
              </w:rPr>
              <w:t>-22,783,000</w:t>
            </w:r>
          </w:p>
        </w:tc>
        <w:tc>
          <w:tcPr>
            <w:tcW w:w="0" w:type="dxa"/>
            <w:vAlign w:val="bottom"/>
          </w:tcPr>
          <w:p>
            <w:pPr>
              <w:spacing w:after="0"/>
              <w:rPr>
                <w:sz w:val="1"/>
                <w:szCs w:val="1"/>
                <w:color w:val="auto"/>
              </w:rPr>
            </w:pPr>
          </w:p>
        </w:tc>
      </w:tr>
      <w:tr>
        <w:trPr>
          <w:trHeight w:val="22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1,515,269</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25,163,611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-136525</wp:posOffset>
            </wp:positionV>
            <wp:extent cx="1714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-136525</wp:posOffset>
            </wp:positionV>
            <wp:extent cx="1714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-136525</wp:posOffset>
            </wp:positionV>
            <wp:extent cx="1714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-136525</wp:posOffset>
            </wp:positionV>
            <wp:extent cx="171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65" w:lineRule="exact"/>
        <w:rPr>
          <w:sz w:val="20"/>
          <w:szCs w:val="20"/>
          <w:color w:val="auto"/>
        </w:rPr>
      </w:pPr>
    </w:p>
    <w:p>
      <w:pPr>
        <w:ind w:left="660" w:right="260" w:hanging="328"/>
        <w:spacing w:after="0" w:line="222" w:lineRule="auto"/>
        <w:tabs>
          <w:tab w:leader="none" w:pos="653"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The grant date fair value of equity awards represents the total of the amounts reported in the “Stock Awards” column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for the applicable year.</w:t>
      </w:r>
    </w:p>
    <w:p>
      <w:pPr>
        <w:ind w:left="660" w:right="20" w:hanging="328"/>
        <w:spacing w:after="0" w:line="244" w:lineRule="auto"/>
        <w:tabs>
          <w:tab w:leader="none" w:pos="653" w:val="left"/>
        </w:tabs>
        <w:numPr>
          <w:ilvl w:val="0"/>
          <w:numId w:val="83"/>
        </w:numPr>
        <w:rPr>
          <w:rFonts w:ascii="Arial" w:cs="Arial" w:eastAsia="Arial" w:hAnsi="Arial"/>
          <w:sz w:val="9"/>
          <w:szCs w:val="9"/>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w:t>
      </w:r>
    </w:p>
    <w:p>
      <w:pPr>
        <w:spacing w:after="0" w:line="200" w:lineRule="exact"/>
        <w:rPr>
          <w:sz w:val="20"/>
          <w:szCs w:val="20"/>
          <w:color w:val="auto"/>
        </w:rPr>
      </w:pPr>
    </w:p>
    <w:p>
      <w:pPr>
        <w:spacing w:after="0" w:line="309" w:lineRule="exact"/>
        <w:rPr>
          <w:sz w:val="20"/>
          <w:szCs w:val="20"/>
          <w:color w:val="auto"/>
        </w:rPr>
      </w:pPr>
    </w:p>
    <w:p>
      <w:pPr>
        <w:ind w:left="580" w:hanging="554"/>
        <w:spacing w:after="0"/>
        <w:tabs>
          <w:tab w:leader="none" w:pos="58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year, which are valued as of the applicable vesting date.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83820</wp:posOffset>
            </wp:positionV>
            <wp:extent cx="6249035" cy="1431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49035" cy="1431290"/>
                    </a:xfrm>
                    <a:prstGeom prst="rect">
                      <a:avLst/>
                    </a:prstGeom>
                    <a:noFill/>
                  </pic:spPr>
                </pic:pic>
              </a:graphicData>
            </a:graphic>
          </wp:anchor>
        </w:drawing>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80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1240" w:type="dxa"/>
            <w:vAlign w:val="bottom"/>
            <w:shd w:val="clear" w:color="auto" w:fill="0063A6"/>
          </w:tcPr>
          <w:p>
            <w:pPr>
              <w:spacing w:after="0"/>
              <w:rPr>
                <w:sz w:val="18"/>
                <w:szCs w:val="18"/>
                <w:color w:val="auto"/>
              </w:rPr>
            </w:pPr>
          </w:p>
        </w:tc>
        <w:tc>
          <w:tcPr>
            <w:tcW w:w="1280" w:type="dxa"/>
            <w:vAlign w:val="bottom"/>
            <w:shd w:val="clear" w:color="auto" w:fill="0063A6"/>
          </w:tcPr>
          <w:p>
            <w:pPr>
              <w:spacing w:after="0"/>
              <w:rPr>
                <w:sz w:val="18"/>
                <w:szCs w:val="18"/>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at</w:t>
            </w:r>
          </w:p>
        </w:tc>
        <w:tc>
          <w:tcPr>
            <w:tcW w:w="1580" w:type="dxa"/>
            <w:vAlign w:val="bottom"/>
            <w:shd w:val="clear" w:color="auto" w:fill="0063A6"/>
          </w:tcPr>
          <w:p>
            <w:pPr>
              <w:spacing w:after="0"/>
              <w:rPr>
                <w:sz w:val="18"/>
                <w:szCs w:val="18"/>
                <w:color w:val="auto"/>
              </w:rPr>
            </w:pPr>
          </w:p>
        </w:tc>
        <w:tc>
          <w:tcPr>
            <w:tcW w:w="132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 Year</w:t>
            </w: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Change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the End of the</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Dividends</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vMerge w:val="continue"/>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Fair Value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 of</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or other Earnings</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 Fair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Vesting</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Date of Equity</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 not</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Otherwise</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and</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Vested in the</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238"/>
        </w:trPr>
        <w:tc>
          <w:tcPr>
            <w:tcW w:w="8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3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 ($)</w:t>
            </w:r>
          </w:p>
        </w:tc>
        <w:tc>
          <w:tcPr>
            <w:tcW w:w="0" w:type="dxa"/>
            <w:vAlign w:val="bottom"/>
          </w:tcPr>
          <w:p>
            <w:pPr>
              <w:spacing w:after="0"/>
              <w:rPr>
                <w:sz w:val="1"/>
                <w:szCs w:val="1"/>
                <w:color w:val="auto"/>
              </w:rPr>
            </w:pPr>
          </w:p>
        </w:tc>
      </w:tr>
      <w:tr>
        <w:trPr>
          <w:trHeight w:val="243"/>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-44,590,916</w:t>
            </w:r>
          </w:p>
        </w:tc>
        <w:tc>
          <w:tcPr>
            <w:tcW w:w="0" w:type="dxa"/>
            <w:vAlign w:val="bottom"/>
          </w:tcPr>
          <w:p>
            <w:pPr>
              <w:spacing w:after="0"/>
              <w:rPr>
                <w:sz w:val="1"/>
                <w:szCs w:val="1"/>
                <w:color w:val="auto"/>
              </w:rPr>
            </w:pPr>
          </w:p>
        </w:tc>
      </w:tr>
      <w:tr>
        <w:trPr>
          <w:trHeight w:val="226"/>
        </w:trPr>
        <w:tc>
          <w:tcPr>
            <w:tcW w:w="800" w:type="dxa"/>
            <w:vAlign w:val="bottom"/>
          </w:tcPr>
          <w:p>
            <w:pPr>
              <w:ind w:left="60"/>
              <w:spacing w:after="0"/>
              <w:rPr>
                <w:sz w:val="20"/>
                <w:szCs w:val="20"/>
                <w:color w:val="auto"/>
              </w:rPr>
            </w:pPr>
            <w:r>
              <w:rPr>
                <w:rFonts w:ascii="Arial" w:cs="Arial" w:eastAsia="Arial" w:hAnsi="Arial"/>
                <w:sz w:val="14"/>
                <w:szCs w:val="14"/>
                <w:color w:val="auto"/>
              </w:rPr>
              <w:t>2024</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-17,921,820</w:t>
            </w:r>
          </w:p>
        </w:tc>
        <w:tc>
          <w:tcPr>
            <w:tcW w:w="0" w:type="dxa"/>
            <w:vAlign w:val="bottom"/>
          </w:tcPr>
          <w:p>
            <w:pPr>
              <w:spacing w:after="0"/>
              <w:rPr>
                <w:sz w:val="1"/>
                <w:szCs w:val="1"/>
                <w:color w:val="auto"/>
              </w:rPr>
            </w:pPr>
          </w:p>
        </w:tc>
      </w:tr>
      <w:tr>
        <w:trPr>
          <w:trHeight w:val="220"/>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0" w:type="dxa"/>
            <w:vAlign w:val="bottom"/>
          </w:tcPr>
          <w:p>
            <w:pPr>
              <w:spacing w:after="0"/>
              <w:rPr>
                <w:sz w:val="1"/>
                <w:szCs w:val="1"/>
                <w:color w:val="auto"/>
              </w:rPr>
            </w:pPr>
          </w:p>
        </w:tc>
      </w:tr>
      <w:tr>
        <w:trPr>
          <w:trHeight w:val="212"/>
        </w:trPr>
        <w:tc>
          <w:tcPr>
            <w:tcW w:w="800" w:type="dxa"/>
            <w:vAlign w:val="bottom"/>
          </w:tcPr>
          <w:p>
            <w:pPr>
              <w:ind w:left="60"/>
              <w:spacing w:after="0"/>
              <w:rPr>
                <w:sz w:val="20"/>
                <w:szCs w:val="20"/>
                <w:color w:val="auto"/>
              </w:rPr>
            </w:pPr>
            <w:r>
              <w:rPr>
                <w:rFonts w:ascii="Arial" w:cs="Arial" w:eastAsia="Arial" w:hAnsi="Arial"/>
                <w:sz w:val="14"/>
                <w:szCs w:val="14"/>
                <w:color w:val="auto"/>
              </w:rPr>
              <w:t>2022</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0" w:type="dxa"/>
            <w:vAlign w:val="bottom"/>
          </w:tcPr>
          <w:p>
            <w:pPr>
              <w:spacing w:after="0"/>
              <w:rPr>
                <w:sz w:val="1"/>
                <w:szCs w:val="1"/>
                <w:color w:val="auto"/>
              </w:rPr>
            </w:pPr>
          </w:p>
        </w:tc>
      </w:tr>
      <w:tr>
        <w:trPr>
          <w:trHeight w:val="220"/>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8,238,085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15,410,257</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-136525</wp:posOffset>
            </wp:positionV>
            <wp:extent cx="1714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wp:posOffset>
            </wp:positionV>
            <wp:extent cx="1714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-136525</wp:posOffset>
            </wp:positionV>
            <wp:extent cx="1714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-136525</wp:posOffset>
            </wp:positionV>
            <wp:extent cx="1714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-136525</wp:posOffset>
            </wp:positionV>
            <wp:extent cx="1714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-136525</wp:posOffset>
            </wp:positionV>
            <wp:extent cx="1714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-136525</wp:posOffset>
            </wp:positionV>
            <wp:extent cx="1714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92" w:lineRule="exact"/>
        <w:rPr>
          <w:sz w:val="20"/>
          <w:szCs w:val="20"/>
          <w:color w:val="auto"/>
        </w:rPr>
      </w:pPr>
    </w:p>
    <w:p>
      <w:pPr>
        <w:ind w:left="340" w:right="240" w:hanging="332"/>
        <w:spacing w:after="0" w:line="252" w:lineRule="auto"/>
        <w:tabs>
          <w:tab w:leader="none" w:pos="234" w:val="left"/>
        </w:tabs>
        <w:numPr>
          <w:ilvl w:val="0"/>
          <w:numId w:val="85"/>
        </w:numPr>
        <w:rPr>
          <w:rFonts w:ascii="Arial" w:cs="Arial" w:eastAsia="Arial" w:hAnsi="Arial"/>
          <w:sz w:val="9"/>
          <w:szCs w:val="9"/>
          <w:color w:val="auto"/>
        </w:rPr>
      </w:pPr>
      <w:r>
        <w:rPr>
          <w:rFonts w:ascii="Arial" w:cs="Arial" w:eastAsia="Arial" w:hAnsi="Arial"/>
          <w:sz w:val="14"/>
          <w:szCs w:val="14"/>
          <w:color w:val="auto"/>
        </w:rPr>
        <w:t>The dollar amounts reported in column (d) represent the average of the amounts reported for the company’s named executive officers (“</w:t>
      </w:r>
      <w:r>
        <w:rPr>
          <w:rFonts w:ascii="Arial" w:cs="Arial" w:eastAsia="Arial" w:hAnsi="Arial"/>
          <w:sz w:val="14"/>
          <w:szCs w:val="14"/>
          <w:b w:val="1"/>
          <w:bCs w:val="1"/>
          <w:i w:val="1"/>
          <w:iCs w:val="1"/>
          <w:color w:val="auto"/>
        </w:rPr>
        <w:t>NEOs</w:t>
      </w:r>
      <w:r>
        <w:rPr>
          <w:rFonts w:ascii="Arial" w:cs="Arial" w:eastAsia="Arial" w:hAnsi="Arial"/>
          <w:sz w:val="14"/>
          <w:szCs w:val="14"/>
          <w:color w:val="auto"/>
        </w:rPr>
        <w:t>”) as a group (excluding Mr. Houston) in the “Total”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in each applicable year. The names of each of the NEOs (excluding Mr. Houston) included for purposes of calculating the average amounts in each applicable year are as follows: (i) for 2025, Ross Tennenbaum, Tim Regan, William Yoon, Ali Dasdan, and Ashraf Alkarmi; (ii) for 2024, Tim Regan, Bart Volkmer, and Eric Cox; (iii) for 2023, Timothy Young, Tim Regan, Bart Volkmer, and Eric Cox; (iv) for 2022, Timothy Young, Tim Regan and Bart Volkmer; and (v) for 2021, Timothy Young, Tim Regan, Bart Volkmer, and Olivia Nottebohm.</w:t>
      </w:r>
    </w:p>
    <w:p>
      <w:pPr>
        <w:spacing w:after="0" w:line="59" w:lineRule="exact"/>
        <w:rPr>
          <w:rFonts w:ascii="Arial" w:cs="Arial" w:eastAsia="Arial" w:hAnsi="Arial"/>
          <w:sz w:val="9"/>
          <w:szCs w:val="9"/>
          <w:color w:val="auto"/>
        </w:rPr>
      </w:pPr>
    </w:p>
    <w:p>
      <w:pPr>
        <w:ind w:left="340" w:right="40" w:hanging="332"/>
        <w:spacing w:after="0" w:line="229" w:lineRule="auto"/>
        <w:tabs>
          <w:tab w:leader="none" w:pos="234"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66040</wp:posOffset>
            </wp:positionV>
            <wp:extent cx="6669405" cy="13455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69405" cy="1345565"/>
                    </a:xfrm>
                    <a:prstGeom prst="rect">
                      <a:avLst/>
                    </a:prstGeom>
                    <a:noFill/>
                  </pic:spPr>
                </pic:pic>
              </a:graphicData>
            </a:graphic>
          </wp:anchor>
        </w:drawing>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700" w:type="dxa"/>
            <w:vAlign w:val="bottom"/>
            <w:shd w:val="clear" w:color="auto" w:fill="0063A6"/>
          </w:tcPr>
          <w:p>
            <w:pPr>
              <w:spacing w:after="0"/>
              <w:rPr>
                <w:sz w:val="18"/>
                <w:szCs w:val="18"/>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2080" w:type="dxa"/>
            <w:vAlign w:val="bottom"/>
            <w:shd w:val="clear" w:color="auto" w:fill="0063A6"/>
          </w:tcPr>
          <w:p>
            <w:pPr>
              <w:spacing w:after="0"/>
              <w:rPr>
                <w:sz w:val="18"/>
                <w:szCs w:val="18"/>
                <w:color w:val="auto"/>
              </w:rPr>
            </w:pPr>
          </w:p>
        </w:tc>
        <w:tc>
          <w:tcPr>
            <w:tcW w:w="2320" w:type="dxa"/>
            <w:vAlign w:val="bottom"/>
            <w:shd w:val="clear" w:color="auto" w:fill="0063A6"/>
          </w:tcPr>
          <w:p>
            <w:pPr>
              <w:spacing w:after="0"/>
              <w:rPr>
                <w:sz w:val="18"/>
                <w:szCs w:val="18"/>
                <w:color w:val="auto"/>
              </w:rPr>
            </w:pPr>
          </w:p>
        </w:tc>
        <w:tc>
          <w:tcPr>
            <w:tcW w:w="2200" w:type="dxa"/>
            <w:vAlign w:val="bottom"/>
            <w:shd w:val="clear" w:color="auto" w:fill="0063A6"/>
          </w:tcPr>
          <w:p>
            <w:pPr>
              <w:spacing w:after="0"/>
              <w:rPr>
                <w:sz w:val="18"/>
                <w:szCs w:val="18"/>
                <w:color w:val="auto"/>
              </w:rPr>
            </w:pP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 Summary</w:t>
            </w:r>
          </w:p>
        </w:tc>
        <w:tc>
          <w:tcPr>
            <w:tcW w:w="2080" w:type="dxa"/>
            <w:vAlign w:val="bottom"/>
            <w:shd w:val="clear" w:color="auto" w:fill="0063A6"/>
          </w:tcPr>
          <w:p>
            <w:pPr>
              <w:spacing w:after="0"/>
              <w:rPr>
                <w:sz w:val="14"/>
                <w:szCs w:val="14"/>
                <w:color w:val="auto"/>
              </w:rPr>
            </w:pPr>
          </w:p>
        </w:tc>
        <w:tc>
          <w:tcPr>
            <w:tcW w:w="2320" w:type="dxa"/>
            <w:vAlign w:val="bottom"/>
            <w:shd w:val="clear" w:color="auto" w:fill="0063A6"/>
          </w:tcPr>
          <w:p>
            <w:pPr>
              <w:spacing w:after="0"/>
              <w:rPr>
                <w:sz w:val="14"/>
                <w:szCs w:val="14"/>
                <w:color w:val="auto"/>
              </w:rPr>
            </w:pPr>
          </w:p>
        </w:tc>
        <w:tc>
          <w:tcPr>
            <w:tcW w:w="2200" w:type="dxa"/>
            <w:vAlign w:val="bottom"/>
            <w:shd w:val="clear" w:color="auto" w:fill="0063A6"/>
          </w:tcPr>
          <w:p>
            <w:pPr>
              <w:spacing w:after="0"/>
              <w:rPr>
                <w:sz w:val="14"/>
                <w:szCs w:val="14"/>
                <w:color w:val="auto"/>
              </w:rPr>
            </w:pPr>
          </w:p>
        </w:tc>
      </w:tr>
      <w:tr>
        <w:trPr>
          <w:trHeight w:val="148"/>
        </w:trPr>
        <w:tc>
          <w:tcPr>
            <w:tcW w:w="170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Table</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Average Reported</w:t>
            </w:r>
          </w:p>
        </w:tc>
        <w:tc>
          <w:tcPr>
            <w:tcW w:w="232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Compensation</w:t>
            </w: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 for Non-PEO</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Value of Equity</w:t>
            </w:r>
          </w:p>
        </w:tc>
        <w:tc>
          <w:tcPr>
            <w:tcW w:w="2320" w:type="dxa"/>
            <w:vAlign w:val="bottom"/>
            <w:shd w:val="clear" w:color="auto" w:fill="0063A6"/>
          </w:tcPr>
          <w:p>
            <w:pPr>
              <w:jc w:val="center"/>
              <w:ind w:left="29"/>
              <w:spacing w:after="0"/>
              <w:rPr>
                <w:sz w:val="20"/>
                <w:szCs w:val="20"/>
                <w:color w:val="auto"/>
              </w:rPr>
            </w:pPr>
            <w:r>
              <w:rPr>
                <w:rFonts w:ascii="Arial" w:cs="Arial" w:eastAsia="Arial" w:hAnsi="Arial"/>
                <w:sz w:val="13"/>
                <w:szCs w:val="13"/>
                <w:b w:val="1"/>
                <w:bCs w:val="1"/>
                <w:color w:val="FFFFFF"/>
              </w:rPr>
              <w:t>Average Equity</w:t>
            </w: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 Non-</w:t>
            </w:r>
          </w:p>
        </w:tc>
      </w:tr>
      <w:tr>
        <w:trPr>
          <w:trHeight w:val="238"/>
        </w:trPr>
        <w:tc>
          <w:tcPr>
            <w:tcW w:w="17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NEOs ($)</w:t>
            </w:r>
          </w:p>
        </w:tc>
        <w:tc>
          <w:tcPr>
            <w:tcW w:w="2080" w:type="dxa"/>
            <w:vAlign w:val="bottom"/>
            <w:tcBorders>
              <w:bottom w:val="single" w:sz="8" w:color="0063A6"/>
            </w:tcBorders>
            <w:shd w:val="clear" w:color="auto" w:fill="0063A6"/>
          </w:tcPr>
          <w:p>
            <w:pPr>
              <w:jc w:val="center"/>
              <w:ind w:left="30"/>
              <w:spacing w:after="0"/>
              <w:rPr>
                <w:sz w:val="20"/>
                <w:szCs w:val="20"/>
                <w:color w:val="auto"/>
              </w:rPr>
            </w:pPr>
            <w:r>
              <w:rPr>
                <w:rFonts w:ascii="Arial" w:cs="Arial" w:eastAsia="Arial" w:hAnsi="Arial"/>
                <w:sz w:val="13"/>
                <w:szCs w:val="13"/>
                <w:b w:val="1"/>
                <w:bCs w:val="1"/>
                <w:color w:val="FFFFFF"/>
              </w:rPr>
              <w:t>Awards($)</w:t>
            </w:r>
          </w:p>
        </w:tc>
        <w:tc>
          <w:tcPr>
            <w:tcW w:w="2320" w:type="dxa"/>
            <w:vAlign w:val="bottom"/>
            <w:tcBorders>
              <w:bottom w:val="single" w:sz="8" w:color="0063A6"/>
            </w:tcBorders>
            <w:shd w:val="clear" w:color="auto" w:fill="0063A6"/>
          </w:tcPr>
          <w:p>
            <w:pPr>
              <w:jc w:val="center"/>
              <w:ind w:left="29"/>
              <w:spacing w:after="0"/>
              <w:rPr>
                <w:sz w:val="20"/>
                <w:szCs w:val="20"/>
                <w:color w:val="auto"/>
              </w:rPr>
            </w:pPr>
            <w:r>
              <w:rPr>
                <w:rFonts w:ascii="Arial" w:cs="Arial" w:eastAsia="Arial" w:hAnsi="Arial"/>
                <w:sz w:val="13"/>
                <w:szCs w:val="13"/>
                <w:b w:val="1"/>
                <w:bCs w:val="1"/>
                <w:color w:val="FFFFFF"/>
              </w:rPr>
              <w:t>Award Adjustments ($)</w:t>
            </w:r>
            <w:r>
              <w:rPr>
                <w:rFonts w:ascii="Arial" w:cs="Arial" w:eastAsia="Arial" w:hAnsi="Arial"/>
                <w:sz w:val="17"/>
                <w:szCs w:val="17"/>
                <w:b w:val="1"/>
                <w:bCs w:val="1"/>
                <w:color w:val="FFFFFF"/>
                <w:vertAlign w:val="superscript"/>
              </w:rPr>
              <w:t>(a)</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PEO NEOs ($)</w:t>
            </w:r>
          </w:p>
        </w:tc>
      </w:tr>
      <w:tr>
        <w:trPr>
          <w:trHeight w:val="223"/>
        </w:trPr>
        <w:tc>
          <w:tcPr>
            <w:tcW w:w="1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9,532,069</w:t>
            </w:r>
          </w:p>
        </w:tc>
        <w:tc>
          <w:tcPr>
            <w:tcW w:w="20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8,631,309</w:t>
            </w:r>
          </w:p>
        </w:tc>
        <w:tc>
          <w:tcPr>
            <w:tcW w:w="2320" w:type="dxa"/>
            <w:vAlign w:val="bottom"/>
            <w:tcBorders>
              <w:bottom w:val="single" w:sz="8" w:color="F2F2F2"/>
            </w:tcBorders>
            <w:shd w:val="clear" w:color="auto" w:fill="F2F2F2"/>
          </w:tcPr>
          <w:p>
            <w:pPr>
              <w:jc w:val="center"/>
              <w:ind w:left="49"/>
              <w:spacing w:after="0"/>
              <w:rPr>
                <w:sz w:val="20"/>
                <w:szCs w:val="20"/>
                <w:color w:val="auto"/>
              </w:rPr>
            </w:pPr>
            <w:r>
              <w:rPr>
                <w:rFonts w:ascii="Arial" w:cs="Arial" w:eastAsia="Arial" w:hAnsi="Arial"/>
                <w:sz w:val="14"/>
                <w:szCs w:val="14"/>
                <w:color w:val="auto"/>
              </w:rPr>
              <w:t>8,629,604</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9,530,364</w:t>
            </w:r>
          </w:p>
        </w:tc>
      </w:tr>
      <w:tr>
        <w:trPr>
          <w:trHeight w:val="221"/>
        </w:trPr>
        <w:tc>
          <w:tcPr>
            <w:tcW w:w="1700" w:type="dxa"/>
            <w:vAlign w:val="bottom"/>
          </w:tcPr>
          <w:p>
            <w:pPr>
              <w:ind w:left="60"/>
              <w:spacing w:after="0"/>
              <w:rPr>
                <w:sz w:val="20"/>
                <w:szCs w:val="20"/>
                <w:color w:val="auto"/>
              </w:rPr>
            </w:pPr>
            <w:r>
              <w:rPr>
                <w:rFonts w:ascii="Arial" w:cs="Arial" w:eastAsia="Arial" w:hAnsi="Arial"/>
                <w:sz w:val="14"/>
                <w:szCs w:val="14"/>
                <w:color w:val="auto"/>
              </w:rPr>
              <w:t>2024</w:t>
            </w:r>
          </w:p>
        </w:tc>
        <w:tc>
          <w:tcPr>
            <w:tcW w:w="2200" w:type="dxa"/>
            <w:vAlign w:val="bottom"/>
          </w:tcPr>
          <w:p>
            <w:pPr>
              <w:jc w:val="center"/>
              <w:spacing w:after="0"/>
              <w:rPr>
                <w:sz w:val="20"/>
                <w:szCs w:val="20"/>
                <w:color w:val="auto"/>
              </w:rPr>
            </w:pPr>
            <w:r>
              <w:rPr>
                <w:rFonts w:ascii="Arial" w:cs="Arial" w:eastAsia="Arial" w:hAnsi="Arial"/>
                <w:sz w:val="14"/>
                <w:szCs w:val="14"/>
                <w:color w:val="auto"/>
              </w:rPr>
              <w:t>7,182,866</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6,566,199</w:t>
            </w:r>
          </w:p>
        </w:tc>
        <w:tc>
          <w:tcPr>
            <w:tcW w:w="2320" w:type="dxa"/>
            <w:vAlign w:val="bottom"/>
          </w:tcPr>
          <w:p>
            <w:pPr>
              <w:jc w:val="center"/>
              <w:ind w:left="49"/>
              <w:spacing w:after="0"/>
              <w:rPr>
                <w:sz w:val="20"/>
                <w:szCs w:val="20"/>
                <w:color w:val="auto"/>
              </w:rPr>
            </w:pPr>
            <w:r>
              <w:rPr>
                <w:rFonts w:ascii="Arial" w:cs="Arial" w:eastAsia="Arial" w:hAnsi="Arial"/>
                <w:sz w:val="14"/>
                <w:szCs w:val="14"/>
                <w:color w:val="auto"/>
              </w:rPr>
              <w:t>6,882,177</w:t>
            </w:r>
          </w:p>
        </w:tc>
        <w:tc>
          <w:tcPr>
            <w:tcW w:w="2200" w:type="dxa"/>
            <w:vAlign w:val="bottom"/>
          </w:tcPr>
          <w:p>
            <w:pPr>
              <w:jc w:val="center"/>
              <w:spacing w:after="0"/>
              <w:rPr>
                <w:sz w:val="20"/>
                <w:szCs w:val="20"/>
                <w:color w:val="auto"/>
              </w:rPr>
            </w:pPr>
            <w:r>
              <w:rPr>
                <w:rFonts w:ascii="Arial" w:cs="Arial" w:eastAsia="Arial" w:hAnsi="Arial"/>
                <w:sz w:val="14"/>
                <w:szCs w:val="14"/>
                <w:color w:val="auto"/>
              </w:rPr>
              <w:t>7,498,844</w:t>
            </w:r>
          </w:p>
        </w:tc>
      </w:tr>
      <w:tr>
        <w:trPr>
          <w:trHeight w:val="22"/>
        </w:trPr>
        <w:tc>
          <w:tcPr>
            <w:tcW w:w="1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2,515,311</w:t>
            </w:r>
          </w:p>
        </w:tc>
        <w:tc>
          <w:tcPr>
            <w:tcW w:w="20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2,049,960</w:t>
            </w:r>
          </w:p>
        </w:tc>
        <w:tc>
          <w:tcPr>
            <w:tcW w:w="2320" w:type="dxa"/>
            <w:vAlign w:val="bottom"/>
            <w:tcBorders>
              <w:bottom w:val="single" w:sz="8" w:color="F2F2F2"/>
            </w:tcBorders>
            <w:shd w:val="clear" w:color="auto" w:fill="F2F2F2"/>
          </w:tcPr>
          <w:p>
            <w:pPr>
              <w:jc w:val="center"/>
              <w:ind w:left="49"/>
              <w:spacing w:after="0"/>
              <w:rPr>
                <w:sz w:val="20"/>
                <w:szCs w:val="20"/>
                <w:color w:val="auto"/>
              </w:rPr>
            </w:pPr>
            <w:r>
              <w:rPr>
                <w:rFonts w:ascii="Arial" w:cs="Arial" w:eastAsia="Arial" w:hAnsi="Arial"/>
                <w:sz w:val="14"/>
                <w:szCs w:val="14"/>
                <w:color w:val="auto"/>
              </w:rPr>
              <w:t>699,685</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1,165,036</w:t>
            </w:r>
          </w:p>
        </w:tc>
      </w:tr>
      <w:tr>
        <w:trPr>
          <w:trHeight w:val="225"/>
        </w:trPr>
        <w:tc>
          <w:tcPr>
            <w:tcW w:w="1700" w:type="dxa"/>
            <w:vAlign w:val="bottom"/>
          </w:tcPr>
          <w:p>
            <w:pPr>
              <w:ind w:left="60"/>
              <w:spacing w:after="0"/>
              <w:rPr>
                <w:sz w:val="20"/>
                <w:szCs w:val="20"/>
                <w:color w:val="auto"/>
              </w:rPr>
            </w:pPr>
            <w:r>
              <w:rPr>
                <w:rFonts w:ascii="Arial" w:cs="Arial" w:eastAsia="Arial" w:hAnsi="Arial"/>
                <w:sz w:val="14"/>
                <w:szCs w:val="14"/>
                <w:color w:val="auto"/>
              </w:rPr>
              <w:t>2022</w:t>
            </w:r>
          </w:p>
        </w:tc>
        <w:tc>
          <w:tcPr>
            <w:tcW w:w="2200" w:type="dxa"/>
            <w:vAlign w:val="bottom"/>
          </w:tcPr>
          <w:p>
            <w:pPr>
              <w:jc w:val="center"/>
              <w:spacing w:after="0"/>
              <w:rPr>
                <w:sz w:val="20"/>
                <w:szCs w:val="20"/>
                <w:color w:val="auto"/>
              </w:rPr>
            </w:pPr>
            <w:r>
              <w:rPr>
                <w:rFonts w:ascii="Arial" w:cs="Arial" w:eastAsia="Arial" w:hAnsi="Arial"/>
                <w:sz w:val="14"/>
                <w:szCs w:val="14"/>
                <w:color w:val="auto"/>
              </w:rPr>
              <w:t>3,473,372</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2,607,061</w:t>
            </w:r>
          </w:p>
        </w:tc>
        <w:tc>
          <w:tcPr>
            <w:tcW w:w="2320" w:type="dxa"/>
            <w:vAlign w:val="bottom"/>
          </w:tcPr>
          <w:p>
            <w:pPr>
              <w:jc w:val="center"/>
              <w:ind w:left="49"/>
              <w:spacing w:after="0"/>
              <w:rPr>
                <w:sz w:val="20"/>
                <w:szCs w:val="20"/>
                <w:color w:val="auto"/>
              </w:rPr>
            </w:pPr>
            <w:r>
              <w:rPr>
                <w:rFonts w:ascii="Arial" w:cs="Arial" w:eastAsia="Arial" w:hAnsi="Arial"/>
                <w:sz w:val="14"/>
                <w:szCs w:val="14"/>
                <w:color w:val="auto"/>
              </w:rPr>
              <w:t>-337,824</w:t>
            </w:r>
          </w:p>
        </w:tc>
        <w:tc>
          <w:tcPr>
            <w:tcW w:w="2200" w:type="dxa"/>
            <w:vAlign w:val="bottom"/>
          </w:tcPr>
          <w:p>
            <w:pPr>
              <w:jc w:val="center"/>
              <w:spacing w:after="0"/>
              <w:rPr>
                <w:sz w:val="20"/>
                <w:szCs w:val="20"/>
                <w:color w:val="auto"/>
              </w:rPr>
            </w:pPr>
            <w:r>
              <w:rPr>
                <w:rFonts w:ascii="Arial" w:cs="Arial" w:eastAsia="Arial" w:hAnsi="Arial"/>
                <w:sz w:val="14"/>
                <w:szCs w:val="14"/>
                <w:color w:val="auto"/>
              </w:rPr>
              <w:t>528,487</w:t>
            </w:r>
          </w:p>
        </w:tc>
      </w:tr>
      <w:tr>
        <w:trPr>
          <w:trHeight w:val="220"/>
        </w:trPr>
        <w:tc>
          <w:tcPr>
            <w:tcW w:w="1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2,832,378</w:t>
            </w:r>
          </w:p>
        </w:tc>
        <w:tc>
          <w:tcPr>
            <w:tcW w:w="2080" w:type="dxa"/>
            <w:vAlign w:val="bottom"/>
            <w:shd w:val="clear" w:color="auto" w:fill="F2F2F2"/>
          </w:tcPr>
          <w:p>
            <w:pPr>
              <w:jc w:val="center"/>
              <w:ind w:left="50"/>
              <w:spacing w:after="0"/>
              <w:rPr>
                <w:sz w:val="20"/>
                <w:szCs w:val="20"/>
                <w:color w:val="auto"/>
              </w:rPr>
            </w:pPr>
            <w:r>
              <w:rPr>
                <w:rFonts w:ascii="Arial" w:cs="Arial" w:eastAsia="Arial" w:hAnsi="Arial"/>
                <w:sz w:val="14"/>
                <w:szCs w:val="14"/>
                <w:color w:val="auto"/>
              </w:rPr>
              <w:t>1,946,253</w:t>
            </w:r>
          </w:p>
        </w:tc>
        <w:tc>
          <w:tcPr>
            <w:tcW w:w="2320" w:type="dxa"/>
            <w:vAlign w:val="bottom"/>
            <w:shd w:val="clear" w:color="auto" w:fill="F2F2F2"/>
          </w:tcPr>
          <w:p>
            <w:pPr>
              <w:jc w:val="center"/>
              <w:ind w:left="49"/>
              <w:spacing w:after="0"/>
              <w:rPr>
                <w:sz w:val="20"/>
                <w:szCs w:val="20"/>
                <w:color w:val="auto"/>
              </w:rPr>
            </w:pPr>
            <w:r>
              <w:rPr>
                <w:rFonts w:ascii="Arial" w:cs="Arial" w:eastAsia="Arial" w:hAnsi="Arial"/>
                <w:sz w:val="14"/>
                <w:szCs w:val="14"/>
                <w:color w:val="auto"/>
              </w:rPr>
              <w:t>375,828</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1,261,953</w:t>
            </w:r>
          </w:p>
        </w:tc>
      </w:tr>
    </w:tbl>
    <w:p>
      <w:pPr>
        <w:spacing w:after="0" w:line="57"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i w:val="1"/>
          <w:iCs w:val="1"/>
          <w:color w:val="auto"/>
        </w:rPr>
        <w:t>The amounts deducted or added in calculating the total average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56515</wp:posOffset>
            </wp:positionV>
            <wp:extent cx="6223635" cy="21170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23635" cy="2117090"/>
                    </a:xfrm>
                    <a:prstGeom prst="rect">
                      <a:avLst/>
                    </a:prstGeom>
                    <a:noFill/>
                  </pic:spPr>
                </pic:pic>
              </a:graphicData>
            </a:graphic>
          </wp:anchor>
        </w:drawing>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1020" w:type="dxa"/>
            <w:vAlign w:val="bottom"/>
            <w:shd w:val="clear" w:color="auto" w:fill="0063A6"/>
          </w:tcPr>
          <w:p>
            <w:pPr>
              <w:spacing w:after="0"/>
              <w:rPr>
                <w:sz w:val="23"/>
                <w:szCs w:val="23"/>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(d)</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8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020" w:type="dxa"/>
            <w:vAlign w:val="bottom"/>
            <w:shd w:val="clear" w:color="auto" w:fill="0063A6"/>
          </w:tcPr>
          <w:p>
            <w:pPr>
              <w:spacing w:after="0"/>
              <w:rPr>
                <w:sz w:val="24"/>
                <w:szCs w:val="24"/>
                <w:color w:val="auto"/>
              </w:rPr>
            </w:pPr>
          </w:p>
        </w:tc>
        <w:tc>
          <w:tcPr>
            <w:tcW w:w="1080" w:type="dxa"/>
            <w:vAlign w:val="bottom"/>
            <w:shd w:val="clear" w:color="auto" w:fill="0063A6"/>
          </w:tcPr>
          <w:p>
            <w:pPr>
              <w:spacing w:after="0"/>
              <w:rPr>
                <w:sz w:val="24"/>
                <w:szCs w:val="24"/>
                <w:color w:val="auto"/>
              </w:rPr>
            </w:pPr>
          </w:p>
        </w:tc>
        <w:tc>
          <w:tcPr>
            <w:tcW w:w="1180" w:type="dxa"/>
            <w:vAlign w:val="bottom"/>
            <w:shd w:val="clear" w:color="auto" w:fill="0063A6"/>
          </w:tcPr>
          <w:p>
            <w:pPr>
              <w:spacing w:after="0"/>
              <w:rPr>
                <w:sz w:val="24"/>
                <w:szCs w:val="24"/>
                <w:color w:val="auto"/>
              </w:rPr>
            </w:pP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Fair</w:t>
            </w:r>
          </w:p>
        </w:tc>
        <w:tc>
          <w:tcPr>
            <w:tcW w:w="14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Value of</w:t>
            </w:r>
          </w:p>
        </w:tc>
        <w:tc>
          <w:tcPr>
            <w:tcW w:w="118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360" w:type="dxa"/>
            <w:vAlign w:val="bottom"/>
            <w:vMerge w:val="continue"/>
            <w:shd w:val="clear" w:color="auto" w:fill="0063A6"/>
          </w:tcPr>
          <w:p>
            <w:pPr>
              <w:spacing w:after="0"/>
              <w:rPr>
                <w:sz w:val="12"/>
                <w:szCs w:val="12"/>
                <w:color w:val="auto"/>
              </w:rPr>
            </w:pPr>
          </w:p>
        </w:tc>
        <w:tc>
          <w:tcPr>
            <w:tcW w:w="14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at the End</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Dividends or</w:t>
            </w:r>
          </w:p>
        </w:tc>
        <w:tc>
          <w:tcPr>
            <w:tcW w:w="118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as of Vesting</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the Prior Year</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 Earnings</w:t>
            </w: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Date of</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Awards</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not Otherwise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9"/>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Vested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the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180" w:type="dxa"/>
            <w:vAlign w:val="bottom"/>
            <w:tcBorders>
              <w:bottom w:val="single" w:sz="8" w:color="0063A6"/>
            </w:tcBorders>
            <w:shd w:val="clear" w:color="auto" w:fill="0063A6"/>
          </w:tcPr>
          <w:p>
            <w:pPr>
              <w:jc w:val="center"/>
              <w:spacing w:after="0" w:line="203" w:lineRule="exact"/>
              <w:rPr>
                <w:sz w:val="20"/>
                <w:szCs w:val="20"/>
                <w:color w:val="auto"/>
              </w:rPr>
            </w:pPr>
            <w:r>
              <w:rPr>
                <w:rFonts w:ascii="Arial" w:cs="Arial" w:eastAsia="Arial" w:hAnsi="Arial"/>
                <w:sz w:val="23"/>
                <w:szCs w:val="23"/>
                <w:b w:val="1"/>
                <w:bCs w:val="1"/>
                <w:color w:val="FFFFFF"/>
                <w:w w:val="98"/>
                <w:vertAlign w:val="subscript"/>
              </w:rPr>
              <w:t>($)</w:t>
            </w:r>
            <w:r>
              <w:rPr>
                <w:rFonts w:ascii="Arial" w:cs="Arial" w:eastAsia="Arial" w:hAnsi="Arial"/>
                <w:sz w:val="8"/>
                <w:szCs w:val="8"/>
                <w:b w:val="1"/>
                <w:bCs w:val="1"/>
                <w:color w:val="FFFFFF"/>
                <w:w w:val="98"/>
              </w:rPr>
              <w:t>(a)</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6,809,226</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-107,298</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1,918,157</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9,520</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8,629,604</w:t>
            </w:r>
          </w:p>
        </w:tc>
        <w:tc>
          <w:tcPr>
            <w:tcW w:w="0" w:type="dxa"/>
            <w:vAlign w:val="bottom"/>
          </w:tcPr>
          <w:p>
            <w:pPr>
              <w:spacing w:after="0"/>
              <w:rPr>
                <w:sz w:val="1"/>
                <w:szCs w:val="1"/>
                <w:color w:val="auto"/>
              </w:rPr>
            </w:pPr>
          </w:p>
        </w:tc>
      </w:tr>
      <w:tr>
        <w:trPr>
          <w:trHeight w:val="221"/>
        </w:trPr>
        <w:tc>
          <w:tcPr>
            <w:tcW w:w="1020" w:type="dxa"/>
            <w:vAlign w:val="bottom"/>
          </w:tcPr>
          <w:p>
            <w:pPr>
              <w:ind w:left="60"/>
              <w:spacing w:after="0"/>
              <w:rPr>
                <w:sz w:val="20"/>
                <w:szCs w:val="20"/>
                <w:color w:val="auto"/>
              </w:rPr>
            </w:pPr>
            <w:r>
              <w:rPr>
                <w:rFonts w:ascii="Arial" w:cs="Arial" w:eastAsia="Arial" w:hAnsi="Arial"/>
                <w:sz w:val="14"/>
                <w:szCs w:val="14"/>
                <w:color w:val="auto"/>
              </w:rPr>
              <w:t>2024</w:t>
            </w:r>
          </w:p>
        </w:tc>
        <w:tc>
          <w:tcPr>
            <w:tcW w:w="1080" w:type="dxa"/>
            <w:vAlign w:val="bottom"/>
          </w:tcPr>
          <w:p>
            <w:pPr>
              <w:jc w:val="center"/>
              <w:spacing w:after="0"/>
              <w:rPr>
                <w:sz w:val="20"/>
                <w:szCs w:val="20"/>
                <w:color w:val="auto"/>
              </w:rPr>
            </w:pPr>
            <w:r>
              <w:rPr>
                <w:rFonts w:ascii="Arial" w:cs="Arial" w:eastAsia="Arial" w:hAnsi="Arial"/>
                <w:sz w:val="14"/>
                <w:szCs w:val="14"/>
                <w:color w:val="auto"/>
              </w:rPr>
              <w:t>5,703,394</w:t>
            </w:r>
          </w:p>
        </w:tc>
        <w:tc>
          <w:tcPr>
            <w:tcW w:w="1180" w:type="dxa"/>
            <w:vAlign w:val="bottom"/>
          </w:tcPr>
          <w:p>
            <w:pPr>
              <w:jc w:val="center"/>
              <w:spacing w:after="0"/>
              <w:rPr>
                <w:sz w:val="20"/>
                <w:szCs w:val="20"/>
                <w:color w:val="auto"/>
              </w:rPr>
            </w:pPr>
            <w:r>
              <w:rPr>
                <w:rFonts w:ascii="Arial" w:cs="Arial" w:eastAsia="Arial" w:hAnsi="Arial"/>
                <w:sz w:val="14"/>
                <w:szCs w:val="14"/>
                <w:color w:val="auto"/>
              </w:rPr>
              <w:t>62,853</w:t>
            </w:r>
          </w:p>
        </w:tc>
        <w:tc>
          <w:tcPr>
            <w:tcW w:w="1280" w:type="dxa"/>
            <w:vAlign w:val="bottom"/>
          </w:tcPr>
          <w:p>
            <w:pPr>
              <w:jc w:val="center"/>
              <w:spacing w:after="0"/>
              <w:rPr>
                <w:sz w:val="20"/>
                <w:szCs w:val="20"/>
                <w:color w:val="auto"/>
              </w:rPr>
            </w:pPr>
            <w:r>
              <w:rPr>
                <w:rFonts w:ascii="Arial" w:cs="Arial" w:eastAsia="Arial" w:hAnsi="Arial"/>
                <w:sz w:val="14"/>
                <w:szCs w:val="14"/>
                <w:color w:val="auto"/>
              </w:rPr>
              <w:t>1,382,982</w:t>
            </w:r>
          </w:p>
        </w:tc>
        <w:tc>
          <w:tcPr>
            <w:tcW w:w="1220" w:type="dxa"/>
            <w:vAlign w:val="bottom"/>
          </w:tcPr>
          <w:p>
            <w:pPr>
              <w:jc w:val="center"/>
              <w:spacing w:after="0"/>
              <w:rPr>
                <w:sz w:val="20"/>
                <w:szCs w:val="20"/>
                <w:color w:val="auto"/>
              </w:rPr>
            </w:pPr>
            <w:r>
              <w:rPr>
                <w:rFonts w:ascii="Arial" w:cs="Arial" w:eastAsia="Arial" w:hAnsi="Arial"/>
                <w:sz w:val="14"/>
                <w:szCs w:val="14"/>
                <w:color w:val="auto"/>
              </w:rPr>
              <w:t>-267,053</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6,882,177</w:t>
            </w: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2,271,117</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586,030</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460,877</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299,187</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-2,917,528</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699,685</w:t>
            </w:r>
          </w:p>
        </w:tc>
        <w:tc>
          <w:tcPr>
            <w:tcW w:w="0" w:type="dxa"/>
            <w:vAlign w:val="bottom"/>
          </w:tcPr>
          <w:p>
            <w:pPr>
              <w:spacing w:after="0"/>
              <w:rPr>
                <w:sz w:val="1"/>
                <w:szCs w:val="1"/>
                <w:color w:val="auto"/>
              </w:rPr>
            </w:pPr>
          </w:p>
        </w:tc>
      </w:tr>
      <w:tr>
        <w:trPr>
          <w:trHeight w:val="225"/>
        </w:trPr>
        <w:tc>
          <w:tcPr>
            <w:tcW w:w="1020" w:type="dxa"/>
            <w:vAlign w:val="bottom"/>
          </w:tcPr>
          <w:p>
            <w:pPr>
              <w:ind w:left="60"/>
              <w:spacing w:after="0"/>
              <w:rPr>
                <w:sz w:val="20"/>
                <w:szCs w:val="20"/>
                <w:color w:val="auto"/>
              </w:rPr>
            </w:pPr>
            <w:r>
              <w:rPr>
                <w:rFonts w:ascii="Arial" w:cs="Arial" w:eastAsia="Arial" w:hAnsi="Arial"/>
                <w:sz w:val="14"/>
                <w:szCs w:val="14"/>
                <w:color w:val="auto"/>
              </w:rPr>
              <w:t>2022</w:t>
            </w:r>
          </w:p>
        </w:tc>
        <w:tc>
          <w:tcPr>
            <w:tcW w:w="1080" w:type="dxa"/>
            <w:vAlign w:val="bottom"/>
          </w:tcPr>
          <w:p>
            <w:pPr>
              <w:jc w:val="center"/>
              <w:spacing w:after="0"/>
              <w:rPr>
                <w:sz w:val="20"/>
                <w:szCs w:val="20"/>
                <w:color w:val="auto"/>
              </w:rPr>
            </w:pPr>
            <w:r>
              <w:rPr>
                <w:rFonts w:ascii="Arial" w:cs="Arial" w:eastAsia="Arial" w:hAnsi="Arial"/>
                <w:sz w:val="14"/>
                <w:szCs w:val="14"/>
                <w:color w:val="auto"/>
              </w:rPr>
              <w:t>2,038,975</w:t>
            </w:r>
          </w:p>
        </w:tc>
        <w:tc>
          <w:tcPr>
            <w:tcW w:w="1180" w:type="dxa"/>
            <w:vAlign w:val="bottom"/>
          </w:tcPr>
          <w:p>
            <w:pPr>
              <w:jc w:val="center"/>
              <w:spacing w:after="0"/>
              <w:rPr>
                <w:sz w:val="20"/>
                <w:szCs w:val="20"/>
                <w:color w:val="auto"/>
              </w:rPr>
            </w:pPr>
            <w:r>
              <w:rPr>
                <w:rFonts w:ascii="Arial" w:cs="Arial" w:eastAsia="Arial" w:hAnsi="Arial"/>
                <w:sz w:val="14"/>
                <w:szCs w:val="14"/>
                <w:color w:val="auto"/>
              </w:rPr>
              <w:t>-2,637,402</w:t>
            </w:r>
          </w:p>
        </w:tc>
        <w:tc>
          <w:tcPr>
            <w:tcW w:w="1280" w:type="dxa"/>
            <w:vAlign w:val="bottom"/>
          </w:tcPr>
          <w:p>
            <w:pPr>
              <w:jc w:val="center"/>
              <w:spacing w:after="0"/>
              <w:rPr>
                <w:sz w:val="20"/>
                <w:szCs w:val="20"/>
                <w:color w:val="auto"/>
              </w:rPr>
            </w:pPr>
            <w:r>
              <w:rPr>
                <w:rFonts w:ascii="Arial" w:cs="Arial" w:eastAsia="Arial" w:hAnsi="Arial"/>
                <w:sz w:val="14"/>
                <w:szCs w:val="14"/>
                <w:color w:val="auto"/>
              </w:rPr>
              <w:t>479,292</w:t>
            </w:r>
          </w:p>
        </w:tc>
        <w:tc>
          <w:tcPr>
            <w:tcW w:w="1220" w:type="dxa"/>
            <w:vAlign w:val="bottom"/>
          </w:tcPr>
          <w:p>
            <w:pPr>
              <w:jc w:val="center"/>
              <w:spacing w:after="0"/>
              <w:rPr>
                <w:sz w:val="20"/>
                <w:szCs w:val="20"/>
                <w:color w:val="auto"/>
              </w:rPr>
            </w:pPr>
            <w:r>
              <w:rPr>
                <w:rFonts w:ascii="Arial" w:cs="Arial" w:eastAsia="Arial" w:hAnsi="Arial"/>
                <w:sz w:val="14"/>
                <w:szCs w:val="14"/>
                <w:color w:val="auto"/>
              </w:rPr>
              <w:t>-218,688</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-337,824</w:t>
            </w:r>
          </w:p>
        </w:tc>
        <w:tc>
          <w:tcPr>
            <w:tcW w:w="0" w:type="dxa"/>
            <w:vAlign w:val="bottom"/>
          </w:tcPr>
          <w:p>
            <w:pPr>
              <w:spacing w:after="0"/>
              <w:rPr>
                <w:sz w:val="1"/>
                <w:szCs w:val="1"/>
                <w:color w:val="auto"/>
              </w:rPr>
            </w:pPr>
          </w:p>
        </w:tc>
      </w:tr>
      <w:tr>
        <w:trPr>
          <w:trHeight w:val="220"/>
        </w:trPr>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1,455,584</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1,400,515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385,547</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648,906</w:t>
            </w:r>
          </w:p>
        </w:tc>
        <w:tc>
          <w:tcPr>
            <w:tcW w:w="13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3,514,724</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375,828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300" w:hanging="328"/>
        <w:spacing w:after="0" w:line="214" w:lineRule="auto"/>
        <w:tabs>
          <w:tab w:leader="none" w:pos="653"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total average equity award adjustment is calculated by adding the values in columns (a), (b), (c), (d), and (f) less (e). Due to rounding, the total average equity award may not equal the total obtained by adding and subtracting the applicable columns.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333" w:lineRule="exact"/>
        <w:rPr>
          <w:sz w:val="20"/>
          <w:szCs w:val="20"/>
          <w:color w:val="auto"/>
        </w:rPr>
      </w:pPr>
    </w:p>
    <w:p>
      <w:pPr>
        <w:ind w:left="340" w:right="380" w:hanging="332"/>
        <w:spacing w:after="0" w:line="262" w:lineRule="auto"/>
        <w:tabs>
          <w:tab w:leader="none" w:pos="234" w:val="left"/>
        </w:tabs>
        <w:numPr>
          <w:ilvl w:val="0"/>
          <w:numId w:val="88"/>
        </w:numPr>
        <w:rPr>
          <w:rFonts w:ascii="Arial" w:cs="Arial" w:eastAsia="Arial" w:hAnsi="Arial"/>
          <w:sz w:val="9"/>
          <w:szCs w:val="9"/>
          <w:color w:val="auto"/>
        </w:rPr>
      </w:pPr>
      <w:r>
        <w:rPr>
          <w:rFonts w:ascii="Arial" w:cs="Arial" w:eastAsia="Arial" w:hAnsi="Arial"/>
          <w:sz w:val="14"/>
          <w:szCs w:val="14"/>
          <w:color w:val="auto"/>
        </w:rPr>
        <w:t>Cumulative total shareholder return (“</w:t>
      </w:r>
      <w:r>
        <w:rPr>
          <w:rFonts w:ascii="Arial" w:cs="Arial" w:eastAsia="Arial" w:hAnsi="Arial"/>
          <w:sz w:val="14"/>
          <w:szCs w:val="14"/>
          <w:b w:val="1"/>
          <w:bCs w:val="1"/>
          <w:i w:val="1"/>
          <w:iCs w:val="1"/>
          <w:color w:val="auto"/>
        </w:rPr>
        <w:t>TSR</w:t>
      </w:r>
      <w:r>
        <w:rPr>
          <w:rFonts w:ascii="Arial" w:cs="Arial" w:eastAsia="Arial" w:hAnsi="Arial"/>
          <w:sz w:val="14"/>
          <w:szCs w:val="14"/>
          <w:color w:val="auto"/>
        </w:rPr>
        <w:t>”) is calculated as the difference between the company’s share price at the end and the beginning of the measurement period divided by the company’s share price at the beginning of the measurement period.</w:t>
      </w:r>
    </w:p>
    <w:p>
      <w:pPr>
        <w:ind w:left="220" w:hanging="212"/>
        <w:spacing w:after="0" w:line="206" w:lineRule="auto"/>
        <w:tabs>
          <w:tab w:leader="none" w:pos="22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peer group used for this purpose is the following published industry index: Nasdaq Computer Index.</w:t>
      </w:r>
    </w:p>
    <w:p>
      <w:pPr>
        <w:ind w:left="220" w:hanging="212"/>
        <w:spacing w:after="0" w:line="192" w:lineRule="auto"/>
        <w:tabs>
          <w:tab w:leader="none" w:pos="22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ind w:left="340" w:right="60" w:hanging="332"/>
        <w:spacing w:after="0" w:line="213" w:lineRule="auto"/>
        <w:tabs>
          <w:tab w:leader="none" w:pos="234"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Financial Performance Measures</w:t>
      </w:r>
    </w:p>
    <w:p>
      <w:pPr>
        <w:spacing w:after="0" w:line="167"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As described in greater detail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28"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Revenue</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Non-GAAP operating margin</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89"/>
        </w:numPr>
        <w:rPr>
          <w:rFonts w:ascii="Arial" w:cs="Arial" w:eastAsia="Arial" w:hAnsi="Arial"/>
          <w:sz w:val="16"/>
          <w:szCs w:val="16"/>
          <w:color w:val="0063A6"/>
        </w:rPr>
      </w:pPr>
      <w:r>
        <w:rPr>
          <w:rFonts w:ascii="Arial" w:cs="Arial" w:eastAsia="Arial" w:hAnsi="Arial"/>
          <w:sz w:val="16"/>
          <w:szCs w:val="16"/>
          <w:color w:val="auto"/>
        </w:rPr>
        <w:t>Stock price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Analysis of the Information Presented in the Pay Versus Performance Table</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As described in more detail in the section titled “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Cumulative TSR</w:t>
      </w:r>
    </w:p>
    <w:p>
      <w:pPr>
        <w:spacing w:after="0" w:line="15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then decreased again in 2024 and 2025. The average amount of compensation actually paid to the company’s NEOs as a group (excluding Mr. Houston) decreased between 2021 and 2022 and increased between 2022 and 2025. During that five-year period, total shareholder return has been positive. The variance in compensation actually paid over the five-year period is because a significant portion of compensation actually paid is comprised of equity awards, and in the case of Mr. Houston, vesting of equity awards is contingent upon achieving stock price targets as described in more detail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133350</wp:posOffset>
            </wp:positionV>
            <wp:extent cx="6403340" cy="2314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033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hanging="554"/>
        <w:spacing w:after="0"/>
        <w:tabs>
          <w:tab w:leader="none" w:pos="58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Net Income</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then decreased again in 2024 and 2025. Meanwhile, the company's net income stabilized at a strong position over the same period. The average amount of compensation actually paid to the company’s NEOs as a group (excluding Mr. Houston) decreased between 2021 and 2022 and increased between 2022 and 2025, while the company's net income stabilized at a strong position over the same period. We do not use net income as a performance measure in our short or long-term incentive programs and as further discussed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 a majority of the total compensation for the company’s NEOs is in the form of equity and therefore tied to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133350</wp:posOffset>
            </wp:positionV>
            <wp:extent cx="6403340" cy="22199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033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Revenue</w:t>
      </w:r>
    </w:p>
    <w:p>
      <w:pPr>
        <w:spacing w:after="0" w:line="15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2021 and 2022, increased between 2022 and 2023, and decreased again in 2024 and 2025. Meanwhile, the company's revenue increased between 2021 and 2024, before declining slightly in 2025. The average amount of compensation actually paid to the company’s NEOs as a group (excluding Mr. Houston) decreased between 2021 and 2022 and increased between 2022 and 2025. Over the same period, the company’s revenue increased from 2021 through 2024, followed by a slight decline in 2025.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revenue represents two-thirds of the corporate multiplier of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136525</wp:posOffset>
            </wp:positionV>
            <wp:extent cx="6403340" cy="2057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033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EXECUTIVE COMPENSATION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Cumulative TSR of the Company and Cumulative TSR of the Peer Group</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demonstrated by the following graph, the company’s cumulative TSR over the five-year period presented in the table grew by 25%, while the cumulative TSR of the peer group presented for this purpose, the Nasdaq Computer Index, was 158% over the five years presented in the graph. For more information regarding the company’s performance and the companies that the talent and compensation committee considers when determining compensation, refer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section titled “</w:t>
      </w:r>
      <w:r>
        <w:rPr>
          <w:rFonts w:ascii="Arial" w:cs="Arial" w:eastAsia="Arial" w:hAnsi="Arial"/>
          <w:sz w:val="16"/>
          <w:szCs w:val="16"/>
          <w:i w:val="1"/>
          <w:iCs w:val="1"/>
          <w:color w:val="auto"/>
        </w:rPr>
        <w:t>Executive Compensation</w:t>
      </w:r>
      <w:r>
        <w:rPr>
          <w:rFonts w:ascii="Arial" w:cs="Arial" w:eastAsia="Arial" w:hAnsi="Arial"/>
          <w:sz w:val="14"/>
          <w:szCs w:val="14"/>
          <w:color w:val="auto"/>
        </w:rPr>
        <w:t>—</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147955</wp:posOffset>
            </wp:positionV>
            <wp:extent cx="2957195" cy="2468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571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 w:hanging="554"/>
        <w:spacing w:after="0"/>
        <w:tabs>
          <w:tab w:leader="none" w:pos="58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EQUITY COMPENSATION PLAN INFORMATION</w:t>
      </w:r>
    </w:p>
    <w:p>
      <w:pPr>
        <w:spacing w:after="0" w:line="200" w:lineRule="exact"/>
        <w:rPr>
          <w:sz w:val="20"/>
          <w:szCs w:val="20"/>
          <w:color w:val="auto"/>
        </w:rPr>
      </w:pPr>
    </w:p>
    <w:p>
      <w:pPr>
        <w:spacing w:after="0" w:line="26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summarizes our equity compensation plan information as of December 31, 2025.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2025, 3,672 shares of Class A common stock were issuable upon exercise of outstanding options assumed in connection with acquisitions. The weighted average exercise price of such outstanding options was $5.70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5175" cy="9944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5175" cy="99441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shd w:val="clear" w:color="auto" w:fill="0063A6"/>
          </w:tcPr>
          <w:p>
            <w:pPr>
              <w:spacing w:after="0"/>
              <w:rPr>
                <w:sz w:val="20"/>
                <w:szCs w:val="20"/>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2220" w:type="dxa"/>
            <w:vAlign w:val="bottom"/>
            <w:shd w:val="clear" w:color="auto" w:fill="0063A6"/>
          </w:tcPr>
          <w:p>
            <w:pPr>
              <w:spacing w:after="0"/>
              <w:rPr>
                <w:sz w:val="20"/>
                <w:szCs w:val="20"/>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76"/>
        </w:trPr>
        <w:tc>
          <w:tcPr>
            <w:tcW w:w="3820" w:type="dxa"/>
            <w:vAlign w:val="bottom"/>
            <w:shd w:val="clear" w:color="auto" w:fill="0063A6"/>
          </w:tcPr>
          <w:p>
            <w:pPr>
              <w:spacing w:after="0"/>
              <w:rPr>
                <w:sz w:val="15"/>
                <w:szCs w:val="15"/>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of</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382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Plan Category</w:t>
            </w: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Reflected in the First Column)</w:t>
            </w:r>
          </w:p>
        </w:tc>
      </w:tr>
      <w:tr>
        <w:trPr>
          <w:trHeight w:val="56"/>
        </w:trPr>
        <w:tc>
          <w:tcPr>
            <w:tcW w:w="3820" w:type="dxa"/>
            <w:vAlign w:val="bottom"/>
            <w:shd w:val="clear" w:color="auto" w:fill="0063A6"/>
          </w:tcPr>
          <w:p>
            <w:pPr>
              <w:spacing w:after="0"/>
              <w:rPr>
                <w:sz w:val="4"/>
                <w:szCs w:val="4"/>
                <w:color w:val="auto"/>
              </w:rPr>
            </w:pPr>
          </w:p>
        </w:tc>
        <w:tc>
          <w:tcPr>
            <w:tcW w:w="2140" w:type="dxa"/>
            <w:vAlign w:val="bottom"/>
            <w:shd w:val="clear" w:color="auto" w:fill="0063A6"/>
          </w:tcPr>
          <w:p>
            <w:pPr>
              <w:spacing w:after="0"/>
              <w:rPr>
                <w:sz w:val="4"/>
                <w:szCs w:val="4"/>
                <w:color w:val="auto"/>
              </w:rPr>
            </w:pPr>
          </w:p>
        </w:tc>
        <w:tc>
          <w:tcPr>
            <w:tcW w:w="2220" w:type="dxa"/>
            <w:vAlign w:val="bottom"/>
            <w:shd w:val="clear" w:color="auto" w:fill="0063A6"/>
          </w:tcPr>
          <w:p>
            <w:pPr>
              <w:spacing w:after="0"/>
              <w:rPr>
                <w:sz w:val="4"/>
                <w:szCs w:val="4"/>
                <w:color w:val="auto"/>
              </w:rPr>
            </w:pPr>
          </w:p>
        </w:tc>
        <w:tc>
          <w:tcPr>
            <w:tcW w:w="3020" w:type="dxa"/>
            <w:vAlign w:val="bottom"/>
            <w:shd w:val="clear" w:color="auto" w:fill="0063A6"/>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shd w:val="clear" w:color="auto" w:fill="F2F2F2"/>
          </w:tcPr>
          <w:p>
            <w:pPr>
              <w:spacing w:after="0"/>
              <w:rPr>
                <w:sz w:val="22"/>
                <w:szCs w:val="22"/>
                <w:color w:val="auto"/>
              </w:rPr>
            </w:pPr>
          </w:p>
        </w:tc>
        <w:tc>
          <w:tcPr>
            <w:tcW w:w="3480" w:type="dxa"/>
            <w:vAlign w:val="bottom"/>
            <w:gridSpan w:val="3"/>
            <w:shd w:val="clear" w:color="auto" w:fill="F2F2F2"/>
          </w:tcPr>
          <w:p>
            <w:pPr>
              <w:spacing w:after="0"/>
              <w:rPr>
                <w:sz w:val="20"/>
                <w:szCs w:val="20"/>
                <w:color w:val="auto"/>
              </w:rPr>
            </w:pPr>
            <w:r>
              <w:rPr>
                <w:rFonts w:ascii="Arial" w:cs="Arial" w:eastAsia="Arial" w:hAnsi="Arial"/>
                <w:sz w:val="16"/>
                <w:szCs w:val="16"/>
                <w:color w:val="auto"/>
                <w:shd w:val="clear" w:color="auto" w:fill="F2F2F2"/>
              </w:rPr>
              <w:t>Equity compensation plans approved by security</w:t>
            </w:r>
          </w:p>
        </w:tc>
        <w:tc>
          <w:tcPr>
            <w:tcW w:w="188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1080" w:type="dxa"/>
            <w:vAlign w:val="bottom"/>
            <w:shd w:val="clear" w:color="auto" w:fill="F2F2F2"/>
          </w:tcPr>
          <w:p>
            <w:pPr>
              <w:spacing w:after="0"/>
              <w:rPr>
                <w:sz w:val="22"/>
                <w:szCs w:val="22"/>
                <w:color w:val="auto"/>
              </w:rPr>
            </w:pPr>
          </w:p>
        </w:tc>
        <w:tc>
          <w:tcPr>
            <w:tcW w:w="1080" w:type="dxa"/>
            <w:vAlign w:val="bottom"/>
            <w:shd w:val="clear" w:color="auto" w:fill="F2F2F2"/>
          </w:tcPr>
          <w:p>
            <w:pPr>
              <w:spacing w:after="0"/>
              <w:rPr>
                <w:sz w:val="22"/>
                <w:szCs w:val="22"/>
                <w:color w:val="auto"/>
              </w:rPr>
            </w:pPr>
          </w:p>
        </w:tc>
        <w:tc>
          <w:tcPr>
            <w:tcW w:w="1820" w:type="dxa"/>
            <w:vAlign w:val="bottom"/>
            <w:shd w:val="clear" w:color="auto" w:fill="F2F2F2"/>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F2F2F2"/>
          </w:tcPr>
          <w:p>
            <w:pPr>
              <w:spacing w:after="0"/>
              <w:rPr>
                <w:sz w:val="12"/>
                <w:szCs w:val="12"/>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6"/>
                <w:szCs w:val="16"/>
                <w:color w:val="auto"/>
                <w:w w:val="99"/>
                <w:shd w:val="clear" w:color="auto" w:fill="F2F2F2"/>
              </w:rPr>
              <w:t>holders</w:t>
            </w:r>
          </w:p>
        </w:tc>
        <w:tc>
          <w:tcPr>
            <w:tcW w:w="120" w:type="dxa"/>
            <w:vAlign w:val="bottom"/>
            <w:shd w:val="clear" w:color="auto" w:fill="F2F2F2"/>
          </w:tcPr>
          <w:p>
            <w:pPr>
              <w:jc w:val="right"/>
              <w:spacing w:after="0"/>
              <w:rPr>
                <w:sz w:val="20"/>
                <w:szCs w:val="20"/>
                <w:color w:val="auto"/>
              </w:rPr>
            </w:pPr>
            <w:r>
              <w:rPr>
                <w:rFonts w:ascii="Arial" w:cs="Arial" w:eastAsia="Arial" w:hAnsi="Arial"/>
                <w:sz w:val="11"/>
                <w:szCs w:val="11"/>
                <w:color w:val="auto"/>
                <w:w w:val="74"/>
                <w:shd w:val="clear" w:color="auto" w:fill="F2F2F2"/>
              </w:rPr>
              <w:t>(1)</w:t>
            </w:r>
          </w:p>
        </w:tc>
        <w:tc>
          <w:tcPr>
            <w:tcW w:w="2820" w:type="dxa"/>
            <w:vAlign w:val="bottom"/>
            <w:vMerge w:val="restart"/>
            <w:shd w:val="clear" w:color="auto" w:fill="F2F2F2"/>
          </w:tcPr>
          <w:p>
            <w:pPr>
              <w:spacing w:after="0"/>
              <w:rPr>
                <w:sz w:val="12"/>
                <w:szCs w:val="12"/>
                <w:color w:val="auto"/>
              </w:rPr>
            </w:pPr>
          </w:p>
        </w:tc>
        <w:tc>
          <w:tcPr>
            <w:tcW w:w="1880" w:type="dxa"/>
            <w:vAlign w:val="bottom"/>
            <w:vMerge w:val="restart"/>
            <w:shd w:val="clear" w:color="auto" w:fill="F2F2F2"/>
          </w:tcPr>
          <w:p>
            <w:pPr>
              <w:jc w:val="right"/>
              <w:ind w:right="179"/>
              <w:spacing w:after="0"/>
              <w:rPr>
                <w:sz w:val="20"/>
                <w:szCs w:val="20"/>
                <w:color w:val="auto"/>
              </w:rPr>
            </w:pPr>
            <w:r>
              <w:rPr>
                <w:rFonts w:ascii="Arial" w:cs="Arial" w:eastAsia="Arial" w:hAnsi="Arial"/>
                <w:sz w:val="16"/>
                <w:szCs w:val="16"/>
                <w:color w:val="auto"/>
              </w:rPr>
              <w:t>25,025,423</w:t>
            </w:r>
          </w:p>
        </w:tc>
        <w:tc>
          <w:tcPr>
            <w:tcW w:w="920" w:type="dxa"/>
            <w:vAlign w:val="bottom"/>
            <w:vMerge w:val="restart"/>
            <w:shd w:val="clear" w:color="auto" w:fill="F2F2F2"/>
          </w:tcPr>
          <w:p>
            <w:pPr>
              <w:jc w:val="right"/>
              <w:ind w:right="462"/>
              <w:spacing w:after="0"/>
              <w:rPr>
                <w:sz w:val="20"/>
                <w:szCs w:val="20"/>
                <w:color w:val="auto"/>
              </w:rPr>
            </w:pPr>
            <w:r>
              <w:rPr>
                <w:rFonts w:ascii="Arial" w:cs="Arial" w:eastAsia="Arial" w:hAnsi="Arial"/>
                <w:sz w:val="12"/>
                <w:szCs w:val="12"/>
                <w:color w:val="auto"/>
              </w:rPr>
              <w:t>(2)</w:t>
            </w:r>
          </w:p>
        </w:tc>
        <w:tc>
          <w:tcPr>
            <w:tcW w:w="1080" w:type="dxa"/>
            <w:vAlign w:val="bottom"/>
            <w:vMerge w:val="restart"/>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F2F2F2"/>
          </w:tcPr>
          <w:p>
            <w:pPr>
              <w:jc w:val="right"/>
              <w:ind w:right="442"/>
              <w:spacing w:after="0"/>
              <w:rPr>
                <w:sz w:val="20"/>
                <w:szCs w:val="20"/>
                <w:color w:val="auto"/>
              </w:rPr>
            </w:pPr>
            <w:r>
              <w:rPr>
                <w:rFonts w:ascii="Arial" w:cs="Arial" w:eastAsia="Arial" w:hAnsi="Arial"/>
                <w:sz w:val="12"/>
                <w:szCs w:val="12"/>
                <w:color w:val="auto"/>
              </w:rPr>
              <w:t>(3)</w:t>
            </w:r>
          </w:p>
        </w:tc>
        <w:tc>
          <w:tcPr>
            <w:tcW w:w="1820" w:type="dxa"/>
            <w:vAlign w:val="bottom"/>
            <w:vMerge w:val="restart"/>
            <w:shd w:val="clear" w:color="auto" w:fill="F2F2F2"/>
          </w:tcPr>
          <w:p>
            <w:pPr>
              <w:jc w:val="right"/>
              <w:ind w:right="339"/>
              <w:spacing w:after="0"/>
              <w:rPr>
                <w:sz w:val="20"/>
                <w:szCs w:val="20"/>
                <w:color w:val="auto"/>
              </w:rPr>
            </w:pPr>
            <w:r>
              <w:rPr>
                <w:rFonts w:ascii="Arial" w:cs="Arial" w:eastAsia="Arial" w:hAnsi="Arial"/>
                <w:sz w:val="16"/>
                <w:szCs w:val="16"/>
                <w:color w:val="auto"/>
              </w:rPr>
              <w:t>104,929,698</w:t>
            </w:r>
          </w:p>
        </w:tc>
        <w:tc>
          <w:tcPr>
            <w:tcW w:w="900" w:type="dxa"/>
            <w:vAlign w:val="bottom"/>
            <w:vMerge w:val="restart"/>
            <w:shd w:val="clear" w:color="auto" w:fill="F2F2F2"/>
          </w:tcPr>
          <w:p>
            <w:pPr>
              <w:jc w:val="right"/>
              <w:ind w:right="142"/>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61"/>
        </w:trPr>
        <w:tc>
          <w:tcPr>
            <w:tcW w:w="40" w:type="dxa"/>
            <w:vAlign w:val="bottom"/>
            <w:shd w:val="clear" w:color="auto" w:fill="F2F2F2"/>
          </w:tcPr>
          <w:p>
            <w:pPr>
              <w:spacing w:after="0"/>
              <w:rPr>
                <w:sz w:val="5"/>
                <w:szCs w:val="5"/>
                <w:color w:val="auto"/>
              </w:rPr>
            </w:pPr>
          </w:p>
        </w:tc>
        <w:tc>
          <w:tcPr>
            <w:tcW w:w="540" w:type="dxa"/>
            <w:vAlign w:val="bottom"/>
            <w:vMerge w:val="continue"/>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vMerge w:val="continue"/>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920" w:type="dxa"/>
            <w:vAlign w:val="bottom"/>
            <w:vMerge w:val="continue"/>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82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920" w:type="dxa"/>
            <w:vAlign w:val="bottom"/>
            <w:shd w:val="clear" w:color="auto" w:fill="F2F2F2"/>
          </w:tcPr>
          <w:p>
            <w:pPr>
              <w:spacing w:after="0"/>
              <w:rPr>
                <w:sz w:val="5"/>
                <w:szCs w:val="5"/>
                <w:color w:val="auto"/>
              </w:rPr>
            </w:pPr>
          </w:p>
        </w:tc>
        <w:tc>
          <w:tcPr>
            <w:tcW w:w="1080" w:type="dxa"/>
            <w:vAlign w:val="bottom"/>
            <w:vMerge w:val="continue"/>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1820" w:type="dxa"/>
            <w:vAlign w:val="bottom"/>
            <w:vMerge w:val="continue"/>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40" w:type="dxa"/>
            <w:vAlign w:val="bottom"/>
            <w:shd w:val="clear" w:color="auto" w:fill="F2F2F2"/>
          </w:tcPr>
          <w:p>
            <w:pPr>
              <w:spacing w:after="0"/>
              <w:rPr>
                <w:sz w:val="2"/>
                <w:szCs w:val="2"/>
                <w:color w:val="auto"/>
              </w:rPr>
            </w:pPr>
          </w:p>
        </w:tc>
        <w:tc>
          <w:tcPr>
            <w:tcW w:w="540" w:type="dxa"/>
            <w:vAlign w:val="bottom"/>
            <w:shd w:val="clear" w:color="auto" w:fill="F2F2F2"/>
          </w:tcPr>
          <w:p>
            <w:pPr>
              <w:spacing w:after="0"/>
              <w:rPr>
                <w:sz w:val="2"/>
                <w:szCs w:val="2"/>
                <w:color w:val="auto"/>
              </w:rPr>
            </w:pPr>
          </w:p>
        </w:tc>
        <w:tc>
          <w:tcPr>
            <w:tcW w:w="120" w:type="dxa"/>
            <w:vAlign w:val="bottom"/>
            <w:shd w:val="clear" w:color="auto" w:fill="F2F2F2"/>
          </w:tcPr>
          <w:p>
            <w:pPr>
              <w:spacing w:after="0"/>
              <w:rPr>
                <w:sz w:val="2"/>
                <w:szCs w:val="2"/>
                <w:color w:val="auto"/>
              </w:rPr>
            </w:pPr>
          </w:p>
        </w:tc>
        <w:tc>
          <w:tcPr>
            <w:tcW w:w="2820" w:type="dxa"/>
            <w:vAlign w:val="bottom"/>
            <w:shd w:val="clear" w:color="auto" w:fill="F2F2F2"/>
          </w:tcPr>
          <w:p>
            <w:pPr>
              <w:spacing w:after="0"/>
              <w:rPr>
                <w:sz w:val="2"/>
                <w:szCs w:val="2"/>
                <w:color w:val="auto"/>
              </w:rPr>
            </w:pPr>
          </w:p>
        </w:tc>
        <w:tc>
          <w:tcPr>
            <w:tcW w:w="1880" w:type="dxa"/>
            <w:vAlign w:val="bottom"/>
            <w:shd w:val="clear" w:color="auto" w:fill="F2F2F2"/>
          </w:tcPr>
          <w:p>
            <w:pPr>
              <w:spacing w:after="0"/>
              <w:rPr>
                <w:sz w:val="2"/>
                <w:szCs w:val="2"/>
                <w:color w:val="auto"/>
              </w:rPr>
            </w:pPr>
          </w:p>
        </w:tc>
        <w:tc>
          <w:tcPr>
            <w:tcW w:w="920" w:type="dxa"/>
            <w:vAlign w:val="bottom"/>
            <w:shd w:val="clear" w:color="auto" w:fill="F2F2F2"/>
          </w:tcPr>
          <w:p>
            <w:pPr>
              <w:spacing w:after="0"/>
              <w:rPr>
                <w:sz w:val="2"/>
                <w:szCs w:val="2"/>
                <w:color w:val="auto"/>
              </w:rPr>
            </w:pPr>
          </w:p>
        </w:tc>
        <w:tc>
          <w:tcPr>
            <w:tcW w:w="1080" w:type="dxa"/>
            <w:vAlign w:val="bottom"/>
            <w:shd w:val="clear" w:color="auto" w:fill="F2F2F2"/>
          </w:tcPr>
          <w:p>
            <w:pPr>
              <w:spacing w:after="0"/>
              <w:rPr>
                <w:sz w:val="2"/>
                <w:szCs w:val="2"/>
                <w:color w:val="auto"/>
              </w:rPr>
            </w:pPr>
          </w:p>
        </w:tc>
        <w:tc>
          <w:tcPr>
            <w:tcW w:w="1080" w:type="dxa"/>
            <w:vAlign w:val="bottom"/>
            <w:shd w:val="clear" w:color="auto" w:fill="F2F2F2"/>
          </w:tcPr>
          <w:p>
            <w:pPr>
              <w:spacing w:after="0"/>
              <w:rPr>
                <w:sz w:val="2"/>
                <w:szCs w:val="2"/>
                <w:color w:val="auto"/>
              </w:rPr>
            </w:pPr>
          </w:p>
        </w:tc>
        <w:tc>
          <w:tcPr>
            <w:tcW w:w="1820" w:type="dxa"/>
            <w:vAlign w:val="bottom"/>
            <w:shd w:val="clear" w:color="auto" w:fill="F2F2F2"/>
          </w:tcPr>
          <w:p>
            <w:pPr>
              <w:spacing w:after="0"/>
              <w:rPr>
                <w:sz w:val="2"/>
                <w:szCs w:val="2"/>
                <w:color w:val="auto"/>
              </w:rPr>
            </w:pPr>
          </w:p>
        </w:tc>
        <w:tc>
          <w:tcPr>
            <w:tcW w:w="9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540" w:hanging="332"/>
        <w:spacing w:after="0" w:line="213" w:lineRule="auto"/>
        <w:tabs>
          <w:tab w:leader="none" w:pos="333"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 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 and our 2017 Plan was terminated effective March 20, 2018.</w:t>
      </w:r>
    </w:p>
    <w:p>
      <w:pPr>
        <w:spacing w:after="0" w:line="1"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Includes 25,025,423 shares subject to RSUs and RSAs outstanding as of December 31, 2025 that were issued under the 2018 Plan.</w:t>
      </w:r>
    </w:p>
    <w:p>
      <w:pPr>
        <w:ind w:left="340" w:right="320" w:hanging="332"/>
        <w:spacing w:after="0" w:line="196" w:lineRule="auto"/>
        <w:tabs>
          <w:tab w:leader="none" w:pos="333"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RSUs and RSAs do not have an exercise price. As of December 31, 2025, the company did not have any outstanding options or warrants except as otherwise noted in footnote 5 below.</w:t>
      </w:r>
    </w:p>
    <w:p>
      <w:pPr>
        <w:ind w:left="320" w:hanging="312"/>
        <w:spacing w:after="0"/>
        <w:tabs>
          <w:tab w:leader="none" w:pos="320" w:val="left"/>
        </w:tabs>
        <w:numPr>
          <w:ilvl w:val="0"/>
          <w:numId w:val="92"/>
        </w:numPr>
        <w:rPr>
          <w:rFonts w:ascii="Arial" w:cs="Arial" w:eastAsia="Arial" w:hAnsi="Arial"/>
          <w:sz w:val="9"/>
          <w:szCs w:val="9"/>
          <w:color w:val="auto"/>
        </w:rPr>
      </w:pPr>
      <w:r>
        <w:rPr>
          <w:rFonts w:ascii="Arial" w:cs="Arial" w:eastAsia="Arial" w:hAnsi="Arial"/>
          <w:sz w:val="14"/>
          <w:szCs w:val="14"/>
          <w:color w:val="auto"/>
        </w:rPr>
        <w:t>As of December 31, 2025, an aggregate of 129,955,121 shares of Class A common stock were available for issuance under our 2018 Plan.</w:t>
      </w:r>
    </w:p>
    <w:p>
      <w:pPr>
        <w:spacing w:after="0" w:line="1" w:lineRule="exact"/>
        <w:rPr>
          <w:rFonts w:ascii="Arial" w:cs="Arial" w:eastAsia="Arial" w:hAnsi="Arial"/>
          <w:sz w:val="9"/>
          <w:szCs w:val="9"/>
          <w:color w:val="auto"/>
        </w:rPr>
      </w:pPr>
    </w:p>
    <w:p>
      <w:pPr>
        <w:ind w:left="340" w:right="80" w:hanging="332"/>
        <w:spacing w:after="0" w:line="252" w:lineRule="auto"/>
        <w:tabs>
          <w:tab w:leader="none" w:pos="333" w:val="left"/>
        </w:tabs>
        <w:numPr>
          <w:ilvl w:val="0"/>
          <w:numId w:val="92"/>
        </w:numPr>
        <w:rPr>
          <w:rFonts w:ascii="Arial" w:cs="Arial" w:eastAsia="Arial" w:hAnsi="Arial"/>
          <w:sz w:val="9"/>
          <w:szCs w:val="9"/>
          <w:color w:val="auto"/>
        </w:rPr>
      </w:pPr>
      <w:r>
        <w:rPr>
          <w:rFonts w:ascii="Arial" w:cs="Arial" w:eastAsia="Arial" w:hAnsi="Arial"/>
          <w:sz w:val="14"/>
          <w:szCs w:val="14"/>
          <w:color w:val="auto"/>
        </w:rPr>
        <w:t>This table does not include equity awards that have been assumed by the company in connection with the acquisition of other companies. As of December 31, 2025, the following assumed equity awards were outstanding: 3,672 shares issuable upon exercise of outstanding options. The weighted average exercise price of such outstanding options was $5.70 per share. No additional equity awards may be granted under any assumed arrangement.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1740"/>
        <w:spacing w:after="0" w:line="268" w:lineRule="auto"/>
        <w:rPr>
          <w:sz w:val="20"/>
          <w:szCs w:val="20"/>
          <w:color w:val="auto"/>
        </w:rPr>
      </w:pPr>
      <w:r>
        <w:rPr>
          <w:rFonts w:ascii="Arial" w:cs="Arial" w:eastAsia="Arial" w:hAnsi="Arial"/>
          <w:sz w:val="31"/>
          <w:szCs w:val="31"/>
          <w:color w:val="0063A6"/>
        </w:rPr>
        <w:t>SECURITY OWNERSHIP OF CERTAIN BENEFICIAL OWNERS AND MANAGEMENT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31, 2026 for:</w:t>
      </w:r>
    </w:p>
    <w:p>
      <w:pPr>
        <w:spacing w:after="0" w:line="167"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all of our current directors and executive officers as a group;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3"/>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5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based our calculation of the percentage of beneficial ownership on 163,263,829 shares of our Class A common stock, 75,374,718 shares of our Class B common stock, and no shares of our Class C common stock outstanding as of March 31, 2026. We have deemed shares of our common stock subject to stock options that are currently exercisable or exercisable within 60 days of March 31, 2026 or issuable pursuant to RSUs which are subject to vesting and settlement conditions expected to occur within 60 days of March 31,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8"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31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420" w:type="dxa"/>
            <w:vAlign w:val="bottom"/>
            <w:shd w:val="clear" w:color="auto" w:fill="0063A6"/>
          </w:tcPr>
          <w:p>
            <w:pPr>
              <w:spacing w:after="0"/>
              <w:rPr>
                <w:sz w:val="24"/>
                <w:szCs w:val="24"/>
                <w:color w:val="auto"/>
              </w:rPr>
            </w:pPr>
          </w:p>
        </w:tc>
        <w:tc>
          <w:tcPr>
            <w:tcW w:w="4440" w:type="dxa"/>
            <w:vAlign w:val="bottom"/>
            <w:gridSpan w:val="3"/>
            <w:shd w:val="clear" w:color="auto" w:fill="0063A6"/>
          </w:tcPr>
          <w:p>
            <w:pPr>
              <w:ind w:left="1260"/>
              <w:spacing w:after="0"/>
              <w:rPr>
                <w:sz w:val="20"/>
                <w:szCs w:val="20"/>
                <w:color w:val="auto"/>
              </w:rPr>
            </w:pPr>
            <w:r>
              <w:rPr>
                <w:rFonts w:ascii="Arial" w:cs="Arial" w:eastAsia="Arial" w:hAnsi="Arial"/>
                <w:sz w:val="14"/>
                <w:szCs w:val="14"/>
                <w:b w:val="1"/>
                <w:bCs w:val="1"/>
                <w:color w:val="FFFFFF"/>
              </w:rPr>
              <w:t>Amount and nature of beneficial ownership</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420" w:type="dxa"/>
            <w:vAlign w:val="bottom"/>
            <w:shd w:val="clear" w:color="auto" w:fill="0063A6"/>
          </w:tcPr>
          <w:p>
            <w:pPr>
              <w:spacing w:after="0"/>
              <w:rPr>
                <w:sz w:val="24"/>
                <w:szCs w:val="24"/>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1020" w:type="dxa"/>
            <w:vAlign w:val="bottom"/>
            <w:shd w:val="clear" w:color="auto" w:fill="0063A6"/>
          </w:tcPr>
          <w:p>
            <w:pPr>
              <w:spacing w:after="0"/>
              <w:rPr>
                <w:sz w:val="24"/>
                <w:szCs w:val="24"/>
                <w:color w:val="auto"/>
              </w:rPr>
            </w:pPr>
          </w:p>
        </w:tc>
        <w:tc>
          <w:tcPr>
            <w:tcW w:w="1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235"/>
        </w:trPr>
        <w:tc>
          <w:tcPr>
            <w:tcW w:w="442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72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rPr>
              <w:t>Common Stock</w:t>
            </w:r>
            <w:r>
              <w:rPr>
                <w:rFonts w:ascii="Arial" w:cs="Arial" w:eastAsia="Arial" w:hAnsi="Arial"/>
                <w:sz w:val="18"/>
                <w:szCs w:val="18"/>
                <w:b w:val="1"/>
                <w:bCs w:val="1"/>
                <w:color w:val="FFFFFF"/>
                <w:vertAlign w:val="superscript"/>
              </w:rPr>
              <w:t>†</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c>
          <w:tcPr>
            <w:tcW w:w="0" w:type="dxa"/>
            <w:vAlign w:val="bottom"/>
          </w:tcPr>
          <w:p>
            <w:pPr>
              <w:spacing w:after="0"/>
              <w:rPr>
                <w:sz w:val="1"/>
                <w:szCs w:val="1"/>
                <w:color w:val="auto"/>
              </w:rPr>
            </w:pPr>
          </w:p>
        </w:tc>
      </w:tr>
      <w:tr>
        <w:trPr>
          <w:trHeight w:val="330"/>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70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20" w:type="dxa"/>
            <w:vAlign w:val="bottom"/>
            <w:shd w:val="clear" w:color="auto" w:fill="F2F2F2"/>
          </w:tcPr>
          <w:p>
            <w:pPr>
              <w:spacing w:after="0"/>
              <w:rPr>
                <w:sz w:val="7"/>
                <w:szCs w:val="7"/>
                <w:color w:val="auto"/>
              </w:rPr>
            </w:pPr>
          </w:p>
        </w:tc>
        <w:tc>
          <w:tcPr>
            <w:tcW w:w="170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72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3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4420" w:type="dxa"/>
            <w:vAlign w:val="bottom"/>
          </w:tcPr>
          <w:p>
            <w:pPr>
              <w:ind w:left="20"/>
              <w:spacing w:after="0"/>
              <w:rPr>
                <w:sz w:val="20"/>
                <w:szCs w:val="20"/>
                <w:color w:val="auto"/>
              </w:rPr>
            </w:pPr>
            <w:r>
              <w:rPr>
                <w:rFonts w:ascii="Arial" w:cs="Arial" w:eastAsia="Arial" w:hAnsi="Arial"/>
                <w:sz w:val="16"/>
                <w:szCs w:val="16"/>
                <w:color w:val="auto"/>
              </w:rPr>
              <w:t>Andrew W. Houston</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9,427,838</w:t>
            </w:r>
          </w:p>
        </w:tc>
        <w:tc>
          <w:tcPr>
            <w:tcW w:w="1020" w:type="dxa"/>
            <w:vAlign w:val="bottom"/>
          </w:tcPr>
          <w:p>
            <w:pPr>
              <w:jc w:val="center"/>
              <w:spacing w:after="0"/>
              <w:rPr>
                <w:sz w:val="20"/>
                <w:szCs w:val="20"/>
                <w:color w:val="auto"/>
              </w:rPr>
            </w:pPr>
            <w:r>
              <w:rPr>
                <w:rFonts w:ascii="Arial" w:cs="Arial" w:eastAsia="Arial" w:hAnsi="Arial"/>
                <w:sz w:val="16"/>
                <w:szCs w:val="16"/>
                <w:color w:val="auto"/>
              </w:rPr>
              <w:t>5.77</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74,616,889</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98.99</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82.40</w:t>
            </w: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Ross Tennenbaum</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36,406</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1700" w:type="dxa"/>
            <w:vAlign w:val="bottom"/>
          </w:tcPr>
          <w:p>
            <w:pPr>
              <w:jc w:val="center"/>
              <w:spacing w:after="0"/>
              <w:rPr>
                <w:sz w:val="20"/>
                <w:szCs w:val="20"/>
                <w:color w:val="auto"/>
              </w:rPr>
            </w:pPr>
            <w:r>
              <w:rPr>
                <w:rFonts w:ascii="Arial" w:cs="Arial" w:eastAsia="Arial" w:hAnsi="Arial"/>
                <w:sz w:val="16"/>
                <w:szCs w:val="16"/>
                <w:color w:val="auto"/>
              </w:rPr>
              <w:t>92,067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William Yoon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13,460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Ashraf Alkarmi</w:t>
            </w:r>
          </w:p>
        </w:tc>
        <w:tc>
          <w:tcPr>
            <w:tcW w:w="1700" w:type="dxa"/>
            <w:vAlign w:val="bottom"/>
          </w:tcPr>
          <w:p>
            <w:pPr>
              <w:jc w:val="center"/>
              <w:spacing w:after="0"/>
              <w:rPr>
                <w:sz w:val="20"/>
                <w:szCs w:val="20"/>
                <w:color w:val="auto"/>
              </w:rPr>
            </w:pPr>
            <w:r>
              <w:rPr>
                <w:rFonts w:ascii="Arial" w:cs="Arial" w:eastAsia="Arial" w:hAnsi="Arial"/>
                <w:sz w:val="16"/>
                <w:szCs w:val="16"/>
                <w:color w:val="auto"/>
              </w:rPr>
              <w:t>44,830</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Ali Dasdan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41,684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Lisa Campbell</w:t>
            </w:r>
          </w:p>
        </w:tc>
        <w:tc>
          <w:tcPr>
            <w:tcW w:w="1700" w:type="dxa"/>
            <w:vAlign w:val="bottom"/>
          </w:tcPr>
          <w:p>
            <w:pPr>
              <w:jc w:val="center"/>
              <w:spacing w:after="0"/>
              <w:rPr>
                <w:sz w:val="20"/>
                <w:szCs w:val="20"/>
                <w:color w:val="auto"/>
              </w:rPr>
            </w:pPr>
            <w:r>
              <w:rPr>
                <w:rFonts w:ascii="Arial" w:cs="Arial" w:eastAsia="Arial" w:hAnsi="Arial"/>
                <w:sz w:val="16"/>
                <w:szCs w:val="16"/>
                <w:color w:val="auto"/>
              </w:rPr>
              <w:t>10,777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Paul E. Jacobs</w:t>
            </w:r>
            <w:r>
              <w:rPr>
                <w:rFonts w:ascii="Arial" w:cs="Arial" w:eastAsia="Arial" w:hAnsi="Arial"/>
                <w:sz w:val="21"/>
                <w:szCs w:val="21"/>
                <w:color w:val="auto"/>
                <w:vertAlign w:val="superscript"/>
              </w:rPr>
              <w:t>(2)</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313,459</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Karen Peacock</w:t>
            </w:r>
          </w:p>
        </w:tc>
        <w:tc>
          <w:tcPr>
            <w:tcW w:w="1700" w:type="dxa"/>
            <w:vAlign w:val="bottom"/>
          </w:tcPr>
          <w:p>
            <w:pPr>
              <w:jc w:val="center"/>
              <w:spacing w:after="0"/>
              <w:rPr>
                <w:sz w:val="20"/>
                <w:szCs w:val="20"/>
                <w:color w:val="auto"/>
              </w:rPr>
            </w:pPr>
            <w:r>
              <w:rPr>
                <w:rFonts w:ascii="Arial" w:cs="Arial" w:eastAsia="Arial" w:hAnsi="Arial"/>
                <w:sz w:val="16"/>
                <w:szCs w:val="16"/>
                <w:color w:val="auto"/>
              </w:rPr>
              <w:t>12,852</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Michael Seibel</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22,775</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1700" w:type="dxa"/>
            <w:vAlign w:val="bottom"/>
          </w:tcPr>
          <w:p>
            <w:pPr>
              <w:jc w:val="center"/>
              <w:spacing w:after="0"/>
              <w:rPr>
                <w:sz w:val="20"/>
                <w:szCs w:val="20"/>
                <w:color w:val="auto"/>
              </w:rPr>
            </w:pPr>
            <w:r>
              <w:rPr>
                <w:rFonts w:ascii="Arial" w:cs="Arial" w:eastAsia="Arial" w:hAnsi="Arial"/>
                <w:sz w:val="16"/>
                <w:szCs w:val="16"/>
                <w:color w:val="auto"/>
              </w:rPr>
              <w:t>30,297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Warren Jenson</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2,739</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All current directors and executive officers as a group (14</w:t>
            </w:r>
          </w:p>
        </w:tc>
        <w:tc>
          <w:tcPr>
            <w:tcW w:w="17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10,049,184</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6.16</w:t>
            </w:r>
          </w:p>
        </w:tc>
        <w:tc>
          <w:tcPr>
            <w:tcW w:w="17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74,616,889</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98.99</w:t>
            </w: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82.47</w:t>
            </w:r>
          </w:p>
        </w:tc>
        <w:tc>
          <w:tcPr>
            <w:tcW w:w="0" w:type="dxa"/>
            <w:vAlign w:val="bottom"/>
          </w:tcPr>
          <w:p>
            <w:pPr>
              <w:spacing w:after="0"/>
              <w:rPr>
                <w:sz w:val="1"/>
                <w:szCs w:val="1"/>
                <w:color w:val="auto"/>
              </w:rPr>
            </w:pPr>
          </w:p>
        </w:tc>
      </w:tr>
      <w:tr>
        <w:trPr>
          <w:trHeight w:val="230"/>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persons)</w:t>
            </w:r>
          </w:p>
        </w:tc>
        <w:tc>
          <w:tcPr>
            <w:tcW w:w="1700" w:type="dxa"/>
            <w:vAlign w:val="bottom"/>
            <w:vMerge w:val="continue"/>
            <w:shd w:val="clear" w:color="auto" w:fill="F2F2F2"/>
          </w:tcPr>
          <w:p>
            <w:pPr>
              <w:spacing w:after="0"/>
              <w:rPr>
                <w:sz w:val="20"/>
                <w:szCs w:val="20"/>
                <w:color w:val="auto"/>
              </w:rPr>
            </w:pPr>
          </w:p>
        </w:tc>
        <w:tc>
          <w:tcPr>
            <w:tcW w:w="1020" w:type="dxa"/>
            <w:vAlign w:val="bottom"/>
            <w:vMerge w:val="continue"/>
            <w:shd w:val="clear" w:color="auto" w:fill="F2F2F2"/>
          </w:tcPr>
          <w:p>
            <w:pPr>
              <w:spacing w:after="0"/>
              <w:rPr>
                <w:sz w:val="20"/>
                <w:szCs w:val="20"/>
                <w:color w:val="auto"/>
              </w:rPr>
            </w:pPr>
          </w:p>
        </w:tc>
        <w:tc>
          <w:tcPr>
            <w:tcW w:w="1720" w:type="dxa"/>
            <w:vAlign w:val="bottom"/>
            <w:vMerge w:val="continue"/>
            <w:shd w:val="clear" w:color="auto" w:fill="F2F2F2"/>
          </w:tcPr>
          <w:p>
            <w:pPr>
              <w:spacing w:after="0"/>
              <w:rPr>
                <w:sz w:val="20"/>
                <w:szCs w:val="20"/>
                <w:color w:val="auto"/>
              </w:rPr>
            </w:pPr>
          </w:p>
        </w:tc>
        <w:tc>
          <w:tcPr>
            <w:tcW w:w="1020" w:type="dxa"/>
            <w:vAlign w:val="bottom"/>
            <w:vMerge w:val="continue"/>
            <w:shd w:val="clear" w:color="auto" w:fill="F2F2F2"/>
          </w:tcPr>
          <w:p>
            <w:pPr>
              <w:spacing w:after="0"/>
              <w:rPr>
                <w:sz w:val="20"/>
                <w:szCs w:val="20"/>
                <w:color w:val="auto"/>
              </w:rPr>
            </w:pPr>
          </w:p>
        </w:tc>
        <w:tc>
          <w:tcPr>
            <w:tcW w:w="1360" w:type="dxa"/>
            <w:vAlign w:val="bottom"/>
            <w:vMerge w:val="continue"/>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-264795</wp:posOffset>
            </wp:positionV>
            <wp:extent cx="17145" cy="265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-264795</wp:posOffset>
            </wp:positionV>
            <wp:extent cx="17145" cy="265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-264795</wp:posOffset>
            </wp:positionV>
            <wp:extent cx="17145" cy="265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-264795</wp:posOffset>
            </wp:positionV>
            <wp:extent cx="17145" cy="265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-264795</wp:posOffset>
            </wp:positionV>
            <wp:extent cx="17145" cy="265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-573405</wp:posOffset>
            </wp:positionV>
            <wp:extent cx="1714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714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-573405</wp:posOffset>
            </wp:positionV>
            <wp:extent cx="17145"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-573405</wp:posOffset>
            </wp:positionV>
            <wp:extent cx="1714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-573405</wp:posOffset>
            </wp:positionV>
            <wp:extent cx="1714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1714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-882015</wp:posOffset>
            </wp:positionV>
            <wp:extent cx="1714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-882015</wp:posOffset>
            </wp:positionV>
            <wp:extent cx="1714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-882015</wp:posOffset>
            </wp:positionV>
            <wp:extent cx="1714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-882015</wp:posOffset>
            </wp:positionV>
            <wp:extent cx="1714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-1190625</wp:posOffset>
            </wp:positionV>
            <wp:extent cx="1714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-1190625</wp:posOffset>
            </wp:positionV>
            <wp:extent cx="1714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-1190625</wp:posOffset>
            </wp:positionV>
            <wp:extent cx="1714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-1190625</wp:posOffset>
            </wp:positionV>
            <wp:extent cx="1714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-1190625</wp:posOffset>
            </wp:positionV>
            <wp:extent cx="1714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-1499235</wp:posOffset>
            </wp:positionV>
            <wp:extent cx="1714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-1499235</wp:posOffset>
            </wp:positionV>
            <wp:extent cx="1714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-1499235</wp:posOffset>
            </wp:positionV>
            <wp:extent cx="1714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-1499235</wp:posOffset>
            </wp:positionV>
            <wp:extent cx="1714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-1499235</wp:posOffset>
            </wp:positionV>
            <wp:extent cx="1714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-1807845</wp:posOffset>
            </wp:positionV>
            <wp:extent cx="1714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-1807845</wp:posOffset>
            </wp:positionV>
            <wp:extent cx="1714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-1807845</wp:posOffset>
            </wp:positionV>
            <wp:extent cx="1714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-1807845</wp:posOffset>
            </wp:positionV>
            <wp:extent cx="1714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-1807845</wp:posOffset>
            </wp:positionV>
            <wp:extent cx="1714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-2116455</wp:posOffset>
            </wp:positionV>
            <wp:extent cx="1714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-2116455</wp:posOffset>
            </wp:positionV>
            <wp:extent cx="1714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-2116455</wp:posOffset>
            </wp:positionV>
            <wp:extent cx="1714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-2116455</wp:posOffset>
            </wp:positionV>
            <wp:extent cx="1714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-2116455</wp:posOffset>
            </wp:positionV>
            <wp:extent cx="1714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0" w:lineRule="exact"/>
        <w:rPr>
          <w:sz w:val="20"/>
          <w:szCs w:val="20"/>
          <w:color w:val="auto"/>
        </w:rPr>
      </w:pPr>
    </w:p>
    <w:p>
      <w:pPr>
        <w:spacing w:after="0" w:line="347" w:lineRule="exact"/>
        <w:rPr>
          <w:sz w:val="20"/>
          <w:szCs w:val="20"/>
          <w:color w:val="auto"/>
        </w:rPr>
      </w:pPr>
    </w:p>
    <w:p>
      <w:pPr>
        <w:ind w:left="580" w:hanging="554"/>
        <w:spacing w:after="0"/>
        <w:tabs>
          <w:tab w:leader="none" w:pos="58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1740"/>
        <w:spacing w:after="0" w:line="259" w:lineRule="auto"/>
        <w:rPr>
          <w:sz w:val="20"/>
          <w:szCs w:val="20"/>
          <w:color w:val="auto"/>
        </w:rPr>
      </w:pPr>
      <w:r>
        <w:rPr>
          <w:rFonts w:ascii="Arial" w:cs="Arial" w:eastAsia="Arial" w:hAnsi="Arial"/>
          <w:sz w:val="31"/>
          <w:szCs w:val="31"/>
          <w:color w:val="0063A6"/>
        </w:rPr>
        <w:t>SECURITY OWNERSHIP OF CERTAIN BENEFICIAL OWNERS AND MANAGEMENT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-10160</wp:posOffset>
            </wp:positionV>
            <wp:extent cx="3188970" cy="1543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88970" cy="1543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8"/>
        </w:trPr>
        <w:tc>
          <w:tcPr>
            <w:tcW w:w="4880" w:type="dxa"/>
            <w:vAlign w:val="bottom"/>
            <w:shd w:val="clear" w:color="auto" w:fill="0063A6"/>
          </w:tcPr>
          <w:p>
            <w:pPr>
              <w:spacing w:after="0"/>
              <w:rPr>
                <w:sz w:val="24"/>
                <w:szCs w:val="24"/>
                <w:color w:val="auto"/>
              </w:rPr>
            </w:pPr>
          </w:p>
        </w:tc>
        <w:tc>
          <w:tcPr>
            <w:tcW w:w="4100" w:type="dxa"/>
            <w:vAlign w:val="bottom"/>
            <w:gridSpan w:val="3"/>
            <w:shd w:val="clear" w:color="auto" w:fill="0063A6"/>
          </w:tcPr>
          <w:p>
            <w:pPr>
              <w:ind w:left="1020"/>
              <w:spacing w:after="0"/>
              <w:rPr>
                <w:sz w:val="20"/>
                <w:szCs w:val="20"/>
                <w:color w:val="auto"/>
              </w:rPr>
            </w:pPr>
            <w:r>
              <w:rPr>
                <w:rFonts w:ascii="Arial" w:cs="Arial" w:eastAsia="Arial" w:hAnsi="Arial"/>
                <w:sz w:val="14"/>
                <w:szCs w:val="14"/>
                <w:b w:val="1"/>
                <w:bCs w:val="1"/>
                <w:color w:val="FFFFFF"/>
              </w:rPr>
              <w:t>Amount and nature of beneficial ownership</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r>
      <w:tr>
        <w:trPr>
          <w:trHeight w:val="328"/>
        </w:trPr>
        <w:tc>
          <w:tcPr>
            <w:tcW w:w="488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90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r>
      <w:tr>
        <w:trPr>
          <w:trHeight w:val="235"/>
        </w:trPr>
        <w:tc>
          <w:tcPr>
            <w:tcW w:w="48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rPr>
              <w:t>Common Stock</w:t>
            </w:r>
            <w:r>
              <w:rPr>
                <w:rFonts w:ascii="Arial" w:cs="Arial" w:eastAsia="Arial" w:hAnsi="Arial"/>
                <w:sz w:val="18"/>
                <w:szCs w:val="18"/>
                <w:b w:val="1"/>
                <w:bCs w:val="1"/>
                <w:color w:val="FFFFFF"/>
                <w:vertAlign w:val="superscript"/>
              </w:rPr>
              <w:t>†</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r>
      <w:tr>
        <w:trPr>
          <w:trHeight w:val="223"/>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Greater than 5% stockholders</w:t>
            </w: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360" w:type="dxa"/>
            <w:vAlign w:val="bottom"/>
            <w:tcBorders>
              <w:bottom w:val="single" w:sz="8" w:color="F2F2F2"/>
            </w:tcBorders>
            <w:shd w:val="clear" w:color="auto" w:fill="F2F2F2"/>
          </w:tcPr>
          <w:p>
            <w:pPr>
              <w:spacing w:after="0"/>
              <w:rPr>
                <w:sz w:val="19"/>
                <w:szCs w:val="19"/>
                <w:color w:val="auto"/>
              </w:rPr>
            </w:pPr>
          </w:p>
        </w:tc>
      </w:tr>
      <w:tr>
        <w:trPr>
          <w:trHeight w:val="379"/>
        </w:trPr>
        <w:tc>
          <w:tcPr>
            <w:tcW w:w="4880" w:type="dxa"/>
            <w:vAlign w:val="bottom"/>
          </w:tcPr>
          <w:p>
            <w:pPr>
              <w:ind w:left="60"/>
              <w:spacing w:after="0"/>
              <w:rPr>
                <w:sz w:val="20"/>
                <w:szCs w:val="20"/>
                <w:color w:val="auto"/>
              </w:rPr>
            </w:pPr>
            <w:r>
              <w:rPr>
                <w:rFonts w:ascii="Arial" w:cs="Arial" w:eastAsia="Arial" w:hAnsi="Arial"/>
                <w:sz w:val="16"/>
                <w:szCs w:val="16"/>
                <w:color w:val="auto"/>
              </w:rPr>
              <w:t>Entities affiliated with The Vanguard Group</w:t>
            </w:r>
            <w:r>
              <w:rPr>
                <w:rFonts w:ascii="Arial" w:cs="Arial" w:eastAsia="Arial" w:hAnsi="Arial"/>
                <w:sz w:val="21"/>
                <w:szCs w:val="21"/>
                <w:color w:val="auto"/>
                <w:vertAlign w:val="superscript"/>
              </w:rPr>
              <w:t>(3)</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27,494,824</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16.84</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3.00</w:t>
            </w:r>
          </w:p>
        </w:tc>
      </w:tr>
      <w:tr>
        <w:trPr>
          <w:trHeight w:val="26"/>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85"/>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1"/>
                <w:szCs w:val="21"/>
                <w:color w:val="auto"/>
                <w:vertAlign w:val="superscript"/>
              </w:rPr>
              <w:t>(4)</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21,859,416</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13.39</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2.38</w:t>
            </w:r>
          </w:p>
        </w:tc>
      </w:tr>
      <w:tr>
        <w:trPr>
          <w:trHeight w:val="243"/>
        </w:trPr>
        <w:tc>
          <w:tcPr>
            <w:tcW w:w="4880" w:type="dxa"/>
            <w:vAlign w:val="bottom"/>
          </w:tcPr>
          <w:p>
            <w:pPr>
              <w:ind w:left="60"/>
              <w:spacing w:after="0"/>
              <w:rPr>
                <w:sz w:val="20"/>
                <w:szCs w:val="20"/>
                <w:color w:val="auto"/>
              </w:rPr>
            </w:pPr>
            <w:r>
              <w:rPr>
                <w:rFonts w:ascii="Arial" w:cs="Arial" w:eastAsia="Arial" w:hAnsi="Arial"/>
                <w:sz w:val="16"/>
                <w:szCs w:val="16"/>
                <w:color w:val="auto"/>
              </w:rPr>
              <w:t>LSV Asset Management</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11,613,642</w:t>
            </w:r>
          </w:p>
        </w:tc>
        <w:tc>
          <w:tcPr>
            <w:tcW w:w="900" w:type="dxa"/>
            <w:vAlign w:val="bottom"/>
          </w:tcPr>
          <w:p>
            <w:pPr>
              <w:jc w:val="center"/>
              <w:spacing w:after="0"/>
              <w:rPr>
                <w:sz w:val="20"/>
                <w:szCs w:val="20"/>
                <w:color w:val="auto"/>
              </w:rPr>
            </w:pPr>
            <w:r>
              <w:rPr>
                <w:rFonts w:ascii="Arial" w:cs="Arial" w:eastAsia="Arial" w:hAnsi="Arial"/>
                <w:sz w:val="16"/>
                <w:szCs w:val="16"/>
                <w:color w:val="auto"/>
              </w:rPr>
              <w:t>7.11</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1.27</w:t>
            </w:r>
          </w:p>
        </w:tc>
      </w:tr>
      <w:tr>
        <w:trPr>
          <w:trHeight w:val="243"/>
        </w:trPr>
        <w:tc>
          <w:tcPr>
            <w:tcW w:w="4880" w:type="dxa"/>
            <w:vAlign w:val="bottom"/>
            <w:shd w:val="clear" w:color="auto" w:fill="F2F2F2"/>
          </w:tcPr>
          <w:p>
            <w:pPr>
              <w:ind w:left="60"/>
              <w:spacing w:after="0"/>
              <w:rPr>
                <w:sz w:val="20"/>
                <w:szCs w:val="20"/>
                <w:color w:val="auto"/>
              </w:rPr>
            </w:pPr>
            <w:r>
              <w:rPr>
                <w:rFonts w:ascii="Arial" w:cs="Arial" w:eastAsia="Arial" w:hAnsi="Arial"/>
                <w:sz w:val="16"/>
                <w:szCs w:val="16"/>
                <w:color w:val="auto"/>
              </w:rPr>
              <w:t>Renaissance Technologies LLC</w:t>
            </w:r>
            <w:r>
              <w:rPr>
                <w:rFonts w:ascii="Arial" w:cs="Arial" w:eastAsia="Arial" w:hAnsi="Arial"/>
                <w:sz w:val="21"/>
                <w:szCs w:val="21"/>
                <w:color w:val="auto"/>
                <w:vertAlign w:val="superscript"/>
              </w:rPr>
              <w:t>(6)</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8,376,364</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5.13</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0.91</w:t>
            </w:r>
          </w:p>
        </w:tc>
      </w:tr>
    </w:tbl>
    <w:p>
      <w:pPr>
        <w:spacing w:after="0" w:line="99" w:lineRule="exact"/>
        <w:rPr>
          <w:sz w:val="20"/>
          <w:szCs w:val="20"/>
          <w:color w:val="auto"/>
        </w:rPr>
      </w:pPr>
    </w:p>
    <w:p>
      <w:pPr>
        <w:ind w:left="340" w:right="380" w:hanging="332"/>
        <w:spacing w:after="0" w:line="272" w:lineRule="auto"/>
        <w:tabs>
          <w:tab w:leader="none" w:pos="339"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340" w:right="140" w:hanging="332"/>
        <w:spacing w:after="0" w:line="251" w:lineRule="auto"/>
        <w:tabs>
          <w:tab w:leader="none" w:pos="3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283" w:lineRule="exact"/>
        <w:rPr>
          <w:sz w:val="20"/>
          <w:szCs w:val="20"/>
          <w:color w:val="auto"/>
        </w:rPr>
      </w:pPr>
    </w:p>
    <w:p>
      <w:pPr>
        <w:ind w:left="340" w:right="20" w:hanging="332"/>
        <w:spacing w:after="0" w:line="236"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(i) 716,728 shares of Class A Common Stock and 7,608,764 shares of Class B Common Stock held by the Houston Remainder Trust u/a/ 12/30/2010, for which Mr. Houston serves as trustee, (ii) 66,507,625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spacing w:after="0" w:line="2" w:lineRule="exact"/>
        <w:rPr>
          <w:rFonts w:ascii="Arial" w:cs="Arial" w:eastAsia="Arial" w:hAnsi="Arial"/>
          <w:sz w:val="19"/>
          <w:szCs w:val="19"/>
          <w:color w:val="auto"/>
          <w:vertAlign w:val="superscript"/>
        </w:rPr>
      </w:pPr>
    </w:p>
    <w:p>
      <w:pPr>
        <w:ind w:left="340" w:right="20" w:hanging="332"/>
        <w:spacing w:after="0" w:line="213"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(i) 178,058 shares of Class A common stock held by the Paul E. Jacobs Trust dated November 7, 2014, for which Dr. Jacobs serves as trustee, and (ii) 135,401 shares of Class A common stock held by Dr. Jacobs.</w:t>
      </w:r>
    </w:p>
    <w:p>
      <w:pPr>
        <w:spacing w:after="0" w:line="1" w:lineRule="exact"/>
        <w:rPr>
          <w:rFonts w:ascii="Arial" w:cs="Arial" w:eastAsia="Arial" w:hAnsi="Arial"/>
          <w:sz w:val="19"/>
          <w:szCs w:val="19"/>
          <w:color w:val="auto"/>
          <w:vertAlign w:val="superscript"/>
        </w:rPr>
      </w:pPr>
    </w:p>
    <w:p>
      <w:pPr>
        <w:ind w:left="340" w:right="100" w:hanging="332"/>
        <w:spacing w:after="0"/>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2024 according to a Schedule 13G/A filed with the SEC by 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on January 30, 2025. Vanguard has beneficial ownership of 27,494,824 shares of Class A common stock. The Schedule 13G/A reports that Vanguard has shared voting power with respect to 120,622 shares of Class A common stock, sole dispositive power with respect to 27,094,978 shares of Class A common stock and shared dispositive power over 399,846 shares of Class A common stock. On March 26, 2026, Vanguard filed a Schedule 13G/A reporting that Vanguard went through an internal realignment whereby certain subsidiaries or business divisions of subsidiaries of Vanguard that formerly had, or were deemed to have beneficial ownership with Vanguard will report beneficial ownership separately (on a disaggregated basis) from Vanguard. Vanguard reported that it no longer has, or is deemed to have, beneficial ownership over securities beneficially owned by such subsidiaries and/or business divisions and, as of March 31, 2026, such entities have not filed beneficial ownership reports with respect to the company's securities. The address for Vanguard is 100 Vanguard Blvd., Malvern, PA 19355.</w:t>
      </w:r>
    </w:p>
    <w:p>
      <w:pPr>
        <w:spacing w:after="0" w:line="4" w:lineRule="exact"/>
        <w:rPr>
          <w:rFonts w:ascii="Arial" w:cs="Arial" w:eastAsia="Arial" w:hAnsi="Arial"/>
          <w:sz w:val="19"/>
          <w:szCs w:val="19"/>
          <w:color w:val="auto"/>
          <w:vertAlign w:val="superscript"/>
        </w:rPr>
      </w:pPr>
    </w:p>
    <w:p>
      <w:pPr>
        <w:ind w:left="340" w:right="60" w:hanging="332"/>
        <w:spacing w:after="0" w:line="227"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March 31, 2025 according to a Schedule 13G/A filed with the SEC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on April 23, 2025. BlackRock has beneficial ownership of 21,859,416 shares of Class A common stock. The address for BlackRock is 50 Hudson Yards, New York, New York 10001.</w:t>
      </w:r>
    </w:p>
    <w:p>
      <w:pPr>
        <w:spacing w:after="0" w:line="1" w:lineRule="exact"/>
        <w:rPr>
          <w:rFonts w:ascii="Arial" w:cs="Arial" w:eastAsia="Arial" w:hAnsi="Arial"/>
          <w:sz w:val="19"/>
          <w:szCs w:val="19"/>
          <w:color w:val="auto"/>
          <w:vertAlign w:val="superscript"/>
        </w:rPr>
      </w:pPr>
    </w:p>
    <w:p>
      <w:pPr>
        <w:ind w:left="340" w:right="100" w:hanging="332"/>
        <w:spacing w:after="0" w:line="227"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September 30, 2025 according to a Schedule 13G filed with the SEC by LSV Asset Management on November 7, 2025. LSV Asset Management has beneficial ownership of 11,613,642 shares of Class A common stock. The address for LSV Asset Management is 155 North Wacker Drive, Suite 4600 Chicago, Illinois 60606.</w:t>
      </w:r>
    </w:p>
    <w:p>
      <w:pPr>
        <w:spacing w:after="0" w:line="1" w:lineRule="exact"/>
        <w:rPr>
          <w:rFonts w:ascii="Arial" w:cs="Arial" w:eastAsia="Arial" w:hAnsi="Arial"/>
          <w:sz w:val="19"/>
          <w:szCs w:val="19"/>
          <w:color w:val="auto"/>
          <w:vertAlign w:val="superscript"/>
        </w:rPr>
      </w:pPr>
    </w:p>
    <w:p>
      <w:pPr>
        <w:ind w:left="340" w:right="40" w:hanging="332"/>
        <w:spacing w:after="0" w:line="227" w:lineRule="auto"/>
        <w:tabs>
          <w:tab w:leader="none" w:pos="333"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2025 according to a Schedule 13G/A filed with the SEC by Renaissance Technologies LLC ("</w:t>
      </w:r>
      <w:r>
        <w:rPr>
          <w:rFonts w:ascii="Arial" w:cs="Arial" w:eastAsia="Arial" w:hAnsi="Arial"/>
          <w:sz w:val="14"/>
          <w:szCs w:val="14"/>
          <w:b w:val="1"/>
          <w:bCs w:val="1"/>
          <w:i w:val="1"/>
          <w:iCs w:val="1"/>
          <w:color w:val="auto"/>
        </w:rPr>
        <w:t>Renaissance Technologies</w:t>
      </w:r>
      <w:r>
        <w:rPr>
          <w:rFonts w:ascii="Arial" w:cs="Arial" w:eastAsia="Arial" w:hAnsi="Arial"/>
          <w:sz w:val="14"/>
          <w:szCs w:val="14"/>
          <w:color w:val="auto"/>
        </w:rPr>
        <w:t>") on February 12, 2026. Renaissance Technologies has beneficial ownership of 8,376,364 shares of Class A common stock. The address for Renaissance Technologies is 800 Third Avenue New York, New York 10022.</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CERTAIN RELATIONSHIPS, RELATED PARTY AND OTHER TRANSACTIONS</w:t>
      </w:r>
    </w:p>
    <w:p>
      <w:pPr>
        <w:spacing w:after="0" w:line="200" w:lineRule="exact"/>
        <w:rPr>
          <w:sz w:val="20"/>
          <w:szCs w:val="20"/>
          <w:color w:val="auto"/>
        </w:rPr>
      </w:pPr>
    </w:p>
    <w:p>
      <w:pPr>
        <w:spacing w:after="0" w:line="27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21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 (v) 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200" w:lineRule="exact"/>
        <w:rPr>
          <w:sz w:val="20"/>
          <w:szCs w:val="20"/>
          <w:color w:val="auto"/>
        </w:rPr>
      </w:pPr>
    </w:p>
    <w:p>
      <w:pPr>
        <w:spacing w:after="0" w:line="314" w:lineRule="exact"/>
        <w:rPr>
          <w:sz w:val="20"/>
          <w:szCs w:val="20"/>
          <w:color w:val="auto"/>
        </w:rPr>
      </w:pPr>
    </w:p>
    <w:p>
      <w:pPr>
        <w:ind w:left="580" w:hanging="554"/>
        <w:spacing w:after="0"/>
        <w:tabs>
          <w:tab w:leader="none" w:pos="58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OTHER MATTERS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Section 16(a) Beneficial Ownership Reporting Compliance</w:t>
      </w:r>
    </w:p>
    <w:p>
      <w:pPr>
        <w:spacing w:after="0" w:line="21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2025, all executive officers, directors and greater than 10% stockholders complied with all applicable SEC filing requirements.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Fiscal Year 2025 Annual Report and SEC Filings</w:t>
      </w:r>
    </w:p>
    <w:p>
      <w:pPr>
        <w:spacing w:after="0" w:line="2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financial statements for our fiscal year ended December 31, 2025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jc w:val="both"/>
        <w:ind w:right="280"/>
        <w:spacing w:after="0" w:line="257"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2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7, 2026</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2026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31"/>
          <w:szCs w:val="31"/>
          <w:color w:val="0063A6"/>
        </w:rPr>
        <w:t>APPENDIX A</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21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(gain) loss on real estate assets, and expenses related to our reduction in workforce. Free cash flow differs from GAAP net cash provided by operating activities in that it treats capital expenditures as a reduction to net cash provided by operating activities.</w:t>
      </w:r>
    </w:p>
    <w:p>
      <w:pPr>
        <w:spacing w:after="0" w:line="1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2025 performance in relation to the principal elements of Dropbox’s annual executive compensation program considered by the talent and compensation committee, as described in the section titled “Executive Compensation</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49465" cy="22371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2371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840" w:type="dxa"/>
            <w:vAlign w:val="bottom"/>
            <w:tcBorders>
              <w:bottom w:val="single" w:sz="8" w:color="0063A6"/>
            </w:tcBorders>
            <w:shd w:val="clear" w:color="auto" w:fill="0063A6"/>
          </w:tcPr>
          <w:p>
            <w:pPr>
              <w:spacing w:after="0"/>
              <w:rPr>
                <w:sz w:val="24"/>
                <w:szCs w:val="24"/>
                <w:color w:val="auto"/>
              </w:rPr>
            </w:pPr>
          </w:p>
        </w:tc>
        <w:tc>
          <w:tcPr>
            <w:tcW w:w="3400" w:type="dxa"/>
            <w:vAlign w:val="bottom"/>
            <w:tcBorders>
              <w:bottom w:val="single" w:sz="8" w:color="0063A6"/>
            </w:tcBorders>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04"/>
        </w:trPr>
        <w:tc>
          <w:tcPr>
            <w:tcW w:w="7840" w:type="dxa"/>
            <w:vAlign w:val="bottom"/>
            <w:tcBorders>
              <w:bottom w:val="single" w:sz="8" w:color="E5EFFD"/>
            </w:tcBorders>
            <w:shd w:val="clear" w:color="auto" w:fill="E5EFFD"/>
          </w:tcPr>
          <w:p>
            <w:pPr>
              <w:spacing w:after="0"/>
              <w:rPr>
                <w:sz w:val="24"/>
                <w:szCs w:val="24"/>
                <w:color w:val="auto"/>
              </w:rPr>
            </w:pP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2025</w:t>
            </w: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2024</w:t>
            </w: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GAAP income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$689.1</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$486.2</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i w:val="1"/>
                <w:iCs w:val="1"/>
                <w:color w:val="auto"/>
              </w:rPr>
              <w:t>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27.3%</w:t>
            </w:r>
          </w:p>
        </w:tc>
        <w:tc>
          <w:tcPr>
            <w:tcW w:w="1700" w:type="dxa"/>
            <w:vAlign w:val="bottom"/>
          </w:tcPr>
          <w:p>
            <w:pPr>
              <w:jc w:val="center"/>
              <w:spacing w:after="0"/>
              <w:rPr>
                <w:sz w:val="20"/>
                <w:szCs w:val="20"/>
                <w:color w:val="auto"/>
              </w:rPr>
            </w:pPr>
            <w:r>
              <w:rPr>
                <w:rFonts w:ascii="Arial" w:cs="Arial" w:eastAsia="Arial" w:hAnsi="Arial"/>
                <w:sz w:val="16"/>
                <w:szCs w:val="16"/>
                <w:color w:val="auto"/>
              </w:rPr>
              <w:t>19.1%</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309"/>
        </w:trPr>
        <w:tc>
          <w:tcPr>
            <w:tcW w:w="78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Plus:</w:t>
            </w:r>
          </w:p>
        </w:tc>
        <w:tc>
          <w:tcPr>
            <w:tcW w:w="1700" w:type="dxa"/>
            <w:vAlign w:val="bottom"/>
            <w:shd w:val="clear" w:color="auto" w:fill="F2F2F2"/>
          </w:tcPr>
          <w:p>
            <w:pPr>
              <w:spacing w:after="0"/>
              <w:rPr>
                <w:sz w:val="24"/>
                <w:szCs w:val="24"/>
                <w:color w:val="auto"/>
              </w:rPr>
            </w:pPr>
          </w:p>
        </w:tc>
        <w:tc>
          <w:tcPr>
            <w:tcW w:w="1700" w:type="dxa"/>
            <w:vAlign w:val="bottom"/>
            <w:shd w:val="clear" w:color="auto" w:fill="F2F2F2"/>
          </w:tcPr>
          <w:p>
            <w:pPr>
              <w:spacing w:after="0"/>
              <w:rPr>
                <w:sz w:val="24"/>
                <w:szCs w:val="24"/>
                <w:color w:val="auto"/>
              </w:rPr>
            </w:pPr>
          </w:p>
        </w:tc>
      </w:tr>
      <w:tr>
        <w:trPr>
          <w:trHeight w:val="123"/>
        </w:trPr>
        <w:tc>
          <w:tcPr>
            <w:tcW w:w="784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700" w:type="dxa"/>
            <w:vAlign w:val="bottom"/>
          </w:tcPr>
          <w:p>
            <w:pPr>
              <w:jc w:val="center"/>
              <w:spacing w:after="0"/>
              <w:rPr>
                <w:sz w:val="20"/>
                <w:szCs w:val="20"/>
                <w:color w:val="auto"/>
              </w:rPr>
            </w:pPr>
            <w:r>
              <w:rPr>
                <w:rFonts w:ascii="Arial" w:cs="Arial" w:eastAsia="Arial" w:hAnsi="Arial"/>
                <w:sz w:val="16"/>
                <w:szCs w:val="16"/>
                <w:color w:val="auto"/>
              </w:rPr>
              <w:t>300.8</w:t>
            </w:r>
          </w:p>
        </w:tc>
        <w:tc>
          <w:tcPr>
            <w:tcW w:w="1700" w:type="dxa"/>
            <w:vAlign w:val="bottom"/>
          </w:tcPr>
          <w:p>
            <w:pPr>
              <w:jc w:val="center"/>
              <w:spacing w:after="0"/>
              <w:rPr>
                <w:sz w:val="20"/>
                <w:szCs w:val="20"/>
                <w:color w:val="auto"/>
              </w:rPr>
            </w:pPr>
            <w:r>
              <w:rPr>
                <w:rFonts w:ascii="Arial" w:cs="Arial" w:eastAsia="Arial" w:hAnsi="Arial"/>
                <w:sz w:val="16"/>
                <w:szCs w:val="16"/>
                <w:color w:val="auto"/>
              </w:rPr>
              <w:t>346.5</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Acquisition-related and other expenses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8.0</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21.7</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Amortization of acquired intangible assets</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23.6</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25.8</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Net (gain) loss on real estate assets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(1.3)</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0.1</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Workforce reduction expense</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3.7</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47.2</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Non-GAAP income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1,023.9</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927.5</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Non-GAAP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40.6%</w:t>
            </w:r>
          </w:p>
        </w:tc>
        <w:tc>
          <w:tcPr>
            <w:tcW w:w="1700" w:type="dxa"/>
            <w:vAlign w:val="bottom"/>
          </w:tcPr>
          <w:p>
            <w:pPr>
              <w:jc w:val="center"/>
              <w:spacing w:after="0"/>
              <w:rPr>
                <w:sz w:val="20"/>
                <w:szCs w:val="20"/>
                <w:color w:val="auto"/>
              </w:rPr>
            </w:pPr>
            <w:r>
              <w:rPr>
                <w:rFonts w:ascii="Arial" w:cs="Arial" w:eastAsia="Arial" w:hAnsi="Arial"/>
                <w:sz w:val="16"/>
                <w:szCs w:val="16"/>
                <w:color w:val="auto"/>
              </w:rPr>
              <w:t>36.4%</w:t>
            </w:r>
          </w:p>
        </w:tc>
      </w:tr>
      <w:tr>
        <w:trPr>
          <w:trHeight w:val="642"/>
        </w:trPr>
        <w:tc>
          <w:tcPr>
            <w:tcW w:w="7840" w:type="dxa"/>
            <w:vAlign w:val="bottom"/>
          </w:tcPr>
          <w:p>
            <w:pPr>
              <w:spacing w:after="0"/>
              <w:rPr>
                <w:sz w:val="20"/>
                <w:szCs w:val="20"/>
                <w:color w:val="auto"/>
              </w:rPr>
            </w:pPr>
            <w:r>
              <w:rPr>
                <w:rFonts w:ascii="Arial" w:cs="Arial" w:eastAsia="Arial" w:hAnsi="Arial"/>
                <w:sz w:val="16"/>
                <w:szCs w:val="16"/>
                <w:b w:val="1"/>
                <w:bCs w:val="1"/>
                <w:color w:val="0063A6"/>
              </w:rPr>
              <w:t>Free cash flow</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7840" w:type="dxa"/>
            <w:vAlign w:val="bottom"/>
          </w:tcPr>
          <w:p>
            <w:pPr>
              <w:spacing w:after="0"/>
              <w:rPr>
                <w:sz w:val="20"/>
                <w:szCs w:val="20"/>
                <w:color w:val="auto"/>
              </w:rPr>
            </w:pPr>
          </w:p>
        </w:tc>
        <w:tc>
          <w:tcPr>
            <w:tcW w:w="3400" w:type="dxa"/>
            <w:vAlign w:val="bottom"/>
            <w:gridSpan w:val="2"/>
          </w:tcPr>
          <w:p>
            <w:pPr>
              <w:spacing w:after="0"/>
              <w:rPr>
                <w:sz w:val="20"/>
                <w:szCs w:val="20"/>
                <w:color w:val="auto"/>
              </w:rPr>
            </w:pPr>
          </w:p>
        </w:tc>
      </w:tr>
      <w:tr>
        <w:trPr>
          <w:trHeight w:val="268"/>
        </w:trPr>
        <w:tc>
          <w:tcPr>
            <w:tcW w:w="7840" w:type="dxa"/>
            <w:vAlign w:val="bottom"/>
            <w:shd w:val="clear" w:color="auto" w:fill="0063A6"/>
          </w:tcPr>
          <w:p>
            <w:pPr>
              <w:spacing w:after="0"/>
              <w:rPr>
                <w:sz w:val="23"/>
                <w:szCs w:val="23"/>
                <w:color w:val="auto"/>
              </w:rPr>
            </w:pPr>
          </w:p>
        </w:tc>
        <w:tc>
          <w:tcPr>
            <w:tcW w:w="3400" w:type="dxa"/>
            <w:vAlign w:val="bottom"/>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60"/>
        </w:trPr>
        <w:tc>
          <w:tcPr>
            <w:tcW w:w="7840" w:type="dxa"/>
            <w:vAlign w:val="bottom"/>
            <w:tcBorders>
              <w:bottom w:val="single" w:sz="8" w:color="0063A6"/>
            </w:tcBorders>
            <w:shd w:val="clear" w:color="auto" w:fill="0063A6"/>
          </w:tcPr>
          <w:p>
            <w:pPr>
              <w:spacing w:after="0"/>
              <w:rPr>
                <w:sz w:val="24"/>
                <w:szCs w:val="24"/>
                <w:color w:val="auto"/>
              </w:rPr>
            </w:pP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2025</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2024</w:t>
            </w:r>
          </w:p>
        </w:tc>
      </w:tr>
      <w:tr>
        <w:trPr>
          <w:trHeight w:val="230"/>
        </w:trPr>
        <w:tc>
          <w:tcPr>
            <w:tcW w:w="7840" w:type="dxa"/>
            <w:vAlign w:val="bottom"/>
            <w:shd w:val="clear" w:color="auto" w:fill="F2F2F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$951.8</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$894.1</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Less:</w:t>
            </w: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840" w:type="dxa"/>
            <w:vAlign w:val="bottom"/>
            <w:shd w:val="clear" w:color="auto" w:fill="F2F2F2"/>
          </w:tcPr>
          <w:p>
            <w:pPr>
              <w:ind w:left="280"/>
              <w:spacing w:after="0"/>
              <w:rPr>
                <w:sz w:val="20"/>
                <w:szCs w:val="20"/>
                <w:color w:val="auto"/>
              </w:rPr>
            </w:pPr>
            <w:r>
              <w:rPr>
                <w:rFonts w:ascii="Arial" w:cs="Arial" w:eastAsia="Arial" w:hAnsi="Arial"/>
                <w:sz w:val="16"/>
                <w:szCs w:val="16"/>
                <w:color w:val="auto"/>
              </w:rPr>
              <w:t>Capital expenditures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(21.0)</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(22.5)</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700" w:type="dxa"/>
            <w:vAlign w:val="bottom"/>
          </w:tcPr>
          <w:p>
            <w:pPr>
              <w:jc w:val="center"/>
              <w:spacing w:after="0"/>
              <w:rPr>
                <w:sz w:val="20"/>
                <w:szCs w:val="20"/>
                <w:color w:val="auto"/>
              </w:rPr>
            </w:pPr>
            <w:r>
              <w:rPr>
                <w:rFonts w:ascii="Arial" w:cs="Arial" w:eastAsia="Arial" w:hAnsi="Arial"/>
                <w:sz w:val="16"/>
                <w:szCs w:val="16"/>
                <w:color w:val="auto"/>
              </w:rPr>
              <w:t>930.8</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871.6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9683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31"/>
          <w:szCs w:val="31"/>
          <w:color w:val="0063A6"/>
        </w:rPr>
        <w:t>APPENDIX B</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000FF"/>
        </w:rPr>
        <w:t>AMENDED AND RESTATED</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000000"/>
        </w:rPr>
        <w:t>ARTICLES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DROPBOX,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NAME OF CORPORATION</w:t>
      </w:r>
    </w:p>
    <w:p>
      <w:pPr>
        <w:spacing w:after="0" w:line="20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The name of the corporation is Dropbox,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xml:space="preserve">”). </w:t>
      </w:r>
      <w:r>
        <w:rPr>
          <w:rFonts w:ascii="Arial" w:cs="Arial" w:eastAsia="Arial" w:hAnsi="Arial"/>
          <w:sz w:val="16"/>
          <w:szCs w:val="16"/>
          <w:color w:val="FF0000"/>
        </w:rPr>
        <w:t>The Corporation is the resulting entity in the conversion of</w:t>
      </w:r>
      <w:r>
        <w:rPr>
          <w:rFonts w:ascii="Arial" w:cs="Arial" w:eastAsia="Arial" w:hAnsi="Arial"/>
          <w:sz w:val="16"/>
          <w:szCs w:val="16"/>
          <w:color w:val="auto"/>
        </w:rPr>
        <w:t xml:space="preserve"> </w:t>
      </w:r>
      <w:r>
        <w:rPr>
          <w:rFonts w:ascii="Arial" w:cs="Arial" w:eastAsia="Arial" w:hAnsi="Arial"/>
          <w:sz w:val="16"/>
          <w:szCs w:val="16"/>
          <w:color w:val="008000"/>
          <w:strike w:val="1"/>
        </w:rPr>
        <w:t>Dropbox, Inc., a</w:t>
      </w:r>
      <w:r>
        <w:rPr>
          <w:rFonts w:ascii="Arial" w:cs="Arial" w:eastAsia="Arial" w:hAnsi="Arial"/>
          <w:sz w:val="16"/>
          <w:szCs w:val="16"/>
          <w:color w:val="auto"/>
        </w:rPr>
        <w:t xml:space="preserve"> </w:t>
      </w:r>
      <w:r>
        <w:rPr>
          <w:rFonts w:ascii="Arial" w:cs="Arial" w:eastAsia="Arial" w:hAnsi="Arial"/>
          <w:sz w:val="16"/>
          <w:szCs w:val="16"/>
          <w:color w:val="008000"/>
          <w:strike w:val="1"/>
        </w:rPr>
        <w:t xml:space="preserve">Delaware corporation </w:t>
      </w:r>
      <w:r>
        <w:rPr>
          <w:rFonts w:ascii="Arial" w:cs="Arial" w:eastAsia="Arial" w:hAnsi="Arial"/>
          <w:sz w:val="16"/>
          <w:szCs w:val="16"/>
          <w:color w:val="FF0000"/>
          <w:strike w:val="1"/>
        </w:rPr>
        <w:t>(the “</w:t>
      </w:r>
      <w:r>
        <w:rPr>
          <w:rFonts w:ascii="Arial" w:cs="Arial" w:eastAsia="Arial" w:hAnsi="Arial"/>
          <w:sz w:val="16"/>
          <w:szCs w:val="16"/>
          <w:b w:val="1"/>
          <w:bCs w:val="1"/>
          <w:i w:val="1"/>
          <w:iCs w:val="1"/>
          <w:color w:val="FF0000"/>
          <w:strike w:val="1"/>
        </w:rPr>
        <w:t>Delaware Corporation</w:t>
      </w:r>
      <w:r>
        <w:rPr>
          <w:rFonts w:ascii="Arial" w:cs="Arial" w:eastAsia="Arial" w:hAnsi="Arial"/>
          <w:sz w:val="16"/>
          <w:szCs w:val="16"/>
          <w:color w:val="FF0000"/>
          <w:strike w:val="1"/>
        </w:rPr>
        <w:t>”), into a Nevada corporation (the “</w:t>
      </w:r>
      <w:r>
        <w:rPr>
          <w:rFonts w:ascii="Arial" w:cs="Arial" w:eastAsia="Arial" w:hAnsi="Arial"/>
          <w:sz w:val="16"/>
          <w:szCs w:val="16"/>
          <w:b w:val="1"/>
          <w:bCs w:val="1"/>
          <w:i w:val="1"/>
          <w:iCs w:val="1"/>
          <w:color w:val="FF0000"/>
          <w:strike w:val="1"/>
        </w:rPr>
        <w:t>Conversion</w:t>
      </w:r>
      <w:r>
        <w:rPr>
          <w:rFonts w:ascii="Arial" w:cs="Arial" w:eastAsia="Arial" w:hAnsi="Arial"/>
          <w:sz w:val="16"/>
          <w:szCs w:val="16"/>
          <w:color w:val="FF0000"/>
          <w:strike w:val="1"/>
        </w:rPr>
        <w:t>”) and is a continuation of the existence thereof pursuant</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to Chapter 92A of the Nevada Revised Statutes (as amended </w:t>
      </w:r>
      <w:r>
        <w:rPr>
          <w:rFonts w:ascii="Arial" w:cs="Arial" w:eastAsia="Arial" w:hAnsi="Arial"/>
          <w:sz w:val="16"/>
          <w:szCs w:val="16"/>
          <w:color w:val="008000"/>
          <w:strike w:val="1"/>
        </w:rPr>
        <w:t>from time to time, the “</w:t>
      </w:r>
      <w:r>
        <w:rPr>
          <w:rFonts w:ascii="Arial" w:cs="Arial" w:eastAsia="Arial" w:hAnsi="Arial"/>
          <w:sz w:val="16"/>
          <w:szCs w:val="16"/>
          <w:b w:val="1"/>
          <w:bCs w:val="1"/>
          <w:i w:val="1"/>
          <w:iCs w:val="1"/>
          <w:color w:val="FF0000"/>
          <w:strike w:val="1"/>
        </w:rPr>
        <w:t>NRS</w:t>
      </w:r>
      <w:r>
        <w:rPr>
          <w:rFonts w:ascii="Arial" w:cs="Arial" w:eastAsia="Arial" w:hAnsi="Arial"/>
          <w:sz w:val="16"/>
          <w:szCs w:val="16"/>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-339090</wp:posOffset>
            </wp:positionV>
            <wp:extent cx="28416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AGENT AND REGISTERED OFFICE</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64" w:lineRule="exact"/>
        <w:rPr>
          <w:sz w:val="20"/>
          <w:szCs w:val="20"/>
          <w:color w:val="auto"/>
        </w:rPr>
      </w:pPr>
    </w:p>
    <w:p>
      <w:pPr>
        <w:ind w:left="5180"/>
        <w:spacing w:after="0"/>
        <w:rPr>
          <w:sz w:val="20"/>
          <w:szCs w:val="20"/>
          <w:color w:val="auto"/>
        </w:rPr>
      </w:pPr>
      <w:r>
        <w:rPr>
          <w:rFonts w:ascii="Arial" w:cs="Arial" w:eastAsia="Arial" w:hAnsi="Arial"/>
          <w:sz w:val="16"/>
          <w:szCs w:val="16"/>
          <w:b w:val="1"/>
          <w:bCs w:val="1"/>
          <w:u w:val="single" w:color="auto"/>
          <w:color w:val="auto"/>
        </w:rPr>
        <w:t>ARTICLE III</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PURPOSE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purpose of the Corporation is to engage in any lawful act or activity for which a corporation may be organized under the NRS </w:t>
      </w:r>
      <w:r>
        <w:rPr>
          <w:rFonts w:ascii="Arial" w:cs="Arial" w:eastAsia="Arial" w:hAnsi="Arial"/>
          <w:sz w:val="16"/>
          <w:szCs w:val="16"/>
          <w:color w:val="0000FF"/>
        </w:rPr>
        <w:t>(as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6566535</wp:posOffset>
            </wp:positionH>
            <wp:positionV relativeFrom="paragraph">
              <wp:posOffset>-4445</wp:posOffset>
            </wp:positionV>
            <wp:extent cx="5632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below)</w:t>
      </w:r>
      <w:r>
        <w:rPr>
          <w:rFonts w:ascii="Arial" w:cs="Arial" w:eastAsia="Arial" w:hAnsi="Arial"/>
          <w:sz w:val="16"/>
          <w:szCs w:val="16"/>
          <w:color w:val="000000"/>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AUTHORIZED SHARES</w:t>
      </w:r>
    </w:p>
    <w:p>
      <w:pPr>
        <w:spacing w:after="0" w:line="2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 xml:space="preserve">This Corporation is authorized to issue two classes of stock to be designated, respectively,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The total number of shares of Common Stock authorized to be issued is 3,675,000,000, 2,400,000,000 shares of which are designated Class A Common Stock, par value $0.00001 per share (the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475,000,000 shares of which are designated Class B Common Stock, par value $0.00001 per share (the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and 800,000,000 shares of which are designated Class C Common Stock, par value $0.00001 per share (the “</w:t>
      </w:r>
      <w:r>
        <w:rPr>
          <w:rFonts w:ascii="Arial" w:cs="Arial" w:eastAsia="Arial" w:hAnsi="Arial"/>
          <w:sz w:val="16"/>
          <w:szCs w:val="16"/>
          <w:b w:val="1"/>
          <w:bCs w:val="1"/>
          <w:i w:val="1"/>
          <w:iCs w:val="1"/>
          <w:color w:val="auto"/>
        </w:rPr>
        <w:t>Class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 Common Stock</w:t>
      </w:r>
      <w:r>
        <w:rPr>
          <w:rFonts w:ascii="Arial" w:cs="Arial" w:eastAsia="Arial" w:hAnsi="Arial"/>
          <w:sz w:val="16"/>
          <w:szCs w:val="16"/>
          <w:color w:val="auto"/>
        </w:rPr>
        <w:t>”). The total number of shares of Preferred Stock authorized to be issued is 240,000,000 shares, par value $0.00001 per share.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rights, powers, preferences, privileges, restrictions and other matters relating to the Common Stock are as follows:</w:t>
      </w:r>
    </w:p>
    <w:p>
      <w:pPr>
        <w:spacing w:after="0" w:line="235"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w:t>
      </w:r>
      <w:r>
        <w:rPr>
          <w:rFonts w:ascii="Arial" w:cs="Arial" w:eastAsia="Arial" w:hAnsi="Arial"/>
          <w:sz w:val="16"/>
          <w:szCs w:val="16"/>
          <w:color w:val="FF0000"/>
          <w:strike w:val="1"/>
        </w:rPr>
        <w:t>this</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Article V</w:t>
      </w:r>
      <w:r>
        <w:rPr>
          <w:rFonts w:ascii="Arial" w:cs="Arial" w:eastAsia="Arial" w:hAnsi="Arial"/>
          <w:sz w:val="16"/>
          <w:szCs w:val="16"/>
          <w:u w:val="single" w:color="auto"/>
          <w:color w:val="0000FF"/>
        </w:rPr>
        <w:t>these Articles (as defined below)</w:t>
      </w:r>
      <w:r>
        <w:rPr>
          <w:rFonts w:ascii="Arial" w:cs="Arial" w:eastAsia="Arial" w:hAnsi="Arial"/>
          <w:sz w:val="16"/>
          <w:szCs w:val="16"/>
          <w:color w:val="auto"/>
        </w:rPr>
        <w:t>, the following definitions apply;</w:t>
      </w:r>
    </w:p>
    <w:p>
      <w:pPr>
        <w:spacing w:after="0" w:line="22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xml:space="preserve">” means (A)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Arial" w:cs="Arial" w:eastAsia="Arial" w:hAnsi="Arial"/>
          <w:sz w:val="16"/>
          <w:szCs w:val="16"/>
          <w:u w:val="single" w:color="auto"/>
          <w:color w:val="auto"/>
        </w:rPr>
        <w:t>Section V.1.1</w:t>
      </w:r>
      <w:r>
        <w:rPr>
          <w:rFonts w:ascii="Arial" w:cs="Arial" w:eastAsia="Arial" w:hAnsi="Arial"/>
          <w:sz w:val="16"/>
          <w:szCs w:val="16"/>
          <w:color w:val="auto"/>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1.2</w:t>
        <w:tab/>
        <w:t>“</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xml:space="preserve">” means these </w:t>
      </w:r>
      <w:r>
        <w:rPr>
          <w:rFonts w:ascii="Arial" w:cs="Arial" w:eastAsia="Arial" w:hAnsi="Arial"/>
          <w:sz w:val="16"/>
          <w:szCs w:val="16"/>
          <w:u w:val="single" w:color="auto"/>
          <w:color w:val="0000FF"/>
        </w:rPr>
        <w:t>Amended and Restated</w:t>
      </w:r>
      <w:r>
        <w:rPr>
          <w:rFonts w:ascii="Arial" w:cs="Arial" w:eastAsia="Arial" w:hAnsi="Arial"/>
          <w:sz w:val="16"/>
          <w:szCs w:val="16"/>
          <w:color w:val="auto"/>
        </w:rPr>
        <w:t xml:space="preserve"> Articles of Incorporation of the Corporation, as </w:t>
      </w:r>
      <w:r>
        <w:rPr>
          <w:rFonts w:ascii="Arial" w:cs="Arial" w:eastAsia="Arial" w:hAnsi="Arial"/>
          <w:sz w:val="16"/>
          <w:szCs w:val="16"/>
          <w:u w:val="single" w:color="auto"/>
          <w:color w:val="0000FF"/>
        </w:rPr>
        <w:t>further</w:t>
      </w:r>
      <w:r>
        <w:rPr>
          <w:rFonts w:ascii="Arial" w:cs="Arial" w:eastAsia="Arial" w:hAnsi="Arial"/>
          <w:sz w:val="16"/>
          <w:szCs w:val="16"/>
          <w:color w:val="auto"/>
        </w:rPr>
        <w:t xml:space="preserve"> amended </w:t>
      </w:r>
      <w:r>
        <w:rPr>
          <w:rFonts w:ascii="Arial" w:cs="Arial" w:eastAsia="Arial" w:hAnsi="Arial"/>
          <w:sz w:val="16"/>
          <w:szCs w:val="16"/>
          <w:u w:val="single" w:color="auto"/>
          <w:color w:val="0000FF"/>
        </w:rPr>
        <w:t>and/or restated</w:t>
      </w:r>
      <w:r>
        <w:rPr>
          <w:rFonts w:ascii="Arial" w:cs="Arial" w:eastAsia="Arial" w:hAnsi="Arial"/>
          <w:sz w:val="16"/>
          <w:szCs w:val="16"/>
          <w:color w:val="auto"/>
        </w:rPr>
        <w:t xml:space="preserv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to time.</w:t>
      </w:r>
    </w:p>
    <w:p>
      <w:pPr>
        <w:spacing w:after="0" w:line="21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1.3</w:t>
        <w:tab/>
        <w:t>“</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means a sale, lease, exclusive license or other disposition of all or substantially all of the assets of the Corporation.</w:t>
      </w:r>
    </w:p>
    <w:p>
      <w:pPr>
        <w:spacing w:after="0" w:line="22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1.4</w:t>
        <w:tab/>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Corporation.</w:t>
      </w:r>
    </w:p>
    <w:p>
      <w:pPr>
        <w:spacing w:after="0" w:line="23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i w:val="1"/>
          <w:iCs w:val="1"/>
          <w:color w:val="auto"/>
        </w:rPr>
        <w:t>Controlled Company Exemption</w:t>
      </w:r>
      <w:r>
        <w:rPr>
          <w:rFonts w:ascii="Arial" w:cs="Arial" w:eastAsia="Arial" w:hAnsi="Arial"/>
          <w:sz w:val="16"/>
          <w:szCs w:val="16"/>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5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u w:val="single" w:color="auto"/>
          <w:color w:val="0000FF"/>
        </w:rPr>
        <w:t>1.6 “</w:t>
      </w:r>
      <w:r>
        <w:rPr>
          <w:rFonts w:ascii="Arial" w:cs="Arial" w:eastAsia="Arial" w:hAnsi="Arial"/>
          <w:sz w:val="16"/>
          <w:szCs w:val="16"/>
          <w:b w:val="1"/>
          <w:bCs w:val="1"/>
          <w:i w:val="1"/>
          <w:iCs w:val="1"/>
          <w:u w:val="single" w:color="auto"/>
          <w:color w:val="0000FF"/>
        </w:rPr>
        <w:t>Conversion</w:t>
      </w:r>
      <w:r>
        <w:rPr>
          <w:rFonts w:ascii="Arial" w:cs="Arial" w:eastAsia="Arial" w:hAnsi="Arial"/>
          <w:sz w:val="16"/>
          <w:szCs w:val="16"/>
          <w:u w:val="single" w:color="auto"/>
          <w:color w:val="0000FF"/>
        </w:rPr>
        <w:t>” means the conversion of the Delaware Corporation into the Corporation on March 5, 2025, and the continuation of the existence thereof pursuant to the NRS.</w:t>
      </w:r>
    </w:p>
    <w:p>
      <w:pPr>
        <w:spacing w:after="0" w:line="14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u w:val="single" w:color="auto"/>
          <w:color w:val="0000FF"/>
        </w:rPr>
        <w:t>1.7</w:t>
        <w:tab/>
        <w:t>“</w:t>
      </w:r>
      <w:r>
        <w:rPr>
          <w:rFonts w:ascii="Arial" w:cs="Arial" w:eastAsia="Arial" w:hAnsi="Arial"/>
          <w:sz w:val="16"/>
          <w:szCs w:val="16"/>
          <w:b w:val="1"/>
          <w:bCs w:val="1"/>
          <w:i w:val="1"/>
          <w:iCs w:val="1"/>
          <w:u w:val="single" w:color="auto"/>
          <w:color w:val="0000FF"/>
        </w:rPr>
        <w:t>Delaware Corporation</w:t>
      </w:r>
      <w:r>
        <w:rPr>
          <w:rFonts w:ascii="Arial" w:cs="Arial" w:eastAsia="Arial" w:hAnsi="Arial"/>
          <w:sz w:val="16"/>
          <w:szCs w:val="16"/>
          <w:u w:val="single" w:color="auto"/>
          <w:color w:val="0000FF"/>
        </w:rPr>
        <w:t xml:space="preserve">” means </w:t>
      </w:r>
      <w:r>
        <w:rPr>
          <w:rFonts w:ascii="Arial" w:cs="Arial" w:eastAsia="Arial" w:hAnsi="Arial"/>
          <w:sz w:val="16"/>
          <w:szCs w:val="16"/>
          <w:u w:val="single" w:color="auto"/>
          <w:color w:val="008000"/>
        </w:rPr>
        <w:t>Dropbox, Inc., a Delaware corporation</w:t>
      </w:r>
      <w:r>
        <w:rPr>
          <w:rFonts w:ascii="Arial" w:cs="Arial" w:eastAsia="Arial" w:hAnsi="Arial"/>
          <w:sz w:val="16"/>
          <w:szCs w:val="16"/>
          <w:u w:val="single" w:color="auto"/>
          <w:color w:val="0000FF"/>
        </w:rPr>
        <w:t>, which was converted into the Corporation.</w:t>
      </w:r>
    </w:p>
    <w:p>
      <w:pPr>
        <w:spacing w:after="0" w:line="2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6"/>
          <w:szCs w:val="16"/>
          <w:color w:val="0000FF"/>
        </w:rPr>
        <w:t xml:space="preserve">1.8 </w:t>
      </w:r>
      <w:r>
        <w:rPr>
          <w:rFonts w:ascii="Arial" w:cs="Arial" w:eastAsia="Arial" w:hAnsi="Arial"/>
          <w:sz w:val="16"/>
          <w:szCs w:val="16"/>
          <w:color w:val="FF0000"/>
          <w:strike w:val="1"/>
        </w:rPr>
        <w:t>1.6</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Disability</w:t>
      </w:r>
      <w:r>
        <w:rPr>
          <w:rFonts w:ascii="Arial" w:cs="Arial" w:eastAsia="Arial" w:hAnsi="Arial"/>
          <w:sz w:val="16"/>
          <w:szCs w:val="16"/>
          <w:color w:val="000000"/>
        </w:rPr>
        <w:t>” or “</w:t>
      </w:r>
      <w:r>
        <w:rPr>
          <w:rFonts w:ascii="Arial" w:cs="Arial" w:eastAsia="Arial" w:hAnsi="Arial"/>
          <w:sz w:val="16"/>
          <w:szCs w:val="16"/>
          <w:b w:val="1"/>
          <w:bCs w:val="1"/>
          <w:i w:val="1"/>
          <w:iCs w:val="1"/>
          <w:color w:val="000000"/>
        </w:rPr>
        <w:t>Disabled</w:t>
      </w:r>
      <w:r>
        <w:rPr>
          <w:rFonts w:ascii="Arial" w:cs="Arial" w:eastAsia="Arial" w:hAnsi="Arial"/>
          <w:sz w:val="16"/>
          <w:szCs w:val="16"/>
          <w:color w:val="000000"/>
        </w:rPr>
        <w:t>” means, with respect to a Founder, the permanent and total disability of such Founder such that such</w:t>
      </w:r>
      <w:r>
        <w:rPr>
          <w:rFonts w:ascii="Arial" w:cs="Arial" w:eastAsia="Arial" w:hAnsi="Arial"/>
          <w:sz w:val="16"/>
          <w:szCs w:val="16"/>
          <w:color w:val="0000FF"/>
        </w:rPr>
        <w:t xml:space="preserve"> </w:t>
      </w:r>
      <w:r>
        <w:rPr>
          <w:rFonts w:ascii="Arial" w:cs="Arial" w:eastAsia="Arial" w:hAnsi="Arial"/>
          <w:sz w:val="16"/>
          <w:szCs w:val="16"/>
          <w:color w:val="000000"/>
        </w:rPr>
        <w:t>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physician,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 the Corporation than any other revocable living trust created by such Founder shall make the selection on behalf of such Founder, or in absence of any such successor trustee, the legal guardian or conservator of the estate of such Founder shall make the selection on behalf of such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-1133475</wp:posOffset>
            </wp:positionV>
            <wp:extent cx="274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0000FF"/>
        </w:rPr>
        <w:t>1.9</w:t>
      </w:r>
      <w:r>
        <w:rPr>
          <w:sz w:val="20"/>
          <w:szCs w:val="20"/>
          <w:color w:val="auto"/>
        </w:rPr>
        <w:tab/>
      </w:r>
      <w:r>
        <w:rPr>
          <w:rFonts w:ascii="Arial" w:cs="Arial" w:eastAsia="Arial" w:hAnsi="Arial"/>
          <w:sz w:val="16"/>
          <w:szCs w:val="16"/>
          <w:color w:val="FF0000"/>
          <w:strike w:val="1"/>
        </w:rPr>
        <w:t xml:space="preserve">1.7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Final Conversion Date</w:t>
      </w:r>
      <w:r>
        <w:rPr>
          <w:rFonts w:ascii="Arial" w:cs="Arial" w:eastAsia="Arial" w:hAnsi="Arial"/>
          <w:sz w:val="16"/>
          <w:szCs w:val="16"/>
          <w:color w:val="000000"/>
          <w:strike w:val="1"/>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2571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15" w:lineRule="exact"/>
        <w:rPr>
          <w:sz w:val="20"/>
          <w:szCs w:val="20"/>
          <w:color w:val="auto"/>
        </w:rPr>
      </w:pPr>
    </w:p>
    <w:p>
      <w:pPr>
        <w:ind w:left="2440" w:hanging="488"/>
        <w:spacing w:after="0"/>
        <w:tabs>
          <w:tab w:leader="none" w:pos="24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date specified by the holders of two-thirds of the then outstanding shares of Class B Common Stock, voting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separate class;</w:t>
      </w:r>
    </w:p>
    <w:p>
      <w:pPr>
        <w:spacing w:after="0" w:line="219" w:lineRule="exact"/>
        <w:rPr>
          <w:sz w:val="20"/>
          <w:szCs w:val="20"/>
          <w:color w:val="auto"/>
        </w:rPr>
      </w:pPr>
    </w:p>
    <w:p>
      <w:pPr>
        <w:ind w:firstLine="1952"/>
        <w:spacing w:after="0" w:line="286" w:lineRule="auto"/>
        <w:tabs>
          <w:tab w:leader="none" w:pos="234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first date on which the number of outstanding shares of Class B Common Stock represents less than five percent (5%) of the aggregate number of outstanding shares of Class A Common Stock and Class B Common Stock; or</w:t>
      </w:r>
    </w:p>
    <w:p>
      <w:pPr>
        <w:spacing w:after="0" w:line="155" w:lineRule="exact"/>
        <w:rPr>
          <w:rFonts w:ascii="Arial" w:cs="Arial" w:eastAsia="Arial" w:hAnsi="Arial"/>
          <w:sz w:val="16"/>
          <w:szCs w:val="16"/>
          <w:color w:val="auto"/>
        </w:rPr>
      </w:pPr>
    </w:p>
    <w:p>
      <w:pPr>
        <w:jc w:val="both"/>
        <w:ind w:firstLine="1952"/>
        <w:spacing w:after="0" w:line="275" w:lineRule="auto"/>
        <w:tabs>
          <w:tab w:leader="none" w:pos="231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1.10</w:t>
      </w:r>
      <w:r>
        <w:rPr>
          <w:sz w:val="20"/>
          <w:szCs w:val="20"/>
          <w:color w:val="auto"/>
        </w:rPr>
        <w:tab/>
      </w:r>
      <w:r>
        <w:rPr>
          <w:rFonts w:ascii="Arial" w:cs="Arial" w:eastAsia="Arial" w:hAnsi="Arial"/>
          <w:sz w:val="16"/>
          <w:szCs w:val="16"/>
          <w:color w:val="FF0000"/>
          <w:strike w:val="1"/>
        </w:rPr>
        <w:t xml:space="preserve">1.8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Founder</w:t>
      </w:r>
      <w:r>
        <w:rPr>
          <w:rFonts w:ascii="Arial" w:cs="Arial" w:eastAsia="Arial" w:hAnsi="Arial"/>
          <w:sz w:val="16"/>
          <w:szCs w:val="16"/>
          <w:color w:val="000000"/>
          <w:strike w:val="1"/>
        </w:rPr>
        <w:t>” means either Andrew Houston or 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1.11</w:t>
      </w:r>
      <w:r>
        <w:rPr>
          <w:sz w:val="20"/>
          <w:szCs w:val="20"/>
          <w:color w:val="auto"/>
        </w:rPr>
        <w:tab/>
      </w:r>
      <w:r>
        <w:rPr>
          <w:rFonts w:ascii="Arial" w:cs="Arial" w:eastAsia="Arial" w:hAnsi="Arial"/>
          <w:sz w:val="16"/>
          <w:szCs w:val="16"/>
          <w:color w:val="FF0000"/>
          <w:strike w:val="1"/>
        </w:rPr>
        <w:t xml:space="preserve">1.9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Independent Directors</w:t>
      </w:r>
      <w:r>
        <w:rPr>
          <w:rFonts w:ascii="Arial" w:cs="Arial" w:eastAsia="Arial" w:hAnsi="Arial"/>
          <w:sz w:val="16"/>
          <w:szCs w:val="16"/>
          <w:color w:val="000000"/>
          <w:strike w:val="1"/>
        </w:rPr>
        <w:t>” means the members of the Board designated as independent directors in accordance with the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55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Standards.</w:t>
      </w:r>
    </w:p>
    <w:p>
      <w:pPr>
        <w:spacing w:after="0" w:line="21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1.12</w:t>
      </w:r>
      <w:r>
        <w:rPr>
          <w:sz w:val="20"/>
          <w:szCs w:val="20"/>
          <w:color w:val="auto"/>
        </w:rPr>
        <w:tab/>
      </w:r>
      <w:r>
        <w:rPr>
          <w:rFonts w:ascii="Arial" w:cs="Arial" w:eastAsia="Arial" w:hAnsi="Arial"/>
          <w:sz w:val="16"/>
          <w:szCs w:val="16"/>
          <w:color w:val="FF0000"/>
          <w:strike w:val="1"/>
        </w:rPr>
        <w:t xml:space="preserve">1.10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IPO Date</w:t>
      </w:r>
      <w:r>
        <w:rPr>
          <w:rFonts w:ascii="Arial" w:cs="Arial" w:eastAsia="Arial" w:hAnsi="Arial"/>
          <w:sz w:val="16"/>
          <w:szCs w:val="16"/>
          <w:color w:val="000000"/>
          <w:strike w:val="1"/>
        </w:rPr>
        <w:t>” means 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6"/>
          <w:szCs w:val="16"/>
          <w:color w:val="0000FF"/>
        </w:rPr>
        <w:t>1.13</w:t>
      </w:r>
      <w:r>
        <w:rPr>
          <w:sz w:val="20"/>
          <w:szCs w:val="20"/>
          <w:color w:val="auto"/>
        </w:rPr>
        <w:tab/>
      </w:r>
      <w:r>
        <w:rPr>
          <w:rFonts w:ascii="Arial" w:cs="Arial" w:eastAsia="Arial" w:hAnsi="Arial"/>
          <w:sz w:val="16"/>
          <w:szCs w:val="16"/>
          <w:color w:val="FF0000"/>
          <w:strike w:val="1"/>
        </w:rPr>
        <w:t xml:space="preserve">1.11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Liquidation Event</w:t>
      </w:r>
      <w:r>
        <w:rPr>
          <w:rFonts w:ascii="Arial" w:cs="Arial" w:eastAsia="Arial" w:hAnsi="Arial"/>
          <w:sz w:val="16"/>
          <w:szCs w:val="16"/>
          <w:color w:val="000000"/>
          <w:strike w:val="1"/>
        </w:rPr>
        <w:t>” means any liquidation, dissolution, or winding up of the Corporation, whether voluntary or involuntary,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31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any Acquisition or Asset Transfer.</w:t>
      </w:r>
    </w:p>
    <w:p>
      <w:pPr>
        <w:spacing w:after="0" w:line="20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0000FF"/>
        </w:rPr>
        <w:t xml:space="preserve">1.14 </w:t>
      </w:r>
      <w:r>
        <w:rPr>
          <w:rFonts w:ascii="Arial" w:cs="Arial" w:eastAsia="Arial" w:hAnsi="Arial"/>
          <w:sz w:val="16"/>
          <w:szCs w:val="16"/>
          <w:color w:val="FF0000"/>
          <w:strike w:val="1"/>
        </w:rPr>
        <w:t>1.12</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Listing Standards</w:t>
      </w:r>
      <w:r>
        <w:rPr>
          <w:rFonts w:ascii="Arial" w:cs="Arial" w:eastAsia="Arial" w:hAnsi="Arial"/>
          <w:sz w:val="16"/>
          <w:szCs w:val="16"/>
          <w:color w:val="000000"/>
        </w:rPr>
        <w:t>” means (i) the requirements of any national stock exchange under which the Corporation’s equity</w:t>
      </w:r>
      <w:r>
        <w:rPr>
          <w:rFonts w:ascii="Arial" w:cs="Arial" w:eastAsia="Arial" w:hAnsi="Arial"/>
          <w:sz w:val="16"/>
          <w:szCs w:val="16"/>
          <w:color w:val="0000FF"/>
        </w:rPr>
        <w:t xml:space="preserve"> </w:t>
      </w:r>
      <w:r>
        <w:rPr>
          <w:rFonts w:ascii="Arial" w:cs="Arial" w:eastAsia="Arial" w:hAnsi="Arial"/>
          <w:sz w:val="16"/>
          <w:szCs w:val="16"/>
          <w:color w:val="000000"/>
        </w:rPr>
        <w:t>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-403225</wp:posOffset>
            </wp:positionV>
            <wp:extent cx="4000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u w:val="single" w:color="auto"/>
          <w:color w:val="0000FF"/>
        </w:rPr>
        <w:t>1.15</w:t>
        <w:tab/>
        <w:t>“</w:t>
      </w:r>
      <w:r>
        <w:rPr>
          <w:rFonts w:ascii="Arial" w:cs="Arial" w:eastAsia="Arial" w:hAnsi="Arial"/>
          <w:sz w:val="16"/>
          <w:szCs w:val="16"/>
          <w:b w:val="1"/>
          <w:bCs w:val="1"/>
          <w:i w:val="1"/>
          <w:iCs w:val="1"/>
          <w:u w:val="single" w:color="auto"/>
          <w:color w:val="0000FF"/>
        </w:rPr>
        <w:t>NRS</w:t>
      </w:r>
      <w:r>
        <w:rPr>
          <w:rFonts w:ascii="Arial" w:cs="Arial" w:eastAsia="Arial" w:hAnsi="Arial"/>
          <w:sz w:val="16"/>
          <w:szCs w:val="16"/>
          <w:u w:val="single" w:color="auto"/>
          <w:color w:val="0000FF"/>
        </w:rPr>
        <w:t>” means Chapters 78 and 92A of the Nevada Revised Statutes, as amended from time to time, and any successor statutes.</w:t>
      </w:r>
    </w:p>
    <w:p>
      <w:pPr>
        <w:spacing w:after="0" w:line="22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6"/>
          <w:szCs w:val="16"/>
          <w:color w:val="0000FF"/>
        </w:rPr>
        <w:t>1.16</w:t>
      </w:r>
      <w:r>
        <w:rPr>
          <w:sz w:val="20"/>
          <w:szCs w:val="20"/>
          <w:color w:val="auto"/>
        </w:rPr>
        <w:tab/>
      </w:r>
      <w:r>
        <w:rPr>
          <w:rFonts w:ascii="Arial" w:cs="Arial" w:eastAsia="Arial" w:hAnsi="Arial"/>
          <w:sz w:val="16"/>
          <w:szCs w:val="16"/>
          <w:color w:val="FF0000"/>
          <w:strike w:val="1"/>
        </w:rPr>
        <w:t xml:space="preserve">1.13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Parent</w:t>
      </w:r>
      <w:r>
        <w:rPr>
          <w:rFonts w:ascii="Arial" w:cs="Arial" w:eastAsia="Arial" w:hAnsi="Arial"/>
          <w:sz w:val="16"/>
          <w:szCs w:val="16"/>
          <w:color w:val="000000"/>
          <w:strike w:val="1"/>
        </w:rPr>
        <w:t>” of an entity means any entity that directly or indirectly owns or controls a majority of the voting power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403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securities of such entity.</w:t>
      </w:r>
    </w:p>
    <w:p>
      <w:pPr>
        <w:spacing w:after="0" w:line="20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6"/>
          <w:szCs w:val="16"/>
          <w:color w:val="0000FF"/>
        </w:rPr>
        <w:t>1.17</w:t>
      </w:r>
      <w:r>
        <w:rPr>
          <w:sz w:val="20"/>
          <w:szCs w:val="20"/>
          <w:color w:val="auto"/>
        </w:rPr>
        <w:tab/>
      </w:r>
      <w:r>
        <w:rPr>
          <w:rFonts w:ascii="Arial" w:cs="Arial" w:eastAsia="Arial" w:hAnsi="Arial"/>
          <w:sz w:val="16"/>
          <w:szCs w:val="16"/>
          <w:color w:val="FF0000"/>
          <w:strike w:val="1"/>
        </w:rPr>
        <w:t xml:space="preserve">1.14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Permitted Entity</w:t>
      </w:r>
      <w:r>
        <w:rPr>
          <w:rFonts w:ascii="Arial" w:cs="Arial" w:eastAsia="Arial" w:hAnsi="Arial"/>
          <w:sz w:val="16"/>
          <w:szCs w:val="16"/>
          <w:color w:val="000000"/>
          <w:strike w:val="1"/>
        </w:rPr>
        <w:t>” means, with respect to any Qualified Stockholder, any trust, account, plan, corporation, partnership,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575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57505" cy="8255"/>
                    </a:xfrm>
                    <a:prstGeom prst="rect">
                      <a:avLst/>
                    </a:prstGeom>
                    <a:noFill/>
                  </pic:spPr>
                </pic:pic>
              </a:graphicData>
            </a:graphic>
          </wp:anchor>
        </w:drawing>
      </w:r>
    </w:p>
    <w:p>
      <w:pPr>
        <w:spacing w:after="0" w:line="1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limited liability company specified in </w:t>
      </w:r>
      <w:r>
        <w:rPr>
          <w:rFonts w:ascii="Arial" w:cs="Arial" w:eastAsia="Arial" w:hAnsi="Arial"/>
          <w:sz w:val="16"/>
          <w:szCs w:val="16"/>
          <w:u w:val="single" w:color="auto"/>
          <w:color w:val="auto"/>
        </w:rPr>
        <w:t>Section V.1.15(b)</w:t>
      </w:r>
      <w:r>
        <w:rPr>
          <w:rFonts w:ascii="Arial" w:cs="Arial" w:eastAsia="Arial" w:hAnsi="Arial"/>
          <w:sz w:val="16"/>
          <w:szCs w:val="16"/>
          <w:color w:val="auto"/>
        </w:rPr>
        <w:t xml:space="preserve"> with respect to such Qualified Stockholder, so long as such Permitted Entity meets the requirements of the exception set forth in </w:t>
      </w:r>
      <w:r>
        <w:rPr>
          <w:rFonts w:ascii="Arial" w:cs="Arial" w:eastAsia="Arial" w:hAnsi="Arial"/>
          <w:sz w:val="16"/>
          <w:szCs w:val="16"/>
          <w:u w:val="single" w:color="auto"/>
          <w:color w:val="auto"/>
        </w:rPr>
        <w:t>Section V.1.15</w:t>
      </w:r>
      <w:r>
        <w:rPr>
          <w:rFonts w:ascii="Arial" w:cs="Arial" w:eastAsia="Arial" w:hAnsi="Arial"/>
          <w:sz w:val="16"/>
          <w:szCs w:val="16"/>
          <w:color w:val="auto"/>
        </w:rPr>
        <w:t xml:space="preserve"> applicable to such Permitted Entity.</w:t>
      </w:r>
    </w:p>
    <w:p>
      <w:pPr>
        <w:spacing w:after="0" w:line="17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0000FF"/>
        </w:rPr>
        <w:t>1.18</w:t>
      </w:r>
      <w:r>
        <w:rPr>
          <w:sz w:val="20"/>
          <w:szCs w:val="20"/>
          <w:color w:val="auto"/>
        </w:rPr>
        <w:tab/>
      </w:r>
      <w:r>
        <w:rPr>
          <w:rFonts w:ascii="Arial" w:cs="Arial" w:eastAsia="Arial" w:hAnsi="Arial"/>
          <w:sz w:val="16"/>
          <w:szCs w:val="16"/>
          <w:color w:val="FF0000"/>
          <w:strike w:val="1"/>
        </w:rPr>
        <w:t xml:space="preserve">1.15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Permitted Transfer</w:t>
      </w:r>
      <w:r>
        <w:rPr>
          <w:rFonts w:ascii="Arial" w:cs="Arial" w:eastAsia="Arial" w:hAnsi="Arial"/>
          <w:sz w:val="16"/>
          <w:szCs w:val="16"/>
          <w:color w:val="000000"/>
          <w:strike w:val="1"/>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14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15" w:lineRule="exact"/>
        <w:rPr>
          <w:sz w:val="20"/>
          <w:szCs w:val="20"/>
          <w:color w:val="auto"/>
        </w:rPr>
      </w:pPr>
    </w:p>
    <w:p>
      <w:pPr>
        <w:jc w:val="both"/>
        <w:ind w:firstLine="1952"/>
        <w:spacing w:after="0" w:line="275" w:lineRule="auto"/>
        <w:tabs>
          <w:tab w:leader="none" w:pos="23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64" w:lineRule="exact"/>
        <w:rPr>
          <w:rFonts w:ascii="Arial" w:cs="Arial" w:eastAsia="Arial" w:hAnsi="Arial"/>
          <w:sz w:val="16"/>
          <w:szCs w:val="16"/>
          <w:color w:val="auto"/>
        </w:rPr>
      </w:pPr>
    </w:p>
    <w:p>
      <w:pPr>
        <w:ind w:right="20" w:firstLine="1952"/>
        <w:spacing w:after="0" w:line="286" w:lineRule="auto"/>
        <w:tabs>
          <w:tab w:leader="none" w:pos="235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69" w:lineRule="exact"/>
        <w:rPr>
          <w:rFonts w:ascii="Arial" w:cs="Arial" w:eastAsia="Arial" w:hAnsi="Arial"/>
          <w:sz w:val="16"/>
          <w:szCs w:val="16"/>
          <w:color w:val="auto"/>
        </w:rPr>
      </w:pPr>
    </w:p>
    <w:p>
      <w:pPr>
        <w:jc w:val="both"/>
        <w:ind w:firstLine="2600"/>
        <w:spacing w:after="0" w:line="260" w:lineRule="auto"/>
        <w:tabs>
          <w:tab w:leader="none" w:pos="297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91" w:lineRule="exact"/>
        <w:rPr>
          <w:rFonts w:ascii="Arial" w:cs="Arial" w:eastAsia="Arial" w:hAnsi="Arial"/>
          <w:sz w:val="16"/>
          <w:szCs w:val="16"/>
          <w:color w:val="auto"/>
        </w:rPr>
      </w:pPr>
    </w:p>
    <w:p>
      <w:pPr>
        <w:jc w:val="both"/>
        <w:ind w:firstLine="2600"/>
        <w:spacing w:after="0" w:line="260" w:lineRule="auto"/>
        <w:tabs>
          <w:tab w:leader="none" w:pos="300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91" w:lineRule="exact"/>
        <w:rPr>
          <w:rFonts w:ascii="Arial" w:cs="Arial" w:eastAsia="Arial" w:hAnsi="Arial"/>
          <w:sz w:val="16"/>
          <w:szCs w:val="16"/>
          <w:color w:val="auto"/>
        </w:rPr>
      </w:pPr>
    </w:p>
    <w:p>
      <w:pPr>
        <w:jc w:val="both"/>
        <w:ind w:firstLine="2600"/>
        <w:spacing w:after="0" w:line="261" w:lineRule="auto"/>
        <w:tabs>
          <w:tab w:leader="none" w:pos="301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convert into one (1) fully paid and nonassessable share of Class A Common Stock;</w:t>
      </w:r>
    </w:p>
    <w:p>
      <w:pPr>
        <w:spacing w:after="0" w:line="176" w:lineRule="exact"/>
        <w:rPr>
          <w:rFonts w:ascii="Arial" w:cs="Arial" w:eastAsia="Arial" w:hAnsi="Arial"/>
          <w:sz w:val="16"/>
          <w:szCs w:val="16"/>
          <w:color w:val="auto"/>
        </w:rPr>
      </w:pPr>
    </w:p>
    <w:p>
      <w:pPr>
        <w:jc w:val="both"/>
        <w:ind w:firstLine="2600"/>
        <w:spacing w:after="0" w:line="261" w:lineRule="auto"/>
        <w:tabs>
          <w:tab w:leader="none" w:pos="306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76" w:lineRule="exact"/>
        <w:rPr>
          <w:rFonts w:ascii="Arial" w:cs="Arial" w:eastAsia="Arial" w:hAnsi="Arial"/>
          <w:sz w:val="16"/>
          <w:szCs w:val="16"/>
          <w:color w:val="auto"/>
        </w:rPr>
      </w:pPr>
    </w:p>
    <w:p>
      <w:pPr>
        <w:jc w:val="both"/>
        <w:ind w:firstLine="2600"/>
        <w:spacing w:after="0" w:line="262" w:lineRule="auto"/>
        <w:tabs>
          <w:tab w:leader="none" w:pos="304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both"/>
        <w:ind w:firstLine="2600"/>
        <w:spacing w:after="0" w:line="259" w:lineRule="auto"/>
        <w:tabs>
          <w:tab w:leader="none" w:pos="301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16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000FF"/>
        </w:rPr>
        <w:t xml:space="preserve">1.19 </w:t>
      </w:r>
      <w:r>
        <w:rPr>
          <w:rFonts w:ascii="Arial" w:cs="Arial" w:eastAsia="Arial" w:hAnsi="Arial"/>
          <w:sz w:val="16"/>
          <w:szCs w:val="16"/>
          <w:color w:val="FF0000"/>
          <w:strike w:val="1"/>
        </w:rPr>
        <w:t>1.16</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Permitted Transferee</w:t>
      </w:r>
      <w:r>
        <w:rPr>
          <w:rFonts w:ascii="Arial" w:cs="Arial" w:eastAsia="Arial" w:hAnsi="Arial"/>
          <w:sz w:val="16"/>
          <w:szCs w:val="16"/>
          <w:color w:val="000000"/>
        </w:rPr>
        <w:t>” means a transferee of shares of Class B Common Stock, or rights or interests therein, received in a</w:t>
      </w:r>
      <w:r>
        <w:rPr>
          <w:rFonts w:ascii="Arial" w:cs="Arial" w:eastAsia="Arial" w:hAnsi="Arial"/>
          <w:sz w:val="16"/>
          <w:szCs w:val="16"/>
          <w:color w:val="0000FF"/>
        </w:rPr>
        <w:t xml:space="preserve"> </w:t>
      </w:r>
      <w:r>
        <w:rPr>
          <w:rFonts w:ascii="Arial" w:cs="Arial" w:eastAsia="Arial" w:hAnsi="Arial"/>
          <w:sz w:val="16"/>
          <w:szCs w:val="16"/>
          <w:color w:val="000000"/>
        </w:rPr>
        <w:t>Transfer that constitutes a Permitted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31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3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6"/>
          <w:szCs w:val="16"/>
          <w:color w:val="0000FF"/>
        </w:rPr>
        <w:t>1.20</w:t>
      </w:r>
      <w:r>
        <w:rPr>
          <w:sz w:val="20"/>
          <w:szCs w:val="20"/>
          <w:color w:val="auto"/>
        </w:rPr>
        <w:tab/>
      </w:r>
      <w:r>
        <w:rPr>
          <w:rFonts w:ascii="Arial" w:cs="Arial" w:eastAsia="Arial" w:hAnsi="Arial"/>
          <w:sz w:val="16"/>
          <w:szCs w:val="16"/>
          <w:color w:val="FF0000"/>
          <w:strike w:val="1"/>
        </w:rPr>
        <w:t xml:space="preserve">1.17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Qualified Stockholder</w:t>
      </w:r>
      <w:r>
        <w:rPr>
          <w:rFonts w:ascii="Arial" w:cs="Arial" w:eastAsia="Arial" w:hAnsi="Arial"/>
          <w:sz w:val="16"/>
          <w:szCs w:val="16"/>
          <w:color w:val="000000"/>
          <w:strike w:val="1"/>
        </w:rPr>
        <w:t>” means (a) any registered holder of a share of the Delaware Corporation’s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403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immediately after the IPO Date; (b) the initial registered holder of any shares of the Delaware Corporation’s Class B Common Stock that are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that, in each case, were outstanding as the IPO Date or issued in connection with the Conversion, as applicable; (c) a Permitted Transferee; and (d) the initial registered holder of any shares of the Delaware Corporation’s Class B Common Stock that were originally issued by the Delaware Corporation after the IPO Date in compliance with the certificate of incorporation of the Delaware Corporation or any shares of Class B Common Stock that are issued by the Corporation in connection with the Conversion or otherwise issued by the Corporation after the effectiveness of these Articles in compliance with these Articles.</w:t>
      </w:r>
    </w:p>
    <w:p>
      <w:pPr>
        <w:spacing w:after="0" w:line="18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6"/>
          <w:szCs w:val="16"/>
          <w:color w:val="0000FF"/>
        </w:rPr>
        <w:t>1.21</w:t>
      </w:r>
      <w:r>
        <w:rPr>
          <w:sz w:val="20"/>
          <w:szCs w:val="20"/>
          <w:color w:val="auto"/>
        </w:rPr>
        <w:tab/>
      </w:r>
      <w:r>
        <w:rPr>
          <w:rFonts w:ascii="Arial" w:cs="Arial" w:eastAsia="Arial" w:hAnsi="Arial"/>
          <w:sz w:val="16"/>
          <w:szCs w:val="16"/>
          <w:color w:val="FF0000"/>
          <w:strike w:val="1"/>
        </w:rPr>
        <w:t xml:space="preserve">1.18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Transfer</w:t>
      </w:r>
      <w:r>
        <w:rPr>
          <w:rFonts w:ascii="Arial" w:cs="Arial" w:eastAsia="Arial" w:hAnsi="Arial"/>
          <w:sz w:val="16"/>
          <w:szCs w:val="16"/>
          <w:color w:val="000000"/>
          <w:strike w:val="1"/>
        </w:rPr>
        <w:t>” of a share of Class B Common Stock means, directly or indirectly, any sale, assignment, transfer,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575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7505" cy="8890"/>
                    </a:xfrm>
                    <a:prstGeom prst="rect">
                      <a:avLst/>
                    </a:prstGeom>
                    <a:noFill/>
                  </pic:spPr>
                </pic:pic>
              </a:graphicData>
            </a:graphic>
          </wp:anchor>
        </w:drawing>
      </w:r>
    </w:p>
    <w:p>
      <w:pPr>
        <w:spacing w:after="0" w:line="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hypothecation or other transfer or disposition of such share or any legal or beneficial interest in such share, whether or not for value and whether voluntary or involuntary or by operation of law (including by merger, consolidation or otherwise),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will also be deemed to have occurred with respect to all shares of Class B Common Stock beneficially held by an entity that is a Qualified Stockholder, if after the IPO Date there is a Transfer of the voting power of the voting securities of such entity or any direct or indirect Parent of such entity, such that the previous holders of such voting power no longer retain sole dispositive power and exclusive Voting Control with respect to the shares of Class B Common Stock held by such entity. Notwithstanding the foregoing, the following will not be considered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w:t>
      </w:r>
    </w:p>
    <w:p>
      <w:pPr>
        <w:spacing w:after="0" w:line="170" w:lineRule="exact"/>
        <w:rPr>
          <w:sz w:val="20"/>
          <w:szCs w:val="20"/>
          <w:color w:val="auto"/>
        </w:rPr>
      </w:pPr>
    </w:p>
    <w:p>
      <w:pPr>
        <w:ind w:firstLine="1304"/>
        <w:spacing w:after="0" w:line="286" w:lineRule="auto"/>
        <w:tabs>
          <w:tab w:leader="none" w:pos="167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69" w:lineRule="exact"/>
        <w:rPr>
          <w:rFonts w:ascii="Arial" w:cs="Arial" w:eastAsia="Arial" w:hAnsi="Arial"/>
          <w:sz w:val="16"/>
          <w:szCs w:val="16"/>
          <w:color w:val="auto"/>
        </w:rPr>
      </w:pPr>
    </w:p>
    <w:p>
      <w:pPr>
        <w:jc w:val="both"/>
        <w:ind w:firstLine="1304"/>
        <w:spacing w:after="0" w:line="260" w:lineRule="auto"/>
        <w:tabs>
          <w:tab w:leader="none" w:pos="1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91" w:lineRule="exact"/>
        <w:rPr>
          <w:rFonts w:ascii="Arial" w:cs="Arial" w:eastAsia="Arial" w:hAnsi="Arial"/>
          <w:sz w:val="16"/>
          <w:szCs w:val="16"/>
          <w:color w:val="auto"/>
        </w:rPr>
      </w:pPr>
    </w:p>
    <w:p>
      <w:pPr>
        <w:jc w:val="both"/>
        <w:ind w:firstLine="1304"/>
        <w:spacing w:after="0" w:line="265" w:lineRule="auto"/>
        <w:tabs>
          <w:tab w:leader="none" w:pos="168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72" w:lineRule="exact"/>
        <w:rPr>
          <w:rFonts w:ascii="Arial" w:cs="Arial" w:eastAsia="Arial" w:hAnsi="Arial"/>
          <w:sz w:val="16"/>
          <w:szCs w:val="16"/>
          <w:color w:val="auto"/>
        </w:rPr>
      </w:pPr>
    </w:p>
    <w:p>
      <w:pPr>
        <w:jc w:val="both"/>
        <w:ind w:firstLine="1304"/>
        <w:spacing w:after="0" w:line="275" w:lineRule="auto"/>
        <w:tabs>
          <w:tab w:leader="none" w:pos="17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both"/>
        <w:ind w:firstLine="1304"/>
        <w:spacing w:after="0" w:line="265" w:lineRule="auto"/>
        <w:tabs>
          <w:tab w:leader="none" w:pos="17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172" w:lineRule="exact"/>
        <w:rPr>
          <w:rFonts w:ascii="Arial" w:cs="Arial" w:eastAsia="Arial" w:hAnsi="Arial"/>
          <w:sz w:val="16"/>
          <w:szCs w:val="16"/>
          <w:color w:val="auto"/>
        </w:rPr>
      </w:pPr>
    </w:p>
    <w:p>
      <w:pPr>
        <w:jc w:val="both"/>
        <w:ind w:firstLine="1304"/>
        <w:spacing w:after="0" w:line="275" w:lineRule="auto"/>
        <w:tabs>
          <w:tab w:leader="none" w:pos="164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64" w:lineRule="exact"/>
        <w:rPr>
          <w:rFonts w:ascii="Arial" w:cs="Arial" w:eastAsia="Arial" w:hAnsi="Arial"/>
          <w:sz w:val="16"/>
          <w:szCs w:val="16"/>
          <w:color w:val="auto"/>
        </w:rPr>
      </w:pPr>
    </w:p>
    <w:p>
      <w:pPr>
        <w:jc w:val="both"/>
        <w:ind w:firstLine="1304"/>
        <w:spacing w:after="0" w:line="287" w:lineRule="auto"/>
        <w:tabs>
          <w:tab w:leader="none" w:pos="1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356" w:lineRule="exact"/>
        <w:rPr>
          <w:rFonts w:ascii="Arial" w:cs="Arial" w:eastAsia="Arial" w:hAnsi="Arial"/>
          <w:sz w:val="16"/>
          <w:szCs w:val="16"/>
          <w:color w:val="auto"/>
        </w:rPr>
      </w:pPr>
    </w:p>
    <w:p>
      <w:pPr>
        <w:jc w:val="both"/>
        <w:ind w:firstLine="1304"/>
        <w:spacing w:after="0" w:line="275" w:lineRule="auto"/>
        <w:tabs>
          <w:tab w:leader="none" w:pos="171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64" w:lineRule="exact"/>
        <w:rPr>
          <w:rFonts w:ascii="Arial" w:cs="Arial" w:eastAsia="Arial" w:hAnsi="Arial"/>
          <w:sz w:val="16"/>
          <w:szCs w:val="16"/>
          <w:color w:val="auto"/>
        </w:rPr>
      </w:pPr>
    </w:p>
    <w:p>
      <w:pPr>
        <w:ind w:firstLine="1304"/>
        <w:spacing w:after="0" w:line="304" w:lineRule="auto"/>
        <w:tabs>
          <w:tab w:leader="none" w:pos="172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4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6"/>
          <w:szCs w:val="16"/>
          <w:color w:val="0000FF"/>
        </w:rPr>
        <w:t>1.22</w:t>
      </w:r>
      <w:r>
        <w:rPr>
          <w:sz w:val="20"/>
          <w:szCs w:val="20"/>
          <w:color w:val="auto"/>
        </w:rPr>
        <w:tab/>
      </w:r>
      <w:r>
        <w:rPr>
          <w:rFonts w:ascii="Arial" w:cs="Arial" w:eastAsia="Arial" w:hAnsi="Arial"/>
          <w:sz w:val="16"/>
          <w:szCs w:val="16"/>
          <w:color w:val="FF0000"/>
          <w:strike w:val="1"/>
        </w:rPr>
        <w:t xml:space="preserve">1.19 </w:t>
      </w:r>
      <w:r>
        <w:rPr>
          <w:rFonts w:ascii="Arial" w:cs="Arial" w:eastAsia="Arial" w:hAnsi="Arial"/>
          <w:sz w:val="16"/>
          <w:szCs w:val="16"/>
          <w:color w:val="000000"/>
          <w:strike w:val="1"/>
        </w:rPr>
        <w:t>“</w:t>
      </w:r>
      <w:r>
        <w:rPr>
          <w:rFonts w:ascii="Arial" w:cs="Arial" w:eastAsia="Arial" w:hAnsi="Arial"/>
          <w:sz w:val="16"/>
          <w:szCs w:val="16"/>
          <w:b w:val="1"/>
          <w:bCs w:val="1"/>
          <w:i w:val="1"/>
          <w:iCs w:val="1"/>
          <w:color w:val="000000"/>
          <w:strike w:val="1"/>
        </w:rPr>
        <w:t>Voting Control</w:t>
      </w:r>
      <w:r>
        <w:rPr>
          <w:rFonts w:ascii="Arial" w:cs="Arial" w:eastAsia="Arial" w:hAnsi="Arial"/>
          <w:sz w:val="16"/>
          <w:szCs w:val="16"/>
          <w:color w:val="000000"/>
          <w:strike w:val="1"/>
        </w:rPr>
        <w:t>” means, with respect to a share of capital stock or other security, the power (whether exclusive or shared)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-4445</wp:posOffset>
            </wp:positionV>
            <wp:extent cx="3232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vote or direct the voting of such security, including by proxy, voting agreement or otherwise.</w:t>
      </w:r>
    </w:p>
    <w:p>
      <w:pPr>
        <w:spacing w:after="0" w:line="20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0000FF"/>
        </w:rPr>
        <w:t xml:space="preserve">1.23 </w:t>
      </w:r>
      <w:r>
        <w:rPr>
          <w:rFonts w:ascii="Arial" w:cs="Arial" w:eastAsia="Arial" w:hAnsi="Arial"/>
          <w:sz w:val="16"/>
          <w:szCs w:val="16"/>
          <w:color w:val="FF0000"/>
          <w:strike w:val="1"/>
        </w:rPr>
        <w:t>1.20</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Voting Threshold Date</w:t>
      </w:r>
      <w:r>
        <w:rPr>
          <w:rFonts w:ascii="Arial" w:cs="Arial" w:eastAsia="Arial" w:hAnsi="Arial"/>
          <w:sz w:val="16"/>
          <w:szCs w:val="16"/>
          <w:color w:val="000000"/>
        </w:rPr>
        <w:t>” means the first date on which the outstanding shares of Class B Common Stock represent less than</w:t>
      </w:r>
      <w:r>
        <w:rPr>
          <w:rFonts w:ascii="Arial" w:cs="Arial" w:eastAsia="Arial" w:hAnsi="Arial"/>
          <w:sz w:val="16"/>
          <w:szCs w:val="16"/>
          <w:color w:val="0000FF"/>
        </w:rPr>
        <w:t xml:space="preserve"> </w:t>
      </w:r>
      <w:r>
        <w:rPr>
          <w:rFonts w:ascii="Arial" w:cs="Arial" w:eastAsia="Arial" w:hAnsi="Arial"/>
          <w:sz w:val="16"/>
          <w:szCs w:val="16"/>
          <w:color w:val="000000"/>
        </w:rPr>
        <w:t>a majority of the total voting power of the then outstanding shares of the Corporation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14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4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0000FF"/>
        </w:rPr>
        <w:t xml:space="preserve">1.24 </w:t>
      </w:r>
      <w:r>
        <w:rPr>
          <w:rFonts w:ascii="Arial" w:cs="Arial" w:eastAsia="Arial" w:hAnsi="Arial"/>
          <w:sz w:val="16"/>
          <w:szCs w:val="16"/>
          <w:color w:val="FF0000"/>
          <w:strike w:val="1"/>
        </w:rPr>
        <w:t>1.21</w:t>
      </w:r>
      <w:r>
        <w:rPr>
          <w:rFonts w:ascii="Arial" w:cs="Arial" w:eastAsia="Arial" w:hAnsi="Arial"/>
          <w:sz w:val="16"/>
          <w:szCs w:val="16"/>
          <w:color w:val="0000FF"/>
        </w:rPr>
        <w:t xml:space="preserve"> </w:t>
      </w:r>
      <w:r>
        <w:rPr>
          <w:rFonts w:ascii="Arial" w:cs="Arial" w:eastAsia="Arial" w:hAnsi="Arial"/>
          <w:sz w:val="16"/>
          <w:szCs w:val="16"/>
          <w:color w:val="000000"/>
        </w:rPr>
        <w:t>“</w:t>
      </w:r>
      <w:r>
        <w:rPr>
          <w:rFonts w:ascii="Arial" w:cs="Arial" w:eastAsia="Arial" w:hAnsi="Arial"/>
          <w:sz w:val="16"/>
          <w:szCs w:val="16"/>
          <w:b w:val="1"/>
          <w:bCs w:val="1"/>
          <w:i w:val="1"/>
          <w:iCs w:val="1"/>
          <w:color w:val="000000"/>
        </w:rPr>
        <w:t>Whole Board</w:t>
      </w:r>
      <w:r>
        <w:rPr>
          <w:rFonts w:ascii="Arial" w:cs="Arial" w:eastAsia="Arial" w:hAnsi="Arial"/>
          <w:sz w:val="16"/>
          <w:szCs w:val="16"/>
          <w:color w:val="000000"/>
        </w:rPr>
        <w:t>” means the total number of authorized directors whether or not there exist any vacancies or unfilled seats in</w:t>
      </w:r>
      <w:r>
        <w:rPr>
          <w:rFonts w:ascii="Arial" w:cs="Arial" w:eastAsia="Arial" w:hAnsi="Arial"/>
          <w:sz w:val="16"/>
          <w:szCs w:val="16"/>
          <w:color w:val="0000FF"/>
        </w:rPr>
        <w:t xml:space="preserve"> </w:t>
      </w:r>
      <w:r>
        <w:rPr>
          <w:rFonts w:ascii="Arial" w:cs="Arial" w:eastAsia="Arial" w:hAnsi="Arial"/>
          <w:sz w:val="16"/>
          <w:szCs w:val="16"/>
          <w:color w:val="000000"/>
        </w:rPr>
        <w:t>previously authorized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-165735</wp:posOffset>
            </wp:positionV>
            <wp:extent cx="3403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49" w:lineRule="exact"/>
        <w:rPr>
          <w:sz w:val="20"/>
          <w:szCs w:val="20"/>
          <w:color w:val="auto"/>
        </w:rPr>
      </w:pPr>
    </w:p>
    <w:p>
      <w:pPr>
        <w:jc w:val="both"/>
        <w:ind w:firstLine="656"/>
        <w:spacing w:after="0" w:line="266" w:lineRule="auto"/>
        <w:tabs>
          <w:tab w:leader="none" w:pos="100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Identical Rights</w:t>
      </w:r>
      <w:r>
        <w:rPr>
          <w:rFonts w:ascii="Arial" w:cs="Arial" w:eastAsia="Arial" w:hAnsi="Arial"/>
          <w:sz w:val="16"/>
          <w:szCs w:val="16"/>
          <w:color w:val="auto"/>
        </w:rPr>
        <w:t xml:space="preserve">. Except as otherwise provided in these Articles or required by applicable law, shares of Common Stock shall have the same rights and powers, rank equally (including as to dividends and </w:t>
      </w:r>
      <w:r>
        <w:rPr>
          <w:rFonts w:ascii="Arial" w:cs="Arial" w:eastAsia="Arial" w:hAnsi="Arial"/>
          <w:sz w:val="16"/>
          <w:szCs w:val="16"/>
          <w:u w:val="single" w:color="auto"/>
          <w:color w:val="0000FF"/>
        </w:rPr>
        <w:t>other</w:t>
      </w:r>
      <w:r>
        <w:rPr>
          <w:rFonts w:ascii="Arial" w:cs="Arial" w:eastAsia="Arial" w:hAnsi="Arial"/>
          <w:sz w:val="16"/>
          <w:szCs w:val="16"/>
          <w:color w:val="auto"/>
        </w:rPr>
        <w:t xml:space="preserve"> distributions, and any liquidation, dissolution or winding up of the corporation but excluding voting and other matters as described in </w:t>
      </w:r>
      <w:r>
        <w:rPr>
          <w:rFonts w:ascii="Arial" w:cs="Arial" w:eastAsia="Arial" w:hAnsi="Arial"/>
          <w:sz w:val="16"/>
          <w:szCs w:val="16"/>
          <w:u w:val="single" w:color="auto"/>
          <w:color w:val="auto"/>
        </w:rPr>
        <w:t>Section V.3</w:t>
      </w:r>
      <w:r>
        <w:rPr>
          <w:rFonts w:ascii="Arial" w:cs="Arial" w:eastAsia="Arial" w:hAnsi="Arial"/>
          <w:sz w:val="16"/>
          <w:szCs w:val="16"/>
          <w:color w:val="auto"/>
        </w:rPr>
        <w:t xml:space="preserve"> below), share ratably and be identical in all respects as to all matters, including:</w:t>
      </w:r>
    </w:p>
    <w:p>
      <w:pPr>
        <w:spacing w:after="0" w:line="18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2.1 Subject to the prior rights of holders of all classes and series of stock at the time outstanding having prior rights as to dividends or </w:t>
      </w:r>
      <w:r>
        <w:rPr>
          <w:rFonts w:ascii="Arial" w:cs="Arial" w:eastAsia="Arial" w:hAnsi="Arial"/>
          <w:sz w:val="16"/>
          <w:szCs w:val="16"/>
          <w:u w:val="single" w:color="auto"/>
          <w:color w:val="0000FF"/>
        </w:rPr>
        <w:t>other</w:t>
      </w:r>
      <w:r>
        <w:rPr>
          <w:rFonts w:ascii="Arial" w:cs="Arial" w:eastAsia="Arial" w:hAnsi="Arial"/>
          <w:sz w:val="16"/>
          <w:szCs w:val="16"/>
          <w:color w:val="0000FF"/>
        </w:rPr>
        <w:t xml:space="preserve"> </w:t>
      </w:r>
      <w:r>
        <w:rPr>
          <w:rFonts w:ascii="Arial" w:cs="Arial" w:eastAsia="Arial" w:hAnsi="Arial"/>
          <w:sz w:val="16"/>
          <w:szCs w:val="16"/>
          <w:color w:val="000000"/>
        </w:rPr>
        <w:t>distributions, the holders of the Common Stock shall be entitled to receive, when, as and if declared by the Board, out of any assets of the Corporation</w:t>
      </w:r>
      <w:r>
        <w:rPr>
          <w:rFonts w:ascii="Arial" w:cs="Arial" w:eastAsia="Arial" w:hAnsi="Arial"/>
          <w:sz w:val="16"/>
          <w:szCs w:val="16"/>
          <w:color w:val="0000FF"/>
        </w:rPr>
        <w:t xml:space="preserve"> </w:t>
      </w:r>
      <w:r>
        <w:rPr>
          <w:rFonts w:ascii="Arial" w:cs="Arial" w:eastAsia="Arial" w:hAnsi="Arial"/>
          <w:sz w:val="16"/>
          <w:szCs w:val="16"/>
          <w:color w:val="000000"/>
        </w:rPr>
        <w:t xml:space="preserve">legally available therefor, such dividends or </w:t>
      </w:r>
      <w:r>
        <w:rPr>
          <w:rFonts w:ascii="Arial" w:cs="Arial" w:eastAsia="Arial" w:hAnsi="Arial"/>
          <w:sz w:val="16"/>
          <w:szCs w:val="16"/>
          <w:u w:val="single" w:color="auto"/>
          <w:color w:val="0000FF"/>
        </w:rPr>
        <w:t>other</w:t>
      </w:r>
      <w:r>
        <w:rPr>
          <w:rFonts w:ascii="Arial" w:cs="Arial" w:eastAsia="Arial" w:hAnsi="Arial"/>
          <w:sz w:val="16"/>
          <w:szCs w:val="16"/>
          <w:color w:val="000000"/>
        </w:rPr>
        <w:t xml:space="preserve"> distributions as may be declared from time to time by the Board. Any dividends or </w:t>
      </w:r>
      <w:r>
        <w:rPr>
          <w:rFonts w:ascii="Arial" w:cs="Arial" w:eastAsia="Arial" w:hAnsi="Arial"/>
          <w:sz w:val="16"/>
          <w:szCs w:val="16"/>
          <w:u w:val="single" w:color="auto"/>
          <w:color w:val="0000FF"/>
        </w:rPr>
        <w:t>other</w:t>
      </w:r>
      <w:r>
        <w:rPr>
          <w:rFonts w:ascii="Arial" w:cs="Arial" w:eastAsia="Arial" w:hAnsi="Arial"/>
          <w:sz w:val="16"/>
          <w:szCs w:val="16"/>
          <w:color w:val="000000"/>
        </w:rPr>
        <w:t xml:space="preserve"> distributions paid to the holders of shares of Common Stock shall be paid </w:t>
      </w:r>
      <w:r>
        <w:rPr>
          <w:rFonts w:ascii="Arial" w:cs="Arial" w:eastAsia="Arial" w:hAnsi="Arial"/>
          <w:sz w:val="16"/>
          <w:szCs w:val="16"/>
          <w:i w:val="1"/>
          <w:iCs w:val="1"/>
          <w:color w:val="000000"/>
        </w:rPr>
        <w:t>pro rata</w:t>
      </w:r>
      <w:r>
        <w:rPr>
          <w:rFonts w:ascii="Arial" w:cs="Arial" w:eastAsia="Arial" w:hAnsi="Arial"/>
          <w:sz w:val="16"/>
          <w:szCs w:val="16"/>
          <w:color w:val="000000"/>
        </w:rPr>
        <w:t xml:space="preserve">, on an equal priority, </w:t>
      </w:r>
      <w:r>
        <w:rPr>
          <w:rFonts w:ascii="Arial" w:cs="Arial" w:eastAsia="Arial" w:hAnsi="Arial"/>
          <w:sz w:val="16"/>
          <w:szCs w:val="16"/>
          <w:i w:val="1"/>
          <w:iCs w:val="1"/>
          <w:color w:val="000000"/>
        </w:rPr>
        <w:t>pari passu</w:t>
      </w:r>
      <w:r>
        <w:rPr>
          <w:rFonts w:ascii="Arial" w:cs="Arial" w:eastAsia="Arial" w:hAnsi="Arial"/>
          <w:sz w:val="16"/>
          <w:szCs w:val="16"/>
          <w:color w:val="000000"/>
        </w:rPr>
        <w:t xml:space="preserve"> 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6"/>
          <w:szCs w:val="16"/>
          <w:color w:val="auto"/>
        </w:rPr>
        <w:t>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or Class C Common Stock if, and only if, a dividend payable in shares of Class B Common Stock and Class C Common Stock, as applicable, or rights to acquire shares of Class B Common Stock or Class C Common Stock, as applicable, are declared and paid to the holders of Class B Common Stock and Class C Common Stock at the same rate and with the same record date and payment date;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or Class C Common Stock if, and only if, a dividend payable in shares of Class A Common Stock and Class C Common Stock, as applicable, or rights to acquire shares of Class A Common Stock or Class C Common Stock, as applicable, are declared and paid to the holders of Class A Common Stock and Class C Common Stock at the same rate and with the same record date and payment date and (iii) dividends or other distributions payable in shares of Class C Common Stock or rights to acquire shares Class C Common Stock may be declared and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the holders of Class C Common Stock without the same dividend or distribution being declared and paid to the holders of Class A Common Stock or Class B Common Stock if, and only if, a dividend payable in shares of Class A Common Stock and Class B Common Stock, as applicable, or rights to acquire shares of Class A Common Stock or Class B Common Stock, as applicable, are declared and paid to the holders of Class A Common Stock and Class B Common Stock at the same rate and with the same record date and payment date; and provided, 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17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41" w:lineRule="exact"/>
        <w:rPr>
          <w:sz w:val="20"/>
          <w:szCs w:val="20"/>
          <w:color w:val="auto"/>
        </w:rPr>
      </w:pPr>
    </w:p>
    <w:p>
      <w:pPr>
        <w:ind w:left="980" w:hanging="324"/>
        <w:spacing w:after="0"/>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23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1" w:lineRule="exact"/>
        <w:rPr>
          <w:sz w:val="20"/>
          <w:szCs w:val="20"/>
          <w:color w:val="auto"/>
        </w:rPr>
      </w:pPr>
    </w:p>
    <w:p>
      <w:pPr>
        <w:ind w:firstLine="1952"/>
        <w:spacing w:after="0" w:line="286" w:lineRule="auto"/>
        <w:tabs>
          <w:tab w:leader="none" w:pos="237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Class A Common Stock</w:t>
      </w:r>
      <w:r>
        <w:rPr>
          <w:rFonts w:ascii="Arial" w:cs="Arial" w:eastAsia="Arial" w:hAnsi="Arial"/>
          <w:sz w:val="16"/>
          <w:szCs w:val="16"/>
          <w:color w:val="auto"/>
        </w:rPr>
        <w:t>. Each holder of shares of Class A Common Stock will be entitled to one (1) vote for each share thereof held at the record date for the determination of the stockholders entitled to vote on such matters.</w:t>
      </w:r>
    </w:p>
    <w:p>
      <w:pPr>
        <w:spacing w:after="0" w:line="169" w:lineRule="exact"/>
        <w:rPr>
          <w:rFonts w:ascii="Arial" w:cs="Arial" w:eastAsia="Arial" w:hAnsi="Arial"/>
          <w:sz w:val="16"/>
          <w:szCs w:val="16"/>
          <w:color w:val="auto"/>
        </w:rPr>
      </w:pPr>
    </w:p>
    <w:p>
      <w:pPr>
        <w:ind w:firstLine="1952"/>
        <w:spacing w:after="0" w:line="286" w:lineRule="auto"/>
        <w:tabs>
          <w:tab w:leader="none" w:pos="234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Class B Common Stock</w:t>
      </w:r>
      <w:r>
        <w:rPr>
          <w:rFonts w:ascii="Arial" w:cs="Arial" w:eastAsia="Arial" w:hAnsi="Arial"/>
          <w:sz w:val="16"/>
          <w:szCs w:val="16"/>
          <w:color w:val="auto"/>
        </w:rPr>
        <w:t>. Each holder of shares of Class B Common Stock will be entitled to ten (10) votes for each share thereof held at the record date for the determination of the stockholders entitled to vote on such matters.</w:t>
      </w:r>
    </w:p>
    <w:p>
      <w:pPr>
        <w:spacing w:after="0" w:line="155" w:lineRule="exact"/>
        <w:rPr>
          <w:rFonts w:ascii="Arial" w:cs="Arial" w:eastAsia="Arial" w:hAnsi="Arial"/>
          <w:sz w:val="16"/>
          <w:szCs w:val="16"/>
          <w:color w:val="auto"/>
        </w:rPr>
      </w:pPr>
    </w:p>
    <w:p>
      <w:pPr>
        <w:jc w:val="both"/>
        <w:ind w:firstLine="1952"/>
        <w:spacing w:after="0" w:line="275" w:lineRule="auto"/>
        <w:tabs>
          <w:tab w:leader="none" w:pos="2367"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Class C Common Stock</w:t>
      </w:r>
      <w:r>
        <w:rPr>
          <w:rFonts w:ascii="Arial" w:cs="Arial" w:eastAsia="Arial" w:hAnsi="Arial"/>
          <w:sz w:val="16"/>
          <w:szCs w:val="16"/>
          <w:color w:val="auto"/>
        </w:rPr>
        <w:t xml:space="preserve">. Except as required by law, the Class C Common Stock will have no voting rights and no holder thereof shall be entitled to vote on any matter. For the avoidance of doubt, any right of the Class C Common Stock, or any holder thereof, to vote pursuant to NRS 78.2055(3)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78.207(3) </w:t>
      </w:r>
      <w:r>
        <w:rPr>
          <w:rFonts w:ascii="Arial" w:cs="Arial" w:eastAsia="Arial" w:hAnsi="Arial"/>
          <w:sz w:val="16"/>
          <w:szCs w:val="16"/>
          <w:u w:val="single" w:color="auto"/>
          <w:color w:val="0000FF"/>
        </w:rPr>
        <w:t>or 78.390(2)</w:t>
      </w:r>
      <w:r>
        <w:rPr>
          <w:rFonts w:ascii="Arial" w:cs="Arial" w:eastAsia="Arial" w:hAnsi="Arial"/>
          <w:sz w:val="16"/>
          <w:szCs w:val="16"/>
          <w:color w:val="auto"/>
        </w:rPr>
        <w:t xml:space="preserve"> is hereby specifically denied.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-83185</wp:posOffset>
            </wp:positionV>
            <wp:extent cx="1200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expressly provided herein or as required by law, the holders of Class A Common Stock, Class B Common Stock and Class C Common Stock will vote together and not as separate series or classes.</w:t>
      </w:r>
    </w:p>
    <w:p>
      <w:pPr>
        <w:spacing w:after="0" w:line="15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Authorized Shares</w:t>
      </w:r>
      <w:r>
        <w:rPr>
          <w:rFonts w:ascii="Arial" w:cs="Arial" w:eastAsia="Arial" w:hAnsi="Arial"/>
          <w:sz w:val="16"/>
          <w:szCs w:val="16"/>
          <w:color w:val="auto"/>
        </w:rPr>
        <w:t xml:space="preserve">.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w:t>
      </w:r>
      <w:r>
        <w:rPr>
          <w:rFonts w:ascii="Arial" w:cs="Arial" w:eastAsia="Arial" w:hAnsi="Arial"/>
          <w:sz w:val="16"/>
          <w:szCs w:val="16"/>
          <w:u w:val="single" w:color="auto"/>
          <w:color w:val="auto"/>
        </w:rPr>
        <w:t>Section V.9</w:t>
      </w:r>
      <w:r>
        <w:rPr>
          <w:rFonts w:ascii="Arial" w:cs="Arial" w:eastAsia="Arial" w:hAnsi="Arial"/>
          <w:sz w:val="16"/>
          <w:szCs w:val="16"/>
          <w:color w:val="auto"/>
        </w:rPr>
        <w:t xml:space="preserve">) by the affirmative vote of the holders of </w:t>
      </w:r>
      <w:r>
        <w:rPr>
          <w:rFonts w:ascii="Arial" w:cs="Arial" w:eastAsia="Arial" w:hAnsi="Arial"/>
          <w:sz w:val="16"/>
          <w:szCs w:val="16"/>
          <w:color w:val="FF0000"/>
          <w:strike w:val="1"/>
        </w:rPr>
        <w:t>a majority of the voting power of</w:t>
      </w:r>
      <w:r>
        <w:rPr>
          <w:rFonts w:ascii="Arial" w:cs="Arial" w:eastAsia="Arial" w:hAnsi="Arial"/>
          <w:sz w:val="16"/>
          <w:szCs w:val="16"/>
          <w:color w:val="auto"/>
        </w:rPr>
        <w:t xml:space="preserve"> the Class A Common Stock and Class B Common Stock, voting together as a single class, irrespective of any applicable provisions of NRS </w:t>
      </w:r>
      <w:r>
        <w:rPr>
          <w:rFonts w:ascii="Arial" w:cs="Arial" w:eastAsia="Arial" w:hAnsi="Arial"/>
          <w:sz w:val="16"/>
          <w:szCs w:val="16"/>
          <w:u w:val="single" w:color="auto"/>
          <w:color w:val="0000FF"/>
        </w:rPr>
        <w:t>78.207(3) and NRS</w:t>
      </w:r>
      <w:r>
        <w:rPr>
          <w:rFonts w:ascii="Arial" w:cs="Arial" w:eastAsia="Arial" w:hAnsi="Arial"/>
          <w:sz w:val="16"/>
          <w:szCs w:val="16"/>
          <w:color w:val="auto"/>
        </w:rPr>
        <w:t xml:space="preserve"> 78.390(2); provided, that the number of authorized shares of Class B Common Stock shall not be increased without the affirmative vote of the holders of a majority of the outstanding shares of Class B Common Stock, voting as a separate class.</w:t>
      </w:r>
    </w:p>
    <w:p>
      <w:pPr>
        <w:spacing w:after="0" w:line="19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Subject to any rights of the holders of any series of Preferred Stock to elect directors under specified circumstances, (i) prior to the Final Conversion Date, the holders of Class A Common Stock and Class B Common Stock, voting together as a single class, shall be entitled to elect and remove all directors of the Corporation, (ii) from and after the Final Conversion Date, until the Class C Conversion Date, if any, the holders of the Class A Common Stock, voting together as a single class, shall be entitled to elect and remove all directors of the Company and (iii) from and after the Class C Conversion Date, if any, the holders of Common Stock, voting together as a single class, shall be entitled to elect and remove all directors of the Company.</w:t>
      </w:r>
    </w:p>
    <w:p>
      <w:pPr>
        <w:spacing w:after="0" w:line="176" w:lineRule="exact"/>
        <w:rPr>
          <w:sz w:val="20"/>
          <w:szCs w:val="20"/>
          <w:color w:val="auto"/>
        </w:rPr>
      </w:pPr>
    </w:p>
    <w:p>
      <w:pPr>
        <w:jc w:val="both"/>
        <w:ind w:firstLine="656"/>
        <w:spacing w:after="0" w:line="258" w:lineRule="auto"/>
        <w:tabs>
          <w:tab w:leader="none" w:pos="97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 Stock and Class C Common Stock, each voting separately as a class; provided,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Arial" w:cs="Arial" w:eastAsia="Arial" w:hAnsi="Arial"/>
          <w:sz w:val="16"/>
          <w:szCs w:val="16"/>
          <w:u w:val="single" w:color="auto"/>
          <w:color w:val="auto"/>
        </w:rPr>
        <w:t>Section V.4</w:t>
      </w:r>
      <w:r>
        <w:rPr>
          <w:rFonts w:ascii="Arial" w:cs="Arial" w:eastAsia="Arial" w:hAnsi="Arial"/>
          <w:sz w:val="16"/>
          <w:szCs w:val="16"/>
          <w:color w:val="auto"/>
        </w:rPr>
        <w:t>; provided, further, however, that shares of such classes may receive, or have the right to elect to receive, different or disproportionate consideration in connection with such consolidation, merger or other transaction if the only difference in the per share consideration to the holders of the Class A Common Stock, Class B Common Stock and Class C Common Stock is that any securities distributed to the holder of a share of Class B Common Stock have ten (10) times the voting power of any securities distributed to the holder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and that any securities distributed to the holder of a share of Class C Common Stock have no voting rights or power.</w:t>
      </w:r>
    </w:p>
    <w:p>
      <w:pPr>
        <w:spacing w:after="0" w:line="221"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Conversion of the Class B Common Stock</w:t>
      </w:r>
      <w:r>
        <w:rPr>
          <w:rFonts w:ascii="Arial" w:cs="Arial" w:eastAsia="Arial" w:hAnsi="Arial"/>
          <w:sz w:val="16"/>
          <w:szCs w:val="16"/>
          <w:color w:val="auto"/>
        </w:rPr>
        <w:t>. The Class B Common Stock will be convertible into Class A Common Stock as follows:</w:t>
      </w:r>
    </w:p>
    <w:p>
      <w:pPr>
        <w:spacing w:after="0" w:line="23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5.1 Each share of Class B Common Stock will automatically convert into one fully paid and nonassessable share of Class A Common Stock on the Final Conversion Date.</w:t>
      </w:r>
    </w:p>
    <w:p>
      <w:pPr>
        <w:spacing w:after="0" w:line="16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156" w:lineRule="exact"/>
        <w:rPr>
          <w:sz w:val="20"/>
          <w:szCs w:val="20"/>
          <w:color w:val="auto"/>
        </w:rPr>
      </w:pPr>
    </w:p>
    <w:p>
      <w:pPr>
        <w:jc w:val="both"/>
        <w:ind w:firstLine="1952"/>
        <w:spacing w:after="0" w:line="275" w:lineRule="auto"/>
        <w:tabs>
          <w:tab w:leader="none" w:pos="235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7" w:lineRule="exact"/>
        <w:rPr>
          <w:rFonts w:ascii="Arial" w:cs="Arial" w:eastAsia="Arial" w:hAnsi="Arial"/>
          <w:sz w:val="16"/>
          <w:szCs w:val="16"/>
          <w:color w:val="auto"/>
        </w:rPr>
      </w:pPr>
    </w:p>
    <w:p>
      <w:pPr>
        <w:ind w:left="2340" w:hanging="388"/>
        <w:spacing w:after="0"/>
        <w:tabs>
          <w:tab w:leader="none" w:pos="23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on the occurrence of a Transfer of such share of Class B Common Stock, other than a Permitted Transfer; or</w:t>
      </w:r>
    </w:p>
    <w:p>
      <w:pPr>
        <w:spacing w:after="0" w:line="221" w:lineRule="exact"/>
        <w:rPr>
          <w:rFonts w:ascii="Arial" w:cs="Arial" w:eastAsia="Arial" w:hAnsi="Arial"/>
          <w:sz w:val="16"/>
          <w:szCs w:val="16"/>
          <w:color w:val="auto"/>
        </w:rPr>
      </w:pPr>
    </w:p>
    <w:p>
      <w:pPr>
        <w:jc w:val="both"/>
        <w:ind w:firstLine="1952"/>
        <w:spacing w:after="0" w:line="255" w:lineRule="auto"/>
        <w:tabs>
          <w:tab w:leader="none" w:pos="236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highlight w:val="white"/>
        </w:rPr>
        <w:t>however</w:t>
      </w:r>
      <w:r>
        <w:rPr>
          <w:rFonts w:ascii="Arial" w:cs="Arial" w:eastAsia="Arial" w:hAnsi="Arial"/>
          <w:sz w:val="16"/>
          <w:szCs w:val="16"/>
          <w:color w:val="auto"/>
          <w:highlight w:val="white"/>
        </w:rPr>
        <w:t>, that, with respect to the shares of Class B Common Stock held of record by a Founder, such Founder’s Permitted Entities or</w:t>
      </w:r>
      <w:r>
        <w:rPr>
          <w:rFonts w:ascii="Arial" w:cs="Arial" w:eastAsia="Arial" w:hAnsi="Arial"/>
          <w:sz w:val="16"/>
          <w:szCs w:val="16"/>
          <w:color w:val="auto"/>
        </w:rPr>
        <w:t xml:space="preserve">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not to exceed a total period of eighteen (18) months after the date of death or Disability of such Founder as may be approved by a majority of the Independent Directors then in office, during which period Voting Control over such Founder’s shares (including shares held of record by such Founder’s Permitted Entities and Permitted Transferees) shall be exercised in accordance with any proxy or voting agreement entered into in accordance with </w:t>
      </w:r>
      <w:r>
        <w:rPr>
          <w:rFonts w:ascii="Arial" w:cs="Arial" w:eastAsia="Arial" w:hAnsi="Arial"/>
          <w:sz w:val="16"/>
          <w:szCs w:val="16"/>
          <w:u w:val="single" w:color="auto"/>
          <w:color w:val="auto"/>
        </w:rPr>
        <w:t>Section V.1.18</w:t>
      </w:r>
      <w:r>
        <w:rPr>
          <w:rFonts w:ascii="Arial" w:cs="Arial" w:eastAsia="Arial" w:hAnsi="Arial"/>
          <w:sz w:val="16"/>
          <w:szCs w:val="16"/>
          <w:color w:val="auto"/>
        </w:rPr>
        <w:t xml:space="preserve"> of these Articles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Stock; </w:t>
      </w:r>
      <w:r>
        <w:rPr>
          <w:rFonts w:ascii="Arial" w:cs="Arial" w:eastAsia="Arial" w:hAnsi="Arial"/>
          <w:sz w:val="16"/>
          <w:szCs w:val="16"/>
          <w:i w:val="1"/>
          <w:iCs w:val="1"/>
          <w:u w:val="single" w:color="auto"/>
          <w:color w:val="auto"/>
        </w:rPr>
        <w:t>provided, further</w:t>
      </w:r>
      <w:r>
        <w:rPr>
          <w:rFonts w:ascii="Arial" w:cs="Arial" w:eastAsia="Arial" w:hAnsi="Arial"/>
          <w:sz w:val="16"/>
          <w:szCs w:val="16"/>
          <w:color w:val="auto"/>
        </w:rPr>
        <w:t xml:space="preserve">, that, if both Founders die and/or suffer a Disability simultaneously or the second Founder dies or suffers a Disability following the death or Disability of the other Founder, but prior to the conversion pursuant to this </w:t>
      </w:r>
      <w:r>
        <w:rPr>
          <w:rFonts w:ascii="Arial" w:cs="Arial" w:eastAsia="Arial" w:hAnsi="Arial"/>
          <w:sz w:val="16"/>
          <w:szCs w:val="16"/>
          <w:u w:val="single" w:color="auto"/>
          <w:color w:val="auto"/>
        </w:rPr>
        <w:t>Section V.5.2(c)</w:t>
      </w:r>
      <w:r>
        <w:rPr>
          <w:rFonts w:ascii="Arial" w:cs="Arial" w:eastAsia="Arial" w:hAnsi="Arial"/>
          <w:sz w:val="16"/>
          <w:szCs w:val="16"/>
          <w:color w:val="auto"/>
        </w:rPr>
        <w:t xml:space="preserve"> of the shares of Class B Common Stock held of record by such first Founder to die or become Disabled, his Permitted Entities or his Permitted Transferees, a person (including a person serving as trustee) previously designated by the Founders and approved by the Board may exercise Voting Control over the Founders’ shares of Class B Common Stock (including shares held of record by such Founder’s Permitted Entities and Permitted Transferees) and, in such instance, each such share of Class B Common Stock shall automatically convert into one (1) fully paid and nonassessable share of Class A Common Stock (and the Final Conversion Date shall occur) upon that date which is nine (9) months after the date upon which both Founders died and/or suffered a Disability, or such later date not to exceed a total period of eighteen (18) months after the last applicable death or Disability as may be approved by a majority of the Independent Directors then in office.</w:t>
      </w:r>
    </w:p>
    <w:p>
      <w:pPr>
        <w:spacing w:after="0" w:line="383" w:lineRule="exact"/>
        <w:rPr>
          <w:rFonts w:ascii="Arial" w:cs="Arial" w:eastAsia="Arial" w:hAnsi="Arial"/>
          <w:sz w:val="16"/>
          <w:szCs w:val="16"/>
          <w:color w:val="auto"/>
        </w:rPr>
      </w:pPr>
    </w:p>
    <w:p>
      <w:pPr>
        <w:jc w:val="both"/>
        <w:ind w:firstLine="656"/>
        <w:spacing w:after="0" w:line="265" w:lineRule="auto"/>
        <w:tabs>
          <w:tab w:leader="none" w:pos="1004"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Conversion of the Class C Common Stock</w:t>
      </w:r>
      <w:r>
        <w:rPr>
          <w:rFonts w:ascii="Arial" w:cs="Arial" w:eastAsia="Arial" w:hAnsi="Arial"/>
          <w:sz w:val="16"/>
          <w:szCs w:val="16"/>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Arial" w:cs="Arial" w:eastAsia="Arial" w:hAnsi="Arial"/>
          <w:sz w:val="16"/>
          <w:szCs w:val="16"/>
          <w:b w:val="1"/>
          <w:bCs w:val="1"/>
          <w:i w:val="1"/>
          <w:iCs w:val="1"/>
          <w:color w:val="auto"/>
        </w:rPr>
        <w:t>Class C Conversion Date</w:t>
      </w:r>
      <w:r>
        <w:rPr>
          <w:rFonts w:ascii="Arial" w:cs="Arial" w:eastAsia="Arial" w:hAnsi="Arial"/>
          <w:sz w:val="16"/>
          <w:szCs w:val="16"/>
          <w:color w:val="auto"/>
        </w:rPr>
        <w:t>”), each outstanding share of Class C Capital Stock shall automatically, without further action by the Corporation or the holders thereof, convert into one (1) fully paid and nonassessable share of Class A Common Stock.</w:t>
      </w:r>
    </w:p>
    <w:p>
      <w:pPr>
        <w:spacing w:after="0" w:line="172" w:lineRule="exact"/>
        <w:rPr>
          <w:rFonts w:ascii="Arial" w:cs="Arial" w:eastAsia="Arial" w:hAnsi="Arial"/>
          <w:sz w:val="16"/>
          <w:szCs w:val="16"/>
          <w:color w:val="auto"/>
        </w:rPr>
      </w:pPr>
    </w:p>
    <w:p>
      <w:pPr>
        <w:jc w:val="both"/>
        <w:ind w:firstLine="656"/>
        <w:spacing w:after="0" w:line="261" w:lineRule="auto"/>
        <w:tabs>
          <w:tab w:leader="none" w:pos="96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-3127375</wp:posOffset>
            </wp:positionV>
            <wp:extent cx="3377565" cy="120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7756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both"/>
        <w:ind w:firstLine="656"/>
        <w:spacing w:after="0" w:line="258" w:lineRule="auto"/>
        <w:tabs>
          <w:tab w:leader="none" w:pos="977"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xml:space="preserve">. In the event of and upon a conversion of shares of Class B Common Stock to shares of Class A Common Stock pursuant to </w:t>
      </w:r>
      <w:r>
        <w:rPr>
          <w:rFonts w:ascii="Arial" w:cs="Arial" w:eastAsia="Arial" w:hAnsi="Arial"/>
          <w:sz w:val="16"/>
          <w:szCs w:val="16"/>
          <w:u w:val="single" w:color="auto"/>
          <w:color w:val="auto"/>
        </w:rPr>
        <w:t>Section V.5</w:t>
      </w:r>
      <w:r>
        <w:rPr>
          <w:rFonts w:ascii="Arial" w:cs="Arial" w:eastAsia="Arial" w:hAnsi="Arial"/>
          <w:sz w:val="16"/>
          <w:szCs w:val="16"/>
          <w:color w:val="auto"/>
        </w:rPr>
        <w:t xml:space="preserve"> or Class C Common Stock to Class A Common Stock pursuant to </w:t>
      </w:r>
      <w:r>
        <w:rPr>
          <w:rFonts w:ascii="Arial" w:cs="Arial" w:eastAsia="Arial" w:hAnsi="Arial"/>
          <w:sz w:val="16"/>
          <w:szCs w:val="16"/>
          <w:u w:val="single" w:color="auto"/>
          <w:color w:val="auto"/>
        </w:rPr>
        <w:t>Section V.6</w:t>
      </w:r>
      <w:r>
        <w:rPr>
          <w:rFonts w:ascii="Arial" w:cs="Arial" w:eastAsia="Arial" w:hAnsi="Arial"/>
          <w:sz w:val="16"/>
          <w:szCs w:val="16"/>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90" w:lineRule="exact"/>
        <w:rPr>
          <w:rFonts w:ascii="Arial" w:cs="Arial" w:eastAsia="Arial" w:hAnsi="Arial"/>
          <w:sz w:val="16"/>
          <w:szCs w:val="16"/>
          <w:color w:val="auto"/>
        </w:rPr>
      </w:pPr>
    </w:p>
    <w:p>
      <w:pPr>
        <w:jc w:val="both"/>
        <w:ind w:firstLine="656"/>
        <w:spacing w:after="0" w:line="259" w:lineRule="auto"/>
        <w:tabs>
          <w:tab w:leader="none" w:pos="96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176" w:lineRule="exact"/>
        <w:rPr>
          <w:rFonts w:ascii="Arial" w:cs="Arial" w:eastAsia="Arial" w:hAnsi="Arial"/>
          <w:sz w:val="16"/>
          <w:szCs w:val="16"/>
          <w:color w:val="auto"/>
        </w:rPr>
      </w:pPr>
    </w:p>
    <w:p>
      <w:pPr>
        <w:jc w:val="both"/>
        <w:ind w:firstLine="656"/>
        <w:spacing w:after="0" w:line="275" w:lineRule="auto"/>
        <w:tabs>
          <w:tab w:leader="none" w:pos="116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 Reissuance of Class B Common Stock</w:t>
      </w:r>
      <w:r>
        <w:rPr>
          <w:rFonts w:ascii="Arial" w:cs="Arial" w:eastAsia="Arial" w:hAnsi="Arial"/>
          <w:sz w:val="16"/>
          <w:szCs w:val="16"/>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05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Preemptive Rights</w:t>
      </w:r>
      <w:r>
        <w:rPr>
          <w:rFonts w:ascii="Arial" w:cs="Arial" w:eastAsia="Arial" w:hAnsi="Arial"/>
          <w:sz w:val="16"/>
          <w:szCs w:val="16"/>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369" w:lineRule="exact"/>
        <w:rPr>
          <w:rFonts w:ascii="Arial" w:cs="Arial" w:eastAsia="Arial" w:hAnsi="Arial"/>
          <w:sz w:val="16"/>
          <w:szCs w:val="16"/>
          <w:color w:val="auto"/>
        </w:rPr>
      </w:pPr>
    </w:p>
    <w:p>
      <w:pPr>
        <w:jc w:val="both"/>
        <w:ind w:firstLine="656"/>
        <w:spacing w:after="0" w:line="266" w:lineRule="auto"/>
        <w:tabs>
          <w:tab w:leader="none" w:pos="1067"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Class B Protective Provisions</w:t>
      </w:r>
      <w:r>
        <w:rPr>
          <w:rFonts w:ascii="Arial" w:cs="Arial" w:eastAsia="Arial" w:hAnsi="Arial"/>
          <w:sz w:val="16"/>
          <w:szCs w:val="16"/>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12.1 directly or indirectly, whether by amendment, or through merger, recapitalization, consolidation or otherwise, amend or 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16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6"/>
          <w:szCs w:val="16"/>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164"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6"/>
          <w:szCs w:val="16"/>
          <w:color w:val="auto"/>
        </w:rPr>
        <w:t>12.3 issue any shares of Class B Common Stock (other than shares of Class B Common Stock originally issued by the Corporation after the IPO Date pursuant to the exercise or conversion of options or warrants or settlement of RSUs that, in each case, are outstanding as of the IPO Date);</w:t>
      </w:r>
    </w:p>
    <w:p>
      <w:pPr>
        <w:spacing w:after="0" w:line="14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12.4 authorize, or issue any shares of, any class or series of capital stock of the Corporation having the right to more than (1) vote for each share thereof; or</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6"/>
          <w:szCs w:val="16"/>
          <w:color w:val="auto"/>
        </w:rPr>
        <w:t>12.5</w:t>
        <w:tab/>
        <w:t>consummate a Liquidation Event.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219" w:lineRule="exact"/>
        <w:rPr>
          <w:sz w:val="20"/>
          <w:szCs w:val="20"/>
          <w:color w:val="auto"/>
        </w:rPr>
      </w:pPr>
    </w:p>
    <w:p>
      <w:pPr>
        <w:jc w:val="both"/>
        <w:ind w:firstLine="656"/>
        <w:spacing w:after="0" w:line="265" w:lineRule="auto"/>
        <w:tabs>
          <w:tab w:leader="none" w:pos="1058"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Rights of Preferred Stock</w:t>
      </w:r>
      <w:r>
        <w:rPr>
          <w:rFonts w:ascii="Arial" w:cs="Arial" w:eastAsia="Arial" w:hAnsi="Arial"/>
          <w:sz w:val="16"/>
          <w:szCs w:val="16"/>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Designation</w:t>
      </w:r>
      <w:r>
        <w:rPr>
          <w:rFonts w:ascii="Arial" w:cs="Arial" w:eastAsia="Arial" w:hAnsi="Arial"/>
          <w:sz w:val="16"/>
          <w:szCs w:val="16"/>
          <w:color w:val="auto"/>
        </w:rPr>
        <w:t>”), to establish from time to time the number of shares to be included in each such series, and to fix the designation,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preferences, and rights of the shares of each such series and any qualifications, limitations or restrictions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both"/>
        <w:ind w:firstLine="656"/>
        <w:spacing w:after="0" w:line="257" w:lineRule="auto"/>
        <w:tabs>
          <w:tab w:leader="none" w:pos="96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Vote to Increase or Decrease Authorized Shares</w:t>
      </w:r>
      <w:r>
        <w:rPr>
          <w:rFonts w:ascii="Arial" w:cs="Arial" w:eastAsia="Arial" w:hAnsi="Arial"/>
          <w:sz w:val="16"/>
          <w:szCs w:val="16"/>
          <w:color w:val="auto"/>
        </w:rPr>
        <w:t xml:space="preserve">. The number of authorized shares of Preferred Stock may be increased or decreased (but not below the number of shares thereof then outstanding) by the affirmative vote of the holders of </w:t>
      </w:r>
      <w:r>
        <w:rPr>
          <w:rFonts w:ascii="Arial" w:cs="Arial" w:eastAsia="Arial" w:hAnsi="Arial"/>
          <w:sz w:val="16"/>
          <w:szCs w:val="16"/>
          <w:color w:val="FF0000"/>
          <w:strike w:val="1"/>
        </w:rPr>
        <w:t>a majority of the voting power of all of</w:t>
      </w:r>
      <w:r>
        <w:rPr>
          <w:rFonts w:ascii="Arial" w:cs="Arial" w:eastAsia="Arial" w:hAnsi="Arial"/>
          <w:sz w:val="16"/>
          <w:szCs w:val="16"/>
          <w:color w:val="auto"/>
        </w:rPr>
        <w:t xml:space="preserve">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w:t>
      </w:r>
      <w:r>
        <w:rPr>
          <w:rFonts w:ascii="Arial" w:cs="Arial" w:eastAsia="Arial" w:hAnsi="Arial"/>
          <w:sz w:val="16"/>
          <w:szCs w:val="16"/>
          <w:color w:val="FF0000"/>
          <w:strike w:val="1"/>
        </w:rPr>
        <w:t>78.390(2)</w:t>
      </w:r>
      <w:r>
        <w:rPr>
          <w:rFonts w:ascii="Arial" w:cs="Arial" w:eastAsia="Arial" w:hAnsi="Arial"/>
          <w:sz w:val="16"/>
          <w:szCs w:val="16"/>
          <w:u w:val="single" w:color="auto"/>
          <w:color w:val="0000FF"/>
        </w:rPr>
        <w:t>78.207(3) and NRS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78.390(2) (and, except as set forth in any Preferred Stock Designation, any right to vote thereon as a separate class pursuant to NRS 78.207(3) and NRS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0000FF"/>
        </w:rPr>
        <w:t>78.390(2) is hereby specifically denied)</w:t>
      </w:r>
      <w:r>
        <w:rPr>
          <w:rFonts w:ascii="Arial" w:cs="Arial" w:eastAsia="Arial" w:hAnsi="Arial"/>
          <w:sz w:val="16"/>
          <w:szCs w:val="16"/>
          <w:color w:val="000000"/>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205" w:lineRule="exact"/>
        <w:rPr>
          <w:sz w:val="20"/>
          <w:szCs w:val="20"/>
          <w:color w:val="auto"/>
        </w:rPr>
      </w:pPr>
    </w:p>
    <w:p>
      <w:pPr>
        <w:jc w:val="both"/>
        <w:ind w:firstLine="656"/>
        <w:spacing w:after="0" w:line="265" w:lineRule="auto"/>
        <w:tabs>
          <w:tab w:leader="none" w:pos="97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Board Size</w:t>
      </w:r>
      <w:r>
        <w:rPr>
          <w:rFonts w:ascii="Arial" w:cs="Arial" w:eastAsia="Arial" w:hAnsi="Arial"/>
          <w:sz w:val="16"/>
          <w:szCs w:val="16"/>
          <w:color w:val="auto"/>
        </w:rPr>
        <w:t xml:space="preserve">. Subject to the rights of the holders of any series of Preferred Stock to elect additional directors under specified circumstances, the number of directors that constitutes the entire Board shall be fixed by, or in the manner provided in, the </w:t>
      </w:r>
      <w:r>
        <w:rPr>
          <w:rFonts w:ascii="Arial" w:cs="Arial" w:eastAsia="Arial" w:hAnsi="Arial"/>
          <w:sz w:val="16"/>
          <w:szCs w:val="16"/>
          <w:color w:val="FF0000"/>
          <w:strike w:val="1"/>
        </w:rPr>
        <w:t>Bylaws</w:t>
      </w:r>
      <w:r>
        <w:rPr>
          <w:rFonts w:ascii="Arial" w:cs="Arial" w:eastAsia="Arial" w:hAnsi="Arial"/>
          <w:sz w:val="16"/>
          <w:szCs w:val="16"/>
          <w:u w:val="single" w:color="auto"/>
          <w:color w:val="0000FF"/>
        </w:rPr>
        <w:t>bylaws</w:t>
      </w:r>
      <w:r>
        <w:rPr>
          <w:rFonts w:ascii="Arial" w:cs="Arial" w:eastAsia="Arial" w:hAnsi="Arial"/>
          <w:sz w:val="16"/>
          <w:szCs w:val="16"/>
          <w:color w:val="auto"/>
        </w:rPr>
        <w:t xml:space="preserve"> of the Corporation </w:t>
      </w:r>
      <w:r>
        <w:rPr>
          <w:rFonts w:ascii="Arial" w:cs="Arial" w:eastAsia="Arial" w:hAnsi="Arial"/>
          <w:sz w:val="16"/>
          <w:szCs w:val="16"/>
          <w:color w:val="0000FF"/>
        </w:rPr>
        <w:t>(as amended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and/or restated</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from time to time, the “</w:t>
      </w:r>
      <w:r>
        <w:rPr>
          <w:rFonts w:ascii="Arial" w:cs="Arial" w:eastAsia="Arial" w:hAnsi="Arial"/>
          <w:sz w:val="16"/>
          <w:szCs w:val="16"/>
          <w:b w:val="1"/>
          <w:bCs w:val="1"/>
          <w:i w:val="1"/>
          <w:iCs w:val="1"/>
          <w:u w:val="single" w:color="auto"/>
          <w:color w:val="0000FF"/>
        </w:rPr>
        <w:t>Bylaws</w:t>
      </w:r>
      <w:r>
        <w:rPr>
          <w:rFonts w:ascii="Arial" w:cs="Arial" w:eastAsia="Arial" w:hAnsi="Arial"/>
          <w:sz w:val="16"/>
          <w:szCs w:val="16"/>
          <w:u w:val="single" w:color="auto"/>
          <w:color w:val="0000FF"/>
        </w:rPr>
        <w:t>”)</w:t>
      </w:r>
      <w:r>
        <w:rPr>
          <w:rFonts w:ascii="Arial" w:cs="Arial" w:eastAsia="Arial" w:hAnsi="Arial"/>
          <w:sz w:val="16"/>
          <w:szCs w:val="16"/>
          <w:color w:val="000000"/>
        </w:rPr>
        <w:t>. At each annual meeting of stockholders, directors of the Corporation shall be elected to hold office until the</w:t>
      </w:r>
      <w:r>
        <w:rPr>
          <w:rFonts w:ascii="Arial" w:cs="Arial" w:eastAsia="Arial" w:hAnsi="Arial"/>
          <w:sz w:val="16"/>
          <w:szCs w:val="16"/>
          <w:color w:val="0000FF"/>
        </w:rPr>
        <w:t xml:space="preserve"> </w:t>
      </w:r>
      <w:r>
        <w:rPr>
          <w:rFonts w:ascii="Arial" w:cs="Arial" w:eastAsia="Arial" w:hAnsi="Arial"/>
          <w:sz w:val="16"/>
          <w:szCs w:val="16"/>
          <w:color w:val="000000"/>
        </w:rPr>
        <w:t>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172" w:lineRule="exact"/>
        <w:rPr>
          <w:rFonts w:ascii="Arial" w:cs="Arial" w:eastAsia="Arial" w:hAnsi="Arial"/>
          <w:sz w:val="16"/>
          <w:szCs w:val="16"/>
          <w:color w:val="auto"/>
        </w:rPr>
      </w:pPr>
    </w:p>
    <w:p>
      <w:pPr>
        <w:jc w:val="both"/>
        <w:ind w:firstLine="656"/>
        <w:spacing w:after="0" w:line="255" w:lineRule="auto"/>
        <w:tabs>
          <w:tab w:leader="none" w:pos="99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Board Structure</w:t>
      </w:r>
      <w:r>
        <w:rPr>
          <w:rFonts w:ascii="Arial" w:cs="Arial" w:eastAsia="Arial" w:hAnsi="Arial"/>
          <w:sz w:val="16"/>
          <w:szCs w:val="16"/>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Arial" w:cs="Arial" w:eastAsia="Arial" w:hAnsi="Arial"/>
          <w:sz w:val="16"/>
          <w:szCs w:val="16"/>
          <w:b w:val="1"/>
          <w:bCs w:val="1"/>
          <w:i w:val="1"/>
          <w:iCs w:val="1"/>
          <w:color w:val="auto"/>
        </w:rPr>
        <w:t>Classified Board Effective Date</w:t>
      </w:r>
      <w:r>
        <w:rPr>
          <w:rFonts w:ascii="Arial" w:cs="Arial" w:eastAsia="Arial" w:hAnsi="Arial"/>
          <w:sz w:val="16"/>
          <w:szCs w:val="16"/>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Arial" w:cs="Arial" w:eastAsia="Arial" w:hAnsi="Arial"/>
          <w:sz w:val="16"/>
          <w:szCs w:val="16"/>
          <w:u w:val="single" w:color="auto"/>
          <w:color w:val="auto"/>
        </w:rPr>
        <w:t>Section VII.2</w:t>
      </w:r>
      <w:r>
        <w:rPr>
          <w:rFonts w:ascii="Arial" w:cs="Arial" w:eastAsia="Arial" w:hAnsi="Arial"/>
          <w:sz w:val="16"/>
          <w:szCs w:val="16"/>
          <w:color w:val="auto"/>
        </w:rPr>
        <w:t xml:space="preserve"> in the event a Classified Board Effective Date occurs) and until his or her successor shall have been duly elected and qualified. Notwithstanding the foregoing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200" w:lineRule="exact"/>
        <w:rPr>
          <w:rFonts w:ascii="Arial" w:cs="Arial" w:eastAsia="Arial" w:hAnsi="Arial"/>
          <w:sz w:val="16"/>
          <w:szCs w:val="16"/>
          <w:color w:val="auto"/>
        </w:rPr>
      </w:pPr>
    </w:p>
    <w:p>
      <w:pPr>
        <w:jc w:val="both"/>
        <w:ind w:firstLine="656"/>
        <w:spacing w:after="0" w:line="260" w:lineRule="auto"/>
        <w:tabs>
          <w:tab w:leader="none" w:pos="99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Removal; Vacancies</w:t>
      </w:r>
      <w:r>
        <w:rPr>
          <w:rFonts w:ascii="Arial" w:cs="Arial" w:eastAsia="Arial" w:hAnsi="Arial"/>
          <w:sz w:val="16"/>
          <w:szCs w:val="16"/>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-3383280</wp:posOffset>
            </wp:positionV>
            <wp:extent cx="6635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 OF BUSINESS AND CONDUCT OF AFFAIRS</w:t>
      </w:r>
    </w:p>
    <w:p>
      <w:pPr>
        <w:spacing w:after="0" w:line="205" w:lineRule="exact"/>
        <w:rPr>
          <w:sz w:val="20"/>
          <w:szCs w:val="20"/>
          <w:color w:val="auto"/>
        </w:rPr>
      </w:pPr>
    </w:p>
    <w:p>
      <w:pPr>
        <w:ind w:firstLine="656"/>
        <w:spacing w:after="0" w:line="304" w:lineRule="auto"/>
        <w:tabs>
          <w:tab w:leader="none" w:pos="102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41" w:lineRule="exact"/>
        <w:rPr>
          <w:rFonts w:ascii="Arial" w:cs="Arial" w:eastAsia="Arial" w:hAnsi="Arial"/>
          <w:sz w:val="16"/>
          <w:szCs w:val="16"/>
          <w:color w:val="auto"/>
        </w:rPr>
      </w:pPr>
    </w:p>
    <w:p>
      <w:pPr>
        <w:jc w:val="both"/>
        <w:ind w:right="20" w:firstLine="656"/>
        <w:spacing w:after="0" w:line="275" w:lineRule="auto"/>
        <w:tabs>
          <w:tab w:leader="none" w:pos="99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Board Power</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by statute or by these Articles or the Bylaws </w:t>
      </w:r>
      <w:r>
        <w:rPr>
          <w:rFonts w:ascii="Arial" w:cs="Arial" w:eastAsia="Arial" w:hAnsi="Arial"/>
          <w:sz w:val="16"/>
          <w:szCs w:val="16"/>
          <w:color w:val="FF0000"/>
        </w:rPr>
        <w:t>of the Corporation</w:t>
      </w:r>
      <w:r>
        <w:rPr>
          <w:rFonts w:ascii="Arial" w:cs="Arial" w:eastAsia="Arial" w:hAnsi="Arial"/>
          <w:sz w:val="16"/>
          <w:szCs w:val="16"/>
          <w:color w:val="auto"/>
        </w:rPr>
        <w:t>, the Board is hereby empowered to exercise all such powers and do all such acts and things as may be exercised or done by the Corporation.</w:t>
      </w:r>
    </w:p>
    <w:p>
      <w:pPr>
        <w:spacing w:after="0" w:line="164" w:lineRule="exact"/>
        <w:rPr>
          <w:rFonts w:ascii="Arial" w:cs="Arial" w:eastAsia="Arial" w:hAnsi="Arial"/>
          <w:sz w:val="16"/>
          <w:szCs w:val="16"/>
          <w:color w:val="auto"/>
        </w:rPr>
      </w:pPr>
    </w:p>
    <w:p>
      <w:pPr>
        <w:ind w:left="980" w:hanging="324"/>
        <w:spacing w:after="0"/>
        <w:tabs>
          <w:tab w:leader="none" w:pos="98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Written Ballot</w:t>
      </w:r>
      <w:r>
        <w:rPr>
          <w:rFonts w:ascii="Arial" w:cs="Arial" w:eastAsia="Arial" w:hAnsi="Arial"/>
          <w:sz w:val="16"/>
          <w:szCs w:val="16"/>
          <w:color w:val="auto"/>
        </w:rPr>
        <w:t xml:space="preserve">. Elections of directors need not be by written ballot unless otherwise provided in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-424180</wp:posOffset>
            </wp:positionV>
            <wp:extent cx="8864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6460"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-46990</wp:posOffset>
            </wp:positionV>
            <wp:extent cx="8521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ind w:firstLine="656"/>
        <w:spacing w:after="0" w:line="286" w:lineRule="auto"/>
        <w:tabs>
          <w:tab w:leader="none" w:pos="100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Amendment of Bylaws</w:t>
      </w:r>
      <w:r>
        <w:rPr>
          <w:rFonts w:ascii="Arial" w:cs="Arial" w:eastAsia="Arial" w:hAnsi="Arial"/>
          <w:sz w:val="16"/>
          <w:szCs w:val="16"/>
          <w:color w:val="auto"/>
        </w:rPr>
        <w:t xml:space="preserve">. In furtherance and not in limitation of the powers conferred by the NRS, the Board is expressly authorized to adopt, amend or repeal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656"/>
        <w:spacing w:after="0" w:line="265" w:lineRule="auto"/>
        <w:tabs>
          <w:tab w:leader="none" w:pos="99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 (30%) of the voting power of the Class A Common Stock and Class B Common Stock, voting together as a single class and acting in compliance with the Bylaws </w:t>
      </w:r>
      <w:r>
        <w:rPr>
          <w:rFonts w:ascii="Arial" w:cs="Arial" w:eastAsia="Arial" w:hAnsi="Arial"/>
          <w:sz w:val="16"/>
          <w:szCs w:val="16"/>
          <w:color w:val="FF0000"/>
        </w:rPr>
        <w:t>of the Corporation</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firstLine="656"/>
        <w:spacing w:after="0" w:line="265" w:lineRule="auto"/>
        <w:tabs>
          <w:tab w:leader="none" w:pos="100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Availability of Stockholder Action by Written Consent</w:t>
      </w:r>
      <w:r>
        <w:rPr>
          <w:rFonts w:ascii="Arial" w:cs="Arial" w:eastAsia="Arial" w:hAnsi="Arial"/>
          <w:sz w:val="16"/>
          <w:szCs w:val="16"/>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172" w:lineRule="exact"/>
        <w:rPr>
          <w:rFonts w:ascii="Arial" w:cs="Arial" w:eastAsia="Arial" w:hAnsi="Arial"/>
          <w:sz w:val="16"/>
          <w:szCs w:val="16"/>
          <w:color w:val="auto"/>
        </w:rPr>
      </w:pPr>
    </w:p>
    <w:p>
      <w:pPr>
        <w:ind w:left="980" w:hanging="324"/>
        <w:spacing w:after="0"/>
        <w:tabs>
          <w:tab w:leader="none" w:pos="98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Cumulative Voting</w:t>
      </w:r>
      <w:r>
        <w:rPr>
          <w:rFonts w:ascii="Arial" w:cs="Arial" w:eastAsia="Arial" w:hAnsi="Arial"/>
          <w:sz w:val="16"/>
          <w:szCs w:val="16"/>
          <w:color w:val="auto"/>
        </w:rPr>
        <w:t>. No stockholder will be permitted to cumulate votes at any election of directors.</w:t>
      </w:r>
    </w:p>
    <w:p>
      <w:pPr>
        <w:spacing w:after="0" w:line="234" w:lineRule="exact"/>
        <w:rPr>
          <w:rFonts w:ascii="Arial" w:cs="Arial" w:eastAsia="Arial" w:hAnsi="Arial"/>
          <w:sz w:val="16"/>
          <w:szCs w:val="16"/>
          <w:color w:val="auto"/>
        </w:rPr>
      </w:pPr>
    </w:p>
    <w:p>
      <w:pPr>
        <w:jc w:val="both"/>
        <w:ind w:firstLine="656"/>
        <w:spacing w:after="0" w:line="266" w:lineRule="auto"/>
        <w:tabs>
          <w:tab w:leader="none" w:pos="96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Reliance on the Controlled Company Exemption</w:t>
      </w:r>
      <w:r>
        <w:rPr>
          <w:rFonts w:ascii="Arial" w:cs="Arial" w:eastAsia="Arial" w:hAnsi="Arial"/>
          <w:sz w:val="16"/>
          <w:szCs w:val="16"/>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-2230755</wp:posOffset>
            </wp:positionV>
            <wp:extent cx="8521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217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-1596390</wp:posOffset>
            </wp:positionV>
            <wp:extent cx="8521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LIMITATION OF LIABILITY</w:t>
      </w:r>
    </w:p>
    <w:p>
      <w:pPr>
        <w:spacing w:after="0" w:line="2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nor the adoption of any provision of these Articles inconsistent with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eliminate, reduce or otherwise adversely affect any limitation on the personal liability of a director </w:t>
      </w:r>
      <w:r>
        <w:rPr>
          <w:rFonts w:ascii="Arial" w:cs="Arial" w:eastAsia="Arial" w:hAnsi="Arial"/>
          <w:sz w:val="16"/>
          <w:szCs w:val="16"/>
          <w:u w:val="single" w:color="auto"/>
          <w:color w:val="0000FF"/>
        </w:rPr>
        <w:t>or officer</w:t>
      </w:r>
      <w:r>
        <w:rPr>
          <w:rFonts w:ascii="Arial" w:cs="Arial" w:eastAsia="Arial" w:hAnsi="Arial"/>
          <w:sz w:val="16"/>
          <w:szCs w:val="16"/>
          <w:color w:val="auto"/>
        </w:rPr>
        <w:t xml:space="preserve"> of the Corporation existing at the time of such amendment, repeal or adoption of such an inconsistent provision.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SEVERABILITY AND AMENDMENT</w:t>
      </w:r>
    </w:p>
    <w:p>
      <w:pPr>
        <w:spacing w:after="0" w:line="219" w:lineRule="exact"/>
        <w:rPr>
          <w:sz w:val="20"/>
          <w:szCs w:val="20"/>
          <w:color w:val="auto"/>
        </w:rPr>
      </w:pPr>
    </w:p>
    <w:p>
      <w:pPr>
        <w:jc w:val="both"/>
        <w:ind w:firstLine="656"/>
        <w:spacing w:after="0" w:line="260" w:lineRule="auto"/>
        <w:tabs>
          <w:tab w:leader="none" w:pos="9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191" w:lineRule="exact"/>
        <w:rPr>
          <w:rFonts w:ascii="Arial" w:cs="Arial" w:eastAsia="Arial" w:hAnsi="Arial"/>
          <w:sz w:val="16"/>
          <w:szCs w:val="16"/>
          <w:color w:val="auto"/>
        </w:rPr>
      </w:pPr>
    </w:p>
    <w:p>
      <w:pPr>
        <w:jc w:val="both"/>
        <w:ind w:firstLine="656"/>
        <w:spacing w:after="0" w:line="255" w:lineRule="auto"/>
        <w:tabs>
          <w:tab w:leader="none" w:pos="99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these Articles inconsistent with,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this clause (i)(b)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these Articles (except 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these Articles inconsistent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color w:val="0063A6"/>
        </w:rPr>
        <w:t>APPENDIX B (continued)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000FF"/>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000FF"/>
        </w:rPr>
        <w:t>LIMITED WAIVER OF JURY TRIAL</w:t>
      </w:r>
    </w:p>
    <w:p>
      <w:pPr>
        <w:spacing w:after="0" w:line="21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u w:val="single" w:color="auto"/>
          <w:color w:val="0000FF"/>
        </w:rPr>
        <w:t>To the fullest extent not inconsistent with any applicable U.S. federal laws, any and all “internal actions” (as defined in NRS 78.046) must be tried in a court of competent jurisdiction before the presiding judge as the trier of fact and not before a jury. This Article XI shall conclusively operate as a waiver of the right to trial by jury by each party to any such internal action.</w:t>
      </w:r>
    </w:p>
    <w:p>
      <w:pPr>
        <w:spacing w:after="0" w:line="164"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Arial" w:cs="Arial" w:eastAsia="Arial" w:hAnsi="Arial"/>
          <w:sz w:val="16"/>
          <w:szCs w:val="16"/>
          <w:color w:val="auto"/>
        </w:rPr>
        <w:t>*</w:t>
        <w:tab/>
        <w:t>*</w:t>
        <w:tab/>
        <w:t>*</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9163050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1066165</wp:posOffset>
            </wp:positionV>
            <wp:extent cx="5657850" cy="73120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126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x"/>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x"/>
      <w:numFmt w:val="bullet"/>
      <w:start w:val="1"/>
    </w:lvl>
  </w:abstractNum>
  <w:abstractNum w:abstractNumId="4">
    <w:nsid w:val="7E0C57B1"/>
    <w:multiLevelType w:val="hybridMultilevel"/>
    <w:lvl w:ilvl="0">
      <w:lvlJc w:val="left"/>
      <w:lvlText w:val="o"/>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2"/>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4"/>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6"/>
      <w:numFmt w:val="bullet"/>
      <w:start w:val="1"/>
    </w:lvl>
  </w:abstractNum>
  <w:abstractNum w:abstractNumId="16">
    <w:nsid w:val="100F8FCA"/>
    <w:multiLevelType w:val="hybridMultilevel"/>
    <w:lvl w:ilvl="0">
      <w:lvlJc w:val="left"/>
      <w:lvlText w:val="8"/>
      <w:numFmt w:val="bullet"/>
      <w:start w:val="1"/>
    </w:lvl>
  </w:abstractNum>
  <w:abstractNum w:abstractNumId="17">
    <w:nsid w:val="6590700B"/>
    <w:multiLevelType w:val="hybridMultilevel"/>
    <w:lvl w:ilvl="0">
      <w:lvlJc w:val="left"/>
      <w:lvlText w:val="%1"/>
      <w:numFmt w:val="decimal"/>
      <w:start w:val="10"/>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1"/>
      <w:numFmt w:val="decimal"/>
      <w:start w:val="12"/>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4"/>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decimal"/>
      <w:start w:val="16"/>
    </w:lvl>
  </w:abstractNum>
  <w:abstractNum w:abstractNumId="25">
    <w:nsid w:val="1EBA5D23"/>
    <w:multiLevelType w:val="hybridMultilevel"/>
    <w:lvl w:ilvl="0">
      <w:lvlJc w:val="left"/>
      <w:lvlText w:val="%1"/>
      <w:numFmt w:val="decimal"/>
      <w:start w:val="18"/>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lvl w:ilvl="1">
      <w:lvlJc w:val="left"/>
      <w:lvlText w:val="•"/>
      <w:numFmt w:val="bullet"/>
      <w:start w:val="1"/>
    </w:lvl>
  </w:abstractNum>
  <w:abstractNum w:abstractNumId="28">
    <w:nsid w:val="540A471C"/>
    <w:multiLevelType w:val="hybridMultilevel"/>
    <w:lvl w:ilvl="0">
      <w:lvlJc w:val="left"/>
      <w:lvlText w:val="•"/>
      <w:numFmt w:val="bullet"/>
      <w:start w:val="1"/>
    </w:lvl>
    <w:lvl w:ilvl="1">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20"/>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1"/>
      <w:numFmt w:val="decimal"/>
      <w:start w:val="22"/>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1"/>
      <w:numFmt w:val="decimal"/>
      <w:start w:val="24"/>
    </w:lvl>
  </w:abstractNum>
  <w:abstractNum w:abstractNumId="38">
    <w:nsid w:val="3B0FD379"/>
    <w:multiLevelType w:val="hybridMultilevel"/>
    <w:lvl w:ilvl="0">
      <w:lvlJc w:val="left"/>
      <w:lvlText w:val="(%1)"/>
      <w:numFmt w:val="decimal"/>
      <w:start w:val="1"/>
    </w:lvl>
  </w:abstractNum>
  <w:abstractNum w:abstractNumId="39">
    <w:nsid w:val="68EB2F63"/>
    <w:multiLevelType w:val="hybridMultilevel"/>
    <w:lvl w:ilvl="0">
      <w:lvlJc w:val="left"/>
      <w:lvlText w:val="%1"/>
      <w:numFmt w:val="decimal"/>
      <w:start w:val="26"/>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1"/>
      <w:numFmt w:val="decimal"/>
      <w:start w:val="28"/>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decimal"/>
      <w:start w:val="30"/>
    </w:lvl>
  </w:abstractNum>
  <w:abstractNum w:abstractNumId="44">
    <w:nsid w:val="7FFFCA11"/>
    <w:multiLevelType w:val="hybridMultilevel"/>
    <w:lvl w:ilvl="0">
      <w:lvlJc w:val="left"/>
      <w:lvlText w:val="%1"/>
      <w:numFmt w:val="decimal"/>
      <w:start w:val="32"/>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34"/>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1"/>
      <w:numFmt w:val="decimal"/>
      <w:start w:val="36"/>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1"/>
      <w:numFmt w:val="decimal"/>
      <w:start w:val="38"/>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decimal"/>
      <w:start w:val="40"/>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42"/>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decimal"/>
      <w:start w:val="44"/>
    </w:lvl>
  </w:abstractNum>
  <w:abstractNum w:abstractNumId="62">
    <w:nsid w:val="4A2AC315"/>
    <w:multiLevelType w:val="hybridMultilevel"/>
    <w:lvl w:ilvl="0">
      <w:lvlJc w:val="left"/>
      <w:lvlText w:val="(%1)"/>
      <w:numFmt w:val="decimal"/>
      <w:start w:val="1"/>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1)"/>
      <w:numFmt w:val="decimal"/>
      <w:start w:val="1"/>
    </w:lvl>
  </w:abstractNum>
  <w:abstractNum w:abstractNumId="65">
    <w:nsid w:val="CC1016F"/>
    <w:multiLevelType w:val="hybridMultilevel"/>
    <w:lvl w:ilvl="0">
      <w:lvlJc w:val="left"/>
      <w:lvlText w:val="%1"/>
      <w:numFmt w:val="decimal"/>
      <w:start w:val="46"/>
    </w:lvl>
  </w:abstractNum>
  <w:abstractNum w:abstractNumId="66">
    <w:nsid w:val="43F18422"/>
    <w:multiLevelType w:val="hybridMultilevel"/>
    <w:lvl w:ilvl="0">
      <w:lvlJc w:val="left"/>
      <w:lvlText w:val="%1"/>
      <w:numFmt w:val="decimal"/>
      <w:start w:val="48"/>
    </w:lvl>
  </w:abstractNum>
  <w:abstractNum w:abstractNumId="67">
    <w:nsid w:val="60EF0119"/>
    <w:multiLevelType w:val="hybridMultilevel"/>
    <w:lvl w:ilvl="0">
      <w:lvlJc w:val="left"/>
      <w:lvlText w:val="%1"/>
      <w:numFmt w:val="decimal"/>
      <w:start w:val="50"/>
    </w:lvl>
  </w:abstractNum>
  <w:abstractNum w:abstractNumId="68">
    <w:nsid w:val="26F324BA"/>
    <w:multiLevelType w:val="hybridMultilevel"/>
    <w:lvl w:ilvl="0">
      <w:lvlJc w:val="left"/>
      <w:lvlText w:val="%1"/>
      <w:numFmt w:val="decimal"/>
      <w:start w:val="52"/>
    </w:lvl>
  </w:abstractNum>
  <w:abstractNum w:abstractNumId="69">
    <w:nsid w:val="7F01579B"/>
    <w:multiLevelType w:val="hybridMultilevel"/>
    <w:lvl w:ilvl="0">
      <w:lvlJc w:val="left"/>
      <w:lvlText w:val="(%1)"/>
      <w:numFmt w:val="decimal"/>
      <w:start w:val="1"/>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54"/>
    </w:lvl>
  </w:abstractNum>
  <w:abstractNum w:abstractNumId="72">
    <w:nsid w:val="5FB8370B"/>
    <w:multiLevelType w:val="hybridMultilevel"/>
    <w:lvl w:ilvl="0">
      <w:lvlJc w:val="left"/>
      <w:lvlText w:val="(%1)"/>
      <w:numFmt w:val="decimal"/>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1"/>
      <w:numFmt w:val="decimal"/>
      <w:start w:val="56"/>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58"/>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decimal"/>
      <w:start w:val="60"/>
    </w:lvl>
  </w:abstractNum>
  <w:abstractNum w:abstractNumId="84">
    <w:nsid w:val="555C55B5"/>
    <w:multiLevelType w:val="hybridMultilevel"/>
    <w:lvl w:ilvl="0">
      <w:lvlJc w:val="left"/>
      <w:lvlText w:val="(%1)"/>
      <w:numFmt w:val="decimal"/>
      <w:start w:val="3"/>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decimal"/>
      <w:start w:val="5"/>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decimal"/>
      <w:start w:val="62"/>
    </w:lvl>
  </w:abstractNum>
  <w:abstractNum w:abstractNumId="90">
    <w:nsid w:val="53299938"/>
    <w:multiLevelType w:val="hybridMultilevel"/>
    <w:lvl w:ilvl="0">
      <w:lvlJc w:val="left"/>
      <w:lvlText w:val="%1"/>
      <w:numFmt w:val="decimal"/>
      <w:start w:val="64"/>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1"/>
      <w:numFmt w:val="decimal"/>
      <w:start w:val="66"/>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68"/>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2"/>
    </w:lvl>
  </w:abstractNum>
  <w:abstractNum w:abstractNumId="102">
    <w:nsid w:val="415E286C"/>
    <w:multiLevelType w:val="hybridMultilevel"/>
    <w:lvl w:ilvl="0">
      <w:lvlJc w:val="left"/>
      <w:lvlText w:val="(%1)"/>
      <w:numFmt w:val="lowerLetter"/>
      <w:start w:val="1"/>
    </w:lvl>
    <w:lvl w:ilvl="1">
      <w:lvlJc w:val="left"/>
      <w:lvlText w:val="(%2)"/>
      <w:numFmt w:val="lowerRoman"/>
      <w:start w:val="1"/>
    </w:lvl>
  </w:abstractNum>
  <w:abstractNum w:abstractNumId="103">
    <w:nsid w:val="7C58FD05"/>
    <w:multiLevelType w:val="hybridMultilevel"/>
    <w:lvl w:ilvl="0">
      <w:lvlJc w:val="left"/>
      <w:lvlText w:val="(%1)"/>
      <w:numFmt w:val="lowerRoman"/>
      <w:start w:val="6"/>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5"/>
    </w:lvl>
  </w:abstractNum>
  <w:abstractNum w:abstractNumId="106">
    <w:nsid w:val="5C10FE21"/>
    <w:multiLevelType w:val="hybridMultilevel"/>
    <w:lvl w:ilvl="0">
      <w:lvlJc w:val="left"/>
      <w:lvlText w:val="%1."/>
      <w:numFmt w:val="decimal"/>
      <w:start w:val="2"/>
    </w:lvl>
  </w:abstractNum>
  <w:abstractNum w:abstractNumId="107">
    <w:nsid w:val="E7FFA2B"/>
    <w:multiLevelType w:val="hybridMultilevel"/>
    <w:lvl w:ilvl="0">
      <w:lvlJc w:val="left"/>
      <w:lvlText w:val="%1."/>
      <w:numFmt w:val="decimal"/>
      <w:start w:val="3"/>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decimal"/>
      <w:start w:val="4"/>
    </w:lvl>
  </w:abstractNum>
  <w:abstractNum w:abstractNumId="110">
    <w:nsid w:val="78DF6A55"/>
    <w:multiLevelType w:val="hybridMultilevel"/>
    <w:lvl w:ilvl="0">
      <w:lvlJc w:val="left"/>
      <w:lvlText w:val="%1."/>
      <w:numFmt w:val="decimal"/>
      <w:start w:val="5"/>
    </w:lvl>
  </w:abstractNum>
  <w:abstractNum w:abstractNumId="111">
    <w:nsid w:val="39B7AAA2"/>
    <w:multiLevelType w:val="hybridMultilevel"/>
    <w:lvl w:ilvl="0">
      <w:lvlJc w:val="left"/>
      <w:lvlText w:val="%1"/>
      <w:numFmt w:val="decimal"/>
      <w:start w:val="1"/>
    </w:lvl>
    <w:lvl w:ilvl="1">
      <w:lvlJc w:val="left"/>
      <w:lvlText w:val="(%2)"/>
      <w:numFmt w:val="lowerLetter"/>
      <w:start w:val="1"/>
    </w:lvl>
  </w:abstractNum>
  <w:abstractNum w:abstractNumId="112">
    <w:nsid w:val="2B0D8DBE"/>
    <w:multiLevelType w:val="hybridMultilevel"/>
    <w:lvl w:ilvl="0">
      <w:lvlJc w:val="left"/>
      <w:lvlText w:val="%1."/>
      <w:numFmt w:val="decimal"/>
      <w:start w:val="6"/>
    </w:lvl>
    <w:lvl w:ilvl="1">
      <w:lvlJc w:val="left"/>
      <w:lvlText w:val="%2"/>
      <w:numFmt w:val="lowerLetter"/>
      <w:start w:val="1"/>
    </w:lvl>
  </w:abstractNum>
  <w:abstractNum w:abstractNumId="113">
    <w:nsid w:val="6C80EC70"/>
    <w:multiLevelType w:val="hybridMultilevel"/>
    <w:lvl w:ilvl="0">
      <w:lvlJc w:val="left"/>
      <w:lvlText w:val="%1."/>
      <w:numFmt w:val="decimal"/>
      <w:start w:val="8"/>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2"/>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decimal"/>
      <w:start w:val="1"/>
    </w:lvl>
  </w:abstractNum>
  <w:abstractNum w:abstractNumId="118">
    <w:nsid w:val="6AA7B75C"/>
    <w:multiLevelType w:val="hybridMultilevel"/>
    <w:lvl w:ilvl="0">
      <w:lvlJc w:val="left"/>
      <w:lvlText w:val="%1."/>
      <w:numFmt w:val="decimal"/>
      <w:start w:val="4"/>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2026-04-07T15:16:18Z</dcterms:created>
  <dcterms:modified xsi:type="dcterms:W3CDTF">2026-04-07T15:16:18Z</dcterms:modified>
</cp:coreProperties>
</file>