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74927.xml.htm"/>
      <w:bookmarkStart w:id="1" w:name="kswkform4_17871749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Schubach Sarah Elizabeth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HAWTHORNE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DROPBOX, INC.</w:t>
              </w:r>
            </w:hyperlink>
            <w:r>
              <w:rPr/>
              <w:t xml:space="preserve"> [ </w:t>
            </w:r>
            <w:r>
              <w:rPr>
                <w:rFonts w:ascii="Times;serif" w:hAnsi="Times;serif"/>
                <w:color w:val="0000FF"/>
                <w:sz w:val="24"/>
                <w:shd w:fill="FFFFFF" w:val="clear"/>
              </w:rPr>
              <w:t>DBX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756"/>
        <w:gridCol w:w="1198"/>
        <w:gridCol w:w="1000"/>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5,854</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34.42</w:t>
            </w:r>
          </w:p>
        </w:tc>
        <w:tc>
          <w:tcPr>
            <w:tcW w:w="11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118,412</w:t>
            </w:r>
            <w:r>
              <w:rPr>
                <w:rFonts w:ascii="Times;serif" w:hAnsi="Times;serif"/>
                <w:color w:val="008000"/>
                <w:position w:val="7"/>
                <w:sz w:val="16"/>
                <w:sz w:val="20"/>
                <w:shd w:fill="FFFFFF" w:val="clear"/>
              </w:rPr>
              <w:t>(2)</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that have been withheld by the Issuer to satisfy tax withholding and remittance obligations in connection with the vesting and net settlement of restricted stock units previously reported.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restricted stock units. Each restricted stock unit represents the Reporting Person's right to receive one share of Class A Common Stock, subject to the applicable vesting schedule through February 15, 2030. In the event the Reporting Person ceases to be a Service Provider, the unvested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werofattorney.htm"/>
      <w:bookmarkStart w:id="3" w:name="kssection16powerofattorney"/>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 SECURITIES LAW COMPLIANCE The undersigned, as an officer or director of Dropbox, Inc. (the “Corporation”), hereby constitutes and appoints Timothy Regan, William Yoon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 The undersigned hereby ratifies and confirms all that said attorneys-in-fact and agents shall do or cause to be done by virtue hereof. The undersigned acknowledges that the foregoing attorneys-in- fact, in serving in such capacity at the request of the undersigned, are not assuming, nor is the Company assuming, any of the undersigned's responsibilities to comply with Section 16 of the Securities Exchange Act of 1934 (as amended). 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 This Limited Power of Attorney is executed as of the date set forth below. Signature: Print Name: Sarah Schubach Dated: 06 / 18 / 2025 Doc ID: 73701d8d14359ba98be79739852a61bfd7e6d50c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16 Power of Attorney (Sarah Schubach) Section_16_Power_...ah_Schubach_.docx 73701d8d14359ba98be79739852a61bfd7e6d50c MM / DD / YYYY Signed 06 / 18 / 2025 16:02:02 UTC Sent for signature to Sarah Schubach (sarahs@dropbox.com) from jlelannic@dropbox.com IP: 136.226.56.185 06 / 18 / 2025 16:15:41 UTC Viewed by Sarah Schubach (sarahs@dropbox.com) IP: 136.226.56.176 06 / 18 / 2025 16:17:33 UTC Signed by Sarah Schubach (sarahs@dropbox.com) IP: 136.226.56.176 The document has been completed.06 / 18 / 2025 16:17:33 UTC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5704" TargetMode="External"/><Relationship Id="rId5" Type="http://schemas.openxmlformats.org/officeDocument/2006/relationships/hyperlink" Target="http://www.sec.gov/cgi-bin/browse-edgar?action=getcompany&amp;CIK=00014676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1041</Words>
  <Characters>5725</Characters>
  <CharactersWithSpaces>6701</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section16powerofattorney</dc:title>
</cp:coreProperties>
</file>